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F91C17" w14:paraId="6227F1B5" w14:textId="77777777" w:rsidTr="00CD6AA1">
        <w:trPr>
          <w:cantSplit/>
        </w:trPr>
        <w:tc>
          <w:tcPr>
            <w:tcW w:w="6804" w:type="dxa"/>
          </w:tcPr>
          <w:p w14:paraId="637FDE6A" w14:textId="77777777" w:rsidR="00BB1D82" w:rsidRPr="00F91C17" w:rsidRDefault="00851625" w:rsidP="00CD6AA1">
            <w:pPr>
              <w:spacing w:before="400" w:after="48"/>
              <w:rPr>
                <w:rFonts w:ascii="Verdana" w:hAnsi="Verdana"/>
                <w:b/>
                <w:bCs/>
                <w:sz w:val="20"/>
              </w:rPr>
            </w:pPr>
            <w:r w:rsidRPr="00F91C17">
              <w:rPr>
                <w:rFonts w:ascii="Verdana" w:hAnsi="Verdana"/>
                <w:b/>
                <w:bCs/>
                <w:sz w:val="20"/>
              </w:rPr>
              <w:t>Conférence mondiale des radiocommunications (CMR-1</w:t>
            </w:r>
            <w:r w:rsidR="00FD7AA3" w:rsidRPr="00F91C17">
              <w:rPr>
                <w:rFonts w:ascii="Verdana" w:hAnsi="Verdana"/>
                <w:b/>
                <w:bCs/>
                <w:sz w:val="20"/>
              </w:rPr>
              <w:t>9</w:t>
            </w:r>
            <w:r w:rsidRPr="00F91C17">
              <w:rPr>
                <w:rFonts w:ascii="Verdana" w:hAnsi="Verdana"/>
                <w:b/>
                <w:bCs/>
                <w:sz w:val="20"/>
              </w:rPr>
              <w:t>)</w:t>
            </w:r>
            <w:r w:rsidRPr="00F91C17">
              <w:rPr>
                <w:rFonts w:ascii="Verdana" w:hAnsi="Verdana"/>
                <w:b/>
                <w:bCs/>
                <w:sz w:val="20"/>
              </w:rPr>
              <w:br/>
            </w:r>
            <w:r w:rsidR="00063A1F" w:rsidRPr="00F91C17">
              <w:rPr>
                <w:rFonts w:ascii="Verdana" w:hAnsi="Verdana"/>
                <w:b/>
                <w:bCs/>
                <w:sz w:val="18"/>
                <w:szCs w:val="18"/>
              </w:rPr>
              <w:t xml:space="preserve">Charm el-Cheikh, </w:t>
            </w:r>
            <w:r w:rsidR="00081366" w:rsidRPr="00F91C17">
              <w:rPr>
                <w:rFonts w:ascii="Verdana" w:hAnsi="Verdana"/>
                <w:b/>
                <w:bCs/>
                <w:sz w:val="18"/>
                <w:szCs w:val="18"/>
              </w:rPr>
              <w:t>É</w:t>
            </w:r>
            <w:r w:rsidR="00063A1F" w:rsidRPr="00F91C17">
              <w:rPr>
                <w:rFonts w:ascii="Verdana" w:hAnsi="Verdana"/>
                <w:b/>
                <w:bCs/>
                <w:sz w:val="18"/>
                <w:szCs w:val="18"/>
              </w:rPr>
              <w:t>gypte</w:t>
            </w:r>
            <w:r w:rsidRPr="00F91C17">
              <w:rPr>
                <w:rFonts w:ascii="Verdana" w:hAnsi="Verdana"/>
                <w:b/>
                <w:bCs/>
                <w:sz w:val="18"/>
                <w:szCs w:val="18"/>
              </w:rPr>
              <w:t>,</w:t>
            </w:r>
            <w:r w:rsidR="00E537FF" w:rsidRPr="00F91C17">
              <w:rPr>
                <w:rFonts w:ascii="Verdana" w:hAnsi="Verdana"/>
                <w:b/>
                <w:bCs/>
                <w:sz w:val="18"/>
                <w:szCs w:val="18"/>
              </w:rPr>
              <w:t xml:space="preserve"> </w:t>
            </w:r>
            <w:r w:rsidRPr="00F91C17">
              <w:rPr>
                <w:rFonts w:ascii="Verdana" w:hAnsi="Verdana"/>
                <w:b/>
                <w:bCs/>
                <w:sz w:val="18"/>
                <w:szCs w:val="18"/>
              </w:rPr>
              <w:t>2</w:t>
            </w:r>
            <w:r w:rsidR="00FD7AA3" w:rsidRPr="00F91C17">
              <w:rPr>
                <w:rFonts w:ascii="Verdana" w:hAnsi="Verdana"/>
                <w:b/>
                <w:bCs/>
                <w:sz w:val="18"/>
                <w:szCs w:val="18"/>
              </w:rPr>
              <w:t xml:space="preserve">8 octobre </w:t>
            </w:r>
            <w:r w:rsidR="00F10064" w:rsidRPr="00F91C17">
              <w:rPr>
                <w:rFonts w:ascii="Verdana" w:hAnsi="Verdana"/>
                <w:b/>
                <w:bCs/>
                <w:sz w:val="18"/>
                <w:szCs w:val="18"/>
              </w:rPr>
              <w:t>–</w:t>
            </w:r>
            <w:r w:rsidR="00FD7AA3" w:rsidRPr="00F91C17">
              <w:rPr>
                <w:rFonts w:ascii="Verdana" w:hAnsi="Verdana"/>
                <w:b/>
                <w:bCs/>
                <w:sz w:val="18"/>
                <w:szCs w:val="18"/>
              </w:rPr>
              <w:t xml:space="preserve"> </w:t>
            </w:r>
            <w:r w:rsidRPr="00F91C17">
              <w:rPr>
                <w:rFonts w:ascii="Verdana" w:hAnsi="Verdana"/>
                <w:b/>
                <w:bCs/>
                <w:sz w:val="18"/>
                <w:szCs w:val="18"/>
              </w:rPr>
              <w:t>2</w:t>
            </w:r>
            <w:r w:rsidR="00FD7AA3" w:rsidRPr="00F91C17">
              <w:rPr>
                <w:rFonts w:ascii="Verdana" w:hAnsi="Verdana"/>
                <w:b/>
                <w:bCs/>
                <w:sz w:val="18"/>
                <w:szCs w:val="18"/>
              </w:rPr>
              <w:t>2</w:t>
            </w:r>
            <w:r w:rsidRPr="00F91C17">
              <w:rPr>
                <w:rFonts w:ascii="Verdana" w:hAnsi="Verdana"/>
                <w:b/>
                <w:bCs/>
                <w:sz w:val="18"/>
                <w:szCs w:val="18"/>
              </w:rPr>
              <w:t xml:space="preserve"> novembre 201</w:t>
            </w:r>
            <w:r w:rsidR="00FD7AA3" w:rsidRPr="00F91C17">
              <w:rPr>
                <w:rFonts w:ascii="Verdana" w:hAnsi="Verdana"/>
                <w:b/>
                <w:bCs/>
                <w:sz w:val="18"/>
                <w:szCs w:val="18"/>
              </w:rPr>
              <w:t>9</w:t>
            </w:r>
          </w:p>
        </w:tc>
        <w:tc>
          <w:tcPr>
            <w:tcW w:w="3227" w:type="dxa"/>
          </w:tcPr>
          <w:p w14:paraId="3B846BCA" w14:textId="77777777" w:rsidR="00BB1D82" w:rsidRPr="00F91C17" w:rsidRDefault="000A55AE" w:rsidP="00CD6AA1">
            <w:pPr>
              <w:spacing w:before="0"/>
              <w:jc w:val="right"/>
            </w:pPr>
            <w:bookmarkStart w:id="0" w:name="ditulogo"/>
            <w:bookmarkEnd w:id="0"/>
            <w:r w:rsidRPr="00F91C17">
              <w:rPr>
                <w:rFonts w:ascii="Verdana" w:hAnsi="Verdana"/>
                <w:b/>
                <w:bCs/>
                <w:noProof/>
                <w:lang w:eastAsia="zh-CN"/>
              </w:rPr>
              <w:drawing>
                <wp:inline distT="0" distB="0" distL="0" distR="0" wp14:anchorId="25C85343" wp14:editId="112EE95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91C17" w14:paraId="0DC468DB" w14:textId="77777777" w:rsidTr="00CD6AA1">
        <w:trPr>
          <w:cantSplit/>
        </w:trPr>
        <w:tc>
          <w:tcPr>
            <w:tcW w:w="6804" w:type="dxa"/>
            <w:tcBorders>
              <w:bottom w:val="single" w:sz="12" w:space="0" w:color="auto"/>
            </w:tcBorders>
          </w:tcPr>
          <w:p w14:paraId="317097FA" w14:textId="77777777" w:rsidR="00BB1D82" w:rsidRPr="00F91C17" w:rsidRDefault="00BB1D82" w:rsidP="00CD6AA1">
            <w:pPr>
              <w:spacing w:before="0" w:after="48"/>
              <w:rPr>
                <w:b/>
                <w:smallCaps/>
                <w:szCs w:val="24"/>
              </w:rPr>
            </w:pPr>
            <w:bookmarkStart w:id="1" w:name="dhead"/>
          </w:p>
        </w:tc>
        <w:tc>
          <w:tcPr>
            <w:tcW w:w="3227" w:type="dxa"/>
            <w:tcBorders>
              <w:bottom w:val="single" w:sz="12" w:space="0" w:color="auto"/>
            </w:tcBorders>
          </w:tcPr>
          <w:p w14:paraId="478328E3" w14:textId="77777777" w:rsidR="00BB1D82" w:rsidRPr="00F91C17" w:rsidRDefault="00BB1D82" w:rsidP="00CD6AA1">
            <w:pPr>
              <w:spacing w:before="0"/>
              <w:rPr>
                <w:rFonts w:ascii="Verdana" w:hAnsi="Verdana"/>
                <w:szCs w:val="24"/>
              </w:rPr>
            </w:pPr>
          </w:p>
        </w:tc>
      </w:tr>
      <w:tr w:rsidR="00BB1D82" w:rsidRPr="00F91C17" w14:paraId="755CD204" w14:textId="77777777" w:rsidTr="00CD6AA1">
        <w:trPr>
          <w:cantSplit/>
        </w:trPr>
        <w:tc>
          <w:tcPr>
            <w:tcW w:w="6804" w:type="dxa"/>
            <w:tcBorders>
              <w:top w:val="single" w:sz="12" w:space="0" w:color="auto"/>
            </w:tcBorders>
          </w:tcPr>
          <w:p w14:paraId="42F74B9C" w14:textId="77777777" w:rsidR="00BB1D82" w:rsidRPr="00F91C17" w:rsidRDefault="00BB1D82" w:rsidP="00CD6AA1">
            <w:pPr>
              <w:spacing w:before="0" w:after="48"/>
              <w:rPr>
                <w:rFonts w:ascii="Verdana" w:hAnsi="Verdana"/>
                <w:b/>
                <w:smallCaps/>
                <w:sz w:val="20"/>
              </w:rPr>
            </w:pPr>
          </w:p>
        </w:tc>
        <w:tc>
          <w:tcPr>
            <w:tcW w:w="3227" w:type="dxa"/>
            <w:tcBorders>
              <w:top w:val="single" w:sz="12" w:space="0" w:color="auto"/>
            </w:tcBorders>
          </w:tcPr>
          <w:p w14:paraId="241C8667" w14:textId="77777777" w:rsidR="00BB1D82" w:rsidRPr="00F91C17" w:rsidRDefault="00BB1D82" w:rsidP="00CD6AA1">
            <w:pPr>
              <w:spacing w:before="0"/>
              <w:rPr>
                <w:rFonts w:ascii="Verdana" w:hAnsi="Verdana"/>
                <w:sz w:val="20"/>
              </w:rPr>
            </w:pPr>
          </w:p>
        </w:tc>
      </w:tr>
      <w:tr w:rsidR="00BB1D82" w:rsidRPr="00F91C17" w14:paraId="3E6ACAFC" w14:textId="77777777" w:rsidTr="00CD6AA1">
        <w:trPr>
          <w:cantSplit/>
        </w:trPr>
        <w:tc>
          <w:tcPr>
            <w:tcW w:w="6804" w:type="dxa"/>
          </w:tcPr>
          <w:p w14:paraId="04F1D0ED" w14:textId="77777777" w:rsidR="00BB1D82" w:rsidRPr="00F91C17" w:rsidRDefault="006D4724" w:rsidP="00CD6AA1">
            <w:pPr>
              <w:spacing w:before="0"/>
              <w:rPr>
                <w:rFonts w:ascii="Verdana" w:hAnsi="Verdana"/>
                <w:b/>
                <w:sz w:val="20"/>
              </w:rPr>
            </w:pPr>
            <w:r w:rsidRPr="00F91C17">
              <w:rPr>
                <w:rFonts w:ascii="Verdana" w:hAnsi="Verdana"/>
                <w:b/>
                <w:sz w:val="20"/>
              </w:rPr>
              <w:t>SÉANCE PLÉNIÈRE</w:t>
            </w:r>
          </w:p>
        </w:tc>
        <w:tc>
          <w:tcPr>
            <w:tcW w:w="3227" w:type="dxa"/>
          </w:tcPr>
          <w:p w14:paraId="4BE8D61C" w14:textId="77777777" w:rsidR="00BB1D82" w:rsidRPr="00F91C17" w:rsidRDefault="006D4724" w:rsidP="00CD6AA1">
            <w:pPr>
              <w:spacing w:before="0"/>
              <w:rPr>
                <w:rFonts w:ascii="Verdana" w:hAnsi="Verdana"/>
                <w:sz w:val="20"/>
              </w:rPr>
            </w:pPr>
            <w:r w:rsidRPr="00F91C17">
              <w:rPr>
                <w:rFonts w:ascii="Verdana" w:hAnsi="Verdana"/>
                <w:b/>
                <w:sz w:val="20"/>
              </w:rPr>
              <w:t>Addendum 6 au</w:t>
            </w:r>
            <w:r w:rsidRPr="00F91C17">
              <w:rPr>
                <w:rFonts w:ascii="Verdana" w:hAnsi="Verdana"/>
                <w:b/>
                <w:sz w:val="20"/>
              </w:rPr>
              <w:br/>
              <w:t>Document 11(Add.24)</w:t>
            </w:r>
            <w:r w:rsidR="00BB1D82" w:rsidRPr="00F91C17">
              <w:rPr>
                <w:rFonts w:ascii="Verdana" w:hAnsi="Verdana"/>
                <w:b/>
                <w:sz w:val="20"/>
              </w:rPr>
              <w:t>-</w:t>
            </w:r>
            <w:r w:rsidRPr="00F91C17">
              <w:rPr>
                <w:rFonts w:ascii="Verdana" w:hAnsi="Verdana"/>
                <w:b/>
                <w:sz w:val="20"/>
              </w:rPr>
              <w:t>F</w:t>
            </w:r>
          </w:p>
        </w:tc>
      </w:tr>
      <w:bookmarkEnd w:id="1"/>
      <w:tr w:rsidR="00690C7B" w:rsidRPr="00F91C17" w14:paraId="4B6E984B" w14:textId="77777777" w:rsidTr="00CD6AA1">
        <w:trPr>
          <w:cantSplit/>
        </w:trPr>
        <w:tc>
          <w:tcPr>
            <w:tcW w:w="6804" w:type="dxa"/>
          </w:tcPr>
          <w:p w14:paraId="21FA0515" w14:textId="77777777" w:rsidR="00690C7B" w:rsidRPr="00F91C17" w:rsidRDefault="00690C7B" w:rsidP="00CD6AA1">
            <w:pPr>
              <w:spacing w:before="0"/>
              <w:rPr>
                <w:rFonts w:ascii="Verdana" w:hAnsi="Verdana"/>
                <w:b/>
                <w:sz w:val="20"/>
              </w:rPr>
            </w:pPr>
          </w:p>
        </w:tc>
        <w:tc>
          <w:tcPr>
            <w:tcW w:w="3227" w:type="dxa"/>
          </w:tcPr>
          <w:p w14:paraId="0FA1C0D0" w14:textId="77777777" w:rsidR="00690C7B" w:rsidRPr="00F91C17" w:rsidRDefault="00690C7B" w:rsidP="00CD6AA1">
            <w:pPr>
              <w:spacing w:before="0"/>
              <w:rPr>
                <w:rFonts w:ascii="Verdana" w:hAnsi="Verdana"/>
                <w:b/>
                <w:sz w:val="20"/>
              </w:rPr>
            </w:pPr>
            <w:r w:rsidRPr="00F91C17">
              <w:rPr>
                <w:rFonts w:ascii="Verdana" w:hAnsi="Verdana"/>
                <w:b/>
                <w:sz w:val="20"/>
              </w:rPr>
              <w:t>17 septembre 2019</w:t>
            </w:r>
          </w:p>
        </w:tc>
      </w:tr>
      <w:tr w:rsidR="00690C7B" w:rsidRPr="00F91C17" w14:paraId="1FFFF4A0" w14:textId="77777777" w:rsidTr="00CD6AA1">
        <w:trPr>
          <w:cantSplit/>
        </w:trPr>
        <w:tc>
          <w:tcPr>
            <w:tcW w:w="6804" w:type="dxa"/>
          </w:tcPr>
          <w:p w14:paraId="6CD55FF1" w14:textId="77777777" w:rsidR="00690C7B" w:rsidRPr="00F91C17" w:rsidRDefault="00690C7B" w:rsidP="00CD6AA1">
            <w:pPr>
              <w:spacing w:before="0" w:after="48"/>
              <w:rPr>
                <w:rFonts w:ascii="Verdana" w:hAnsi="Verdana"/>
                <w:b/>
                <w:smallCaps/>
                <w:sz w:val="20"/>
              </w:rPr>
            </w:pPr>
          </w:p>
        </w:tc>
        <w:tc>
          <w:tcPr>
            <w:tcW w:w="3227" w:type="dxa"/>
          </w:tcPr>
          <w:p w14:paraId="50CE9391" w14:textId="1243988B" w:rsidR="00690C7B" w:rsidRPr="00F91C17" w:rsidRDefault="00690C7B" w:rsidP="00CD6AA1">
            <w:pPr>
              <w:spacing w:before="0"/>
              <w:rPr>
                <w:rFonts w:ascii="Verdana" w:hAnsi="Verdana"/>
                <w:b/>
                <w:sz w:val="20"/>
              </w:rPr>
            </w:pPr>
            <w:r w:rsidRPr="00F91C17">
              <w:rPr>
                <w:rFonts w:ascii="Verdana" w:hAnsi="Verdana"/>
                <w:b/>
                <w:sz w:val="20"/>
              </w:rPr>
              <w:t>Original: anglais</w:t>
            </w:r>
            <w:r w:rsidR="00D046FC" w:rsidRPr="00F91C17">
              <w:rPr>
                <w:rFonts w:ascii="Verdana" w:hAnsi="Verdana"/>
                <w:b/>
                <w:sz w:val="20"/>
              </w:rPr>
              <w:t>/espagnol</w:t>
            </w:r>
          </w:p>
        </w:tc>
      </w:tr>
      <w:tr w:rsidR="00690C7B" w:rsidRPr="00F91C17" w14:paraId="0CAF6D94" w14:textId="77777777" w:rsidTr="00C11970">
        <w:trPr>
          <w:cantSplit/>
        </w:trPr>
        <w:tc>
          <w:tcPr>
            <w:tcW w:w="10031" w:type="dxa"/>
            <w:gridSpan w:val="2"/>
          </w:tcPr>
          <w:p w14:paraId="39585486" w14:textId="538DE2B3" w:rsidR="00690C7B" w:rsidRPr="00F91C17" w:rsidRDefault="00690C7B" w:rsidP="00CD6AA1">
            <w:pPr>
              <w:spacing w:before="0"/>
              <w:rPr>
                <w:rFonts w:ascii="Verdana" w:hAnsi="Verdana"/>
                <w:b/>
                <w:sz w:val="20"/>
              </w:rPr>
            </w:pPr>
          </w:p>
        </w:tc>
      </w:tr>
      <w:tr w:rsidR="00690C7B" w:rsidRPr="00F91C17" w14:paraId="6F355B83" w14:textId="77777777" w:rsidTr="0050008E">
        <w:trPr>
          <w:cantSplit/>
        </w:trPr>
        <w:tc>
          <w:tcPr>
            <w:tcW w:w="10031" w:type="dxa"/>
            <w:gridSpan w:val="2"/>
          </w:tcPr>
          <w:p w14:paraId="410B7286" w14:textId="77777777" w:rsidR="00690C7B" w:rsidRPr="00F91C17" w:rsidRDefault="00690C7B" w:rsidP="00CD6AA1">
            <w:pPr>
              <w:pStyle w:val="Source"/>
            </w:pPr>
            <w:bookmarkStart w:id="2" w:name="dsource" w:colFirst="0" w:colLast="0"/>
            <w:r w:rsidRPr="00F91C17">
              <w:t>États Membres de la Commission interaméricaine des télécommunications (CITEL)</w:t>
            </w:r>
          </w:p>
        </w:tc>
      </w:tr>
      <w:tr w:rsidR="00690C7B" w:rsidRPr="00F91C17" w14:paraId="684CCA13" w14:textId="77777777" w:rsidTr="0050008E">
        <w:trPr>
          <w:cantSplit/>
        </w:trPr>
        <w:tc>
          <w:tcPr>
            <w:tcW w:w="10031" w:type="dxa"/>
            <w:gridSpan w:val="2"/>
          </w:tcPr>
          <w:p w14:paraId="6D04B2D0" w14:textId="1E975991" w:rsidR="00690C7B" w:rsidRPr="00F91C17" w:rsidRDefault="007A6B36" w:rsidP="00CD6AA1">
            <w:pPr>
              <w:pStyle w:val="Title1"/>
            </w:pPr>
            <w:bookmarkStart w:id="3" w:name="dtitle1" w:colFirst="0" w:colLast="0"/>
            <w:bookmarkEnd w:id="2"/>
            <w:r w:rsidRPr="00F91C17">
              <w:t>Propositions pour les travaux de la conférence</w:t>
            </w:r>
            <w:r w:rsidR="002C3D03" w:rsidRPr="00F91C17">
              <w:t xml:space="preserve"> </w:t>
            </w:r>
          </w:p>
        </w:tc>
      </w:tr>
      <w:tr w:rsidR="00690C7B" w:rsidRPr="00F91C17" w14:paraId="125070B2" w14:textId="77777777" w:rsidTr="0050008E">
        <w:trPr>
          <w:cantSplit/>
        </w:trPr>
        <w:tc>
          <w:tcPr>
            <w:tcW w:w="10031" w:type="dxa"/>
            <w:gridSpan w:val="2"/>
          </w:tcPr>
          <w:p w14:paraId="64F1261F" w14:textId="77777777" w:rsidR="00690C7B" w:rsidRPr="00F91C17" w:rsidRDefault="00690C7B" w:rsidP="00CD6AA1">
            <w:pPr>
              <w:pStyle w:val="Title2"/>
            </w:pPr>
            <w:bookmarkStart w:id="4" w:name="dtitle2" w:colFirst="0" w:colLast="0"/>
            <w:bookmarkEnd w:id="3"/>
          </w:p>
        </w:tc>
      </w:tr>
      <w:tr w:rsidR="00690C7B" w:rsidRPr="00F91C17" w14:paraId="24D9C25B" w14:textId="77777777" w:rsidTr="0050008E">
        <w:trPr>
          <w:cantSplit/>
        </w:trPr>
        <w:tc>
          <w:tcPr>
            <w:tcW w:w="10031" w:type="dxa"/>
            <w:gridSpan w:val="2"/>
          </w:tcPr>
          <w:p w14:paraId="330012B0" w14:textId="77777777" w:rsidR="00690C7B" w:rsidRPr="00F91C17" w:rsidRDefault="00690C7B" w:rsidP="00CD6AA1">
            <w:pPr>
              <w:pStyle w:val="Agendaitem"/>
              <w:rPr>
                <w:lang w:val="fr-FR"/>
              </w:rPr>
            </w:pPr>
            <w:bookmarkStart w:id="5" w:name="dtitle3" w:colFirst="0" w:colLast="0"/>
            <w:bookmarkEnd w:id="4"/>
            <w:r w:rsidRPr="00F91C17">
              <w:rPr>
                <w:lang w:val="fr-FR"/>
              </w:rPr>
              <w:t>Point 10 de l'ordre du jour</w:t>
            </w:r>
          </w:p>
        </w:tc>
      </w:tr>
    </w:tbl>
    <w:bookmarkEnd w:id="5"/>
    <w:p w14:paraId="21BC92A3" w14:textId="77777777" w:rsidR="001C0E40" w:rsidRPr="00F91C17" w:rsidRDefault="006F74B4" w:rsidP="00CD6AA1">
      <w:r w:rsidRPr="00F91C17">
        <w:t>10</w:t>
      </w:r>
      <w:r w:rsidRPr="00F91C17">
        <w:tab/>
        <w:t>recommander au Conseil des points à inscrire à l'ordre du jour de la CMR suivante et exposer ses vues sur l'ordre d</w:t>
      </w:r>
      <w:bookmarkStart w:id="6" w:name="_GoBack"/>
      <w:bookmarkEnd w:id="6"/>
      <w:r w:rsidRPr="00F91C17">
        <w:t>u jour préliminaire de la conférence ultérieure ainsi que sur des points éventuels à inscrire à l'ordre du jour de conférences futures, conformément à l'article 7 de la Convention,</w:t>
      </w:r>
    </w:p>
    <w:p w14:paraId="4DBEE093" w14:textId="3B27C434" w:rsidR="00C22C94" w:rsidRPr="00F91C17" w:rsidRDefault="007A6B36" w:rsidP="00CD6AA1">
      <w:pPr>
        <w:pStyle w:val="Headingb"/>
      </w:pPr>
      <w:r w:rsidRPr="00F91C17">
        <w:t>Considérations générales</w:t>
      </w:r>
      <w:r w:rsidR="002C3D03" w:rsidRPr="00F91C17">
        <w:t xml:space="preserve"> </w:t>
      </w:r>
    </w:p>
    <w:p w14:paraId="2EBA4A4F" w14:textId="01D3387E" w:rsidR="00C22C94" w:rsidRPr="00F91C17" w:rsidRDefault="007A6B36" w:rsidP="00CD6AA1">
      <w:r w:rsidRPr="00F91C17">
        <w:rPr>
          <w:color w:val="000000"/>
        </w:rPr>
        <w:t xml:space="preserve">Dans le cadre des études menées </w:t>
      </w:r>
      <w:r w:rsidRPr="00F91C17">
        <w:t>au titre du point 1.17 de l</w:t>
      </w:r>
      <w:r w:rsidR="0063720F" w:rsidRPr="00F91C17">
        <w:t>'</w:t>
      </w:r>
      <w:r w:rsidRPr="00F91C17">
        <w:t>ordre du jour de la</w:t>
      </w:r>
      <w:r w:rsidR="00C22C94" w:rsidRPr="00F91C17">
        <w:t xml:space="preserve"> </w:t>
      </w:r>
      <w:r w:rsidRPr="00F91C17">
        <w:t>CMR</w:t>
      </w:r>
      <w:r w:rsidR="00C22C94" w:rsidRPr="00F91C17">
        <w:t>-2000</w:t>
      </w:r>
      <w:r w:rsidRPr="00F91C17">
        <w:t xml:space="preserve"> qui ont conduit à l</w:t>
      </w:r>
      <w:r w:rsidR="0063720F" w:rsidRPr="00F91C17">
        <w:t>'</w:t>
      </w:r>
      <w:r w:rsidRPr="00F91C17">
        <w:t xml:space="preserve">adoption du renvoi </w:t>
      </w:r>
      <w:r w:rsidRPr="00F91C17">
        <w:rPr>
          <w:b/>
          <w:bCs/>
        </w:rPr>
        <w:t>5.522B</w:t>
      </w:r>
      <w:r w:rsidRPr="00F91C17">
        <w:t xml:space="preserve"> du RR</w:t>
      </w:r>
      <w:r w:rsidR="002C3D03" w:rsidRPr="00F91C17">
        <w:rPr>
          <w:color w:val="000000"/>
        </w:rPr>
        <w:t>,</w:t>
      </w:r>
      <w:r w:rsidRPr="00F91C17">
        <w:rPr>
          <w:color w:val="000000"/>
        </w:rPr>
        <w:t xml:space="preserve"> on n'a pas pris en considération tous les types de systèmes à satellites non géostationnaires du service fixe par satellite susceptibles de fonctionner dans la bande de fréquences</w:t>
      </w:r>
      <w:r w:rsidR="00C22C94" w:rsidRPr="00F91C17">
        <w:t xml:space="preserve"> 18</w:t>
      </w:r>
      <w:r w:rsidR="001A47DF" w:rsidRPr="00F91C17">
        <w:t>,</w:t>
      </w:r>
      <w:r w:rsidR="00C22C94" w:rsidRPr="00F91C17">
        <w:t>6-18</w:t>
      </w:r>
      <w:r w:rsidR="001A47DF" w:rsidRPr="00F91C17">
        <w:t>,</w:t>
      </w:r>
      <w:r w:rsidR="00C22C94" w:rsidRPr="00F91C17">
        <w:t xml:space="preserve">8 GHz. </w:t>
      </w:r>
    </w:p>
    <w:p w14:paraId="3BC1898C" w14:textId="4CDC81EC" w:rsidR="00C22C94" w:rsidRPr="00F91C17" w:rsidRDefault="007A6B36" w:rsidP="008113C9">
      <w:r w:rsidRPr="00F91C17">
        <w:t>Ces études étaient limitées aux systèmes du service fixe par satellite sur des orbites fortement elliptiques et en orbite terrestre basse. Qui plus est, à l'époque, il était prévu d</w:t>
      </w:r>
      <w:r w:rsidR="0063720F" w:rsidRPr="00F91C17">
        <w:t>'</w:t>
      </w:r>
      <w:r w:rsidRPr="00F91C17">
        <w:t>exploiter un seul système à satellites non géostationnaires dans cette bande de fréquences</w:t>
      </w:r>
      <w:r w:rsidR="001A47DF" w:rsidRPr="00F91C17">
        <w:t>,</w:t>
      </w:r>
      <w:r w:rsidRPr="00F91C17">
        <w:t xml:space="preserve"> sur une orbite </w:t>
      </w:r>
      <w:r w:rsidR="007B41FE" w:rsidRPr="00F91C17">
        <w:t>présentant</w:t>
      </w:r>
      <w:r w:rsidRPr="00F91C17">
        <w:t xml:space="preserve"> </w:t>
      </w:r>
      <w:r w:rsidR="007B41FE" w:rsidRPr="00F91C17">
        <w:t xml:space="preserve">un </w:t>
      </w:r>
      <w:r w:rsidRPr="00F91C17">
        <w:t xml:space="preserve">apogée supérieur à </w:t>
      </w:r>
      <w:r w:rsidR="00C22C94" w:rsidRPr="00F91C17">
        <w:t>2</w:t>
      </w:r>
      <w:r w:rsidR="002C3D03" w:rsidRPr="00F91C17">
        <w:t>0 </w:t>
      </w:r>
      <w:r w:rsidR="00C22C94" w:rsidRPr="00F91C17">
        <w:t xml:space="preserve">000 km. </w:t>
      </w:r>
    </w:p>
    <w:p w14:paraId="0AC69954" w14:textId="5A4E9FEF" w:rsidR="00C22C94" w:rsidRPr="00F91C17" w:rsidRDefault="007E3846" w:rsidP="00CD6AA1">
      <w:r w:rsidRPr="00F91C17">
        <w:t>Aujourd</w:t>
      </w:r>
      <w:r w:rsidR="0063720F" w:rsidRPr="00F91C17">
        <w:t>'</w:t>
      </w:r>
      <w:r w:rsidRPr="00F91C17">
        <w:t xml:space="preserve">hui, compte tenu de la demande croissante de services large bande utilisant des systèmes en orbite terrestre basse et en orbite terrestre moyenne </w:t>
      </w:r>
      <w:r w:rsidR="001C0CCB" w:rsidRPr="00F91C17">
        <w:t xml:space="preserve">dans le monde entier, </w:t>
      </w:r>
      <w:r w:rsidRPr="00F91C17">
        <w:t xml:space="preserve">ainsi que des progrès accomplis </w:t>
      </w:r>
      <w:r w:rsidR="001C0CCB" w:rsidRPr="00F91C17">
        <w:t xml:space="preserve">dernièrement </w:t>
      </w:r>
      <w:r w:rsidRPr="00F91C17">
        <w:t xml:space="preserve">dans le domaine des techniques spatiales, il </w:t>
      </w:r>
      <w:r w:rsidR="001C0CCB" w:rsidRPr="00F91C17">
        <w:t>paraît nécessaire</w:t>
      </w:r>
      <w:r w:rsidRPr="00F91C17">
        <w:t xml:space="preserve"> de réexaminer les études effectuées il y a près de 20 ans dans la bande de fréquences </w:t>
      </w:r>
      <w:r w:rsidR="00C22C94" w:rsidRPr="00F91C17">
        <w:t>18</w:t>
      </w:r>
      <w:r w:rsidR="001A47DF" w:rsidRPr="00F91C17">
        <w:t>,</w:t>
      </w:r>
      <w:r w:rsidR="00C22C94" w:rsidRPr="00F91C17">
        <w:t>6-18</w:t>
      </w:r>
      <w:r w:rsidR="001A47DF" w:rsidRPr="00F91C17">
        <w:t>,</w:t>
      </w:r>
      <w:r w:rsidR="00C22C94" w:rsidRPr="00F91C17">
        <w:t xml:space="preserve">8 GHz, </w:t>
      </w:r>
      <w:r w:rsidRPr="00F91C17">
        <w:t>afin d</w:t>
      </w:r>
      <w:r w:rsidR="0063720F" w:rsidRPr="00F91C17">
        <w:t>'</w:t>
      </w:r>
      <w:r w:rsidRPr="00F91C17">
        <w:t xml:space="preserve">envisager des orbites </w:t>
      </w:r>
      <w:r w:rsidR="007B41FE" w:rsidRPr="00F91C17">
        <w:rPr>
          <w:color w:val="000000"/>
        </w:rPr>
        <w:t xml:space="preserve">présentant un apogée </w:t>
      </w:r>
      <w:r w:rsidRPr="00F91C17">
        <w:t xml:space="preserve">inférieur ou égal à </w:t>
      </w:r>
      <w:r w:rsidR="00C22C94" w:rsidRPr="00F91C17">
        <w:t>20</w:t>
      </w:r>
      <w:r w:rsidR="002C3D03" w:rsidRPr="00F91C17">
        <w:t> </w:t>
      </w:r>
      <w:r w:rsidR="00C22C94" w:rsidRPr="00F91C17">
        <w:t xml:space="preserve">000 km. </w:t>
      </w:r>
      <w:r w:rsidRPr="00F91C17">
        <w:rPr>
          <w:color w:val="000000"/>
        </w:rPr>
        <w:t xml:space="preserve">Il existe de toute évidence une demande croissante de services utilisant les bandes de fréquences </w:t>
      </w:r>
      <w:r w:rsidR="00C22C94" w:rsidRPr="00F91C17">
        <w:t>27</w:t>
      </w:r>
      <w:r w:rsidR="001A47DF" w:rsidRPr="00F91C17">
        <w:t>,</w:t>
      </w:r>
      <w:r w:rsidR="00C22C94" w:rsidRPr="00F91C17">
        <w:t>5-30 GHz (</w:t>
      </w:r>
      <w:r w:rsidRPr="00F91C17">
        <w:t>Terre vers espace</w:t>
      </w:r>
      <w:r w:rsidR="00C22C94" w:rsidRPr="00F91C17">
        <w:t>)</w:t>
      </w:r>
      <w:r w:rsidRPr="00F91C17">
        <w:t xml:space="preserve"> et </w:t>
      </w:r>
      <w:r w:rsidR="00C22C94" w:rsidRPr="00F91C17">
        <w:t>17</w:t>
      </w:r>
      <w:r w:rsidR="001A47DF" w:rsidRPr="00F91C17">
        <w:t>,</w:t>
      </w:r>
      <w:r w:rsidR="00C22C94" w:rsidRPr="00F91C17">
        <w:t>7-20</w:t>
      </w:r>
      <w:r w:rsidR="001A47DF" w:rsidRPr="00F91C17">
        <w:t>,</w:t>
      </w:r>
      <w:r w:rsidR="00C22C94" w:rsidRPr="00F91C17">
        <w:t>2 GHz (</w:t>
      </w:r>
      <w:r w:rsidRPr="00F91C17">
        <w:t>espace vers Terre</w:t>
      </w:r>
      <w:r w:rsidR="00C22C94" w:rsidRPr="00F91C17">
        <w:t xml:space="preserve">) </w:t>
      </w:r>
      <w:r w:rsidR="00E50ABC" w:rsidRPr="00F91C17">
        <w:t>pour les systèmes</w:t>
      </w:r>
      <w:r w:rsidR="001C0CCB" w:rsidRPr="00F91C17">
        <w:t xml:space="preserve"> à satellites</w:t>
      </w:r>
      <w:r w:rsidR="00E50ABC" w:rsidRPr="00F91C17">
        <w:t xml:space="preserve"> non géostationnaires, comme en attestent </w:t>
      </w:r>
      <w:r w:rsidR="001C0CCB" w:rsidRPr="00F91C17">
        <w:t>par</w:t>
      </w:r>
      <w:r w:rsidR="00E50ABC" w:rsidRPr="00F91C17">
        <w:t xml:space="preserve"> exemple</w:t>
      </w:r>
      <w:r w:rsidR="001C0CCB" w:rsidRPr="00F91C17">
        <w:t xml:space="preserve"> </w:t>
      </w:r>
      <w:r w:rsidR="00E50ABC" w:rsidRPr="00F91C17">
        <w:t>la constatation O3b en orbite terrestre moyenne,</w:t>
      </w:r>
      <w:r w:rsidR="00E50ABC" w:rsidRPr="00F91C17">
        <w:rPr>
          <w:color w:val="000000"/>
        </w:rPr>
        <w:t xml:space="preserve"> qui a été déployée avec succès dans le monde entier dans certaines parties de ces bandes de fréquences, et d</w:t>
      </w:r>
      <w:r w:rsidR="0063720F" w:rsidRPr="00F91C17">
        <w:rPr>
          <w:color w:val="000000"/>
        </w:rPr>
        <w:t>'</w:t>
      </w:r>
      <w:r w:rsidR="00E50ABC" w:rsidRPr="00F91C17">
        <w:rPr>
          <w:color w:val="000000"/>
        </w:rPr>
        <w:t xml:space="preserve">autres systèmes déployés récemment ou </w:t>
      </w:r>
      <w:r w:rsidR="001C0CCB" w:rsidRPr="00F91C17">
        <w:rPr>
          <w:color w:val="000000"/>
        </w:rPr>
        <w:t>appelés à être exploités</w:t>
      </w:r>
      <w:r w:rsidR="00E50ABC" w:rsidRPr="00F91C17">
        <w:rPr>
          <w:color w:val="000000"/>
        </w:rPr>
        <w:t xml:space="preserve"> prochainement.</w:t>
      </w:r>
    </w:p>
    <w:p w14:paraId="7FF4DA58" w14:textId="6D82C61B" w:rsidR="00C22C94" w:rsidRPr="00F91C17" w:rsidRDefault="00F97FB0" w:rsidP="00064376">
      <w:pPr>
        <w:keepNext/>
        <w:keepLines/>
      </w:pPr>
      <w:r w:rsidRPr="00F91C17">
        <w:lastRenderedPageBreak/>
        <w:t xml:space="preserve">En conséquence, il </w:t>
      </w:r>
      <w:r w:rsidR="00230F0C" w:rsidRPr="00F91C17">
        <w:t>convient</w:t>
      </w:r>
      <w:r w:rsidRPr="00F91C17">
        <w:t xml:space="preserve"> de faciliter l</w:t>
      </w:r>
      <w:r w:rsidR="0063720F" w:rsidRPr="00F91C17">
        <w:t>'</w:t>
      </w:r>
      <w:r w:rsidRPr="00F91C17">
        <w:t>accès des systèmes à satellites non géostationnaires en orbite terrestre basse et en orbite terrestre moyenne à des fréquences dans le sens espace vers Terre dans la bande</w:t>
      </w:r>
      <w:r w:rsidR="00C22C94" w:rsidRPr="00F91C17">
        <w:t xml:space="preserve"> 18</w:t>
      </w:r>
      <w:r w:rsidR="001A47DF" w:rsidRPr="00F91C17">
        <w:t>,</w:t>
      </w:r>
      <w:r w:rsidR="00C22C94" w:rsidRPr="00F91C17">
        <w:t>6-18</w:t>
      </w:r>
      <w:r w:rsidR="001A47DF" w:rsidRPr="00F91C17">
        <w:t>,</w:t>
      </w:r>
      <w:r w:rsidR="00C22C94" w:rsidRPr="00F91C17">
        <w:t>8 GHz,</w:t>
      </w:r>
      <w:r w:rsidRPr="00F91C17">
        <w:t xml:space="preserve"> afin de </w:t>
      </w:r>
      <w:r w:rsidR="001C0CCB" w:rsidRPr="00F91C17">
        <w:t>permettre leur utilisation</w:t>
      </w:r>
      <w:r w:rsidR="00230F0C" w:rsidRPr="00F91C17">
        <w:t xml:space="preserve"> </w:t>
      </w:r>
      <w:r w:rsidRPr="00F91C17">
        <w:t>de manière contiguë dans la bande</w:t>
      </w:r>
      <w:r w:rsidR="00997E17">
        <w:t> </w:t>
      </w:r>
      <w:r w:rsidR="00C22C94" w:rsidRPr="00F91C17">
        <w:t>17</w:t>
      </w:r>
      <w:r w:rsidR="001A47DF" w:rsidRPr="00F91C17">
        <w:t>,</w:t>
      </w:r>
      <w:r w:rsidR="00C22C94" w:rsidRPr="00F91C17">
        <w:t>7-20</w:t>
      </w:r>
      <w:r w:rsidR="001A47DF" w:rsidRPr="00F91C17">
        <w:t>,</w:t>
      </w:r>
      <w:r w:rsidR="00C22C94" w:rsidRPr="00F91C17">
        <w:t>2 GHz</w:t>
      </w:r>
      <w:r w:rsidRPr="00F91C17">
        <w:t>. Pour ce faire, il est indispensable d</w:t>
      </w:r>
      <w:r w:rsidR="0063720F" w:rsidRPr="00F91C17">
        <w:t>'</w:t>
      </w:r>
      <w:r w:rsidRPr="00F91C17">
        <w:t>e</w:t>
      </w:r>
      <w:r w:rsidR="001C0CCB" w:rsidRPr="00F91C17">
        <w:t>xaminer</w:t>
      </w:r>
      <w:r w:rsidRPr="00F91C17">
        <w:t xml:space="preserve"> la coexistence avec d</w:t>
      </w:r>
      <w:r w:rsidR="0063720F" w:rsidRPr="00F91C17">
        <w:t>'</w:t>
      </w:r>
      <w:r w:rsidRPr="00F91C17">
        <w:t>autres services susceptibles d</w:t>
      </w:r>
      <w:r w:rsidR="0063720F" w:rsidRPr="00F91C17">
        <w:t>'</w:t>
      </w:r>
      <w:r w:rsidRPr="00F91C17">
        <w:t>être affectés.</w:t>
      </w:r>
    </w:p>
    <w:p w14:paraId="6F694FF6" w14:textId="2CC45EA4" w:rsidR="00C22C94" w:rsidRPr="00F91C17" w:rsidRDefault="00C22C94" w:rsidP="00CD6AA1">
      <w:pPr>
        <w:pStyle w:val="Headingb"/>
      </w:pPr>
      <w:r w:rsidRPr="00F91C17">
        <w:t>Objecti</w:t>
      </w:r>
      <w:r w:rsidR="00230F0C" w:rsidRPr="00F91C17">
        <w:t>f</w:t>
      </w:r>
    </w:p>
    <w:p w14:paraId="362D8315" w14:textId="76D1DF77" w:rsidR="00C22C94" w:rsidRPr="00F91C17" w:rsidRDefault="002241F5" w:rsidP="00CD6AA1">
      <w:r w:rsidRPr="00F91C17">
        <w:t xml:space="preserve">Nous proposons </w:t>
      </w:r>
      <w:r w:rsidR="0036120E" w:rsidRPr="00F91C17">
        <w:t>qu</w:t>
      </w:r>
      <w:r w:rsidR="0063720F" w:rsidRPr="00F91C17">
        <w:t>'</w:t>
      </w:r>
      <w:r w:rsidR="0036120E" w:rsidRPr="00F91C17">
        <w:t xml:space="preserve">il soit procédé à des études en vue de définir les conditions techniques et réglementaires dans lesquelles les satellites non géostationnaires fonctionnant sur une orbite dont </w:t>
      </w:r>
      <w:r w:rsidR="00AC1C2F" w:rsidRPr="00F91C17">
        <w:rPr>
          <w:color w:val="000000"/>
        </w:rPr>
        <w:t>l'apogée</w:t>
      </w:r>
      <w:r w:rsidR="007B41FE" w:rsidRPr="00F91C17">
        <w:rPr>
          <w:color w:val="000000"/>
        </w:rPr>
        <w:t xml:space="preserve"> est </w:t>
      </w:r>
      <w:r w:rsidR="0036120E" w:rsidRPr="00F91C17">
        <w:t>inférieur ou égal à</w:t>
      </w:r>
      <w:r w:rsidR="00C22C94" w:rsidRPr="00F91C17">
        <w:t xml:space="preserve"> 20</w:t>
      </w:r>
      <w:r w:rsidR="002C3D03" w:rsidRPr="00F91C17">
        <w:t> </w:t>
      </w:r>
      <w:r w:rsidR="00C22C94" w:rsidRPr="00F91C17">
        <w:t xml:space="preserve">000 km </w:t>
      </w:r>
      <w:r w:rsidR="0036120E" w:rsidRPr="00F91C17">
        <w:t>peuvent être exploités sans causer de brouillages inacceptables aux stations d</w:t>
      </w:r>
      <w:r w:rsidR="0063720F" w:rsidRPr="00F91C17">
        <w:t>'</w:t>
      </w:r>
      <w:r w:rsidR="0036120E" w:rsidRPr="00F91C17">
        <w:t xml:space="preserve">autres services ayant des attributions à titre primaire dans la bande de fréquences </w:t>
      </w:r>
      <w:r w:rsidR="00C22C94" w:rsidRPr="00F91C17">
        <w:t>18</w:t>
      </w:r>
      <w:r w:rsidR="001A47DF" w:rsidRPr="00F91C17">
        <w:t>,</w:t>
      </w:r>
      <w:r w:rsidR="00C22C94" w:rsidRPr="00F91C17">
        <w:t>6-18</w:t>
      </w:r>
      <w:r w:rsidR="001A47DF" w:rsidRPr="00F91C17">
        <w:t>,</w:t>
      </w:r>
      <w:r w:rsidR="00C22C94" w:rsidRPr="00F91C17">
        <w:t>8 GHz.</w:t>
      </w:r>
    </w:p>
    <w:p w14:paraId="1F676104" w14:textId="218DBFBD" w:rsidR="0015203F" w:rsidRPr="00F91C17" w:rsidRDefault="00C22C94" w:rsidP="00CD6AA1">
      <w:pPr>
        <w:tabs>
          <w:tab w:val="left" w:pos="720"/>
        </w:tabs>
        <w:overflowPunct/>
        <w:autoSpaceDE/>
        <w:adjustRightInd/>
        <w:spacing w:before="0"/>
      </w:pPr>
      <w:r w:rsidRPr="00F91C17">
        <w:br w:type="page"/>
      </w:r>
    </w:p>
    <w:p w14:paraId="5C0193BE" w14:textId="77777777" w:rsidR="004774CB" w:rsidRPr="00F91C17" w:rsidRDefault="006F74B4" w:rsidP="00CD6AA1">
      <w:pPr>
        <w:pStyle w:val="Proposal"/>
      </w:pPr>
      <w:r w:rsidRPr="00F91C17">
        <w:lastRenderedPageBreak/>
        <w:t>ADD</w:t>
      </w:r>
      <w:r w:rsidRPr="00F91C17">
        <w:tab/>
        <w:t>IAP/11A24A6/1</w:t>
      </w:r>
    </w:p>
    <w:p w14:paraId="438DD031" w14:textId="0E056590" w:rsidR="004774CB" w:rsidRPr="00F91C17" w:rsidRDefault="006F74B4" w:rsidP="00CD6AA1">
      <w:pPr>
        <w:pStyle w:val="ResNo"/>
      </w:pPr>
      <w:r w:rsidRPr="00F91C17">
        <w:t>Projet de nouvelle Résolution [IAP-10(F)-2023]</w:t>
      </w:r>
      <w:r w:rsidR="00C22C94" w:rsidRPr="00F91C17">
        <w:t xml:space="preserve"> (C</w:t>
      </w:r>
      <w:r w:rsidR="003F173C">
        <w:t>MR</w:t>
      </w:r>
      <w:r w:rsidR="00C22C94" w:rsidRPr="00F91C17">
        <w:t>-19)</w:t>
      </w:r>
    </w:p>
    <w:p w14:paraId="3278BE6B" w14:textId="5346522F" w:rsidR="004774CB" w:rsidRPr="00F91C17" w:rsidRDefault="00C22C94" w:rsidP="00CD6AA1">
      <w:pPr>
        <w:pStyle w:val="Restitle"/>
      </w:pPr>
      <w:bookmarkStart w:id="7" w:name="_Toc445304263"/>
      <w:bookmarkStart w:id="8" w:name="_Toc445304580"/>
      <w:r w:rsidRPr="00F91C17">
        <w:t xml:space="preserve">Ordre du jour préliminaire de la Conférence mondiale </w:t>
      </w:r>
      <w:r w:rsidR="00064376">
        <w:br/>
      </w:r>
      <w:r w:rsidRPr="00F91C17">
        <w:t>des radiocommunications de 2023</w:t>
      </w:r>
      <w:bookmarkEnd w:id="7"/>
      <w:bookmarkEnd w:id="8"/>
    </w:p>
    <w:p w14:paraId="2C2F9E81" w14:textId="47D99422" w:rsidR="00C22C94" w:rsidRPr="00F91C17" w:rsidRDefault="00C22C94" w:rsidP="00CD6AA1">
      <w:pPr>
        <w:pStyle w:val="Normalaftertitle"/>
      </w:pPr>
      <w:r w:rsidRPr="00F91C17">
        <w:t>La Conférence mondiale des radiocommunications (Charm el-Cheikh, 2019),</w:t>
      </w:r>
    </w:p>
    <w:p w14:paraId="2C9C7E23" w14:textId="77777777" w:rsidR="00C22C94" w:rsidRPr="00F91C17" w:rsidRDefault="00C22C94" w:rsidP="00CD6AA1">
      <w:r w:rsidRPr="00F91C17">
        <w:t>…</w:t>
      </w:r>
    </w:p>
    <w:p w14:paraId="5D2DE7CF" w14:textId="6EDFBA06" w:rsidR="004774CB" w:rsidRPr="00F91C17" w:rsidRDefault="00C22C94" w:rsidP="00CD6AA1">
      <w:r w:rsidRPr="00F91C17">
        <w:rPr>
          <w:rFonts w:eastAsia="Calibri"/>
          <w:color w:val="000000"/>
        </w:rPr>
        <w:t>1.xx</w:t>
      </w:r>
      <w:r w:rsidRPr="00F91C17">
        <w:rPr>
          <w:rFonts w:eastAsia="Calibri"/>
          <w:color w:val="000000"/>
        </w:rPr>
        <w:tab/>
      </w:r>
      <w:r w:rsidR="003A4309" w:rsidRPr="00F91C17">
        <w:rPr>
          <w:rFonts w:eastAsia="Calibri"/>
          <w:color w:val="000000"/>
        </w:rPr>
        <w:t xml:space="preserve">étudier les dispositions techniques et réglementaires applicables aux systèmes à satellites non géostationnaires du service fixe par satellite </w:t>
      </w:r>
      <w:r w:rsidR="00E975EE" w:rsidRPr="00F91C17">
        <w:rPr>
          <w:rFonts w:eastAsia="Calibri"/>
          <w:color w:val="000000"/>
        </w:rPr>
        <w:t xml:space="preserve">fonctionnant </w:t>
      </w:r>
      <w:r w:rsidR="003A4309" w:rsidRPr="00F91C17">
        <w:rPr>
          <w:rFonts w:eastAsia="Calibri"/>
          <w:color w:val="000000"/>
        </w:rPr>
        <w:t xml:space="preserve">dans la bande de fréquences </w:t>
      </w:r>
      <w:r w:rsidRPr="00F91C17">
        <w:rPr>
          <w:rFonts w:eastAsia="Calibri"/>
          <w:color w:val="000000"/>
        </w:rPr>
        <w:t>18</w:t>
      </w:r>
      <w:r w:rsidR="002C3D03" w:rsidRPr="00F91C17">
        <w:rPr>
          <w:rFonts w:eastAsia="Calibri"/>
          <w:color w:val="000000"/>
        </w:rPr>
        <w:t>,</w:t>
      </w:r>
      <w:r w:rsidRPr="00F91C17">
        <w:rPr>
          <w:rFonts w:eastAsia="Calibri"/>
          <w:color w:val="000000"/>
        </w:rPr>
        <w:t>6-18</w:t>
      </w:r>
      <w:r w:rsidR="002C3D03" w:rsidRPr="00F91C17">
        <w:rPr>
          <w:rFonts w:eastAsia="Calibri"/>
          <w:color w:val="000000"/>
        </w:rPr>
        <w:t>,</w:t>
      </w:r>
      <w:r w:rsidRPr="00F91C17">
        <w:rPr>
          <w:rFonts w:eastAsia="Calibri"/>
          <w:color w:val="000000"/>
        </w:rPr>
        <w:t xml:space="preserve">8 GHz </w:t>
      </w:r>
      <w:r w:rsidR="003A4309" w:rsidRPr="00F91C17">
        <w:rPr>
          <w:rFonts w:eastAsia="Calibri"/>
          <w:color w:val="000000"/>
        </w:rPr>
        <w:t xml:space="preserve">sur une orbite </w:t>
      </w:r>
      <w:r w:rsidR="007B41FE" w:rsidRPr="00F91C17">
        <w:rPr>
          <w:color w:val="000000"/>
        </w:rPr>
        <w:t>dont l</w:t>
      </w:r>
      <w:r w:rsidR="0063720F" w:rsidRPr="00F91C17">
        <w:rPr>
          <w:color w:val="000000"/>
        </w:rPr>
        <w:t>'</w:t>
      </w:r>
      <w:r w:rsidR="007B41FE" w:rsidRPr="00F91C17">
        <w:rPr>
          <w:color w:val="000000"/>
        </w:rPr>
        <w:t xml:space="preserve">apogée est </w:t>
      </w:r>
      <w:r w:rsidR="003A4309" w:rsidRPr="00F91C17">
        <w:rPr>
          <w:rFonts w:eastAsia="Calibri"/>
          <w:color w:val="000000"/>
        </w:rPr>
        <w:t xml:space="preserve">inférieur à </w:t>
      </w:r>
      <w:r w:rsidRPr="00F91C17">
        <w:rPr>
          <w:rFonts w:eastAsia="Calibri"/>
          <w:color w:val="000000"/>
        </w:rPr>
        <w:t>20</w:t>
      </w:r>
      <w:r w:rsidR="002C3D03" w:rsidRPr="00F91C17">
        <w:rPr>
          <w:rFonts w:eastAsia="Calibri"/>
          <w:color w:val="000000"/>
        </w:rPr>
        <w:t> </w:t>
      </w:r>
      <w:r w:rsidRPr="00F91C17">
        <w:rPr>
          <w:rFonts w:eastAsia="Calibri"/>
          <w:color w:val="000000"/>
        </w:rPr>
        <w:t xml:space="preserve">000 km, </w:t>
      </w:r>
      <w:r w:rsidR="003A4309" w:rsidRPr="00F91C17">
        <w:rPr>
          <w:rFonts w:eastAsia="Calibri"/>
          <w:color w:val="000000"/>
        </w:rPr>
        <w:t xml:space="preserve">conformément à la Résolution </w:t>
      </w:r>
      <w:r w:rsidRPr="00F91C17">
        <w:rPr>
          <w:rFonts w:eastAsia="Calibri"/>
          <w:b/>
          <w:bCs/>
          <w:color w:val="000000"/>
        </w:rPr>
        <w:t>[IAP/10(F)/NGSO-FSS] (</w:t>
      </w:r>
      <w:r w:rsidR="007A6B36" w:rsidRPr="00F91C17">
        <w:rPr>
          <w:rFonts w:eastAsia="Calibri"/>
          <w:b/>
          <w:bCs/>
          <w:color w:val="000000"/>
        </w:rPr>
        <w:t>CMR</w:t>
      </w:r>
      <w:r w:rsidRPr="00F91C17">
        <w:rPr>
          <w:rFonts w:eastAsia="Calibri"/>
          <w:b/>
          <w:bCs/>
          <w:color w:val="000000"/>
        </w:rPr>
        <w:t>-19)</w:t>
      </w:r>
      <w:r w:rsidRPr="00F91C17">
        <w:rPr>
          <w:rFonts w:eastAsia="Calibri"/>
          <w:color w:val="000000"/>
        </w:rPr>
        <w:t>.</w:t>
      </w:r>
    </w:p>
    <w:p w14:paraId="4522E157" w14:textId="7D614F47" w:rsidR="004774CB" w:rsidRPr="00F91C17" w:rsidRDefault="006F74B4" w:rsidP="00CD6AA1">
      <w:pPr>
        <w:pStyle w:val="Reasons"/>
      </w:pPr>
      <w:r w:rsidRPr="00F91C17">
        <w:rPr>
          <w:b/>
        </w:rPr>
        <w:t>Motifs:</w:t>
      </w:r>
      <w:r w:rsidRPr="00F91C17">
        <w:tab/>
      </w:r>
      <w:r w:rsidR="00E975EE" w:rsidRPr="00F91C17">
        <w:t>Modification de l</w:t>
      </w:r>
      <w:r w:rsidR="0063720F" w:rsidRPr="00F91C17">
        <w:t>'</w:t>
      </w:r>
      <w:r w:rsidR="00E975EE" w:rsidRPr="00F91C17">
        <w:t xml:space="preserve">ordre du jour de la </w:t>
      </w:r>
      <w:r w:rsidR="007A6B36" w:rsidRPr="00F91C17">
        <w:t>CMR</w:t>
      </w:r>
      <w:r w:rsidR="00C22C94" w:rsidRPr="00F91C17">
        <w:t>-23.</w:t>
      </w:r>
    </w:p>
    <w:p w14:paraId="662BAB15" w14:textId="77777777" w:rsidR="004774CB" w:rsidRPr="00F91C17" w:rsidRDefault="006F74B4" w:rsidP="00CD6AA1">
      <w:pPr>
        <w:pStyle w:val="Proposal"/>
      </w:pPr>
      <w:r w:rsidRPr="00F91C17">
        <w:t>ADD</w:t>
      </w:r>
      <w:r w:rsidRPr="00F91C17">
        <w:tab/>
        <w:t>IAP/11A24A6/2</w:t>
      </w:r>
    </w:p>
    <w:p w14:paraId="344F34B9" w14:textId="37F478A0" w:rsidR="004774CB" w:rsidRPr="00F91C17" w:rsidRDefault="006F74B4" w:rsidP="00CD6AA1">
      <w:pPr>
        <w:pStyle w:val="ResNo"/>
      </w:pPr>
      <w:r w:rsidRPr="00F91C17">
        <w:t>Projet de nouvelle Résolution [IAP-10(f)/NGSO-FSS]</w:t>
      </w:r>
      <w:r w:rsidR="00C22C94" w:rsidRPr="00F91C17">
        <w:t xml:space="preserve"> (C</w:t>
      </w:r>
      <w:r w:rsidR="003F173C">
        <w:t>MR</w:t>
      </w:r>
      <w:r w:rsidR="00C22C94" w:rsidRPr="00F91C17">
        <w:t>-19)</w:t>
      </w:r>
    </w:p>
    <w:p w14:paraId="5DA66CDB" w14:textId="63E78BCD" w:rsidR="004774CB" w:rsidRPr="00172231" w:rsidRDefault="001C0CCB" w:rsidP="00172231">
      <w:pPr>
        <w:pStyle w:val="Restitle"/>
      </w:pPr>
      <w:r w:rsidRPr="00172231">
        <w:rPr>
          <w:rFonts w:eastAsia="Calibri"/>
        </w:rPr>
        <w:t>É</w:t>
      </w:r>
      <w:r w:rsidR="00E975EE" w:rsidRPr="00172231">
        <w:rPr>
          <w:rFonts w:eastAsia="Calibri"/>
        </w:rPr>
        <w:t xml:space="preserve">tude des dispositions techniques et réglementaires applicables aux systèmes à satellites non géostationnaires du service fixe par satellite fonctionnant </w:t>
      </w:r>
      <w:r w:rsidR="00064376" w:rsidRPr="00172231">
        <w:rPr>
          <w:rFonts w:eastAsia="Calibri"/>
        </w:rPr>
        <w:br/>
      </w:r>
      <w:r w:rsidR="00E975EE" w:rsidRPr="00172231">
        <w:rPr>
          <w:rFonts w:eastAsia="Calibri"/>
        </w:rPr>
        <w:t>dans la bande de fréquences 18</w:t>
      </w:r>
      <w:r w:rsidRPr="00172231">
        <w:rPr>
          <w:rFonts w:eastAsia="Calibri"/>
        </w:rPr>
        <w:t>,</w:t>
      </w:r>
      <w:r w:rsidR="00E975EE" w:rsidRPr="00172231">
        <w:rPr>
          <w:rFonts w:eastAsia="Calibri"/>
        </w:rPr>
        <w:t>6-18</w:t>
      </w:r>
      <w:r w:rsidRPr="00172231">
        <w:rPr>
          <w:rFonts w:eastAsia="Calibri"/>
        </w:rPr>
        <w:t>,</w:t>
      </w:r>
      <w:r w:rsidR="00E975EE" w:rsidRPr="00172231">
        <w:rPr>
          <w:rFonts w:eastAsia="Calibri"/>
        </w:rPr>
        <w:t xml:space="preserve">8 GHz sur une orbite </w:t>
      </w:r>
      <w:r w:rsidR="00064376" w:rsidRPr="00172231">
        <w:rPr>
          <w:rFonts w:eastAsia="Calibri"/>
        </w:rPr>
        <w:br/>
      </w:r>
      <w:r w:rsidR="00E975EE" w:rsidRPr="00172231">
        <w:rPr>
          <w:rFonts w:eastAsia="Calibri"/>
        </w:rPr>
        <w:t>dont l</w:t>
      </w:r>
      <w:r w:rsidR="0063720F" w:rsidRPr="00172231">
        <w:rPr>
          <w:rFonts w:eastAsia="Calibri"/>
        </w:rPr>
        <w:t>'</w:t>
      </w:r>
      <w:r w:rsidR="00E975EE" w:rsidRPr="00172231">
        <w:rPr>
          <w:rFonts w:eastAsia="Calibri"/>
        </w:rPr>
        <w:t>apogée est inférieur à 20</w:t>
      </w:r>
      <w:r w:rsidR="002C3D03" w:rsidRPr="00172231">
        <w:rPr>
          <w:rFonts w:eastAsia="Calibri"/>
        </w:rPr>
        <w:t> </w:t>
      </w:r>
      <w:r w:rsidR="00E975EE" w:rsidRPr="00172231">
        <w:rPr>
          <w:rFonts w:eastAsia="Calibri"/>
        </w:rPr>
        <w:t>000 km</w:t>
      </w:r>
    </w:p>
    <w:p w14:paraId="3BF7A02B" w14:textId="242F70BB" w:rsidR="004774CB" w:rsidRPr="00F91C17" w:rsidRDefault="00C22C94" w:rsidP="00CD6AA1">
      <w:pPr>
        <w:pStyle w:val="Normalaftertitle"/>
      </w:pPr>
      <w:r w:rsidRPr="00F91C17">
        <w:t>La Conférence mondiale des radiocommunications (Charm el-Cheikh, 2019),</w:t>
      </w:r>
    </w:p>
    <w:p w14:paraId="12271110" w14:textId="1345E35C" w:rsidR="00C22C94" w:rsidRPr="00F91C17" w:rsidRDefault="00C22C94" w:rsidP="00CD6AA1">
      <w:pPr>
        <w:pStyle w:val="Call"/>
        <w:rPr>
          <w:color w:val="000000"/>
        </w:rPr>
      </w:pPr>
      <w:r w:rsidRPr="00F91C17">
        <w:t>considérant</w:t>
      </w:r>
    </w:p>
    <w:p w14:paraId="7FC6563F" w14:textId="297F69BB" w:rsidR="00C22C94" w:rsidRPr="00F91C17" w:rsidRDefault="00C22C94" w:rsidP="00CD6AA1">
      <w:pPr>
        <w:rPr>
          <w:rFonts w:eastAsia="Calibri"/>
        </w:rPr>
      </w:pPr>
      <w:r w:rsidRPr="00F91C17">
        <w:rPr>
          <w:rFonts w:eastAsia="Calibri"/>
          <w:i/>
          <w:iCs/>
        </w:rPr>
        <w:t>a)</w:t>
      </w:r>
      <w:r w:rsidRPr="00F91C17">
        <w:rPr>
          <w:rFonts w:eastAsia="Calibri"/>
        </w:rPr>
        <w:tab/>
      </w:r>
      <w:r w:rsidR="00D978B8" w:rsidRPr="00F91C17">
        <w:rPr>
          <w:rFonts w:eastAsia="Calibri"/>
        </w:rPr>
        <w:t>que, dans la Région 2, la bande de fréquences 18</w:t>
      </w:r>
      <w:r w:rsidR="002C3D03" w:rsidRPr="00F91C17">
        <w:rPr>
          <w:rFonts w:eastAsia="Calibri"/>
        </w:rPr>
        <w:t>,</w:t>
      </w:r>
      <w:r w:rsidR="00D978B8" w:rsidRPr="00F91C17">
        <w:rPr>
          <w:rFonts w:eastAsia="Calibri"/>
        </w:rPr>
        <w:t>3-19</w:t>
      </w:r>
      <w:r w:rsidR="002C3D03" w:rsidRPr="00F91C17">
        <w:rPr>
          <w:rFonts w:eastAsia="Calibri"/>
        </w:rPr>
        <w:t>,</w:t>
      </w:r>
      <w:r w:rsidR="00D978B8" w:rsidRPr="00F91C17">
        <w:rPr>
          <w:rFonts w:eastAsia="Calibri"/>
        </w:rPr>
        <w:t xml:space="preserve">3 GHz figure au nombre des bandes identifiées au numéro </w:t>
      </w:r>
      <w:r w:rsidR="00D978B8" w:rsidRPr="00F91C17">
        <w:rPr>
          <w:rFonts w:eastAsia="Calibri"/>
          <w:b/>
        </w:rPr>
        <w:t>5.516B</w:t>
      </w:r>
      <w:r w:rsidR="00D978B8" w:rsidRPr="00F91C17">
        <w:rPr>
          <w:rFonts w:eastAsia="Calibri"/>
        </w:rPr>
        <w:t xml:space="preserve"> du Règlement des radiocommunications </w:t>
      </w:r>
      <w:r w:rsidR="00D978B8" w:rsidRPr="00F91C17">
        <w:rPr>
          <w:color w:val="000000"/>
        </w:rPr>
        <w:t>pour pouvoir être utilisées par des applications à haute densité du service fixe par satellite dans le sens espace vers Terre;</w:t>
      </w:r>
    </w:p>
    <w:p w14:paraId="4B0479D1" w14:textId="08224FA2" w:rsidR="00C22C94" w:rsidRPr="00F91C17" w:rsidRDefault="00C22C94" w:rsidP="00CD6AA1">
      <w:pPr>
        <w:rPr>
          <w:rFonts w:eastAsia="Calibri"/>
        </w:rPr>
      </w:pPr>
      <w:r w:rsidRPr="00F91C17">
        <w:rPr>
          <w:rFonts w:eastAsia="Calibri"/>
          <w:i/>
          <w:iCs/>
        </w:rPr>
        <w:t>b)</w:t>
      </w:r>
      <w:r w:rsidRPr="00F91C17">
        <w:rPr>
          <w:rFonts w:eastAsia="Calibri"/>
        </w:rPr>
        <w:tab/>
      </w:r>
      <w:r w:rsidR="00E3462A" w:rsidRPr="00F91C17">
        <w:rPr>
          <w:rFonts w:eastAsia="Calibri"/>
        </w:rPr>
        <w:t xml:space="preserve">que plusieurs systèmes à satellites non géostationnaires du service fixe par satellite sont déployés sur des orbites </w:t>
      </w:r>
      <w:r w:rsidR="007B41FE" w:rsidRPr="00F91C17">
        <w:rPr>
          <w:color w:val="000000"/>
        </w:rPr>
        <w:t xml:space="preserve">présentant </w:t>
      </w:r>
      <w:r w:rsidR="00E3462A" w:rsidRPr="00F91C17">
        <w:rPr>
          <w:rFonts w:eastAsia="Calibri"/>
        </w:rPr>
        <w:t xml:space="preserve">un apogée inférieur à 20 000 km et fonctionnent dans les bandes adjacentes au segment de fréquences </w:t>
      </w:r>
      <w:r w:rsidRPr="00F91C17">
        <w:rPr>
          <w:rFonts w:eastAsia="Calibri"/>
        </w:rPr>
        <w:t>18</w:t>
      </w:r>
      <w:r w:rsidR="002C3D03" w:rsidRPr="00F91C17">
        <w:rPr>
          <w:rFonts w:eastAsia="Calibri"/>
        </w:rPr>
        <w:t>,</w:t>
      </w:r>
      <w:r w:rsidRPr="00F91C17">
        <w:rPr>
          <w:rFonts w:eastAsia="Calibri"/>
        </w:rPr>
        <w:t>6-18</w:t>
      </w:r>
      <w:r w:rsidR="002C3D03" w:rsidRPr="00F91C17">
        <w:rPr>
          <w:rFonts w:eastAsia="Calibri"/>
        </w:rPr>
        <w:t>,</w:t>
      </w:r>
      <w:r w:rsidRPr="00F91C17">
        <w:rPr>
          <w:rFonts w:eastAsia="Calibri"/>
        </w:rPr>
        <w:t>8 GHz;</w:t>
      </w:r>
    </w:p>
    <w:p w14:paraId="7DABE22F" w14:textId="6912E99D" w:rsidR="00C22C94" w:rsidRPr="00F91C17" w:rsidRDefault="00C22C94" w:rsidP="00CD6AA1">
      <w:pPr>
        <w:rPr>
          <w:color w:val="000000"/>
        </w:rPr>
      </w:pPr>
      <w:r w:rsidRPr="00F91C17">
        <w:rPr>
          <w:rFonts w:eastAsia="Calibri"/>
          <w:i/>
          <w:iCs/>
        </w:rPr>
        <w:t>c)</w:t>
      </w:r>
      <w:r w:rsidRPr="00F91C17">
        <w:rPr>
          <w:rFonts w:eastAsia="Calibri"/>
          <w:i/>
          <w:iCs/>
        </w:rPr>
        <w:tab/>
      </w:r>
      <w:r w:rsidR="00E3462A" w:rsidRPr="00F91C17">
        <w:rPr>
          <w:rFonts w:eastAsia="Calibri"/>
        </w:rPr>
        <w:t>que, conformément à l</w:t>
      </w:r>
      <w:r w:rsidR="0063720F" w:rsidRPr="00F91C17">
        <w:rPr>
          <w:rFonts w:eastAsia="Calibri"/>
        </w:rPr>
        <w:t>'</w:t>
      </w:r>
      <w:r w:rsidRPr="00F91C17">
        <w:rPr>
          <w:rFonts w:eastAsia="Calibri"/>
        </w:rPr>
        <w:t xml:space="preserve">Article </w:t>
      </w:r>
      <w:r w:rsidRPr="00F91C17">
        <w:rPr>
          <w:rFonts w:eastAsia="Calibri"/>
          <w:b/>
          <w:bCs/>
        </w:rPr>
        <w:t>22</w:t>
      </w:r>
      <w:r w:rsidRPr="00F91C17">
        <w:rPr>
          <w:rFonts w:eastAsia="Calibri"/>
        </w:rPr>
        <w:t xml:space="preserve">, </w:t>
      </w:r>
      <w:r w:rsidRPr="00F91C17">
        <w:rPr>
          <w:color w:val="000000"/>
        </w:rPr>
        <w:t>les systèmes à satellites non géostationnaires ne doivent pas causer de brouillages inacceptables aux réseaux à satellite géostationnaire du service fixe par satellite et du service de radiodiffusion par satellite fonctionnant conformément aux dispositions du Règlement</w:t>
      </w:r>
      <w:r w:rsidR="00E3462A" w:rsidRPr="00F91C17">
        <w:rPr>
          <w:color w:val="000000"/>
        </w:rPr>
        <w:t xml:space="preserve"> des radiocommunications</w:t>
      </w:r>
      <w:r w:rsidRPr="00F91C17">
        <w:rPr>
          <w:color w:val="000000"/>
        </w:rPr>
        <w:t xml:space="preserve"> et, sauf disposition contraire dans le</w:t>
      </w:r>
      <w:r w:rsidR="00E3462A" w:rsidRPr="00F91C17">
        <w:rPr>
          <w:color w:val="000000"/>
        </w:rPr>
        <w:t>dit</w:t>
      </w:r>
      <w:r w:rsidRPr="00F91C17">
        <w:rPr>
          <w:color w:val="000000"/>
        </w:rPr>
        <w:t xml:space="preserve"> Règlement, ne doivent pas demander à bénéficier d'une protection vis-à-vis de ces réseaux;</w:t>
      </w:r>
    </w:p>
    <w:p w14:paraId="32FA2E4E" w14:textId="0D096C2D" w:rsidR="00C25063" w:rsidRPr="00F91C17" w:rsidRDefault="00C25063" w:rsidP="00CD6AA1">
      <w:pPr>
        <w:rPr>
          <w:rFonts w:eastAsia="Calibri"/>
        </w:rPr>
      </w:pPr>
      <w:r w:rsidRPr="00F91C17">
        <w:rPr>
          <w:rFonts w:eastAsia="Calibri"/>
          <w:i/>
          <w:iCs/>
        </w:rPr>
        <w:t>d)</w:t>
      </w:r>
      <w:r w:rsidRPr="00F91C17">
        <w:rPr>
          <w:rFonts w:eastAsia="Calibri"/>
        </w:rPr>
        <w:tab/>
      </w:r>
      <w:r w:rsidR="005700B2" w:rsidRPr="00F91C17">
        <w:rPr>
          <w:rFonts w:eastAsia="Calibri"/>
        </w:rPr>
        <w:t>que la bande de fréquences 18</w:t>
      </w:r>
      <w:r w:rsidR="002C3D03" w:rsidRPr="00F91C17">
        <w:rPr>
          <w:rFonts w:eastAsia="Calibri"/>
        </w:rPr>
        <w:t>,</w:t>
      </w:r>
      <w:r w:rsidR="005700B2" w:rsidRPr="00F91C17">
        <w:rPr>
          <w:rFonts w:eastAsia="Calibri"/>
        </w:rPr>
        <w:t>6-18</w:t>
      </w:r>
      <w:r w:rsidR="002C3D03" w:rsidRPr="00F91C17">
        <w:rPr>
          <w:rFonts w:eastAsia="Calibri"/>
        </w:rPr>
        <w:t>,</w:t>
      </w:r>
      <w:r w:rsidR="005700B2" w:rsidRPr="00F91C17">
        <w:rPr>
          <w:rFonts w:eastAsia="Calibri"/>
        </w:rPr>
        <w:t>8 GHz est, de plus, attribuée à titre primaire au service d</w:t>
      </w:r>
      <w:r w:rsidR="0063720F" w:rsidRPr="00F91C17">
        <w:rPr>
          <w:rFonts w:eastAsia="Calibri"/>
        </w:rPr>
        <w:t>'</w:t>
      </w:r>
      <w:r w:rsidR="005700B2" w:rsidRPr="00F91C17">
        <w:rPr>
          <w:rFonts w:eastAsia="Calibri"/>
        </w:rPr>
        <w:t>exploration de la Terre par satellite</w:t>
      </w:r>
      <w:r w:rsidRPr="00F91C17">
        <w:rPr>
          <w:rFonts w:eastAsia="Calibri"/>
        </w:rPr>
        <w:t xml:space="preserve"> (passive) </w:t>
      </w:r>
      <w:r w:rsidR="005700B2" w:rsidRPr="00F91C17">
        <w:rPr>
          <w:rFonts w:eastAsia="Calibri"/>
        </w:rPr>
        <w:t xml:space="preserve">et au service de recherche spatiale </w:t>
      </w:r>
      <w:r w:rsidRPr="00F91C17">
        <w:rPr>
          <w:rFonts w:eastAsia="Calibri"/>
        </w:rPr>
        <w:t xml:space="preserve">(passive), </w:t>
      </w:r>
      <w:r w:rsidR="005700B2" w:rsidRPr="00F91C17">
        <w:rPr>
          <w:rFonts w:eastAsia="Calibri"/>
        </w:rPr>
        <w:t>sachant que</w:t>
      </w:r>
      <w:r w:rsidRPr="00F91C17">
        <w:rPr>
          <w:rFonts w:eastAsia="Calibri"/>
        </w:rPr>
        <w:t xml:space="preserve"> </w:t>
      </w:r>
      <w:r w:rsidR="005700B2" w:rsidRPr="00F91C17">
        <w:rPr>
          <w:color w:val="000000"/>
        </w:rPr>
        <w:t xml:space="preserve">le Tableau </w:t>
      </w:r>
      <w:r w:rsidR="005700B2" w:rsidRPr="00F91C17">
        <w:rPr>
          <w:b/>
          <w:bCs/>
          <w:color w:val="000000"/>
        </w:rPr>
        <w:t>21-4</w:t>
      </w:r>
      <w:r w:rsidR="005700B2" w:rsidRPr="00F91C17">
        <w:rPr>
          <w:color w:val="000000"/>
        </w:rPr>
        <w:t xml:space="preserve"> de l'Article </w:t>
      </w:r>
      <w:r w:rsidR="005700B2" w:rsidRPr="00F91C17">
        <w:rPr>
          <w:b/>
          <w:bCs/>
          <w:color w:val="000000"/>
        </w:rPr>
        <w:t>21</w:t>
      </w:r>
      <w:r w:rsidR="005700B2" w:rsidRPr="00F91C17">
        <w:rPr>
          <w:color w:val="000000"/>
        </w:rPr>
        <w:t xml:space="preserve"> définit une limite de puissance surfacique maximale pour les systèmes du service fixe par satellite, afin que la coexistence soit viable. Les études ayant fait apparaître la nécessité de fixer la limite précitée étaient fondées sur un système à satellites non </w:t>
      </w:r>
      <w:r w:rsidR="005700B2" w:rsidRPr="00F91C17">
        <w:rPr>
          <w:color w:val="000000"/>
        </w:rPr>
        <w:lastRenderedPageBreak/>
        <w:t xml:space="preserve">géostationnaires du service fixe par satellite </w:t>
      </w:r>
      <w:r w:rsidR="007B41FE" w:rsidRPr="00F91C17">
        <w:rPr>
          <w:color w:val="000000"/>
        </w:rPr>
        <w:t>dont</w:t>
      </w:r>
      <w:r w:rsidR="005700B2" w:rsidRPr="00F91C17">
        <w:rPr>
          <w:color w:val="000000"/>
        </w:rPr>
        <w:t xml:space="preserve"> </w:t>
      </w:r>
      <w:r w:rsidR="007B41FE" w:rsidRPr="00F91C17">
        <w:rPr>
          <w:color w:val="000000"/>
        </w:rPr>
        <w:t>l</w:t>
      </w:r>
      <w:r w:rsidR="0063720F" w:rsidRPr="00F91C17">
        <w:rPr>
          <w:color w:val="000000"/>
        </w:rPr>
        <w:t>'</w:t>
      </w:r>
      <w:r w:rsidR="005700B2" w:rsidRPr="00F91C17">
        <w:rPr>
          <w:color w:val="000000"/>
        </w:rPr>
        <w:t xml:space="preserve">orbite </w:t>
      </w:r>
      <w:r w:rsidR="007B41FE" w:rsidRPr="00F91C17">
        <w:rPr>
          <w:color w:val="000000"/>
        </w:rPr>
        <w:t>présent</w:t>
      </w:r>
      <w:r w:rsidR="002C3D03" w:rsidRPr="00F91C17">
        <w:rPr>
          <w:color w:val="000000"/>
        </w:rPr>
        <w:t>ait</w:t>
      </w:r>
      <w:r w:rsidR="007B41FE" w:rsidRPr="00F91C17">
        <w:rPr>
          <w:color w:val="000000"/>
        </w:rPr>
        <w:t xml:space="preserve"> un apogée </w:t>
      </w:r>
      <w:r w:rsidR="005700B2" w:rsidRPr="00F91C17">
        <w:rPr>
          <w:color w:val="000000"/>
        </w:rPr>
        <w:t>supérieur à</w:t>
      </w:r>
      <w:r w:rsidR="00064376">
        <w:rPr>
          <w:color w:val="000000"/>
        </w:rPr>
        <w:t> </w:t>
      </w:r>
      <w:r w:rsidRPr="00F91C17">
        <w:rPr>
          <w:rFonts w:eastAsia="Calibri"/>
        </w:rPr>
        <w:t>20</w:t>
      </w:r>
      <w:r w:rsidR="002C3D03" w:rsidRPr="00F91C17">
        <w:rPr>
          <w:rFonts w:eastAsia="Calibri"/>
        </w:rPr>
        <w:t> </w:t>
      </w:r>
      <w:r w:rsidRPr="00F91C17">
        <w:rPr>
          <w:rFonts w:eastAsia="Calibri"/>
        </w:rPr>
        <w:t>000</w:t>
      </w:r>
      <w:r w:rsidR="00064376">
        <w:rPr>
          <w:rFonts w:eastAsia="Calibri"/>
        </w:rPr>
        <w:t> </w:t>
      </w:r>
      <w:r w:rsidRPr="00F91C17">
        <w:rPr>
          <w:rFonts w:eastAsia="Calibri"/>
        </w:rPr>
        <w:t>km,</w:t>
      </w:r>
    </w:p>
    <w:p w14:paraId="42CF305E" w14:textId="2B53836B" w:rsidR="00C25063" w:rsidRPr="00F91C17" w:rsidRDefault="00C25063" w:rsidP="00CD6AA1">
      <w:pPr>
        <w:pStyle w:val="Call"/>
      </w:pPr>
      <w:r w:rsidRPr="00F91C17">
        <w:t>observant</w:t>
      </w:r>
    </w:p>
    <w:p w14:paraId="217F4B4F" w14:textId="76D37DC1" w:rsidR="00C25063" w:rsidRPr="00F91C17" w:rsidRDefault="00F34BE4" w:rsidP="00CD6AA1">
      <w:r w:rsidRPr="00F91C17">
        <w:t>qu</w:t>
      </w:r>
      <w:r w:rsidR="0063720F" w:rsidRPr="00F91C17">
        <w:t>'</w:t>
      </w:r>
      <w:r w:rsidRPr="00F91C17">
        <w:t>à l</w:t>
      </w:r>
      <w:r w:rsidR="0063720F" w:rsidRPr="00F91C17">
        <w:t>'</w:t>
      </w:r>
      <w:r w:rsidRPr="00F91C17">
        <w:t>heure actuelle, de nombreux réseaux à satellite géostationnaire du service fixe par satellite fonctionnent dans la bande de fréquences</w:t>
      </w:r>
      <w:r w:rsidR="002C3D03" w:rsidRPr="00F91C17">
        <w:t xml:space="preserve"> </w:t>
      </w:r>
      <w:r w:rsidRPr="00F91C17">
        <w:t>18</w:t>
      </w:r>
      <w:r w:rsidR="002C3D03" w:rsidRPr="00F91C17">
        <w:t>,</w:t>
      </w:r>
      <w:r w:rsidRPr="00F91C17">
        <w:t>6-18</w:t>
      </w:r>
      <w:r w:rsidR="002C3D03" w:rsidRPr="00F91C17">
        <w:t>,</w:t>
      </w:r>
      <w:r w:rsidRPr="00F91C17">
        <w:t xml:space="preserve">8 GHz conformément aux dispositions du Règlement des radiocommunications, </w:t>
      </w:r>
    </w:p>
    <w:p w14:paraId="2B78E247" w14:textId="09F280FD" w:rsidR="00C25063" w:rsidRPr="00F91C17" w:rsidRDefault="00C25063" w:rsidP="00CD6AA1">
      <w:pPr>
        <w:pStyle w:val="Call"/>
      </w:pPr>
      <w:r w:rsidRPr="00F91C17">
        <w:t>reconnaissant</w:t>
      </w:r>
    </w:p>
    <w:p w14:paraId="578D89B2" w14:textId="6272F009" w:rsidR="00C25063" w:rsidRPr="00F91C17" w:rsidRDefault="00C25063" w:rsidP="00CD6AA1">
      <w:r w:rsidRPr="00F91C17">
        <w:rPr>
          <w:i/>
        </w:rPr>
        <w:t>a)</w:t>
      </w:r>
      <w:r w:rsidRPr="00F91C17">
        <w:tab/>
      </w:r>
      <w:r w:rsidR="00EA52DC" w:rsidRPr="00F91C17">
        <w:t xml:space="preserve">que la bande de fréquences </w:t>
      </w:r>
      <w:r w:rsidRPr="00F91C17">
        <w:t>18</w:t>
      </w:r>
      <w:r w:rsidR="002C3D03" w:rsidRPr="00F91C17">
        <w:t>,</w:t>
      </w:r>
      <w:r w:rsidRPr="00F91C17">
        <w:t>6-18</w:t>
      </w:r>
      <w:r w:rsidR="002C3D03" w:rsidRPr="00F91C17">
        <w:t>,</w:t>
      </w:r>
      <w:r w:rsidRPr="00F91C17">
        <w:t xml:space="preserve">8 GHz </w:t>
      </w:r>
      <w:r w:rsidR="00EA52DC" w:rsidRPr="00F91C17">
        <w:rPr>
          <w:color w:val="000000"/>
        </w:rPr>
        <w:t>est attribuée à l'échelle mondiale aux services fixe, mobile, fixe par satellite (espace vers Terre), d</w:t>
      </w:r>
      <w:r w:rsidR="0063720F" w:rsidRPr="00F91C17">
        <w:rPr>
          <w:color w:val="000000"/>
        </w:rPr>
        <w:t>'</w:t>
      </w:r>
      <w:r w:rsidR="00EA52DC" w:rsidRPr="00F91C17">
        <w:rPr>
          <w:color w:val="000000"/>
        </w:rPr>
        <w:t xml:space="preserve">exploration de la Terre par satellite (passive) et, dans la Région 2, au service de recherche spatiale </w:t>
      </w:r>
      <w:r w:rsidRPr="00F91C17">
        <w:t>(passive)</w:t>
      </w:r>
      <w:r w:rsidR="002C3D03" w:rsidRPr="00F91C17">
        <w:t>;</w:t>
      </w:r>
    </w:p>
    <w:p w14:paraId="6BE84B93" w14:textId="11FFD244" w:rsidR="00C25063" w:rsidRPr="00F91C17" w:rsidRDefault="00C25063" w:rsidP="00CD6AA1">
      <w:r w:rsidRPr="00F91C17">
        <w:rPr>
          <w:i/>
        </w:rPr>
        <w:t>b)</w:t>
      </w:r>
      <w:r w:rsidRPr="00F91C17">
        <w:tab/>
      </w:r>
      <w:r w:rsidR="007B41FE" w:rsidRPr="00F91C17">
        <w:t xml:space="preserve">que les </w:t>
      </w:r>
      <w:r w:rsidR="007B41FE" w:rsidRPr="00F91C17">
        <w:rPr>
          <w:color w:val="000000"/>
        </w:rPr>
        <w:t>émissions du service fixe et du service fixe par satellite dans la bande</w:t>
      </w:r>
      <w:r w:rsidR="00064376">
        <w:rPr>
          <w:color w:val="000000"/>
        </w:rPr>
        <w:t> </w:t>
      </w:r>
      <w:r w:rsidR="007B41FE" w:rsidRPr="00F91C17">
        <w:rPr>
          <w:color w:val="000000"/>
        </w:rPr>
        <w:t>18,6</w:t>
      </w:r>
      <w:r w:rsidR="00064376">
        <w:rPr>
          <w:color w:val="000000"/>
        </w:rPr>
        <w:noBreakHyphen/>
      </w:r>
      <w:r w:rsidR="007B41FE" w:rsidRPr="00F91C17">
        <w:rPr>
          <w:color w:val="000000"/>
        </w:rPr>
        <w:t>18,8</w:t>
      </w:r>
      <w:r w:rsidR="00064376">
        <w:rPr>
          <w:color w:val="000000"/>
        </w:rPr>
        <w:t> </w:t>
      </w:r>
      <w:r w:rsidR="007B41FE" w:rsidRPr="00F91C17">
        <w:rPr>
          <w:color w:val="000000"/>
        </w:rPr>
        <w:t xml:space="preserve">GHz sont limitées aux valeurs indiquées, respectivement, dans les numéros </w:t>
      </w:r>
      <w:r w:rsidR="007B41FE" w:rsidRPr="00F91C17">
        <w:rPr>
          <w:b/>
          <w:bCs/>
          <w:color w:val="000000"/>
        </w:rPr>
        <w:t>21.5A</w:t>
      </w:r>
      <w:r w:rsidR="007B41FE" w:rsidRPr="00F91C17">
        <w:rPr>
          <w:color w:val="000000"/>
        </w:rPr>
        <w:t xml:space="preserve"> et </w:t>
      </w:r>
      <w:r w:rsidR="007B41FE" w:rsidRPr="00F91C17">
        <w:rPr>
          <w:b/>
          <w:bCs/>
          <w:color w:val="000000"/>
        </w:rPr>
        <w:t>21.16.2</w:t>
      </w:r>
      <w:r w:rsidR="007B41FE" w:rsidRPr="00F91C17">
        <w:rPr>
          <w:color w:val="000000"/>
        </w:rPr>
        <w:t xml:space="preserve">, conformément au numéro </w:t>
      </w:r>
      <w:r w:rsidRPr="00F91C17">
        <w:rPr>
          <w:b/>
        </w:rPr>
        <w:t>5.522A</w:t>
      </w:r>
      <w:r w:rsidRPr="00F91C17">
        <w:t>;</w:t>
      </w:r>
    </w:p>
    <w:p w14:paraId="49A84568" w14:textId="1C10E70C" w:rsidR="00C25063" w:rsidRPr="00F91C17" w:rsidRDefault="00C25063" w:rsidP="00CD6AA1">
      <w:r w:rsidRPr="00F91C17">
        <w:rPr>
          <w:i/>
        </w:rPr>
        <w:t>c)</w:t>
      </w:r>
      <w:r w:rsidRPr="00F91C17">
        <w:tab/>
      </w:r>
      <w:r w:rsidR="007B41FE" w:rsidRPr="00F91C17">
        <w:t>que les émissions du service mobile dans la bande</w:t>
      </w:r>
      <w:r w:rsidRPr="00F91C17">
        <w:t xml:space="preserve"> 18</w:t>
      </w:r>
      <w:r w:rsidR="00B84736" w:rsidRPr="00F91C17">
        <w:t>,</w:t>
      </w:r>
      <w:r w:rsidRPr="00F91C17">
        <w:t>6-18</w:t>
      </w:r>
      <w:r w:rsidR="00B84736" w:rsidRPr="00F91C17">
        <w:t>,</w:t>
      </w:r>
      <w:r w:rsidRPr="00F91C17">
        <w:t>8 GHz</w:t>
      </w:r>
      <w:r w:rsidR="007B41FE" w:rsidRPr="00F91C17">
        <w:rPr>
          <w:color w:val="000000"/>
        </w:rPr>
        <w:t xml:space="preserve"> sont limitées aux valeurs indiquées dans le numéro </w:t>
      </w:r>
      <w:r w:rsidRPr="00F91C17">
        <w:rPr>
          <w:b/>
        </w:rPr>
        <w:t>21.5</w:t>
      </w:r>
      <w:r w:rsidRPr="00F91C17">
        <w:t>;</w:t>
      </w:r>
    </w:p>
    <w:p w14:paraId="577B7C20" w14:textId="54BBDEF2" w:rsidR="00C25063" w:rsidRPr="00F91C17" w:rsidRDefault="00C25063" w:rsidP="00CD6AA1">
      <w:r w:rsidRPr="00F91C17">
        <w:rPr>
          <w:i/>
        </w:rPr>
        <w:t>d)</w:t>
      </w:r>
      <w:r w:rsidRPr="00F91C17">
        <w:tab/>
      </w:r>
      <w:r w:rsidR="007B41FE" w:rsidRPr="00F91C17">
        <w:t>que les limites dont il est question aux points</w:t>
      </w:r>
      <w:r w:rsidR="002C3D03" w:rsidRPr="00F91C17">
        <w:t xml:space="preserve"> </w:t>
      </w:r>
      <w:r w:rsidR="007B41FE" w:rsidRPr="00F91C17">
        <w:rPr>
          <w:i/>
        </w:rPr>
        <w:t>b)</w:t>
      </w:r>
      <w:r w:rsidR="007B41FE" w:rsidRPr="00F91C17">
        <w:t xml:space="preserve"> et </w:t>
      </w:r>
      <w:r w:rsidR="007B41FE" w:rsidRPr="00F91C17">
        <w:rPr>
          <w:i/>
        </w:rPr>
        <w:t>c)</w:t>
      </w:r>
      <w:r w:rsidR="007B41FE" w:rsidRPr="00F91C17">
        <w:t xml:space="preserve"> du </w:t>
      </w:r>
      <w:r w:rsidR="007B41FE" w:rsidRPr="00064376">
        <w:rPr>
          <w:i/>
          <w:iCs/>
        </w:rPr>
        <w:t>reconnaissant</w:t>
      </w:r>
      <w:r w:rsidR="007B41FE" w:rsidRPr="00F91C17">
        <w:t xml:space="preserve"> ci-dessus s</w:t>
      </w:r>
      <w:r w:rsidR="0063720F" w:rsidRPr="00F91C17">
        <w:t>'</w:t>
      </w:r>
      <w:r w:rsidR="007B41FE" w:rsidRPr="00F91C17">
        <w:t xml:space="preserve">appliquent aux stations des services fixe, mobile et </w:t>
      </w:r>
      <w:r w:rsidR="007B41FE" w:rsidRPr="00F91C17">
        <w:rPr>
          <w:color w:val="000000"/>
        </w:rPr>
        <w:t xml:space="preserve">fixe par satellite fonctionnant sur une orbite présentant un apogée de </w:t>
      </w:r>
      <w:r w:rsidRPr="00F91C17">
        <w:t>20</w:t>
      </w:r>
      <w:r w:rsidR="00C3492F" w:rsidRPr="00F91C17">
        <w:t> </w:t>
      </w:r>
      <w:r w:rsidRPr="00F91C17">
        <w:t xml:space="preserve">000 km, </w:t>
      </w:r>
      <w:r w:rsidR="009E06FB" w:rsidRPr="00F91C17">
        <w:t>et que ces limites devraient rester inchangées pour assurer la protection des systèmes existants ou en projet du service d</w:t>
      </w:r>
      <w:r w:rsidR="0063720F" w:rsidRPr="00F91C17">
        <w:t>'</w:t>
      </w:r>
      <w:r w:rsidR="009E06FB" w:rsidRPr="00F91C17">
        <w:t xml:space="preserve">exploration de la Terre par satellite (passive) et du service de recherche spatiale (passive) dans la bande de fréquences </w:t>
      </w:r>
      <w:r w:rsidRPr="00F91C17">
        <w:t>18</w:t>
      </w:r>
      <w:r w:rsidR="00C3492F" w:rsidRPr="00F91C17">
        <w:t>,</w:t>
      </w:r>
      <w:r w:rsidRPr="00F91C17">
        <w:t>6-18</w:t>
      </w:r>
      <w:r w:rsidR="00C3492F" w:rsidRPr="00F91C17">
        <w:t>,</w:t>
      </w:r>
      <w:r w:rsidRPr="00F91C17">
        <w:t>8 GHz;</w:t>
      </w:r>
    </w:p>
    <w:p w14:paraId="3755AD32" w14:textId="5D6325CA" w:rsidR="00C25063" w:rsidRPr="00F91C17" w:rsidRDefault="00C25063" w:rsidP="00CD6AA1">
      <w:r w:rsidRPr="00F91C17">
        <w:rPr>
          <w:i/>
        </w:rPr>
        <w:t>e)</w:t>
      </w:r>
      <w:r w:rsidRPr="00F91C17">
        <w:tab/>
      </w:r>
      <w:r w:rsidR="009E06FB" w:rsidRPr="00F91C17">
        <w:t xml:space="preserve">que, dans la bande de fréquences </w:t>
      </w:r>
      <w:r w:rsidRPr="00F91C17">
        <w:t>18</w:t>
      </w:r>
      <w:r w:rsidR="00C3492F" w:rsidRPr="00F91C17">
        <w:t>,</w:t>
      </w:r>
      <w:r w:rsidRPr="00F91C17">
        <w:t>6-18</w:t>
      </w:r>
      <w:r w:rsidR="00C3492F" w:rsidRPr="00F91C17">
        <w:t>,</w:t>
      </w:r>
      <w:r w:rsidRPr="00F91C17">
        <w:t>8 GHz,</w:t>
      </w:r>
      <w:r w:rsidR="009E06FB" w:rsidRPr="00F91C17">
        <w:t xml:space="preserve"> les réseaux des systèmes à satellites géostationnaires et non géostationnaires du service fixe par satellite fonctionnent conformément aux dispositions du numéro</w:t>
      </w:r>
      <w:r w:rsidRPr="00F91C17">
        <w:t xml:space="preserve"> </w:t>
      </w:r>
      <w:r w:rsidRPr="00F91C17">
        <w:rPr>
          <w:b/>
        </w:rPr>
        <w:t>5.522B</w:t>
      </w:r>
      <w:r w:rsidRPr="00F91C17">
        <w:t>;</w:t>
      </w:r>
    </w:p>
    <w:p w14:paraId="6CE21B45" w14:textId="08C6713F" w:rsidR="00C25063" w:rsidRPr="00F91C17" w:rsidRDefault="00C25063" w:rsidP="00CD6AA1">
      <w:r w:rsidRPr="00F91C17">
        <w:rPr>
          <w:i/>
        </w:rPr>
        <w:t>f)</w:t>
      </w:r>
      <w:r w:rsidRPr="00F91C17">
        <w:tab/>
      </w:r>
      <w:r w:rsidR="009E06FB" w:rsidRPr="00F91C17">
        <w:rPr>
          <w:color w:val="000000"/>
        </w:rPr>
        <w:t xml:space="preserve">que le numéro </w:t>
      </w:r>
      <w:r w:rsidR="009E06FB" w:rsidRPr="00F91C17">
        <w:rPr>
          <w:b/>
          <w:bCs/>
          <w:color w:val="000000"/>
        </w:rPr>
        <w:t>21.16</w:t>
      </w:r>
      <w:r w:rsidR="009E06FB" w:rsidRPr="00F91C17">
        <w:rPr>
          <w:color w:val="000000"/>
        </w:rPr>
        <w:t xml:space="preserve"> définit les limites de puissance surfacique applicables aux systèmes du service fixe par satellite pour protéger les services fixe et mobile ayant des attributions dans la bande de fréquences</w:t>
      </w:r>
      <w:r w:rsidRPr="00F91C17">
        <w:t xml:space="preserve"> 18</w:t>
      </w:r>
      <w:r w:rsidR="00C3492F" w:rsidRPr="00F91C17">
        <w:t>,</w:t>
      </w:r>
      <w:r w:rsidRPr="00F91C17">
        <w:t>6-18</w:t>
      </w:r>
      <w:r w:rsidR="00C3492F" w:rsidRPr="00F91C17">
        <w:t>,</w:t>
      </w:r>
      <w:r w:rsidRPr="00F91C17">
        <w:t>8 GHz;</w:t>
      </w:r>
    </w:p>
    <w:p w14:paraId="393D2A8A" w14:textId="216923CA" w:rsidR="00C25063" w:rsidRPr="00F91C17" w:rsidRDefault="00C25063" w:rsidP="00CD6AA1">
      <w:r w:rsidRPr="00F91C17">
        <w:rPr>
          <w:i/>
        </w:rPr>
        <w:t>g)</w:t>
      </w:r>
      <w:r w:rsidRPr="00F91C17">
        <w:tab/>
      </w:r>
      <w:r w:rsidR="009E06FB" w:rsidRPr="00F91C17">
        <w:rPr>
          <w:color w:val="000000"/>
        </w:rPr>
        <w:t xml:space="preserve">que le numéro </w:t>
      </w:r>
      <w:r w:rsidRPr="00F91C17">
        <w:rPr>
          <w:b/>
        </w:rPr>
        <w:t>21.17</w:t>
      </w:r>
      <w:r w:rsidRPr="00F91C17">
        <w:t xml:space="preserve"> </w:t>
      </w:r>
      <w:r w:rsidR="009E06FB" w:rsidRPr="00F91C17">
        <w:t>ne s</w:t>
      </w:r>
      <w:r w:rsidR="0063720F" w:rsidRPr="00F91C17">
        <w:t>'</w:t>
      </w:r>
      <w:r w:rsidR="009E06FB" w:rsidRPr="00F91C17">
        <w:t>applique</w:t>
      </w:r>
      <w:r w:rsidR="00BA4686" w:rsidRPr="00F91C17">
        <w:t xml:space="preserve"> </w:t>
      </w:r>
      <w:r w:rsidR="009E06FB" w:rsidRPr="00F91C17">
        <w:t xml:space="preserve">pas à la bande de fréquences </w:t>
      </w:r>
      <w:r w:rsidRPr="00F91C17">
        <w:t>18</w:t>
      </w:r>
      <w:r w:rsidR="00C3492F" w:rsidRPr="00F91C17">
        <w:t>,</w:t>
      </w:r>
      <w:r w:rsidRPr="00F91C17">
        <w:t>6-18</w:t>
      </w:r>
      <w:r w:rsidR="00C3492F" w:rsidRPr="00F91C17">
        <w:t>,</w:t>
      </w:r>
      <w:r w:rsidRPr="00F91C17">
        <w:t>8 GHz,</w:t>
      </w:r>
    </w:p>
    <w:p w14:paraId="7A95CF5D" w14:textId="304B9B58" w:rsidR="00C25063" w:rsidRPr="00F91C17" w:rsidRDefault="00C25063" w:rsidP="00CD6AA1">
      <w:pPr>
        <w:pStyle w:val="Call"/>
      </w:pPr>
      <w:r w:rsidRPr="00F91C17">
        <w:t>décide d'inviter l'UIT-R</w:t>
      </w:r>
    </w:p>
    <w:p w14:paraId="60411DD1" w14:textId="54927ED9" w:rsidR="00C25063" w:rsidRPr="00F91C17" w:rsidRDefault="00C25063" w:rsidP="00CD6AA1">
      <w:r w:rsidRPr="00F91C17">
        <w:t>1</w:t>
      </w:r>
      <w:r w:rsidRPr="00F91C17">
        <w:tab/>
      </w:r>
      <w:r w:rsidR="009E06FB" w:rsidRPr="00F91C17">
        <w:t>à mener des études de compatibilité entre les systèmes à satellites non géostationnaires du service fixe par satellite (espace vers Terre) fonctionnant avec un apogée inférieur ou égal à 20 000 km et les services d</w:t>
      </w:r>
      <w:r w:rsidR="0063720F" w:rsidRPr="00F91C17">
        <w:t>'</w:t>
      </w:r>
      <w:r w:rsidR="009E06FB" w:rsidRPr="00F91C17">
        <w:t xml:space="preserve">exploration de la Terre par satellite (passive) et de recherche spatiale (passive) dans la bande de fréquences </w:t>
      </w:r>
      <w:r w:rsidRPr="00F91C17">
        <w:t>18</w:t>
      </w:r>
      <w:r w:rsidR="00BA4686" w:rsidRPr="00F91C17">
        <w:t>,</w:t>
      </w:r>
      <w:r w:rsidRPr="00F91C17">
        <w:t>6-18</w:t>
      </w:r>
      <w:r w:rsidR="00BA4686" w:rsidRPr="00F91C17">
        <w:t>,</w:t>
      </w:r>
      <w:r w:rsidRPr="00F91C17">
        <w:t>8 GHz;</w:t>
      </w:r>
    </w:p>
    <w:p w14:paraId="3D21BEA8" w14:textId="16E6E69D" w:rsidR="00C25063" w:rsidRPr="00F91C17" w:rsidRDefault="00C25063" w:rsidP="00CD6AA1">
      <w:r w:rsidRPr="00F91C17">
        <w:t>2</w:t>
      </w:r>
      <w:r w:rsidRPr="00F91C17">
        <w:tab/>
      </w:r>
      <w:r w:rsidR="000C53EB" w:rsidRPr="00F91C17">
        <w:rPr>
          <w:color w:val="000000"/>
        </w:rPr>
        <w:t>à étudier la possibilité d'appliquer les limites de puissance surfacique équivalente</w:t>
      </w:r>
      <w:r w:rsidR="000C53EB" w:rsidRPr="00F91C17">
        <w:t xml:space="preserve"> </w:t>
      </w:r>
      <w:r w:rsidRPr="00F91C17">
        <w:t>(epfd)</w:t>
      </w:r>
      <w:r w:rsidR="000C53EB" w:rsidRPr="00F91C17">
        <w:t xml:space="preserve"> prescrites dans le </w:t>
      </w:r>
      <w:r w:rsidRPr="00F91C17">
        <w:t>Table</w:t>
      </w:r>
      <w:r w:rsidR="000C53EB" w:rsidRPr="00F91C17">
        <w:t>au</w:t>
      </w:r>
      <w:r w:rsidRPr="00F91C17">
        <w:t xml:space="preserve"> </w:t>
      </w:r>
      <w:r w:rsidRPr="00F91C17">
        <w:rPr>
          <w:b/>
        </w:rPr>
        <w:t>22-1B</w:t>
      </w:r>
      <w:r w:rsidRPr="00F91C17">
        <w:t xml:space="preserve"> </w:t>
      </w:r>
      <w:r w:rsidR="000C53EB" w:rsidRPr="00F91C17">
        <w:t xml:space="preserve">au segment de fréquences </w:t>
      </w:r>
      <w:r w:rsidRPr="00F91C17">
        <w:t>18</w:t>
      </w:r>
      <w:r w:rsidR="00BA4686" w:rsidRPr="00F91C17">
        <w:t>,</w:t>
      </w:r>
      <w:r w:rsidRPr="00F91C17">
        <w:t>6-18</w:t>
      </w:r>
      <w:r w:rsidR="00BA4686" w:rsidRPr="00F91C17">
        <w:t>,</w:t>
      </w:r>
      <w:r w:rsidRPr="00F91C17">
        <w:t>8 GHz</w:t>
      </w:r>
      <w:r w:rsidR="000C53EB" w:rsidRPr="00F91C17">
        <w:t xml:space="preserve">, pour veiller à ce que les systèmes à satellites non géostationnaires du service fixe par satellite (espace vers Terre) ne causent pas de brouillages inacceptables aux réseaux des systèmes à satellites géostationnaires du service fixe par satellite fonctionnant dans la bande de fréquences </w:t>
      </w:r>
      <w:r w:rsidRPr="00F91C17">
        <w:t>18</w:t>
      </w:r>
      <w:r w:rsidR="00BA4686" w:rsidRPr="00F91C17">
        <w:t>,</w:t>
      </w:r>
      <w:r w:rsidRPr="00F91C17">
        <w:t>6-18</w:t>
      </w:r>
      <w:r w:rsidR="00BA4686" w:rsidRPr="00F91C17">
        <w:t>,</w:t>
      </w:r>
      <w:r w:rsidRPr="00F91C17">
        <w:t>8 GHz;</w:t>
      </w:r>
    </w:p>
    <w:p w14:paraId="529C03CE" w14:textId="62BD7FBB" w:rsidR="00C25063" w:rsidRPr="00F91C17" w:rsidRDefault="00C25063" w:rsidP="00CD6AA1">
      <w:pPr>
        <w:rPr>
          <w:i/>
        </w:rPr>
      </w:pPr>
      <w:r w:rsidRPr="00F91C17">
        <w:t>3</w:t>
      </w:r>
      <w:r w:rsidRPr="00F91C17">
        <w:tab/>
      </w:r>
      <w:r w:rsidR="00D97BF0" w:rsidRPr="00F91C17">
        <w:t xml:space="preserve">à </w:t>
      </w:r>
      <w:r w:rsidR="00BA4686" w:rsidRPr="00F91C17">
        <w:t>élaborer des</w:t>
      </w:r>
      <w:r w:rsidR="00D97BF0" w:rsidRPr="00F91C17">
        <w:t xml:space="preserve"> dispositions techniques et réglementaires applicables aux stations non géostationnaires fonctionnant dans le service fixe par satellite (espace vers Terre) </w:t>
      </w:r>
      <w:r w:rsidR="00BD5D87" w:rsidRPr="00F91C17">
        <w:t xml:space="preserve">avec un apogée inférieur ou égal à 20 000 km dans la bande de fréquences </w:t>
      </w:r>
      <w:r w:rsidRPr="00F91C17">
        <w:t>18</w:t>
      </w:r>
      <w:r w:rsidR="00BA4686" w:rsidRPr="00F91C17">
        <w:t>,</w:t>
      </w:r>
      <w:r w:rsidRPr="00F91C17">
        <w:t>6-18</w:t>
      </w:r>
      <w:r w:rsidR="00BA4686" w:rsidRPr="00F91C17">
        <w:t>,</w:t>
      </w:r>
      <w:r w:rsidRPr="00F91C17">
        <w:t>8 GHz,</w:t>
      </w:r>
      <w:r w:rsidR="00BD5D87" w:rsidRPr="00F91C17">
        <w:t xml:space="preserve"> tout en veillant à ce que les limites de puissance surfacique</w:t>
      </w:r>
      <w:r w:rsidR="00BD5D87" w:rsidRPr="00F91C17">
        <w:rPr>
          <w:color w:val="000000"/>
        </w:rPr>
        <w:t xml:space="preserve"> indiquées dans le Tableau </w:t>
      </w:r>
      <w:r w:rsidR="00BD5D87" w:rsidRPr="00F91C17">
        <w:rPr>
          <w:b/>
          <w:bCs/>
          <w:color w:val="000000"/>
        </w:rPr>
        <w:t>21-4</w:t>
      </w:r>
      <w:r w:rsidR="00BD5D87" w:rsidRPr="00F91C17">
        <w:rPr>
          <w:color w:val="000000"/>
        </w:rPr>
        <w:t xml:space="preserve"> de l'Article </w:t>
      </w:r>
      <w:r w:rsidR="00BD5D87" w:rsidRPr="00F91C17">
        <w:rPr>
          <w:b/>
          <w:bCs/>
          <w:color w:val="000000"/>
        </w:rPr>
        <w:t>21</w:t>
      </w:r>
      <w:r w:rsidR="00BD5D87" w:rsidRPr="00F91C17">
        <w:rPr>
          <w:color w:val="000000"/>
        </w:rPr>
        <w:t>, qui visent à assurer la protection des services fixe et mobile dans cette bande de fréquences, soient respectées,</w:t>
      </w:r>
    </w:p>
    <w:p w14:paraId="464AC855" w14:textId="35B5AC16" w:rsidR="00C25063" w:rsidRPr="00F91C17" w:rsidRDefault="00C25063" w:rsidP="00CD6AA1">
      <w:pPr>
        <w:pStyle w:val="Call"/>
      </w:pPr>
      <w:r w:rsidRPr="00F91C17">
        <w:lastRenderedPageBreak/>
        <w:t>décide en outre</w:t>
      </w:r>
    </w:p>
    <w:p w14:paraId="3DF43E32" w14:textId="083074B8" w:rsidR="00C25063" w:rsidRPr="00F91C17" w:rsidRDefault="00C25063" w:rsidP="00CD6AA1">
      <w:r w:rsidRPr="00F91C17">
        <w:t>1</w:t>
      </w:r>
      <w:r w:rsidRPr="00F91C17">
        <w:tab/>
      </w:r>
      <w:r w:rsidR="00BD5D87" w:rsidRPr="00F91C17">
        <w:t>que le respect des limites de puissance surfacique</w:t>
      </w:r>
      <w:r w:rsidR="0063720F" w:rsidRPr="00F91C17">
        <w:t xml:space="preserve"> équivalente</w:t>
      </w:r>
      <w:r w:rsidR="00BD5D87" w:rsidRPr="00F91C17">
        <w:rPr>
          <w:color w:val="000000"/>
        </w:rPr>
        <w:t xml:space="preserve"> indiquées dans le Tableau</w:t>
      </w:r>
      <w:r w:rsidR="00064376">
        <w:rPr>
          <w:color w:val="000000"/>
        </w:rPr>
        <w:t> </w:t>
      </w:r>
      <w:r w:rsidRPr="00F91C17">
        <w:rPr>
          <w:b/>
        </w:rPr>
        <w:t>22-1B</w:t>
      </w:r>
      <w:r w:rsidRPr="00F91C17">
        <w:t xml:space="preserve"> </w:t>
      </w:r>
      <w:r w:rsidR="00BD5D87" w:rsidRPr="00F91C17">
        <w:t>devra garantir la protection des réseaux des systèmes à satellites géostationnaires du service fixe par satellite fonctionnant dans la bande de fréquences 18</w:t>
      </w:r>
      <w:r w:rsidR="00BA4686" w:rsidRPr="00F91C17">
        <w:t>,</w:t>
      </w:r>
      <w:r w:rsidR="00BD5D87" w:rsidRPr="00F91C17">
        <w:t>6-18</w:t>
      </w:r>
      <w:r w:rsidR="00BA4686" w:rsidRPr="00F91C17">
        <w:t>,</w:t>
      </w:r>
      <w:r w:rsidR="00BD5D87" w:rsidRPr="00F91C17">
        <w:t>8 GHz contre tout brouillage</w:t>
      </w:r>
      <w:r w:rsidR="002C3D03" w:rsidRPr="00F91C17">
        <w:t xml:space="preserve"> </w:t>
      </w:r>
      <w:r w:rsidR="00BD5D87" w:rsidRPr="00F91C17">
        <w:t>inacceptable</w:t>
      </w:r>
      <w:r w:rsidRPr="00F91C17">
        <w:t>;</w:t>
      </w:r>
    </w:p>
    <w:p w14:paraId="5E02CB6B" w14:textId="54FEDAD7" w:rsidR="00C25063" w:rsidRPr="00F91C17" w:rsidRDefault="00C25063" w:rsidP="00CD6AA1">
      <w:pPr>
        <w:rPr>
          <w:iCs/>
        </w:rPr>
      </w:pPr>
      <w:r w:rsidRPr="00F91C17">
        <w:t>2</w:t>
      </w:r>
      <w:r w:rsidRPr="00F91C17">
        <w:tab/>
      </w:r>
      <w:r w:rsidR="004E4D98" w:rsidRPr="00F91C17">
        <w:t xml:space="preserve">que les dispositions techniques et réglementaires qui seront élaborées devront garantir que, dans la bande de fréquences </w:t>
      </w:r>
      <w:r w:rsidRPr="00F91C17">
        <w:t>18</w:t>
      </w:r>
      <w:r w:rsidR="00BA4686" w:rsidRPr="00F91C17">
        <w:t>,</w:t>
      </w:r>
      <w:r w:rsidRPr="00F91C17">
        <w:t>6-18</w:t>
      </w:r>
      <w:r w:rsidR="00BA4686" w:rsidRPr="00F91C17">
        <w:t>,</w:t>
      </w:r>
      <w:r w:rsidRPr="00F91C17">
        <w:t xml:space="preserve">8 GHz, </w:t>
      </w:r>
      <w:r w:rsidR="004E4D98" w:rsidRPr="00F91C17">
        <w:t>les limites visées aux numéros</w:t>
      </w:r>
      <w:r w:rsidRPr="00F91C17">
        <w:rPr>
          <w:b/>
        </w:rPr>
        <w:t xml:space="preserve"> 21.5, 21.5A</w:t>
      </w:r>
      <w:r w:rsidRPr="00F91C17">
        <w:t xml:space="preserve"> </w:t>
      </w:r>
      <w:r w:rsidR="004E4D98" w:rsidRPr="00F91C17">
        <w:t>et</w:t>
      </w:r>
      <w:r w:rsidRPr="00F91C17">
        <w:t xml:space="preserve"> </w:t>
      </w:r>
      <w:r w:rsidRPr="00F91C17">
        <w:rPr>
          <w:b/>
        </w:rPr>
        <w:t>21.16.2</w:t>
      </w:r>
      <w:r w:rsidRPr="00F91C17">
        <w:t xml:space="preserve">, </w:t>
      </w:r>
      <w:r w:rsidR="004E4D98" w:rsidRPr="00F91C17">
        <w:t>qui s</w:t>
      </w:r>
      <w:r w:rsidR="0063720F" w:rsidRPr="00F91C17">
        <w:t>'</w:t>
      </w:r>
      <w:r w:rsidR="004E4D98" w:rsidRPr="00F91C17">
        <w:t>appliquent au service fixe et au service mobile ainsi qu</w:t>
      </w:r>
      <w:r w:rsidR="0063720F" w:rsidRPr="00F91C17">
        <w:t>'</w:t>
      </w:r>
      <w:r w:rsidR="004E4D98" w:rsidRPr="00F91C17">
        <w:t>aux stations des systèmes à satellites géostationnaires et non géostationnaires du service fixe par satellite dont l</w:t>
      </w:r>
      <w:r w:rsidR="0063720F" w:rsidRPr="00F91C17">
        <w:t>'</w:t>
      </w:r>
      <w:r w:rsidR="004E4D98" w:rsidRPr="00F91C17">
        <w:t>orbite présente un apogée supérieur à 20 000 km, resteront inchangées,</w:t>
      </w:r>
    </w:p>
    <w:p w14:paraId="2C42BE1C" w14:textId="702D9C7A" w:rsidR="00C25063" w:rsidRPr="00F91C17" w:rsidRDefault="008D073F" w:rsidP="00CD6AA1">
      <w:pPr>
        <w:pStyle w:val="Call"/>
      </w:pPr>
      <w:r w:rsidRPr="00F91C17">
        <w:t xml:space="preserve">invite la </w:t>
      </w:r>
      <w:r w:rsidR="00FB22BF" w:rsidRPr="00F91C17">
        <w:t>Conférence mondiale des radiocommunications de 2023</w:t>
      </w:r>
      <w:r w:rsidR="002C3D03" w:rsidRPr="00F91C17">
        <w:t xml:space="preserve"> </w:t>
      </w:r>
    </w:p>
    <w:p w14:paraId="178403C7" w14:textId="09BD1A3C" w:rsidR="00C25063" w:rsidRPr="00F91C17" w:rsidRDefault="0063720F" w:rsidP="00CD6AA1">
      <w:r w:rsidRPr="00F91C17">
        <w:t xml:space="preserve">à </w:t>
      </w:r>
      <w:r w:rsidR="00FB22BF" w:rsidRPr="00F91C17">
        <w:t xml:space="preserve">examiner les résultats des études proposées </w:t>
      </w:r>
      <w:r w:rsidRPr="00F91C17">
        <w:t>et à</w:t>
      </w:r>
      <w:r w:rsidR="00FB22BF" w:rsidRPr="00F91C17">
        <w:t xml:space="preserve"> prendre les mesures pertinentes,</w:t>
      </w:r>
      <w:r w:rsidR="00BA4686" w:rsidRPr="00F91C17">
        <w:t xml:space="preserve"> </w:t>
      </w:r>
    </w:p>
    <w:p w14:paraId="3E91A756" w14:textId="55019996" w:rsidR="00C25063" w:rsidRPr="00F91C17" w:rsidRDefault="00C25063" w:rsidP="00CD6AA1">
      <w:pPr>
        <w:pStyle w:val="Call"/>
      </w:pPr>
      <w:r w:rsidRPr="00F91C17">
        <w:t>invite les administrations</w:t>
      </w:r>
    </w:p>
    <w:p w14:paraId="1CA1E3A2" w14:textId="071C7381" w:rsidR="008D073F" w:rsidRPr="00F91C17" w:rsidRDefault="008D073F" w:rsidP="00CD6AA1">
      <w:r w:rsidRPr="00F91C17">
        <w:t>à participer activement aux études et à</w:t>
      </w:r>
      <w:r w:rsidR="00FB22BF" w:rsidRPr="00F91C17">
        <w:t xml:space="preserve"> contribuer à la fourniture des </w:t>
      </w:r>
      <w:r w:rsidRPr="00F91C17">
        <w:t>caractéristiques techniques et opérationnelles des systèmes concernés, en soumettant des contributions à l'UIT-R.</w:t>
      </w:r>
    </w:p>
    <w:p w14:paraId="6987E2D1" w14:textId="77777777" w:rsidR="00BA4686" w:rsidRPr="00F91C17" w:rsidRDefault="00BA4686" w:rsidP="00BA4686">
      <w:pPr>
        <w:pStyle w:val="Reasons"/>
      </w:pPr>
    </w:p>
    <w:p w14:paraId="2A6916F1" w14:textId="5595044D" w:rsidR="008D073F" w:rsidRPr="00F91C17" w:rsidRDefault="008D073F" w:rsidP="00CD6AA1">
      <w:pPr>
        <w:jc w:val="center"/>
      </w:pPr>
      <w:r w:rsidRPr="00F91C17">
        <w:t>______________</w:t>
      </w:r>
    </w:p>
    <w:sectPr w:rsidR="008D073F" w:rsidRPr="00F91C17">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619CB" w14:textId="77777777" w:rsidR="0070076C" w:rsidRDefault="0070076C">
      <w:r>
        <w:separator/>
      </w:r>
    </w:p>
  </w:endnote>
  <w:endnote w:type="continuationSeparator" w:id="0">
    <w:p w14:paraId="62542FF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51E2" w14:textId="6EE7DF53" w:rsidR="00936D25" w:rsidRDefault="00936D25">
    <w:pPr>
      <w:rPr>
        <w:lang w:val="en-US"/>
      </w:rPr>
    </w:pPr>
    <w:r>
      <w:fldChar w:fldCharType="begin"/>
    </w:r>
    <w:r>
      <w:rPr>
        <w:lang w:val="en-US"/>
      </w:rPr>
      <w:instrText xml:space="preserve"> FILENAME \p  \* MERGEFORMAT </w:instrText>
    </w:r>
    <w:r>
      <w:fldChar w:fldCharType="separate"/>
    </w:r>
    <w:r w:rsidR="003E1540">
      <w:rPr>
        <w:noProof/>
        <w:lang w:val="en-US"/>
      </w:rPr>
      <w:t>P:\FRA\ITU-R\CONF-R\CMR19\000\011ADD24ADD06F.docx</w:t>
    </w:r>
    <w:r>
      <w:fldChar w:fldCharType="end"/>
    </w:r>
    <w:r>
      <w:rPr>
        <w:lang w:val="en-US"/>
      </w:rPr>
      <w:tab/>
    </w:r>
    <w:r>
      <w:fldChar w:fldCharType="begin"/>
    </w:r>
    <w:r>
      <w:instrText xml:space="preserve"> SAVEDATE \@ DD.MM.YY </w:instrText>
    </w:r>
    <w:r>
      <w:fldChar w:fldCharType="separate"/>
    </w:r>
    <w:r w:rsidR="0026583E">
      <w:rPr>
        <w:noProof/>
      </w:rPr>
      <w:t>08.10.19</w:t>
    </w:r>
    <w:r>
      <w:fldChar w:fldCharType="end"/>
    </w:r>
    <w:r>
      <w:rPr>
        <w:lang w:val="en-US"/>
      </w:rPr>
      <w:tab/>
    </w:r>
    <w:r>
      <w:fldChar w:fldCharType="begin"/>
    </w:r>
    <w:r>
      <w:instrText xml:space="preserve"> PRINTDATE \@ DD.MM.YY </w:instrText>
    </w:r>
    <w:r>
      <w:fldChar w:fldCharType="separate"/>
    </w:r>
    <w:r w:rsidR="003E1540">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0A86" w14:textId="5EBD811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E1540">
      <w:rPr>
        <w:lang w:val="en-US"/>
      </w:rPr>
      <w:t>P:\FRA\ITU-R\CONF-R\CMR19\000\011ADD24ADD06F.docx</w:t>
    </w:r>
    <w:r>
      <w:fldChar w:fldCharType="end"/>
    </w:r>
    <w:r w:rsidR="00D046FC" w:rsidRPr="007A6B36">
      <w:rPr>
        <w:lang w:val="en-US"/>
      </w:rPr>
      <w:t xml:space="preserve"> (460767)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1309" w14:textId="3F5B69F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E1540">
      <w:rPr>
        <w:lang w:val="en-US"/>
      </w:rPr>
      <w:t>P:\FRA\ITU-R\CONF-R\CMR19\000\011ADD24ADD06F.docx</w:t>
    </w:r>
    <w:r>
      <w:fldChar w:fldCharType="end"/>
    </w:r>
    <w:r w:rsidR="00D046FC" w:rsidRPr="007A6B36">
      <w:rPr>
        <w:lang w:val="en-US"/>
      </w:rPr>
      <w:t xml:space="preserve"> (460767)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4536A" w14:textId="77777777" w:rsidR="0070076C" w:rsidRDefault="0070076C">
      <w:r>
        <w:rPr>
          <w:b/>
        </w:rPr>
        <w:t>_______________</w:t>
      </w:r>
    </w:p>
  </w:footnote>
  <w:footnote w:type="continuationSeparator" w:id="0">
    <w:p w14:paraId="2DFFAE7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A6D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64527C0" w14:textId="77777777" w:rsidR="004F1F8E" w:rsidRDefault="004F1F8E" w:rsidP="00FD7AA3">
    <w:pPr>
      <w:pStyle w:val="Header"/>
    </w:pPr>
    <w:r>
      <w:t>CMR1</w:t>
    </w:r>
    <w:r w:rsidR="00FD7AA3">
      <w:t>9</w:t>
    </w:r>
    <w:r>
      <w:t>/</w:t>
    </w:r>
    <w:r w:rsidR="006A4B45">
      <w:t>11(Add.24)(Add.6)-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686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FE2D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8C48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0A64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A237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69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C4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C87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EB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62B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4376"/>
    <w:rsid w:val="00080E2C"/>
    <w:rsid w:val="00081366"/>
    <w:rsid w:val="000863B3"/>
    <w:rsid w:val="000A4755"/>
    <w:rsid w:val="000A55AE"/>
    <w:rsid w:val="000B2E0C"/>
    <w:rsid w:val="000B3D0C"/>
    <w:rsid w:val="000C53EB"/>
    <w:rsid w:val="000F4A69"/>
    <w:rsid w:val="001167B9"/>
    <w:rsid w:val="00117CB6"/>
    <w:rsid w:val="001267A0"/>
    <w:rsid w:val="0015203F"/>
    <w:rsid w:val="00160C64"/>
    <w:rsid w:val="00172231"/>
    <w:rsid w:val="0018169B"/>
    <w:rsid w:val="0019352B"/>
    <w:rsid w:val="001960D0"/>
    <w:rsid w:val="001A0A87"/>
    <w:rsid w:val="001A11F6"/>
    <w:rsid w:val="001A47DF"/>
    <w:rsid w:val="001C0CCB"/>
    <w:rsid w:val="001F17E8"/>
    <w:rsid w:val="00204306"/>
    <w:rsid w:val="002241F5"/>
    <w:rsid w:val="00230F0C"/>
    <w:rsid w:val="00232FD2"/>
    <w:rsid w:val="0026554E"/>
    <w:rsid w:val="0026583E"/>
    <w:rsid w:val="002A4622"/>
    <w:rsid w:val="002A6F8F"/>
    <w:rsid w:val="002B17E5"/>
    <w:rsid w:val="002C0EBF"/>
    <w:rsid w:val="002C28A4"/>
    <w:rsid w:val="002C3D03"/>
    <w:rsid w:val="002D7E0A"/>
    <w:rsid w:val="002E3B60"/>
    <w:rsid w:val="00315AFE"/>
    <w:rsid w:val="003606A6"/>
    <w:rsid w:val="0036120E"/>
    <w:rsid w:val="0036650C"/>
    <w:rsid w:val="00393ACD"/>
    <w:rsid w:val="003A4309"/>
    <w:rsid w:val="003A583E"/>
    <w:rsid w:val="003E112B"/>
    <w:rsid w:val="003E1540"/>
    <w:rsid w:val="003E1D1C"/>
    <w:rsid w:val="003E7B05"/>
    <w:rsid w:val="003F173C"/>
    <w:rsid w:val="003F3719"/>
    <w:rsid w:val="003F6F2D"/>
    <w:rsid w:val="00416EA9"/>
    <w:rsid w:val="00466211"/>
    <w:rsid w:val="004774CB"/>
    <w:rsid w:val="00483196"/>
    <w:rsid w:val="004834A9"/>
    <w:rsid w:val="004D01FC"/>
    <w:rsid w:val="004E28C3"/>
    <w:rsid w:val="004E4D98"/>
    <w:rsid w:val="004F1F8E"/>
    <w:rsid w:val="00512A32"/>
    <w:rsid w:val="005343DA"/>
    <w:rsid w:val="00560874"/>
    <w:rsid w:val="005700B2"/>
    <w:rsid w:val="00586CF2"/>
    <w:rsid w:val="005A7C75"/>
    <w:rsid w:val="005C3768"/>
    <w:rsid w:val="005C6C3F"/>
    <w:rsid w:val="00613635"/>
    <w:rsid w:val="0062093D"/>
    <w:rsid w:val="0063720F"/>
    <w:rsid w:val="00637ECF"/>
    <w:rsid w:val="00647B59"/>
    <w:rsid w:val="00690C7B"/>
    <w:rsid w:val="006A4B45"/>
    <w:rsid w:val="006D4724"/>
    <w:rsid w:val="006F5FA2"/>
    <w:rsid w:val="006F74B4"/>
    <w:rsid w:val="0070076C"/>
    <w:rsid w:val="00701BAE"/>
    <w:rsid w:val="00721F04"/>
    <w:rsid w:val="00730E95"/>
    <w:rsid w:val="007426B9"/>
    <w:rsid w:val="00764342"/>
    <w:rsid w:val="00774362"/>
    <w:rsid w:val="00786598"/>
    <w:rsid w:val="00790C74"/>
    <w:rsid w:val="007A04E8"/>
    <w:rsid w:val="007A6B36"/>
    <w:rsid w:val="007B2C34"/>
    <w:rsid w:val="007B41FE"/>
    <w:rsid w:val="007C124A"/>
    <w:rsid w:val="007E3846"/>
    <w:rsid w:val="008113C9"/>
    <w:rsid w:val="00830086"/>
    <w:rsid w:val="00851625"/>
    <w:rsid w:val="00863C0A"/>
    <w:rsid w:val="008A3120"/>
    <w:rsid w:val="008A4B97"/>
    <w:rsid w:val="008C5B8E"/>
    <w:rsid w:val="008C5DD5"/>
    <w:rsid w:val="008D073F"/>
    <w:rsid w:val="008D41BE"/>
    <w:rsid w:val="008D58D3"/>
    <w:rsid w:val="008E3BC9"/>
    <w:rsid w:val="00923064"/>
    <w:rsid w:val="00930FFD"/>
    <w:rsid w:val="00936D25"/>
    <w:rsid w:val="00941EA5"/>
    <w:rsid w:val="00964700"/>
    <w:rsid w:val="00966C16"/>
    <w:rsid w:val="0098732F"/>
    <w:rsid w:val="00997E17"/>
    <w:rsid w:val="009A045F"/>
    <w:rsid w:val="009A6A2B"/>
    <w:rsid w:val="009C7E7C"/>
    <w:rsid w:val="009E06FB"/>
    <w:rsid w:val="00A00473"/>
    <w:rsid w:val="00A03C9B"/>
    <w:rsid w:val="00A37105"/>
    <w:rsid w:val="00A606C3"/>
    <w:rsid w:val="00A83B09"/>
    <w:rsid w:val="00A84541"/>
    <w:rsid w:val="00AC1C2F"/>
    <w:rsid w:val="00AE36A0"/>
    <w:rsid w:val="00B00294"/>
    <w:rsid w:val="00B3749C"/>
    <w:rsid w:val="00B64FD0"/>
    <w:rsid w:val="00B84736"/>
    <w:rsid w:val="00BA4686"/>
    <w:rsid w:val="00BA5BD0"/>
    <w:rsid w:val="00BB1D82"/>
    <w:rsid w:val="00BD51C5"/>
    <w:rsid w:val="00BD5D87"/>
    <w:rsid w:val="00BF26E7"/>
    <w:rsid w:val="00C22C94"/>
    <w:rsid w:val="00C25063"/>
    <w:rsid w:val="00C3492F"/>
    <w:rsid w:val="00C53FCA"/>
    <w:rsid w:val="00C76BAF"/>
    <w:rsid w:val="00C814B9"/>
    <w:rsid w:val="00C90685"/>
    <w:rsid w:val="00CD516F"/>
    <w:rsid w:val="00CD6AA1"/>
    <w:rsid w:val="00D046FC"/>
    <w:rsid w:val="00D119A7"/>
    <w:rsid w:val="00D25FBA"/>
    <w:rsid w:val="00D32B28"/>
    <w:rsid w:val="00D42954"/>
    <w:rsid w:val="00D66EAC"/>
    <w:rsid w:val="00D730DF"/>
    <w:rsid w:val="00D772F0"/>
    <w:rsid w:val="00D77BDC"/>
    <w:rsid w:val="00D978B8"/>
    <w:rsid w:val="00D97BF0"/>
    <w:rsid w:val="00DC402B"/>
    <w:rsid w:val="00DE0932"/>
    <w:rsid w:val="00E03A27"/>
    <w:rsid w:val="00E049F1"/>
    <w:rsid w:val="00E3462A"/>
    <w:rsid w:val="00E37A25"/>
    <w:rsid w:val="00E50ABC"/>
    <w:rsid w:val="00E537FF"/>
    <w:rsid w:val="00E6539B"/>
    <w:rsid w:val="00E70A31"/>
    <w:rsid w:val="00E723A7"/>
    <w:rsid w:val="00E975EE"/>
    <w:rsid w:val="00EA3F38"/>
    <w:rsid w:val="00EA52DC"/>
    <w:rsid w:val="00EA5AB6"/>
    <w:rsid w:val="00EA64D4"/>
    <w:rsid w:val="00EC7615"/>
    <w:rsid w:val="00ED16AA"/>
    <w:rsid w:val="00ED6B8D"/>
    <w:rsid w:val="00EE3D7B"/>
    <w:rsid w:val="00EF662E"/>
    <w:rsid w:val="00F00204"/>
    <w:rsid w:val="00F10064"/>
    <w:rsid w:val="00F148F1"/>
    <w:rsid w:val="00F30D6F"/>
    <w:rsid w:val="00F34BE4"/>
    <w:rsid w:val="00F64B25"/>
    <w:rsid w:val="00F711A7"/>
    <w:rsid w:val="00F91C17"/>
    <w:rsid w:val="00F97FB0"/>
    <w:rsid w:val="00FA3BBF"/>
    <w:rsid w:val="00FB22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6B987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142808">
      <w:bodyDiv w:val="1"/>
      <w:marLeft w:val="0"/>
      <w:marRight w:val="0"/>
      <w:marTop w:val="0"/>
      <w:marBottom w:val="0"/>
      <w:divBdr>
        <w:top w:val="none" w:sz="0" w:space="0" w:color="auto"/>
        <w:left w:val="none" w:sz="0" w:space="0" w:color="auto"/>
        <w:bottom w:val="none" w:sz="0" w:space="0" w:color="auto"/>
        <w:right w:val="none" w:sz="0" w:space="0" w:color="auto"/>
      </w:divBdr>
    </w:div>
    <w:div w:id="1601178256">
      <w:bodyDiv w:val="1"/>
      <w:marLeft w:val="0"/>
      <w:marRight w:val="0"/>
      <w:marTop w:val="0"/>
      <w:marBottom w:val="0"/>
      <w:divBdr>
        <w:top w:val="none" w:sz="0" w:space="0" w:color="auto"/>
        <w:left w:val="none" w:sz="0" w:space="0" w:color="auto"/>
        <w:bottom w:val="none" w:sz="0" w:space="0" w:color="auto"/>
        <w:right w:val="none" w:sz="0" w:space="0" w:color="auto"/>
      </w:divBdr>
    </w:div>
    <w:div w:id="1768110167">
      <w:bodyDiv w:val="1"/>
      <w:marLeft w:val="0"/>
      <w:marRight w:val="0"/>
      <w:marTop w:val="0"/>
      <w:marBottom w:val="0"/>
      <w:divBdr>
        <w:top w:val="none" w:sz="0" w:space="0" w:color="auto"/>
        <w:left w:val="none" w:sz="0" w:space="0" w:color="auto"/>
        <w:bottom w:val="none" w:sz="0" w:space="0" w:color="auto"/>
        <w:right w:val="none" w:sz="0" w:space="0" w:color="auto"/>
      </w:divBdr>
    </w:div>
    <w:div w:id="18959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R16-WRC19-C-0011!A24-A6!MSW-F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A63C-1202-459E-8B31-0472BE88D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76A10-A398-4CEC-AAC1-1E84BF44C58C}">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32a1a8c5-2265-4ebc-b7a0-2071e2c5c9bb"/>
    <ds:schemaRef ds:uri="http://purl.org/dc/elements/1.1/"/>
    <ds:schemaRef ds:uri="http://purl.org/dc/term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02444294-C77B-455E-BE42-AEFD05132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1519</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R16-WRC19-C-0011!A24-A6!MSW-F</vt:lpstr>
    </vt:vector>
  </TitlesOfParts>
  <Manager>Secrétariat général - Pool</Manager>
  <Company>Union internationale des télécommunications (UIT)</Company>
  <LinksUpToDate>false</LinksUpToDate>
  <CharactersWithSpaces>10114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R16-WRC19-C-0011!A24-A6!MSW-F</dc:title>
  <dc:subject>Conférence mondiale des radiocommunications - 2019</dc:subject>
  <dc:creator>Documents Proposals Manager (DPM)</dc:creator>
  <cp:keywords>DPM_v2019.9.18.2_prod</cp:keywords>
  <dc:description/>
  <cp:lastModifiedBy>Murphy, Margaret</cp:lastModifiedBy>
  <cp:revision>13</cp:revision>
  <cp:lastPrinted>2019-10-08T11:52:00Z</cp:lastPrinted>
  <dcterms:created xsi:type="dcterms:W3CDTF">2019-09-24T12:30:00Z</dcterms:created>
  <dcterms:modified xsi:type="dcterms:W3CDTF">2019-10-08T12:14:00Z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