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F24A3" w14:paraId="671DA479" w14:textId="77777777" w:rsidTr="009625B0">
        <w:trPr>
          <w:cantSplit/>
        </w:trPr>
        <w:tc>
          <w:tcPr>
            <w:tcW w:w="6521" w:type="dxa"/>
          </w:tcPr>
          <w:p w14:paraId="4DF1F6BA" w14:textId="77777777" w:rsidR="005651C9" w:rsidRPr="00CF24A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F24A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F24A3">
              <w:rPr>
                <w:rFonts w:ascii="Verdana" w:hAnsi="Verdana"/>
                <w:b/>
                <w:bCs/>
                <w:szCs w:val="22"/>
              </w:rPr>
              <w:t>9</w:t>
            </w:r>
            <w:r w:rsidRPr="00CF24A3">
              <w:rPr>
                <w:rFonts w:ascii="Verdana" w:hAnsi="Verdana"/>
                <w:b/>
                <w:bCs/>
                <w:szCs w:val="22"/>
              </w:rPr>
              <w:t>)</w:t>
            </w:r>
            <w:r w:rsidRPr="00CF24A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F24A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F24A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F24A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F24A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6932C77" w14:textId="77777777" w:rsidR="005651C9" w:rsidRPr="00CF24A3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F24A3">
              <w:rPr>
                <w:szCs w:val="22"/>
                <w:lang w:eastAsia="zh-CN"/>
              </w:rPr>
              <w:drawing>
                <wp:inline distT="0" distB="0" distL="0" distR="0" wp14:anchorId="3B91B472" wp14:editId="5FC4540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F24A3" w14:paraId="3D02112F" w14:textId="77777777" w:rsidTr="009625B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773BAE97" w14:textId="77777777" w:rsidR="005651C9" w:rsidRPr="00CF24A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7A5C1A1" w14:textId="77777777" w:rsidR="005651C9" w:rsidRPr="00CF24A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F24A3" w14:paraId="453B9F9D" w14:textId="77777777" w:rsidTr="009625B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35A0DCC" w14:textId="77777777" w:rsidR="005651C9" w:rsidRPr="00CF24A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0CFF6CC" w14:textId="77777777" w:rsidR="005651C9" w:rsidRPr="00CF24A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F24A3" w14:paraId="77B1CEFE" w14:textId="77777777" w:rsidTr="009625B0">
        <w:trPr>
          <w:cantSplit/>
        </w:trPr>
        <w:tc>
          <w:tcPr>
            <w:tcW w:w="6521" w:type="dxa"/>
          </w:tcPr>
          <w:p w14:paraId="1B672A06" w14:textId="77777777" w:rsidR="005651C9" w:rsidRPr="00CF24A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24A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5FC3DAE8" w14:textId="2B75AF09" w:rsidR="005651C9" w:rsidRPr="00CF24A3" w:rsidRDefault="00A21770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24A3">
              <w:rPr>
                <w:rFonts w:ascii="Verdana" w:hAnsi="Verdana"/>
                <w:b/>
                <w:bCs/>
                <w:sz w:val="18"/>
                <w:szCs w:val="18"/>
              </w:rPr>
              <w:t xml:space="preserve">Пересмотр 1 </w:t>
            </w:r>
            <w:r w:rsidR="009625B0" w:rsidRPr="00CF24A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5A295E" w:rsidRPr="00CF24A3">
              <w:rPr>
                <w:rFonts w:ascii="Verdana" w:hAnsi="Verdana"/>
                <w:b/>
                <w:bCs/>
                <w:sz w:val="18"/>
                <w:szCs w:val="18"/>
              </w:rPr>
              <w:t>Дополнительн</w:t>
            </w:r>
            <w:r w:rsidRPr="00CF24A3">
              <w:rPr>
                <w:rFonts w:ascii="Verdana" w:hAnsi="Verdana"/>
                <w:b/>
                <w:bCs/>
                <w:sz w:val="18"/>
                <w:szCs w:val="18"/>
              </w:rPr>
              <w:t>ого</w:t>
            </w:r>
            <w:r w:rsidR="005A295E" w:rsidRPr="00CF24A3">
              <w:rPr>
                <w:rFonts w:ascii="Verdana" w:hAnsi="Verdana"/>
                <w:b/>
                <w:bCs/>
                <w:sz w:val="18"/>
                <w:szCs w:val="18"/>
              </w:rPr>
              <w:t xml:space="preserve"> документ</w:t>
            </w:r>
            <w:r w:rsidRPr="00CF24A3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5A295E" w:rsidRPr="00CF24A3">
              <w:rPr>
                <w:rFonts w:ascii="Verdana" w:hAnsi="Verdana"/>
                <w:b/>
                <w:bCs/>
                <w:sz w:val="18"/>
                <w:szCs w:val="18"/>
              </w:rPr>
              <w:t xml:space="preserve"> 7</w:t>
            </w:r>
            <w:r w:rsidR="005A295E" w:rsidRPr="00CF24A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11(Add.24)</w:t>
            </w:r>
            <w:r w:rsidR="005651C9" w:rsidRPr="00CF24A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CF24A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F24A3" w14:paraId="6355B11C" w14:textId="77777777" w:rsidTr="009625B0">
        <w:trPr>
          <w:cantSplit/>
        </w:trPr>
        <w:tc>
          <w:tcPr>
            <w:tcW w:w="6521" w:type="dxa"/>
          </w:tcPr>
          <w:p w14:paraId="7B5EE8DF" w14:textId="77777777" w:rsidR="000F33D8" w:rsidRPr="00CF24A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0318A3EF" w14:textId="77777777" w:rsidR="000F33D8" w:rsidRPr="00CF24A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24A3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CF24A3" w14:paraId="008CE8D4" w14:textId="77777777" w:rsidTr="009625B0">
        <w:trPr>
          <w:cantSplit/>
        </w:trPr>
        <w:tc>
          <w:tcPr>
            <w:tcW w:w="6521" w:type="dxa"/>
          </w:tcPr>
          <w:p w14:paraId="69785C3C" w14:textId="77777777" w:rsidR="000F33D8" w:rsidRPr="00CF24A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9774B34" w14:textId="6F294251" w:rsidR="000F33D8" w:rsidRPr="00CF24A3" w:rsidRDefault="000F33D8" w:rsidP="002D4030">
            <w:pPr>
              <w:tabs>
                <w:tab w:val="clear" w:pos="1134"/>
                <w:tab w:val="left" w:pos="1195"/>
              </w:tabs>
              <w:spacing w:before="0"/>
              <w:rPr>
                <w:rFonts w:ascii="Verdana" w:hAnsi="Verdana"/>
                <w:sz w:val="18"/>
                <w:szCs w:val="22"/>
              </w:rPr>
            </w:pPr>
            <w:r w:rsidRPr="00CF24A3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2D4030" w:rsidRPr="00CF24A3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CF24A3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2D4030" w:rsidRPr="00CF24A3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2D4030" w:rsidRPr="00CF24A3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2D4030" w:rsidRPr="00CF24A3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CF24A3" w14:paraId="22CD8A44" w14:textId="77777777" w:rsidTr="009546EA">
        <w:trPr>
          <w:cantSplit/>
        </w:trPr>
        <w:tc>
          <w:tcPr>
            <w:tcW w:w="10031" w:type="dxa"/>
            <w:gridSpan w:val="2"/>
          </w:tcPr>
          <w:p w14:paraId="38CCC5D0" w14:textId="77777777" w:rsidR="000F33D8" w:rsidRPr="00CF24A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F24A3" w14:paraId="644B78AB" w14:textId="77777777">
        <w:trPr>
          <w:cantSplit/>
        </w:trPr>
        <w:tc>
          <w:tcPr>
            <w:tcW w:w="10031" w:type="dxa"/>
            <w:gridSpan w:val="2"/>
          </w:tcPr>
          <w:p w14:paraId="423E1F81" w14:textId="77777777" w:rsidR="000F33D8" w:rsidRPr="00CF24A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CF24A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CF24A3" w14:paraId="30E32F09" w14:textId="77777777">
        <w:trPr>
          <w:cantSplit/>
        </w:trPr>
        <w:tc>
          <w:tcPr>
            <w:tcW w:w="10031" w:type="dxa"/>
            <w:gridSpan w:val="2"/>
          </w:tcPr>
          <w:p w14:paraId="3E612C09" w14:textId="72E8C96D" w:rsidR="000F33D8" w:rsidRPr="00CF24A3" w:rsidRDefault="002D403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CF24A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F24A3" w14:paraId="3599CBF8" w14:textId="77777777">
        <w:trPr>
          <w:cantSplit/>
        </w:trPr>
        <w:tc>
          <w:tcPr>
            <w:tcW w:w="10031" w:type="dxa"/>
            <w:gridSpan w:val="2"/>
          </w:tcPr>
          <w:p w14:paraId="169036FA" w14:textId="77777777" w:rsidR="000F33D8" w:rsidRPr="00CF24A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CF24A3" w14:paraId="7CA1312F" w14:textId="77777777">
        <w:trPr>
          <w:cantSplit/>
        </w:trPr>
        <w:tc>
          <w:tcPr>
            <w:tcW w:w="10031" w:type="dxa"/>
            <w:gridSpan w:val="2"/>
          </w:tcPr>
          <w:p w14:paraId="6832B6F1" w14:textId="77777777" w:rsidR="000F33D8" w:rsidRPr="00CF24A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F24A3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77508920" w14:textId="77777777" w:rsidR="00D51940" w:rsidRPr="00CF24A3" w:rsidRDefault="007D3964" w:rsidP="000B165B">
      <w:pPr>
        <w:pStyle w:val="Normalaftertitle"/>
      </w:pPr>
      <w:r w:rsidRPr="00CF24A3">
        <w:t>10</w:t>
      </w:r>
      <w:r w:rsidRPr="00CF24A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CF24A3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Конвенции,</w:t>
      </w:r>
    </w:p>
    <w:p w14:paraId="244108F0" w14:textId="51B699C0" w:rsidR="008A31A1" w:rsidRPr="00CF24A3" w:rsidRDefault="008A31A1" w:rsidP="008A31A1">
      <w:pPr>
        <w:pStyle w:val="Headingb"/>
        <w:rPr>
          <w:lang w:val="ru-RU"/>
        </w:rPr>
      </w:pPr>
      <w:r w:rsidRPr="00CF24A3">
        <w:rPr>
          <w:lang w:val="ru-RU"/>
        </w:rPr>
        <w:t>Базовая информация</w:t>
      </w:r>
    </w:p>
    <w:p w14:paraId="478D9CBA" w14:textId="77777777" w:rsidR="00173AE3" w:rsidRPr="00CF24A3" w:rsidRDefault="00173AE3" w:rsidP="00173AE3">
      <w:pPr>
        <w:rPr>
          <w:rFonts w:eastAsia="Calibri"/>
        </w:rPr>
      </w:pPr>
      <w:r w:rsidRPr="00CF24A3">
        <w:rPr>
          <w:shd w:val="clear" w:color="auto" w:fill="FFFFFF"/>
        </w:rPr>
        <w:t xml:space="preserve">В ходе ВКР-15 была принята Резолюция </w:t>
      </w:r>
      <w:r w:rsidRPr="00CF24A3">
        <w:rPr>
          <w:b/>
          <w:shd w:val="clear" w:color="auto" w:fill="FFFFFF"/>
        </w:rPr>
        <w:t>763 (ВКР</w:t>
      </w:r>
      <w:r w:rsidRPr="00CF24A3">
        <w:rPr>
          <w:b/>
          <w:shd w:val="clear" w:color="auto" w:fill="FFFFFF"/>
        </w:rPr>
        <w:noBreakHyphen/>
        <w:t>15)</w:t>
      </w:r>
      <w:r w:rsidRPr="00CF24A3">
        <w:rPr>
          <w:shd w:val="clear" w:color="auto" w:fill="FFFFFF"/>
        </w:rPr>
        <w:t xml:space="preserve"> для рассмотрения вопросов, связанных со станциями на борту суборбитальных аппаратов. Было принято решение о проведении исследований в ходе исследовательского цикла ВКР-19, </w:t>
      </w:r>
      <w:r w:rsidRPr="00CF24A3">
        <w:t>с тем чтобы</w:t>
      </w:r>
      <w:r w:rsidRPr="00CF24A3">
        <w:rPr>
          <w:rFonts w:eastAsia="Calibri"/>
        </w:rPr>
        <w:t>:</w:t>
      </w:r>
    </w:p>
    <w:p w14:paraId="1EC276B8" w14:textId="0A7AA32F" w:rsidR="00173AE3" w:rsidRPr="00CF24A3" w:rsidRDefault="00173AE3" w:rsidP="00173AE3">
      <w:pPr>
        <w:pStyle w:val="enumlev1"/>
      </w:pPr>
      <w:r w:rsidRPr="00CF24A3">
        <w:t>•</w:t>
      </w:r>
      <w:r w:rsidRPr="00CF24A3">
        <w:tab/>
        <w:t>определить любые необходимые технические и эксплуатационные меры, касающиеся станций на борту суборбитальных аппаратов, которые помогли бы избежать создания вредных помех между службами радиосвязи;</w:t>
      </w:r>
    </w:p>
    <w:p w14:paraId="255140F2" w14:textId="40317EC2" w:rsidR="00173AE3" w:rsidRPr="00CF24A3" w:rsidRDefault="00173AE3" w:rsidP="00173AE3">
      <w:pPr>
        <w:pStyle w:val="enumlev1"/>
        <w:rPr>
          <w:rFonts w:eastAsia="Calibri"/>
        </w:rPr>
      </w:pPr>
      <w:r w:rsidRPr="00CF24A3">
        <w:t>•</w:t>
      </w:r>
      <w:r w:rsidRPr="00CF24A3">
        <w:tab/>
        <w:t>определить потребности в спектре и на основе результатов этих исследований рассмотреть возможный будущий пункт повестки дня для ВКР-23.</w:t>
      </w:r>
    </w:p>
    <w:p w14:paraId="6E6DAAD6" w14:textId="077ECAF3" w:rsidR="008A31A1" w:rsidRPr="00CF24A3" w:rsidRDefault="00A84BF9" w:rsidP="008A31A1">
      <w:r w:rsidRPr="00CF24A3">
        <w:t>Кроме того</w:t>
      </w:r>
      <w:r w:rsidR="008A31A1" w:rsidRPr="00CF24A3">
        <w:t xml:space="preserve">, </w:t>
      </w:r>
      <w:r w:rsidR="00AF1D36" w:rsidRPr="00CF24A3">
        <w:t>в</w:t>
      </w:r>
      <w:r w:rsidR="008A31A1" w:rsidRPr="00CF24A3">
        <w:t xml:space="preserve"> 2015</w:t>
      </w:r>
      <w:r w:rsidR="00AF1D36" w:rsidRPr="00CF24A3">
        <w:t xml:space="preserve"> году</w:t>
      </w:r>
      <w:r w:rsidR="008A31A1" w:rsidRPr="00CF24A3">
        <w:t xml:space="preserve"> </w:t>
      </w:r>
      <w:r w:rsidR="00173AE3" w:rsidRPr="00CF24A3">
        <w:t>МСЭ</w:t>
      </w:r>
      <w:r w:rsidR="008A31A1" w:rsidRPr="00CF24A3">
        <w:t xml:space="preserve">-R </w:t>
      </w:r>
      <w:r w:rsidR="00AF1D36" w:rsidRPr="00CF24A3">
        <w:t xml:space="preserve">сформулировал </w:t>
      </w:r>
      <w:r w:rsidR="00173AE3" w:rsidRPr="00CF24A3">
        <w:t>Вопрос</w:t>
      </w:r>
      <w:r w:rsidR="008A31A1" w:rsidRPr="00CF24A3">
        <w:t xml:space="preserve"> </w:t>
      </w:r>
      <w:r w:rsidR="00173AE3" w:rsidRPr="00CF24A3">
        <w:t>МСЭ</w:t>
      </w:r>
      <w:r w:rsidR="008A31A1" w:rsidRPr="00CF24A3">
        <w:t>-R 259/5 "</w:t>
      </w:r>
      <w:r w:rsidR="00173AE3" w:rsidRPr="00CF24A3">
        <w:t>Эксплуатационные и радиорегламентарные аспекты, касающиеся самолетов, которые эксплуатируются в верхних слоях атмосферы</w:t>
      </w:r>
      <w:r w:rsidR="008A31A1" w:rsidRPr="00CF24A3">
        <w:t xml:space="preserve">". </w:t>
      </w:r>
      <w:r w:rsidRPr="00CF24A3">
        <w:t xml:space="preserve">Исследования в рамках этого Вопроса связаны с Резолюцией </w:t>
      </w:r>
      <w:r w:rsidR="008A31A1" w:rsidRPr="00CF24A3">
        <w:rPr>
          <w:b/>
        </w:rPr>
        <w:t>763 (</w:t>
      </w:r>
      <w:r w:rsidR="00AF1D36" w:rsidRPr="00CF24A3">
        <w:rPr>
          <w:b/>
        </w:rPr>
        <w:t>ВКР</w:t>
      </w:r>
      <w:r w:rsidR="008A31A1" w:rsidRPr="00CF24A3">
        <w:rPr>
          <w:b/>
        </w:rPr>
        <w:t>-15)</w:t>
      </w:r>
      <w:r w:rsidR="008A31A1" w:rsidRPr="00CF24A3">
        <w:t xml:space="preserve">. </w:t>
      </w:r>
      <w:r w:rsidRPr="00CF24A3">
        <w:t xml:space="preserve">В частности, в пункте 3 раздела </w:t>
      </w:r>
      <w:r w:rsidRPr="00CF24A3">
        <w:rPr>
          <w:i/>
          <w:iCs/>
        </w:rPr>
        <w:t>решает</w:t>
      </w:r>
      <w:r w:rsidRPr="00CF24A3">
        <w:t xml:space="preserve"> </w:t>
      </w:r>
      <w:r w:rsidRPr="00E42DAD">
        <w:t xml:space="preserve">Вопроса </w:t>
      </w:r>
      <w:r w:rsidR="002A1549" w:rsidRPr="00E42DAD">
        <w:t>сформулирован</w:t>
      </w:r>
      <w:r w:rsidRPr="00E42DAD">
        <w:t xml:space="preserve"> вопрос:</w:t>
      </w:r>
      <w:r w:rsidR="008A31A1" w:rsidRPr="00E42DAD">
        <w:t xml:space="preserve"> "</w:t>
      </w:r>
      <w:r w:rsidR="00173AE3" w:rsidRPr="00E42DAD">
        <w:t xml:space="preserve">Какие радиолинии потребуются для обеспечения полетов </w:t>
      </w:r>
      <w:r w:rsidR="009E5493" w:rsidRPr="00E42DAD">
        <w:t xml:space="preserve">космических </w:t>
      </w:r>
      <w:r w:rsidR="00173AE3" w:rsidRPr="00E42DAD">
        <w:t>самолетов</w:t>
      </w:r>
      <w:r w:rsidR="00173AE3" w:rsidRPr="00CF24A3">
        <w:t>, и под определение какой службы радиосвязи они подпадают?</w:t>
      </w:r>
      <w:r w:rsidR="008A31A1" w:rsidRPr="00CF24A3">
        <w:t>"</w:t>
      </w:r>
    </w:p>
    <w:p w14:paraId="79A78EF2" w14:textId="042DB181" w:rsidR="00396C2F" w:rsidRPr="00CF24A3" w:rsidRDefault="00106B19" w:rsidP="008A31A1">
      <w:r w:rsidRPr="00CF24A3">
        <w:t xml:space="preserve">Для осуществления суборбитальных полетов планируется </w:t>
      </w:r>
      <w:r w:rsidR="00396C2F" w:rsidRPr="00CF24A3">
        <w:t>разработк</w:t>
      </w:r>
      <w:r w:rsidR="00671CAA" w:rsidRPr="00CF24A3">
        <w:t xml:space="preserve">а </w:t>
      </w:r>
      <w:r w:rsidR="00DC70B0" w:rsidRPr="00CF24A3">
        <w:t xml:space="preserve">различных технологий и </w:t>
      </w:r>
      <w:r w:rsidR="00DC70B0" w:rsidRPr="00E42DAD">
        <w:t>аппаратов</w:t>
      </w:r>
      <w:r w:rsidR="00396C2F" w:rsidRPr="00CF24A3">
        <w:t xml:space="preserve">. При этом в некоторых подходах предполагается использование одного аппарата, а в </w:t>
      </w:r>
      <w:r w:rsidRPr="00CF24A3">
        <w:t>других</w:t>
      </w:r>
      <w:r w:rsidR="00396C2F" w:rsidRPr="00CF24A3">
        <w:t xml:space="preserve"> </w:t>
      </w:r>
      <w:r w:rsidRPr="00CF24A3">
        <w:t xml:space="preserve">подходах </w:t>
      </w:r>
      <w:r w:rsidR="00396C2F" w:rsidRPr="00CF24A3">
        <w:t>использ</w:t>
      </w:r>
      <w:r w:rsidR="00DC70B0" w:rsidRPr="00CF24A3">
        <w:t>уется</w:t>
      </w:r>
      <w:r w:rsidR="00396C2F" w:rsidRPr="00CF24A3">
        <w:t xml:space="preserve"> ракет</w:t>
      </w:r>
      <w:r w:rsidR="00DC70B0" w:rsidRPr="00CF24A3">
        <w:t>а</w:t>
      </w:r>
      <w:r w:rsidR="00396C2F" w:rsidRPr="00CF24A3">
        <w:t>-носител</w:t>
      </w:r>
      <w:r w:rsidR="00DC70B0" w:rsidRPr="00CF24A3">
        <w:t>ь</w:t>
      </w:r>
      <w:r w:rsidR="00396C2F" w:rsidRPr="00CF24A3">
        <w:t xml:space="preserve">, которая доводит космический аппарат до промежуточной высоты и затем, после отделения космического аппарата, осуществляет ускоренный выход и переходит в суборбитальный </w:t>
      </w:r>
      <w:r w:rsidR="00DC70B0" w:rsidRPr="00CF24A3">
        <w:t>космический полет</w:t>
      </w:r>
      <w:r w:rsidR="00396C2F" w:rsidRPr="00CF24A3">
        <w:t>.</w:t>
      </w:r>
    </w:p>
    <w:p w14:paraId="122AB479" w14:textId="14C45B79" w:rsidR="002E2E5A" w:rsidRPr="00CF24A3" w:rsidRDefault="002E2E5A" w:rsidP="008A31A1">
      <w:r w:rsidRPr="00CF24A3">
        <w:t xml:space="preserve">МСЭ-R провел технический и эксплуатационный анализ станций на борту суборбитальных </w:t>
      </w:r>
      <w:r w:rsidRPr="00CF24A3">
        <w:rPr>
          <w:shd w:val="clear" w:color="auto" w:fill="FFFFFF"/>
        </w:rPr>
        <w:t>аппаратов</w:t>
      </w:r>
      <w:r w:rsidRPr="00CF24A3">
        <w:t>, включая:</w:t>
      </w:r>
    </w:p>
    <w:p w14:paraId="79D64696" w14:textId="45997C12" w:rsidR="00E61AFE" w:rsidRPr="00CF24A3" w:rsidRDefault="008A31A1" w:rsidP="008A31A1">
      <w:pPr>
        <w:pStyle w:val="enumlev1"/>
      </w:pPr>
      <w:r w:rsidRPr="00CF24A3">
        <w:t>•</w:t>
      </w:r>
      <w:r w:rsidRPr="00CF24A3">
        <w:tab/>
      </w:r>
      <w:r w:rsidR="00E61AFE" w:rsidRPr="00CF24A3">
        <w:t>оценку регламентарных положений, которые могут потребовать дополнений или изменений; а также</w:t>
      </w:r>
    </w:p>
    <w:p w14:paraId="360B1045" w14:textId="7F8C0717" w:rsidR="00E61AFE" w:rsidRPr="00CF24A3" w:rsidRDefault="008A31A1" w:rsidP="008A31A1">
      <w:pPr>
        <w:pStyle w:val="enumlev1"/>
      </w:pPr>
      <w:r w:rsidRPr="00CF24A3">
        <w:lastRenderedPageBreak/>
        <w:t>•</w:t>
      </w:r>
      <w:r w:rsidRPr="00CF24A3">
        <w:tab/>
      </w:r>
      <w:r w:rsidR="00E61AFE" w:rsidRPr="00CF24A3">
        <w:t>выявление потенциальной потребности в спектре для поддержки связи и обзора в космическом пространстве без изменений в существующем использовани</w:t>
      </w:r>
      <w:r w:rsidR="00C82943" w:rsidRPr="00CF24A3">
        <w:t>и</w:t>
      </w:r>
      <w:r w:rsidR="00E61AFE" w:rsidRPr="00CF24A3">
        <w:t xml:space="preserve"> службы космической эксплуатации.</w:t>
      </w:r>
    </w:p>
    <w:p w14:paraId="39D36658" w14:textId="3F11B234" w:rsidR="00E61AFE" w:rsidRPr="00CF24A3" w:rsidRDefault="00E61AFE" w:rsidP="00016315">
      <w:r w:rsidRPr="00CF24A3">
        <w:t>Кроме того, в ходе анализа были рассмотрены бюджеты линий радиосвязи и допплеровский сдвиг для суборбитальных аппаратов, использующих существующие стандартизированные ИКАО системы и технологии радиосвязи. В исследованиях</w:t>
      </w:r>
      <w:r w:rsidR="003D1595" w:rsidRPr="00CF24A3">
        <w:t xml:space="preserve"> был</w:t>
      </w:r>
      <w:r w:rsidRPr="00CF24A3">
        <w:t xml:space="preserve"> сделан вывод о том, что, хотя новых распределений спектра не требуется, необходим пункт повестки дня ВКР-23, предусматривающий изменение определений </w:t>
      </w:r>
      <w:r w:rsidR="00016315" w:rsidRPr="00CF24A3">
        <w:t>в целях</w:t>
      </w:r>
      <w:r w:rsidRPr="00CF24A3">
        <w:t xml:space="preserve"> облегчения </w:t>
      </w:r>
      <w:r w:rsidR="003D1595" w:rsidRPr="00CF24A3">
        <w:t>внедрения</w:t>
      </w:r>
      <w:r w:rsidR="003D1595" w:rsidRPr="00E42DAD">
        <w:t xml:space="preserve"> </w:t>
      </w:r>
      <w:r w:rsidRPr="00CF24A3">
        <w:t xml:space="preserve">радиосвязи </w:t>
      </w:r>
      <w:r w:rsidR="00016315" w:rsidRPr="00CF24A3">
        <w:t>для суборбитальных аппаратов</w:t>
      </w:r>
      <w:r w:rsidRPr="00CF24A3">
        <w:t>.</w:t>
      </w:r>
    </w:p>
    <w:p w14:paraId="6B96AFD5" w14:textId="77777777" w:rsidR="009B5CC2" w:rsidRPr="00CF24A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F24A3">
        <w:br w:type="page"/>
      </w:r>
    </w:p>
    <w:p w14:paraId="0EE467BB" w14:textId="77777777" w:rsidR="00111125" w:rsidRPr="00CF24A3" w:rsidRDefault="007D3964">
      <w:pPr>
        <w:pStyle w:val="Proposal"/>
      </w:pPr>
      <w:r w:rsidRPr="00CF24A3">
        <w:lastRenderedPageBreak/>
        <w:t>ADD</w:t>
      </w:r>
      <w:r w:rsidRPr="00CF24A3">
        <w:tab/>
        <w:t>IAP/11A24A7/1</w:t>
      </w:r>
    </w:p>
    <w:p w14:paraId="6B6C3365" w14:textId="0C25C93E" w:rsidR="00111125" w:rsidRPr="00CF24A3" w:rsidRDefault="007D3964">
      <w:pPr>
        <w:pStyle w:val="ResNo"/>
      </w:pPr>
      <w:r w:rsidRPr="00CF24A3">
        <w:t>Проект новой Резолюции [IAP-10(G)-2023]</w:t>
      </w:r>
      <w:r w:rsidR="00207705" w:rsidRPr="00CF24A3">
        <w:t xml:space="preserve"> (вкр-19)</w:t>
      </w:r>
    </w:p>
    <w:p w14:paraId="4157E588" w14:textId="6E4C6465" w:rsidR="00207705" w:rsidRPr="00CF24A3" w:rsidRDefault="004273F9" w:rsidP="00207705">
      <w:pPr>
        <w:pStyle w:val="Restitle"/>
      </w:pPr>
      <w:bookmarkStart w:id="8" w:name="_Toc323908574"/>
      <w:bookmarkStart w:id="9" w:name="_Toc450292801"/>
      <w:r w:rsidRPr="00CF24A3">
        <w:t>П</w:t>
      </w:r>
      <w:r w:rsidR="00207705" w:rsidRPr="00CF24A3">
        <w:t>овестка дня Всемирной конференции радиосвязи 2023 года</w:t>
      </w:r>
      <w:bookmarkEnd w:id="8"/>
      <w:bookmarkEnd w:id="9"/>
    </w:p>
    <w:p w14:paraId="302CDC35" w14:textId="77777777" w:rsidR="00207705" w:rsidRPr="00CF24A3" w:rsidRDefault="00207705" w:rsidP="00207705">
      <w:pPr>
        <w:pStyle w:val="Normalaftertitle"/>
      </w:pPr>
      <w:r w:rsidRPr="00CF24A3">
        <w:t>Всемирная конференция радиосвязи (Шарм-эль-Шейх, 2019 г.),</w:t>
      </w:r>
    </w:p>
    <w:p w14:paraId="62F86299" w14:textId="5056061F" w:rsidR="00111125" w:rsidRPr="00CF24A3" w:rsidRDefault="00207705" w:rsidP="00207705">
      <w:r w:rsidRPr="00CF24A3">
        <w:t>...</w:t>
      </w:r>
    </w:p>
    <w:p w14:paraId="197544AA" w14:textId="0E500887" w:rsidR="00207705" w:rsidRPr="00CF24A3" w:rsidRDefault="00207705" w:rsidP="008D66D6">
      <w:r w:rsidRPr="00CF24A3">
        <w:rPr>
          <w:b/>
        </w:rPr>
        <w:t>X.X1</w:t>
      </w:r>
      <w:r w:rsidRPr="00CF24A3">
        <w:rPr>
          <w:b/>
        </w:rPr>
        <w:tab/>
      </w:r>
      <w:r w:rsidR="00D237F1" w:rsidRPr="00CF24A3">
        <w:t>рассмотреть</w:t>
      </w:r>
      <w:r w:rsidRPr="00CF24A3">
        <w:t xml:space="preserve">, в соответствии с </w:t>
      </w:r>
      <w:r w:rsidRPr="00CF24A3">
        <w:rPr>
          <w:b/>
          <w:bCs/>
        </w:rPr>
        <w:t>Резолюцией [IAP/10(G)/SUB-ORB-VEHICLES] (ВКР-19)</w:t>
      </w:r>
      <w:r w:rsidRPr="00CF24A3">
        <w:t xml:space="preserve">, </w:t>
      </w:r>
      <w:r w:rsidR="00D237F1" w:rsidRPr="00CF24A3">
        <w:t xml:space="preserve">регламентарные положения, содействующие </w:t>
      </w:r>
      <w:r w:rsidR="004F70A4" w:rsidRPr="00CF24A3">
        <w:t>обеспечению</w:t>
      </w:r>
      <w:r w:rsidR="00D237F1" w:rsidRPr="00CF24A3">
        <w:t xml:space="preserve"> радиосвязи для суборбитальных аппаратов.</w:t>
      </w:r>
    </w:p>
    <w:p w14:paraId="2CDF0A69" w14:textId="28E78B96" w:rsidR="008D66D6" w:rsidRPr="00CF24A3" w:rsidRDefault="007D3964" w:rsidP="009C5CA8">
      <w:pPr>
        <w:pStyle w:val="Reasons"/>
      </w:pPr>
      <w:r w:rsidRPr="00CF24A3">
        <w:rPr>
          <w:b/>
          <w:bCs/>
        </w:rPr>
        <w:t>Основания</w:t>
      </w:r>
      <w:r w:rsidRPr="00CF24A3">
        <w:t>:</w:t>
      </w:r>
      <w:r w:rsidRPr="00CF24A3">
        <w:tab/>
      </w:r>
      <w:r w:rsidR="008D66D6" w:rsidRPr="00CF24A3">
        <w:t>Разрешить пересмотр Регламента радиосвязи, разработать регламентарные положения для радиосвязи для суборбитальных аппаратов и содействовать безопасной интеграции суборбитальных аппаратов в существующую систему управления воздушным движением.</w:t>
      </w:r>
    </w:p>
    <w:p w14:paraId="7A195CFF" w14:textId="77777777" w:rsidR="00111125" w:rsidRPr="00CF24A3" w:rsidRDefault="007D3964">
      <w:pPr>
        <w:pStyle w:val="Proposal"/>
      </w:pPr>
      <w:r w:rsidRPr="00CF24A3">
        <w:t>ADD</w:t>
      </w:r>
      <w:r w:rsidRPr="00CF24A3">
        <w:tab/>
        <w:t>IAP/11A24A7/2</w:t>
      </w:r>
    </w:p>
    <w:p w14:paraId="3A11ABFB" w14:textId="5FE78764" w:rsidR="00111125" w:rsidRPr="00CF24A3" w:rsidRDefault="007D3964">
      <w:pPr>
        <w:pStyle w:val="ResNo"/>
      </w:pPr>
      <w:r w:rsidRPr="00CF24A3">
        <w:t>Проект новой Резолюции [IAP-10(G)/SUB-ORB-VEHICLES]</w:t>
      </w:r>
      <w:r w:rsidR="00207705" w:rsidRPr="00CF24A3">
        <w:t xml:space="preserve"> (вкр-19)</w:t>
      </w:r>
    </w:p>
    <w:p w14:paraId="52FF9413" w14:textId="477B8537" w:rsidR="00111125" w:rsidRPr="00CF24A3" w:rsidRDefault="00207705">
      <w:pPr>
        <w:pStyle w:val="Restitle"/>
      </w:pPr>
      <w:r w:rsidRPr="00CF24A3">
        <w:t>Радиосвязь для суборбитальных аппаратов</w:t>
      </w:r>
    </w:p>
    <w:p w14:paraId="2D8FE3A8" w14:textId="77777777" w:rsidR="00207705" w:rsidRPr="00CF24A3" w:rsidRDefault="00207705" w:rsidP="00207705">
      <w:pPr>
        <w:pStyle w:val="Normalaftertitle"/>
      </w:pPr>
      <w:r w:rsidRPr="00CF24A3">
        <w:t>Всемирная конференция радиосвязи (Шарм-эль-Шейх, 2019 г.),</w:t>
      </w:r>
    </w:p>
    <w:p w14:paraId="25BC4262" w14:textId="53AC513E" w:rsidR="00207705" w:rsidRPr="00CF24A3" w:rsidRDefault="009E21AE" w:rsidP="00207705">
      <w:pPr>
        <w:pStyle w:val="Call"/>
      </w:pPr>
      <w:r w:rsidRPr="00CF24A3">
        <w:t>учитывая</w:t>
      </w:r>
      <w:r w:rsidRPr="00CF24A3">
        <w:rPr>
          <w:i w:val="0"/>
          <w:iCs/>
        </w:rPr>
        <w:t>,</w:t>
      </w:r>
    </w:p>
    <w:p w14:paraId="3C21C1D0" w14:textId="729F0A20" w:rsidR="008D66D6" w:rsidRPr="00CF24A3" w:rsidRDefault="00207705" w:rsidP="00207705">
      <w:r w:rsidRPr="00CF24A3">
        <w:rPr>
          <w:i/>
          <w:iCs/>
        </w:rPr>
        <w:t>a)</w:t>
      </w:r>
      <w:r w:rsidRPr="00CF24A3">
        <w:tab/>
      </w:r>
      <w:r w:rsidR="008D66D6" w:rsidRPr="00CF24A3">
        <w:t>что разрабатываются аппараты для выполнения полетов с Земли на высоту, которая считается космическим пространством, и возвращения на Землю без выхода на орбиту;</w:t>
      </w:r>
    </w:p>
    <w:p w14:paraId="6091F62F" w14:textId="14ED0620" w:rsidR="00207705" w:rsidRPr="00CF24A3" w:rsidRDefault="00207705" w:rsidP="00207705">
      <w:r w:rsidRPr="00CF24A3">
        <w:rPr>
          <w:i/>
          <w:iCs/>
        </w:rPr>
        <w:t>b)</w:t>
      </w:r>
      <w:r w:rsidRPr="00CF24A3">
        <w:tab/>
      </w:r>
      <w:r w:rsidR="008D66D6" w:rsidRPr="00CF24A3">
        <w:t xml:space="preserve">что необходимо обеспечить возможность безопасного обмена информацией </w:t>
      </w:r>
      <w:r w:rsidR="00465596" w:rsidRPr="00CF24A3">
        <w:t>между оборудованием, установленным на таких аппаратах, и</w:t>
      </w:r>
      <w:r w:rsidR="008D66D6" w:rsidRPr="00CF24A3">
        <w:t xml:space="preserve"> системами управления воздушным движением </w:t>
      </w:r>
      <w:r w:rsidR="00360F99" w:rsidRPr="00CF24A3">
        <w:t>без</w:t>
      </w:r>
      <w:r w:rsidR="008D66D6" w:rsidRPr="00CF24A3">
        <w:t xml:space="preserve"> созда</w:t>
      </w:r>
      <w:r w:rsidR="00360F99" w:rsidRPr="00CF24A3">
        <w:t>ни</w:t>
      </w:r>
      <w:r w:rsidR="008D66D6" w:rsidRPr="00CF24A3">
        <w:t xml:space="preserve">я вредных помех радиосвязи, используемой в целях </w:t>
      </w:r>
      <w:r w:rsidR="00360F99" w:rsidRPr="00CF24A3">
        <w:t>обеспечения</w:t>
      </w:r>
      <w:r w:rsidR="00360F99" w:rsidRPr="00E42DAD">
        <w:t xml:space="preserve"> </w:t>
      </w:r>
      <w:r w:rsidR="008D66D6" w:rsidRPr="00CF24A3">
        <w:t xml:space="preserve">безопасности на других </w:t>
      </w:r>
      <w:r w:rsidR="00360F99" w:rsidRPr="00CF24A3">
        <w:t>аппарат</w:t>
      </w:r>
      <w:r w:rsidR="008D66D6" w:rsidRPr="00CF24A3">
        <w:t>ах;</w:t>
      </w:r>
    </w:p>
    <w:p w14:paraId="5A9E6468" w14:textId="0E5B913B" w:rsidR="00207705" w:rsidRPr="00CF24A3" w:rsidRDefault="00207705" w:rsidP="00207705">
      <w:r w:rsidRPr="00CF24A3">
        <w:rPr>
          <w:i/>
          <w:iCs/>
        </w:rPr>
        <w:t>c)</w:t>
      </w:r>
      <w:r w:rsidRPr="00CF24A3">
        <w:tab/>
      </w:r>
      <w:r w:rsidR="005C3EBE" w:rsidRPr="00CF24A3">
        <w:t xml:space="preserve">что МСЭ называет эти аппараты </w:t>
      </w:r>
      <w:r w:rsidR="009E21AE" w:rsidRPr="00CF24A3">
        <w:t>"</w:t>
      </w:r>
      <w:r w:rsidR="005C3EBE" w:rsidRPr="00CF24A3">
        <w:t>суборбитальными аппаратами</w:t>
      </w:r>
      <w:r w:rsidR="009E21AE" w:rsidRPr="00CF24A3">
        <w:t>"</w:t>
      </w:r>
      <w:r w:rsidRPr="00CF24A3">
        <w:t xml:space="preserve">, </w:t>
      </w:r>
      <w:r w:rsidR="005C3EBE" w:rsidRPr="00CF24A3">
        <w:t>но этот тип аппаратов не определен в Регламенте радиосвязи;</w:t>
      </w:r>
    </w:p>
    <w:p w14:paraId="78BEB1F2" w14:textId="4D105283" w:rsidR="008D66D6" w:rsidRPr="00CF24A3" w:rsidRDefault="008D66D6" w:rsidP="008D66D6">
      <w:pPr>
        <w:rPr>
          <w:sz w:val="24"/>
        </w:rPr>
      </w:pPr>
      <w:r w:rsidRPr="00CF24A3">
        <w:rPr>
          <w:i/>
          <w:iCs/>
        </w:rPr>
        <w:t>d)</w:t>
      </w:r>
      <w:r w:rsidRPr="00CF24A3">
        <w:rPr>
          <w:i/>
          <w:iCs/>
        </w:rPr>
        <w:tab/>
      </w:r>
      <w:r w:rsidR="005C3EBE" w:rsidRPr="00CF24A3">
        <w:t>что границы между атмосферой Земли и космосом, которая была бы согласована на международном уровне, не существует;</w:t>
      </w:r>
    </w:p>
    <w:p w14:paraId="3D338185" w14:textId="70ACA8FA" w:rsidR="005C3EBE" w:rsidRPr="00CF24A3" w:rsidRDefault="008D66D6" w:rsidP="008D66D6">
      <w:r w:rsidRPr="00CF24A3">
        <w:rPr>
          <w:i/>
          <w:iCs/>
        </w:rPr>
        <w:t>e)</w:t>
      </w:r>
      <w:r w:rsidRPr="00CF24A3">
        <w:tab/>
      </w:r>
      <w:r w:rsidR="005C3EBE" w:rsidRPr="00CF24A3">
        <w:t>что радиосвязь между суборбитальными аппаратами и системами управления воздушным движением требуется на всей траектории полета;</w:t>
      </w:r>
    </w:p>
    <w:p w14:paraId="72CB0E54" w14:textId="421C3A9C" w:rsidR="008D66D6" w:rsidRPr="00CF24A3" w:rsidRDefault="008D66D6" w:rsidP="008D66D6">
      <w:r w:rsidRPr="00CF24A3">
        <w:rPr>
          <w:i/>
          <w:iCs/>
        </w:rPr>
        <w:t>f)</w:t>
      </w:r>
      <w:r w:rsidRPr="00CF24A3">
        <w:tab/>
      </w:r>
      <w:r w:rsidR="005C3EBE" w:rsidRPr="00CF24A3">
        <w:t>что аппараты, работающие на границе</w:t>
      </w:r>
      <w:r w:rsidR="005C3EBE" w:rsidRPr="00E42DAD">
        <w:t xml:space="preserve"> между</w:t>
      </w:r>
      <w:r w:rsidR="005C3EBE" w:rsidRPr="00CF24A3">
        <w:t xml:space="preserve"> </w:t>
      </w:r>
      <w:r w:rsidR="005C3EBE" w:rsidRPr="00E42DAD">
        <w:t>космосом</w:t>
      </w:r>
      <w:r w:rsidR="005C3EBE" w:rsidRPr="00CF24A3">
        <w:t xml:space="preserve"> и атмосферой или возвращающиеся в атмосферу, могут создавать плазменную оболочку, которая может охватывать весь аппарат или его большую часть;</w:t>
      </w:r>
    </w:p>
    <w:p w14:paraId="72F19C28" w14:textId="7A21C5D6" w:rsidR="008D66D6" w:rsidRPr="00CF24A3" w:rsidRDefault="008D66D6" w:rsidP="008D66D6">
      <w:r w:rsidRPr="00CF24A3">
        <w:rPr>
          <w:i/>
          <w:iCs/>
        </w:rPr>
        <w:t>g)</w:t>
      </w:r>
      <w:r w:rsidRPr="00CF24A3">
        <w:tab/>
      </w:r>
      <w:r w:rsidR="005C3EBE" w:rsidRPr="00CF24A3">
        <w:t>что затухание в плазменной оболочке не позволяет</w:t>
      </w:r>
      <w:r w:rsidR="00572EAB" w:rsidRPr="00CF24A3">
        <w:t xml:space="preserve"> осуществлять непосредственную</w:t>
      </w:r>
      <w:r w:rsidR="005C3EBE" w:rsidRPr="00CF24A3">
        <w:t xml:space="preserve"> радиосвя</w:t>
      </w:r>
      <w:r w:rsidR="00572EAB" w:rsidRPr="00CF24A3">
        <w:t>зь</w:t>
      </w:r>
      <w:r w:rsidR="005C3EBE" w:rsidRPr="00CF24A3">
        <w:t xml:space="preserve"> </w:t>
      </w:r>
      <w:r w:rsidR="00572EAB" w:rsidRPr="00CF24A3">
        <w:t>с</w:t>
      </w:r>
      <w:r w:rsidR="005C3EBE" w:rsidRPr="00CF24A3">
        <w:t xml:space="preserve"> </w:t>
      </w:r>
      <w:r w:rsidR="00465596" w:rsidRPr="00CF24A3">
        <w:t>Земле</w:t>
      </w:r>
      <w:r w:rsidR="00572EAB" w:rsidRPr="00CF24A3">
        <w:t>й</w:t>
      </w:r>
      <w:r w:rsidR="005C3EBE" w:rsidRPr="00CF24A3">
        <w:t>,</w:t>
      </w:r>
    </w:p>
    <w:p w14:paraId="1D8D23AE" w14:textId="6A4ABA48" w:rsidR="00207705" w:rsidRPr="00CF24A3" w:rsidRDefault="009E21AE" w:rsidP="00207705">
      <w:pPr>
        <w:pStyle w:val="Call"/>
      </w:pPr>
      <w:r w:rsidRPr="00CF24A3">
        <w:t>признавая</w:t>
      </w:r>
      <w:r w:rsidRPr="00CF24A3">
        <w:rPr>
          <w:i w:val="0"/>
          <w:iCs/>
        </w:rPr>
        <w:t>,</w:t>
      </w:r>
    </w:p>
    <w:p w14:paraId="22862DB5" w14:textId="0FF1DC92" w:rsidR="008141BB" w:rsidRPr="00CF24A3" w:rsidRDefault="008141BB" w:rsidP="008141BB">
      <w:r w:rsidRPr="00CF24A3">
        <w:rPr>
          <w:i/>
          <w:iCs/>
        </w:rPr>
        <w:t>a)</w:t>
      </w:r>
      <w:r w:rsidRPr="00CF24A3">
        <w:tab/>
        <w:t>что в Приложении 10 к Конвенции о международной гражданской авиации содержатся SARPs для систем воздушной радионавигации и радиосвязи, используемых в международной гражданской авиации;</w:t>
      </w:r>
    </w:p>
    <w:p w14:paraId="40733624" w14:textId="5FF6D619" w:rsidR="00207705" w:rsidRPr="00CF24A3" w:rsidRDefault="00207705" w:rsidP="00207705">
      <w:r w:rsidRPr="00CF24A3">
        <w:rPr>
          <w:i/>
          <w:iCs/>
        </w:rPr>
        <w:lastRenderedPageBreak/>
        <w:t>b)</w:t>
      </w:r>
      <w:r w:rsidRPr="00CF24A3">
        <w:tab/>
      </w:r>
      <w:r w:rsidR="003C0D0D" w:rsidRPr="00CF24A3">
        <w:t>что суборбитальные аппараты будут использовать как космические, так и наземные станции;</w:t>
      </w:r>
    </w:p>
    <w:p w14:paraId="6FCE3DDA" w14:textId="3B349715" w:rsidR="003C0D0D" w:rsidRPr="00CF24A3" w:rsidRDefault="00207705" w:rsidP="00207705">
      <w:r w:rsidRPr="00CF24A3">
        <w:rPr>
          <w:i/>
          <w:iCs/>
        </w:rPr>
        <w:t>c)</w:t>
      </w:r>
      <w:r w:rsidRPr="00CF24A3">
        <w:tab/>
      </w:r>
      <w:r w:rsidR="003C0D0D" w:rsidRPr="00CF24A3">
        <w:t>что с технической точки зрения суборбитальные аппараты могут обмениваться информацией с космическими и наземными станциями в рамках существующих распределений космическ</w:t>
      </w:r>
      <w:r w:rsidR="00572EAB" w:rsidRPr="00CF24A3">
        <w:t>им</w:t>
      </w:r>
      <w:r w:rsidR="003C0D0D" w:rsidRPr="00CF24A3">
        <w:t xml:space="preserve"> и наземн</w:t>
      </w:r>
      <w:r w:rsidR="00465596" w:rsidRPr="00CF24A3">
        <w:t>ым</w:t>
      </w:r>
      <w:r w:rsidR="003C0D0D" w:rsidRPr="00CF24A3">
        <w:t xml:space="preserve"> службам,</w:t>
      </w:r>
    </w:p>
    <w:p w14:paraId="17978938" w14:textId="69ED433E" w:rsidR="00207705" w:rsidRPr="00CF24A3" w:rsidRDefault="009E21AE" w:rsidP="00207705">
      <w:pPr>
        <w:pStyle w:val="Call"/>
      </w:pPr>
      <w:r w:rsidRPr="00CF24A3">
        <w:t>отмечая</w:t>
      </w:r>
      <w:r w:rsidRPr="00CF24A3">
        <w:rPr>
          <w:i w:val="0"/>
          <w:iCs/>
        </w:rPr>
        <w:t>,</w:t>
      </w:r>
    </w:p>
    <w:p w14:paraId="2B77F972" w14:textId="7ACC728D" w:rsidR="00207705" w:rsidRPr="00CF24A3" w:rsidRDefault="003C0D0D" w:rsidP="003C0D0D">
      <w:r w:rsidRPr="00CF24A3">
        <w:t>что за разработку критериев совместимости между стандартизованными ИКАО системами воздушной связи отвечает ИКАО,</w:t>
      </w:r>
    </w:p>
    <w:p w14:paraId="34A9448F" w14:textId="477B5EF1" w:rsidR="00207705" w:rsidRPr="00CF24A3" w:rsidRDefault="009E21AE" w:rsidP="00207705">
      <w:pPr>
        <w:pStyle w:val="Call"/>
        <w:rPr>
          <w:i w:val="0"/>
          <w:szCs w:val="24"/>
        </w:rPr>
      </w:pPr>
      <w:r w:rsidRPr="00CF24A3">
        <w:t>решает предложить Всемирной конференции радиосвязи</w:t>
      </w:r>
      <w:r w:rsidR="00207705" w:rsidRPr="00CF24A3">
        <w:t xml:space="preserve"> 2023 </w:t>
      </w:r>
      <w:r w:rsidRPr="00CF24A3">
        <w:t>года</w:t>
      </w:r>
    </w:p>
    <w:p w14:paraId="5B40E636" w14:textId="1AE53BC1" w:rsidR="003C0D0D" w:rsidRPr="00CF24A3" w:rsidRDefault="003C0D0D" w:rsidP="00207705">
      <w:r w:rsidRPr="00CF24A3">
        <w:t xml:space="preserve">рассмотреть результаты исследований в соответствии с настоящей Резолюцией и принять соответствующие регламентарные меры, за исключением любых изменений Статьи </w:t>
      </w:r>
      <w:r w:rsidRPr="00CF24A3">
        <w:rPr>
          <w:b/>
          <w:bCs/>
        </w:rPr>
        <w:t>5</w:t>
      </w:r>
      <w:r w:rsidRPr="00CF24A3">
        <w:t xml:space="preserve"> Регламента радиосвязи и мер, налагающих чрезмерные ограничения на другие службы, принимая во внимание результаты исследований МСЭ-R,</w:t>
      </w:r>
    </w:p>
    <w:p w14:paraId="18FE4929" w14:textId="477049C5" w:rsidR="00207705" w:rsidRPr="00CF24A3" w:rsidRDefault="009E21AE" w:rsidP="00207705">
      <w:pPr>
        <w:pStyle w:val="Call"/>
      </w:pPr>
      <w:r w:rsidRPr="00CF24A3">
        <w:t>предлагает МСЭ</w:t>
      </w:r>
      <w:r w:rsidR="00207705" w:rsidRPr="00CF24A3">
        <w:t>-R</w:t>
      </w:r>
    </w:p>
    <w:p w14:paraId="1B11E68B" w14:textId="4C347133" w:rsidR="003C0D0D" w:rsidRPr="00CF24A3" w:rsidRDefault="003C0D0D" w:rsidP="00650B1C">
      <w:r w:rsidRPr="00CF24A3">
        <w:t>продолж</w:t>
      </w:r>
      <w:r w:rsidR="00BC2A51" w:rsidRPr="00CF24A3">
        <w:t>и</w:t>
      </w:r>
      <w:r w:rsidRPr="00CF24A3">
        <w:t xml:space="preserve">ть исследования и своевременно определить </w:t>
      </w:r>
      <w:r w:rsidR="002745C0" w:rsidRPr="00CF24A3">
        <w:t>к</w:t>
      </w:r>
      <w:r w:rsidR="002745C0" w:rsidRPr="008D202C">
        <w:t xml:space="preserve"> </w:t>
      </w:r>
      <w:r w:rsidRPr="00CF24A3">
        <w:t xml:space="preserve">ВКР-23 </w:t>
      </w:r>
      <w:r w:rsidR="002745C0" w:rsidRPr="00CF24A3">
        <w:t>как</w:t>
      </w:r>
      <w:r w:rsidR="00572EAB" w:rsidRPr="00CF24A3">
        <w:t>ие</w:t>
      </w:r>
      <w:r w:rsidR="002745C0" w:rsidRPr="00CF24A3">
        <w:t>-либо</w:t>
      </w:r>
      <w:r w:rsidRPr="00CF24A3">
        <w:t xml:space="preserve"> </w:t>
      </w:r>
      <w:r w:rsidR="00572EAB" w:rsidRPr="00CF24A3">
        <w:t>поправки к</w:t>
      </w:r>
      <w:r w:rsidRPr="00CF24A3">
        <w:t xml:space="preserve"> Регламент</w:t>
      </w:r>
      <w:r w:rsidR="00572EAB" w:rsidRPr="00CF24A3">
        <w:t>у</w:t>
      </w:r>
      <w:r w:rsidRPr="00CF24A3">
        <w:t xml:space="preserve"> радиосвязи в целях содействия </w:t>
      </w:r>
      <w:r w:rsidR="004F70A4" w:rsidRPr="00CF24A3">
        <w:t xml:space="preserve">обеспечению </w:t>
      </w:r>
      <w:r w:rsidRPr="00CF24A3">
        <w:t xml:space="preserve">радиосвязи для безопасной эксплуатации суборбитальных </w:t>
      </w:r>
      <w:r w:rsidR="002745C0" w:rsidRPr="00CF24A3">
        <w:t>аппаратов</w:t>
      </w:r>
      <w:r w:rsidRPr="00CF24A3">
        <w:t xml:space="preserve">. Эти исследования </w:t>
      </w:r>
      <w:r w:rsidR="002745C0" w:rsidRPr="00CF24A3">
        <w:t>следует</w:t>
      </w:r>
      <w:r w:rsidRPr="00CF24A3">
        <w:t xml:space="preserve"> проводить в тесной координации с Международной организацией гражданской авиации</w:t>
      </w:r>
      <w:r w:rsidR="002745C0" w:rsidRPr="00CF24A3">
        <w:t>,</w:t>
      </w:r>
      <w:r w:rsidRPr="00CF24A3">
        <w:t xml:space="preserve"> </w:t>
      </w:r>
      <w:r w:rsidR="002745C0" w:rsidRPr="00CF24A3">
        <w:t>они</w:t>
      </w:r>
      <w:r w:rsidRPr="00CF24A3">
        <w:t xml:space="preserve"> могут включать определение суборбитального </w:t>
      </w:r>
      <w:r w:rsidR="002745C0" w:rsidRPr="00CF24A3">
        <w:t>аппарат</w:t>
      </w:r>
      <w:r w:rsidRPr="00CF24A3">
        <w:t>а или</w:t>
      </w:r>
      <w:r w:rsidR="002745C0" w:rsidRPr="00CF24A3">
        <w:t xml:space="preserve"> класса</w:t>
      </w:r>
      <w:r w:rsidRPr="00CF24A3">
        <w:t xml:space="preserve"> </w:t>
      </w:r>
      <w:r w:rsidR="002745C0" w:rsidRPr="00CF24A3">
        <w:t>станции на борту суборбитального аппарата</w:t>
      </w:r>
      <w:r w:rsidR="001A3C0A" w:rsidRPr="00CF24A3">
        <w:t xml:space="preserve">, при этом в них должны быть </w:t>
      </w:r>
      <w:r w:rsidRPr="00CF24A3">
        <w:t>рассмотрен</w:t>
      </w:r>
      <w:r w:rsidR="001A3C0A" w:rsidRPr="00CF24A3">
        <w:t>ы</w:t>
      </w:r>
      <w:r w:rsidRPr="00CF24A3">
        <w:t xml:space="preserve"> служб</w:t>
      </w:r>
      <w:r w:rsidR="001A3C0A" w:rsidRPr="00CF24A3">
        <w:t>ы</w:t>
      </w:r>
      <w:r w:rsidRPr="00CF24A3">
        <w:t xml:space="preserve"> радиосвязи</w:t>
      </w:r>
      <w:r w:rsidR="001A3C0A" w:rsidRPr="00CF24A3">
        <w:t>, подходящие</w:t>
      </w:r>
      <w:r w:rsidRPr="00CF24A3">
        <w:t xml:space="preserve"> для</w:t>
      </w:r>
      <w:r w:rsidR="002745C0" w:rsidRPr="00CF24A3">
        <w:t xml:space="preserve"> связанных с безопасност</w:t>
      </w:r>
      <w:r w:rsidR="00A9249F" w:rsidRPr="00CF24A3">
        <w:t>ью</w:t>
      </w:r>
      <w:r w:rsidR="002745C0" w:rsidRPr="00CF24A3">
        <w:t xml:space="preserve"> </w:t>
      </w:r>
      <w:r w:rsidRPr="00CF24A3">
        <w:t>полетов</w:t>
      </w:r>
      <w:r w:rsidR="00A9249F" w:rsidRPr="00CF24A3">
        <w:t xml:space="preserve"> применений</w:t>
      </w:r>
      <w:r w:rsidRPr="00CF24A3">
        <w:t xml:space="preserve">, </w:t>
      </w:r>
      <w:r w:rsidR="002745C0" w:rsidRPr="00CF24A3">
        <w:t>относящи</w:t>
      </w:r>
      <w:r w:rsidR="00BC2A51" w:rsidRPr="00CF24A3">
        <w:t>х</w:t>
      </w:r>
      <w:r w:rsidR="002745C0" w:rsidRPr="00CF24A3">
        <w:t xml:space="preserve">ся к обеспечению совместимости </w:t>
      </w:r>
      <w:r w:rsidRPr="00CF24A3">
        <w:t>с международной гражданской авиацией,</w:t>
      </w:r>
    </w:p>
    <w:p w14:paraId="12D171AF" w14:textId="12936644" w:rsidR="00207705" w:rsidRPr="00CF24A3" w:rsidRDefault="009E21AE" w:rsidP="00207705">
      <w:pPr>
        <w:pStyle w:val="Call"/>
      </w:pPr>
      <w:r w:rsidRPr="00CF24A3">
        <w:t>предлагает администрациям</w:t>
      </w:r>
    </w:p>
    <w:p w14:paraId="7B3B73F8" w14:textId="77777777" w:rsidR="006A6DF2" w:rsidRPr="00CF24A3" w:rsidRDefault="006A6DF2" w:rsidP="006A6DF2">
      <w:r w:rsidRPr="00CF24A3">
        <w:t>принять активное участие в исследованиях, представляя вклады в МСЭ</w:t>
      </w:r>
      <w:r w:rsidRPr="00CF24A3">
        <w:noBreakHyphen/>
        <w:t>R,</w:t>
      </w:r>
    </w:p>
    <w:p w14:paraId="744E2141" w14:textId="7C6A23EC" w:rsidR="00207705" w:rsidRPr="00CF24A3" w:rsidRDefault="009E21AE" w:rsidP="00207705">
      <w:pPr>
        <w:pStyle w:val="Call"/>
      </w:pPr>
      <w:r w:rsidRPr="00CF24A3">
        <w:t>поручает Генеральному секретарю</w:t>
      </w:r>
    </w:p>
    <w:p w14:paraId="745EBB43" w14:textId="47C1BD66" w:rsidR="00207705" w:rsidRPr="00CF24A3" w:rsidRDefault="006A6DF2" w:rsidP="00207705">
      <w:r w:rsidRPr="00CF24A3">
        <w:t>довести настоящую Резолюцию до сведения ИКАО.</w:t>
      </w:r>
    </w:p>
    <w:p w14:paraId="0B97046E" w14:textId="7F6E1F69" w:rsidR="00111125" w:rsidRPr="00CF24A3" w:rsidRDefault="007D3964">
      <w:pPr>
        <w:pStyle w:val="Reasons"/>
      </w:pPr>
      <w:r w:rsidRPr="00CF24A3">
        <w:rPr>
          <w:b/>
        </w:rPr>
        <w:t>Основания</w:t>
      </w:r>
      <w:r w:rsidRPr="00CF24A3">
        <w:rPr>
          <w:bCs/>
        </w:rPr>
        <w:t>:</w:t>
      </w:r>
      <w:r w:rsidRPr="00CF24A3">
        <w:tab/>
      </w:r>
      <w:r w:rsidR="009732EB" w:rsidRPr="00CF24A3">
        <w:t>Резолюция, которая обеспечит проведение исследований МСЭ-R, необходимых в рамках соответствующего пункта повестки дня ВКР-23.</w:t>
      </w:r>
    </w:p>
    <w:p w14:paraId="3EB7E978" w14:textId="308470D8" w:rsidR="006A365E" w:rsidRPr="00CF24A3" w:rsidRDefault="006A365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F24A3">
        <w:br w:type="page"/>
      </w:r>
    </w:p>
    <w:p w14:paraId="63E9D68C" w14:textId="4239B2AC" w:rsidR="006A365E" w:rsidRPr="00CF24A3" w:rsidRDefault="006A365E" w:rsidP="006A365E">
      <w:pPr>
        <w:pStyle w:val="AnnexNo"/>
      </w:pPr>
      <w:r w:rsidRPr="00CF24A3">
        <w:lastRenderedPageBreak/>
        <w:t>ПРИЛАГАЕМЫЙ ДОКУМЕНТ</w:t>
      </w:r>
    </w:p>
    <w:p w14:paraId="15CC5778" w14:textId="34A035CE" w:rsidR="006A365E" w:rsidRPr="00CF24A3" w:rsidRDefault="004273F9" w:rsidP="006A365E">
      <w:pPr>
        <w:pStyle w:val="Annextitle"/>
        <w:rPr>
          <w:rFonts w:eastAsia="Calibri"/>
        </w:rPr>
      </w:pPr>
      <w:r w:rsidRPr="00CF24A3">
        <w:rPr>
          <w:rFonts w:eastAsia="Calibri"/>
        </w:rPr>
        <w:t>Предложение по будущему пункту повестки дня ВКР-23</w:t>
      </w:r>
    </w:p>
    <w:p w14:paraId="5B445FDF" w14:textId="716ECC03" w:rsidR="006A365E" w:rsidRPr="00CF24A3" w:rsidRDefault="006A365E" w:rsidP="00871708">
      <w:pPr>
        <w:rPr>
          <w:rFonts w:eastAsia="Calibri"/>
        </w:rPr>
      </w:pPr>
      <w:r w:rsidRPr="00CF24A3">
        <w:rPr>
          <w:rFonts w:eastAsia="Calibri"/>
          <w:b/>
          <w:szCs w:val="22"/>
        </w:rPr>
        <w:t>Предмет</w:t>
      </w:r>
      <w:r w:rsidRPr="00CF24A3">
        <w:rPr>
          <w:rFonts w:eastAsia="Calibri"/>
          <w:bCs/>
          <w:szCs w:val="22"/>
        </w:rPr>
        <w:t>:</w:t>
      </w:r>
      <w:r w:rsidRPr="00CF24A3">
        <w:rPr>
          <w:rFonts w:eastAsia="Calibri"/>
          <w:szCs w:val="22"/>
        </w:rPr>
        <w:t xml:space="preserve"> </w:t>
      </w:r>
      <w:r w:rsidR="004273F9" w:rsidRPr="00CF24A3">
        <w:t>Предлагаемый будущий пункт повестки дня ВКР-</w:t>
      </w:r>
      <w:r w:rsidR="004273F9" w:rsidRPr="00CF24A3">
        <w:rPr>
          <w:rFonts w:eastAsia="Calibri"/>
        </w:rPr>
        <w:t>23</w:t>
      </w:r>
      <w:r w:rsidR="00871708" w:rsidRPr="00CF24A3">
        <w:rPr>
          <w:rFonts w:eastAsia="Calibri"/>
        </w:rPr>
        <w:t xml:space="preserve"> для </w:t>
      </w:r>
      <w:r w:rsidR="00871708" w:rsidRPr="00CF24A3">
        <w:t xml:space="preserve">рассмотрения </w:t>
      </w:r>
      <w:r w:rsidR="004273F9" w:rsidRPr="00CF24A3">
        <w:t>результат</w:t>
      </w:r>
      <w:r w:rsidR="00871708" w:rsidRPr="00CF24A3">
        <w:t>ов</w:t>
      </w:r>
      <w:r w:rsidR="004273F9" w:rsidRPr="00CF24A3">
        <w:t xml:space="preserve"> исследований в целях содействия </w:t>
      </w:r>
      <w:r w:rsidR="004F70A4" w:rsidRPr="00CF24A3">
        <w:t xml:space="preserve">обеспечению </w:t>
      </w:r>
      <w:r w:rsidR="004273F9" w:rsidRPr="00CF24A3">
        <w:t>радиосвязи для безопасной эксплуатации суборбитальных аппаратов.</w:t>
      </w:r>
    </w:p>
    <w:p w14:paraId="691EE093" w14:textId="77777777" w:rsidR="006A365E" w:rsidRPr="00CF24A3" w:rsidRDefault="006A365E" w:rsidP="004273F9">
      <w:pPr>
        <w:rPr>
          <w:rFonts w:eastAsia="Calibri"/>
        </w:rPr>
      </w:pPr>
    </w:p>
    <w:p w14:paraId="609A5D30" w14:textId="5742FC2C" w:rsidR="006A365E" w:rsidRPr="00CF24A3" w:rsidRDefault="006A365E" w:rsidP="006A365E">
      <w:pPr>
        <w:rPr>
          <w:rFonts w:eastAsia="Calibri"/>
          <w:szCs w:val="22"/>
        </w:rPr>
      </w:pPr>
      <w:r w:rsidRPr="00CF24A3">
        <w:rPr>
          <w:rFonts w:eastAsia="Calibri"/>
          <w:b/>
          <w:bCs/>
          <w:szCs w:val="22"/>
        </w:rPr>
        <w:t>Источник</w:t>
      </w:r>
      <w:r w:rsidRPr="00CF24A3">
        <w:rPr>
          <w:rFonts w:eastAsia="Calibri"/>
          <w:bCs/>
          <w:szCs w:val="22"/>
        </w:rPr>
        <w:t xml:space="preserve">: </w:t>
      </w:r>
      <w:r w:rsidRPr="00CF24A3">
        <w:rPr>
          <w:rFonts w:eastAsia="Calibri"/>
          <w:b/>
          <w:szCs w:val="22"/>
        </w:rPr>
        <w:t>государства − члены СИТЕЛ</w:t>
      </w:r>
    </w:p>
    <w:p w14:paraId="1CF5E8F6" w14:textId="77777777" w:rsidR="006A365E" w:rsidRPr="00CF24A3" w:rsidRDefault="006A365E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p w14:paraId="20F6D5C6" w14:textId="3196BE00" w:rsidR="006A365E" w:rsidRPr="00CF24A3" w:rsidRDefault="006A365E" w:rsidP="006A365E">
      <w:pPr>
        <w:rPr>
          <w:rFonts w:eastAsia="Calibri"/>
          <w:szCs w:val="22"/>
        </w:rPr>
      </w:pPr>
      <w:r w:rsidRPr="00CF24A3">
        <w:rPr>
          <w:rFonts w:eastAsia="Calibri"/>
          <w:i/>
          <w:iCs/>
          <w:szCs w:val="22"/>
        </w:rPr>
        <w:t>Предложение</w:t>
      </w:r>
      <w:r w:rsidRPr="00CF24A3">
        <w:rPr>
          <w:rFonts w:eastAsia="Calibri"/>
          <w:szCs w:val="22"/>
        </w:rPr>
        <w:t>:</w:t>
      </w:r>
      <w:r w:rsidRPr="00CF24A3">
        <w:rPr>
          <w:rFonts w:eastAsia="Calibri"/>
          <w:i/>
          <w:iCs/>
          <w:szCs w:val="22"/>
        </w:rPr>
        <w:t xml:space="preserve"> </w:t>
      </w:r>
      <w:r w:rsidR="004273F9" w:rsidRPr="00CF24A3">
        <w:t xml:space="preserve">определить </w:t>
      </w:r>
      <w:r w:rsidR="00572EAB" w:rsidRPr="00CF24A3">
        <w:t xml:space="preserve">какие-либо поправки к </w:t>
      </w:r>
      <w:r w:rsidR="004273F9" w:rsidRPr="00CF24A3">
        <w:t>Регламент</w:t>
      </w:r>
      <w:r w:rsidR="00572EAB" w:rsidRPr="00CF24A3">
        <w:t>у</w:t>
      </w:r>
      <w:r w:rsidR="004273F9" w:rsidRPr="00CF24A3">
        <w:t xml:space="preserve"> радиосвязи, за исключением любы</w:t>
      </w:r>
      <w:r w:rsidR="004273F9" w:rsidRPr="00CF24A3">
        <w:rPr>
          <w:rFonts w:eastAsia="Calibri"/>
        </w:rPr>
        <w:t>х</w:t>
      </w:r>
      <w:r w:rsidR="004273F9" w:rsidRPr="00CF24A3">
        <w:t xml:space="preserve"> новы</w:t>
      </w:r>
      <w:r w:rsidR="004273F9" w:rsidRPr="00CF24A3">
        <w:rPr>
          <w:rFonts w:eastAsia="Calibri"/>
        </w:rPr>
        <w:t>х</w:t>
      </w:r>
      <w:r w:rsidR="004273F9" w:rsidRPr="00CF24A3">
        <w:t xml:space="preserve"> распределени</w:t>
      </w:r>
      <w:r w:rsidR="004273F9" w:rsidRPr="00CF24A3">
        <w:rPr>
          <w:rFonts w:eastAsia="Calibri"/>
        </w:rPr>
        <w:t>й</w:t>
      </w:r>
      <w:r w:rsidR="004273F9" w:rsidRPr="00CF24A3">
        <w:t xml:space="preserve"> частот, которы</w:t>
      </w:r>
      <w:r w:rsidR="004273F9" w:rsidRPr="00CF24A3">
        <w:rPr>
          <w:rFonts w:eastAsia="Calibri"/>
        </w:rPr>
        <w:t>й</w:t>
      </w:r>
      <w:r w:rsidR="004273F9" w:rsidRPr="00CF24A3">
        <w:t xml:space="preserve"> позволил бы использовать радиосвязь для безопасной эксплуатации суборбитальных аппаратов в соответствии с Резолюцией</w:t>
      </w:r>
      <w:r w:rsidR="004273F9" w:rsidRPr="00CF24A3">
        <w:rPr>
          <w:rFonts w:eastAsia="Calibri"/>
          <w:color w:val="000000"/>
          <w:szCs w:val="22"/>
        </w:rPr>
        <w:t xml:space="preserve"> </w:t>
      </w:r>
      <w:r w:rsidRPr="00CF24A3">
        <w:rPr>
          <w:rFonts w:eastAsia="Calibri"/>
          <w:b/>
          <w:color w:val="000000"/>
          <w:szCs w:val="22"/>
        </w:rPr>
        <w:t>[IAP/10(G)/SUB-ORB-VEHICLES] (</w:t>
      </w:r>
      <w:r w:rsidR="007D3964" w:rsidRPr="00CF24A3">
        <w:rPr>
          <w:rFonts w:eastAsia="Calibri"/>
          <w:b/>
          <w:color w:val="000000"/>
          <w:szCs w:val="22"/>
        </w:rPr>
        <w:t>ВКР</w:t>
      </w:r>
      <w:r w:rsidRPr="00CF24A3">
        <w:rPr>
          <w:rFonts w:eastAsia="Calibri"/>
          <w:b/>
          <w:color w:val="000000"/>
          <w:szCs w:val="22"/>
        </w:rPr>
        <w:t>-19)</w:t>
      </w:r>
      <w:r w:rsidRPr="00CF24A3">
        <w:rPr>
          <w:rFonts w:eastAsia="Calibri"/>
          <w:color w:val="000000"/>
          <w:szCs w:val="22"/>
        </w:rPr>
        <w:t>.</w:t>
      </w:r>
    </w:p>
    <w:p w14:paraId="3873CD72" w14:textId="77777777" w:rsidR="006A365E" w:rsidRPr="00CF24A3" w:rsidRDefault="006A365E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p w14:paraId="4D9D50F3" w14:textId="5AEE2790" w:rsidR="006A365E" w:rsidRPr="00CF24A3" w:rsidRDefault="006A365E" w:rsidP="006A365E">
      <w:pPr>
        <w:rPr>
          <w:rFonts w:eastAsia="Calibri"/>
          <w:b/>
          <w:bCs/>
          <w:i/>
          <w:iCs/>
          <w:szCs w:val="22"/>
        </w:rPr>
      </w:pPr>
      <w:r w:rsidRPr="00CF24A3">
        <w:rPr>
          <w:rFonts w:eastAsia="Calibri"/>
          <w:b/>
          <w:bCs/>
          <w:i/>
          <w:iCs/>
          <w:szCs w:val="22"/>
        </w:rPr>
        <w:t>Основание</w:t>
      </w:r>
      <w:r w:rsidRPr="00CF24A3">
        <w:rPr>
          <w:rFonts w:eastAsia="Calibri"/>
          <w:b/>
          <w:bCs/>
          <w:szCs w:val="22"/>
        </w:rPr>
        <w:t>/</w:t>
      </w:r>
      <w:r w:rsidRPr="00CF24A3">
        <w:rPr>
          <w:rFonts w:eastAsia="Calibri"/>
          <w:b/>
          <w:bCs/>
          <w:i/>
          <w:iCs/>
          <w:szCs w:val="22"/>
        </w:rPr>
        <w:t>причина</w:t>
      </w:r>
      <w:r w:rsidRPr="00CF24A3">
        <w:rPr>
          <w:rFonts w:eastAsia="Calibri"/>
          <w:szCs w:val="22"/>
        </w:rPr>
        <w:t>:</w:t>
      </w:r>
    </w:p>
    <w:p w14:paraId="27375F82" w14:textId="42F830B5" w:rsidR="006A365E" w:rsidRPr="00CF24A3" w:rsidRDefault="004273F9" w:rsidP="00F3397E">
      <w:pPr>
        <w:rPr>
          <w:rFonts w:eastAsia="Calibri"/>
        </w:rPr>
      </w:pPr>
      <w:r w:rsidRPr="00CF24A3">
        <w:rPr>
          <w:rFonts w:eastAsia="Calibri"/>
        </w:rPr>
        <w:t xml:space="preserve">Обеспечить </w:t>
      </w:r>
      <w:r w:rsidR="00F3397E" w:rsidRPr="00CF24A3">
        <w:t xml:space="preserve">возможность </w:t>
      </w:r>
      <w:r w:rsidR="00E73079" w:rsidRPr="00CF24A3">
        <w:rPr>
          <w:rFonts w:eastAsia="Calibri"/>
        </w:rPr>
        <w:t>отражения</w:t>
      </w:r>
      <w:r w:rsidRPr="00CF24A3">
        <w:rPr>
          <w:rFonts w:eastAsia="Calibri"/>
        </w:rPr>
        <w:t xml:space="preserve"> радиосвязи </w:t>
      </w:r>
      <w:r w:rsidR="00572EAB" w:rsidRPr="00CF24A3">
        <w:rPr>
          <w:rFonts w:eastAsia="Calibri"/>
        </w:rPr>
        <w:t>в направлении на</w:t>
      </w:r>
      <w:r w:rsidRPr="00CF24A3">
        <w:rPr>
          <w:rFonts w:eastAsia="Calibri"/>
        </w:rPr>
        <w:t xml:space="preserve"> суборбитальны</w:t>
      </w:r>
      <w:r w:rsidR="00572EAB" w:rsidRPr="00CF24A3">
        <w:rPr>
          <w:rFonts w:eastAsia="Calibri"/>
        </w:rPr>
        <w:t>е</w:t>
      </w:r>
      <w:r w:rsidRPr="00CF24A3">
        <w:rPr>
          <w:rFonts w:eastAsia="Calibri"/>
        </w:rPr>
        <w:t xml:space="preserve"> </w:t>
      </w:r>
      <w:r w:rsidR="00F3397E" w:rsidRPr="00CF24A3">
        <w:t>аппарат</w:t>
      </w:r>
      <w:r w:rsidR="00572EAB" w:rsidRPr="00CF24A3">
        <w:t>ы</w:t>
      </w:r>
      <w:r w:rsidR="00F3397E" w:rsidRPr="00CF24A3">
        <w:t xml:space="preserve"> </w:t>
      </w:r>
      <w:r w:rsidRPr="00CF24A3">
        <w:rPr>
          <w:rFonts w:eastAsia="Calibri"/>
        </w:rPr>
        <w:t>и от них в рамках существующ</w:t>
      </w:r>
      <w:bookmarkStart w:id="10" w:name="_GoBack"/>
      <w:bookmarkEnd w:id="10"/>
      <w:r w:rsidRPr="00CF24A3">
        <w:rPr>
          <w:rFonts w:eastAsia="Calibri"/>
        </w:rPr>
        <w:t>их распределений частот</w:t>
      </w:r>
      <w:r w:rsidR="00E73079" w:rsidRPr="00CF24A3">
        <w:rPr>
          <w:rFonts w:eastAsia="Calibri"/>
        </w:rPr>
        <w:t xml:space="preserve"> в Регламенте радиосвязи</w:t>
      </w:r>
      <w:r w:rsidRPr="00CF24A3">
        <w:rPr>
          <w:rFonts w:eastAsia="Calibri"/>
        </w:rPr>
        <w:t>.</w:t>
      </w:r>
    </w:p>
    <w:p w14:paraId="1257C0EA" w14:textId="77777777" w:rsidR="006A365E" w:rsidRPr="00CF24A3" w:rsidRDefault="006A365E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p w14:paraId="4B909DCF" w14:textId="2C709E83" w:rsidR="006A365E" w:rsidRPr="00CF24A3" w:rsidRDefault="00114206" w:rsidP="006A365E">
      <w:pPr>
        <w:rPr>
          <w:rFonts w:eastAsia="Calibri"/>
          <w:b/>
          <w:bCs/>
          <w:i/>
          <w:iCs/>
          <w:szCs w:val="22"/>
        </w:rPr>
      </w:pPr>
      <w:r w:rsidRPr="00CF24A3">
        <w:rPr>
          <w:rFonts w:eastAsia="Calibri"/>
          <w:b/>
          <w:bCs/>
          <w:i/>
          <w:iCs/>
          <w:szCs w:val="22"/>
        </w:rPr>
        <w:t>Затрагиваемые службы радиосвязи</w:t>
      </w:r>
      <w:r w:rsidRPr="00CF24A3">
        <w:rPr>
          <w:rFonts w:eastAsia="Calibri"/>
          <w:szCs w:val="22"/>
        </w:rPr>
        <w:t>:</w:t>
      </w:r>
    </w:p>
    <w:p w14:paraId="0602EF03" w14:textId="44325169" w:rsidR="006A365E" w:rsidRPr="00CF24A3" w:rsidRDefault="00F3397E" w:rsidP="00F3397E">
      <w:pPr>
        <w:rPr>
          <w:rFonts w:eastAsia="Calibri"/>
        </w:rPr>
      </w:pPr>
      <w:r w:rsidRPr="00CF24A3">
        <w:t xml:space="preserve">Воздушная </w:t>
      </w:r>
      <w:r w:rsidRPr="00CF24A3">
        <w:rPr>
          <w:rFonts w:eastAsia="Calibri"/>
        </w:rPr>
        <w:t>радионавигационная служба, воздушная подвижная служба, фиксированная спутниковая служба, подвижная спутниковая служба.</w:t>
      </w:r>
    </w:p>
    <w:p w14:paraId="3997ED47" w14:textId="77777777" w:rsidR="006A365E" w:rsidRPr="00CF24A3" w:rsidRDefault="006A365E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p w14:paraId="1476968F" w14:textId="6B9D19E8" w:rsidR="006A365E" w:rsidRPr="00CF24A3" w:rsidRDefault="00114206" w:rsidP="006A365E">
      <w:pPr>
        <w:rPr>
          <w:rFonts w:eastAsia="Calibri"/>
          <w:szCs w:val="22"/>
        </w:rPr>
      </w:pPr>
      <w:r w:rsidRPr="00CF24A3">
        <w:rPr>
          <w:rFonts w:eastAsia="Calibri"/>
          <w:b/>
          <w:bCs/>
          <w:i/>
          <w:iCs/>
          <w:szCs w:val="22"/>
        </w:rPr>
        <w:t>Указание возможных трудностей</w:t>
      </w:r>
      <w:r w:rsidR="006A365E" w:rsidRPr="00CF24A3">
        <w:rPr>
          <w:rFonts w:eastAsia="Calibri"/>
          <w:szCs w:val="22"/>
        </w:rPr>
        <w:t>:</w:t>
      </w:r>
      <w:r w:rsidRPr="00CF24A3">
        <w:rPr>
          <w:rFonts w:eastAsia="Calibri"/>
          <w:szCs w:val="22"/>
        </w:rPr>
        <w:t xml:space="preserve"> </w:t>
      </w:r>
      <w:r w:rsidR="00F3397E" w:rsidRPr="00CF24A3">
        <w:t>Не предвидятся.</w:t>
      </w:r>
    </w:p>
    <w:p w14:paraId="247AB6A8" w14:textId="77777777" w:rsidR="006A365E" w:rsidRPr="00CF24A3" w:rsidRDefault="006A365E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p w14:paraId="12BE022E" w14:textId="7DA6C8D0" w:rsidR="006A365E" w:rsidRPr="00CF24A3" w:rsidRDefault="00114206" w:rsidP="006A365E">
      <w:pPr>
        <w:rPr>
          <w:rFonts w:eastAsia="Calibri"/>
        </w:rPr>
      </w:pPr>
      <w:r w:rsidRPr="00CF24A3">
        <w:rPr>
          <w:rFonts w:eastAsia="Calibri"/>
          <w:b/>
          <w:bCs/>
          <w:i/>
          <w:iCs/>
          <w:szCs w:val="22"/>
        </w:rPr>
        <w:t>Ранее проведенные</w:t>
      </w:r>
      <w:r w:rsidRPr="00CF24A3">
        <w:rPr>
          <w:rFonts w:eastAsia="Calibri"/>
          <w:b/>
          <w:bCs/>
          <w:szCs w:val="22"/>
        </w:rPr>
        <w:t>/</w:t>
      </w:r>
      <w:r w:rsidRPr="00CF24A3">
        <w:rPr>
          <w:rFonts w:eastAsia="Calibri"/>
          <w:b/>
          <w:bCs/>
          <w:i/>
          <w:iCs/>
          <w:szCs w:val="22"/>
        </w:rPr>
        <w:t>текущие исследования по данному вопросу</w:t>
      </w:r>
      <w:r w:rsidR="006A365E" w:rsidRPr="00CF24A3">
        <w:rPr>
          <w:rFonts w:eastAsia="Calibri"/>
          <w:szCs w:val="22"/>
        </w:rPr>
        <w:t xml:space="preserve">: </w:t>
      </w:r>
      <w:r w:rsidR="00C92959" w:rsidRPr="00CF24A3">
        <w:rPr>
          <w:rFonts w:eastAsia="Calibri"/>
        </w:rPr>
        <w:t>В</w:t>
      </w:r>
      <w:r w:rsidR="00871708" w:rsidRPr="00CF24A3">
        <w:rPr>
          <w:rFonts w:eastAsia="Calibri"/>
        </w:rPr>
        <w:t xml:space="preserve"> ходе</w:t>
      </w:r>
      <w:r w:rsidR="00C92959" w:rsidRPr="00CF24A3">
        <w:rPr>
          <w:rFonts w:eastAsia="Calibri"/>
        </w:rPr>
        <w:t xml:space="preserve"> </w:t>
      </w:r>
      <w:r w:rsidR="00C92959" w:rsidRPr="00CF24A3">
        <w:t>исследовательско</w:t>
      </w:r>
      <w:r w:rsidR="00871708" w:rsidRPr="00CF24A3">
        <w:t>го</w:t>
      </w:r>
      <w:r w:rsidR="00C92959" w:rsidRPr="00CF24A3">
        <w:t xml:space="preserve"> цикл</w:t>
      </w:r>
      <w:r w:rsidR="00871708" w:rsidRPr="00CF24A3">
        <w:t>а</w:t>
      </w:r>
      <w:r w:rsidR="00C92959" w:rsidRPr="00CF24A3">
        <w:t xml:space="preserve"> 2016–2019 годов</w:t>
      </w:r>
      <w:r w:rsidR="00C92959" w:rsidRPr="00CF24A3">
        <w:rPr>
          <w:rFonts w:eastAsia="Calibri"/>
        </w:rPr>
        <w:t xml:space="preserve"> </w:t>
      </w:r>
      <w:r w:rsidR="00C92959" w:rsidRPr="00CF24A3">
        <w:t>в Рабочей группе 5B</w:t>
      </w:r>
      <w:r w:rsidR="00C92959" w:rsidRPr="00CF24A3">
        <w:rPr>
          <w:rFonts w:eastAsia="Calibri"/>
        </w:rPr>
        <w:t xml:space="preserve"> ведутся и</w:t>
      </w:r>
      <w:r w:rsidR="00C92959" w:rsidRPr="00CF24A3">
        <w:t xml:space="preserve">сследования </w:t>
      </w:r>
      <w:r w:rsidR="00C92959" w:rsidRPr="00CF24A3">
        <w:rPr>
          <w:rFonts w:eastAsia="Calibri"/>
        </w:rPr>
        <w:t>по</w:t>
      </w:r>
      <w:r w:rsidR="00C92959" w:rsidRPr="00CF24A3">
        <w:t xml:space="preserve"> Вопрос</w:t>
      </w:r>
      <w:r w:rsidR="00C92959" w:rsidRPr="00CF24A3">
        <w:rPr>
          <w:rFonts w:eastAsia="Calibri"/>
        </w:rPr>
        <w:t>у</w:t>
      </w:r>
      <w:r w:rsidR="00C92959" w:rsidRPr="00CF24A3">
        <w:t xml:space="preserve"> 4 в рамках</w:t>
      </w:r>
      <w:r w:rsidR="00C92959" w:rsidRPr="00CF24A3">
        <w:rPr>
          <w:rFonts w:eastAsia="Calibri"/>
        </w:rPr>
        <w:t xml:space="preserve"> </w:t>
      </w:r>
      <w:r w:rsidR="00C92959" w:rsidRPr="00CF24A3">
        <w:t>пункт</w:t>
      </w:r>
      <w:r w:rsidR="00C92959" w:rsidRPr="00CF24A3">
        <w:rPr>
          <w:rFonts w:eastAsia="Calibri"/>
        </w:rPr>
        <w:t>а</w:t>
      </w:r>
      <w:r w:rsidR="00C92959" w:rsidRPr="00CF24A3">
        <w:t xml:space="preserve"> 9.1 повестки дня ВКР-19, </w:t>
      </w:r>
      <w:r w:rsidR="00B6754E" w:rsidRPr="00CF24A3">
        <w:t>а</w:t>
      </w:r>
      <w:r w:rsidR="00C92959" w:rsidRPr="00CF24A3">
        <w:t xml:space="preserve"> с 2015 года</w:t>
      </w:r>
      <w:r w:rsidR="00B6754E" w:rsidRPr="00CF24A3">
        <w:t xml:space="preserve"> –</w:t>
      </w:r>
      <w:r w:rsidR="00C92959" w:rsidRPr="00CF24A3">
        <w:t xml:space="preserve"> по Вопросу МСЭ-R 259/5.</w:t>
      </w:r>
    </w:p>
    <w:p w14:paraId="2325DD7E" w14:textId="77777777" w:rsidR="004712CD" w:rsidRPr="00CF24A3" w:rsidRDefault="004712CD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tbl>
      <w:tblPr>
        <w:tblW w:w="9645" w:type="dxa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A365E" w:rsidRPr="00CF24A3" w14:paraId="3FAD4A82" w14:textId="77777777" w:rsidTr="004712CD">
        <w:tc>
          <w:tcPr>
            <w:tcW w:w="4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CFC8B4E" w14:textId="77777777" w:rsidR="004712CD" w:rsidRPr="00CF24A3" w:rsidRDefault="00114206" w:rsidP="00114206">
            <w:pPr>
              <w:tabs>
                <w:tab w:val="left" w:pos="4366"/>
              </w:tabs>
              <w:rPr>
                <w:rFonts w:eastAsia="Calibri"/>
                <w:b/>
                <w:bCs/>
                <w:i/>
                <w:iCs/>
                <w:color w:val="000000"/>
                <w:szCs w:val="22"/>
              </w:rPr>
            </w:pPr>
            <w:r w:rsidRPr="00CF24A3">
              <w:rPr>
                <w:rFonts w:eastAsia="Calibri"/>
                <w:b/>
                <w:i/>
                <w:color w:val="000000"/>
                <w:szCs w:val="22"/>
              </w:rPr>
              <w:t>Кем будут проводиться исследования</w:t>
            </w:r>
            <w:r w:rsidR="006A365E" w:rsidRPr="00CF24A3">
              <w:rPr>
                <w:rFonts w:eastAsia="Calibri"/>
                <w:color w:val="000000"/>
                <w:szCs w:val="22"/>
              </w:rPr>
              <w:t>:</w:t>
            </w:r>
            <w:r w:rsidR="006A365E" w:rsidRPr="00CF24A3">
              <w:rPr>
                <w:rFonts w:eastAsia="Calibri"/>
                <w:b/>
                <w:bCs/>
                <w:i/>
                <w:iCs/>
                <w:color w:val="000000"/>
                <w:szCs w:val="22"/>
              </w:rPr>
              <w:t xml:space="preserve"> </w:t>
            </w:r>
          </w:p>
          <w:p w14:paraId="5A5F9F96" w14:textId="1F1613A6" w:rsidR="006A365E" w:rsidRPr="00CF24A3" w:rsidRDefault="004712CD" w:rsidP="00114206">
            <w:pPr>
              <w:tabs>
                <w:tab w:val="left" w:pos="4366"/>
              </w:tabs>
              <w:rPr>
                <w:rFonts w:eastAsia="Calibri"/>
                <w:bCs/>
                <w:color w:val="000000"/>
                <w:szCs w:val="22"/>
              </w:rPr>
            </w:pPr>
            <w:r w:rsidRPr="00CF24A3">
              <w:rPr>
                <w:rFonts w:eastAsia="Calibri"/>
                <w:color w:val="000000"/>
                <w:szCs w:val="22"/>
              </w:rPr>
              <w:t>5-я Исследовательская комиссия МСЭ</w:t>
            </w:r>
            <w:r w:rsidR="006A365E" w:rsidRPr="00CF24A3">
              <w:rPr>
                <w:rFonts w:eastAsia="Calibri"/>
                <w:color w:val="000000"/>
                <w:szCs w:val="22"/>
              </w:rPr>
              <w:t>-R</w:t>
            </w:r>
          </w:p>
        </w:tc>
        <w:tc>
          <w:tcPr>
            <w:tcW w:w="48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17A1E14" w14:textId="07D5040A" w:rsidR="006A365E" w:rsidRPr="00CF24A3" w:rsidRDefault="004712CD" w:rsidP="00114206">
            <w:pPr>
              <w:tabs>
                <w:tab w:val="left" w:pos="360"/>
                <w:tab w:val="left" w:pos="900"/>
                <w:tab w:val="left" w:pos="4366"/>
              </w:tabs>
              <w:ind w:left="113"/>
              <w:rPr>
                <w:rFonts w:eastAsia="Calibri"/>
                <w:bCs/>
                <w:i/>
                <w:color w:val="000000"/>
                <w:szCs w:val="22"/>
              </w:rPr>
            </w:pPr>
            <w:r w:rsidRPr="009C5CA8">
              <w:rPr>
                <w:rFonts w:eastAsia="Calibri"/>
                <w:b/>
                <w:bCs/>
                <w:i/>
                <w:iCs/>
                <w:color w:val="000000"/>
                <w:szCs w:val="22"/>
              </w:rPr>
              <w:t>с участием</w:t>
            </w:r>
            <w:r w:rsidR="006A365E" w:rsidRPr="00CF24A3">
              <w:rPr>
                <w:rFonts w:eastAsia="Calibri"/>
                <w:bCs/>
                <w:iCs/>
                <w:color w:val="000000"/>
                <w:szCs w:val="22"/>
              </w:rPr>
              <w:t>:</w:t>
            </w:r>
            <w:r w:rsidR="006A365E" w:rsidRPr="00CF24A3">
              <w:rPr>
                <w:rFonts w:eastAsia="Calibri"/>
                <w:bCs/>
                <w:i/>
                <w:color w:val="000000"/>
                <w:szCs w:val="22"/>
              </w:rPr>
              <w:t xml:space="preserve"> </w:t>
            </w:r>
          </w:p>
          <w:p w14:paraId="1816D9C6" w14:textId="05456FAB" w:rsidR="004712CD" w:rsidRPr="00CF24A3" w:rsidRDefault="004712CD" w:rsidP="004712CD">
            <w:pPr>
              <w:tabs>
                <w:tab w:val="left" w:pos="360"/>
                <w:tab w:val="left" w:pos="900"/>
                <w:tab w:val="left" w:pos="4366"/>
              </w:tabs>
              <w:spacing w:after="240"/>
              <w:ind w:left="113"/>
              <w:rPr>
                <w:rFonts w:eastAsia="Calibri"/>
                <w:bCs/>
                <w:color w:val="000000"/>
                <w:szCs w:val="22"/>
              </w:rPr>
            </w:pPr>
            <w:proofErr w:type="spellStart"/>
            <w:r w:rsidRPr="00CF24A3">
              <w:rPr>
                <w:rFonts w:eastAsia="Calibri"/>
                <w:bCs/>
                <w:color w:val="000000"/>
                <w:szCs w:val="22"/>
              </w:rPr>
              <w:t>ИК</w:t>
            </w:r>
            <w:r w:rsidR="006A365E" w:rsidRPr="00CF24A3">
              <w:rPr>
                <w:rFonts w:eastAsia="Calibri"/>
                <w:bCs/>
                <w:color w:val="000000"/>
                <w:szCs w:val="22"/>
              </w:rPr>
              <w:t>4</w:t>
            </w:r>
            <w:proofErr w:type="spellEnd"/>
            <w:r w:rsidR="006A365E" w:rsidRPr="00CF24A3">
              <w:rPr>
                <w:rFonts w:eastAsia="Calibri"/>
                <w:bCs/>
                <w:color w:val="000000"/>
                <w:szCs w:val="22"/>
              </w:rPr>
              <w:t xml:space="preserve">, </w:t>
            </w:r>
            <w:proofErr w:type="spellStart"/>
            <w:r w:rsidR="008D202C">
              <w:rPr>
                <w:rFonts w:eastAsia="Calibri"/>
                <w:bCs/>
                <w:color w:val="000000"/>
                <w:szCs w:val="22"/>
              </w:rPr>
              <w:t>ИК</w:t>
            </w:r>
            <w:r w:rsidR="006A365E" w:rsidRPr="00CF24A3">
              <w:rPr>
                <w:rFonts w:eastAsia="Calibri"/>
                <w:bCs/>
                <w:color w:val="000000"/>
                <w:szCs w:val="22"/>
              </w:rPr>
              <w:t>5</w:t>
            </w:r>
            <w:proofErr w:type="spellEnd"/>
          </w:p>
        </w:tc>
      </w:tr>
    </w:tbl>
    <w:p w14:paraId="7610454D" w14:textId="77777777" w:rsidR="006A365E" w:rsidRPr="00CF24A3" w:rsidRDefault="006A365E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p w14:paraId="693F8046" w14:textId="0AED981B" w:rsidR="006A365E" w:rsidRPr="00CF24A3" w:rsidRDefault="004712CD" w:rsidP="006A365E">
      <w:pPr>
        <w:rPr>
          <w:rFonts w:eastAsia="Calibri"/>
          <w:szCs w:val="22"/>
        </w:rPr>
      </w:pPr>
      <w:r w:rsidRPr="00CF24A3">
        <w:rPr>
          <w:rFonts w:eastAsia="Calibri"/>
          <w:b/>
          <w:bCs/>
          <w:i/>
          <w:iCs/>
          <w:szCs w:val="22"/>
        </w:rPr>
        <w:t>Затрагиваемые исследовательские комиссии МСЭ-R</w:t>
      </w:r>
      <w:r w:rsidR="006A365E" w:rsidRPr="00CF24A3">
        <w:rPr>
          <w:rFonts w:eastAsia="Calibri"/>
          <w:szCs w:val="22"/>
        </w:rPr>
        <w:t>:</w:t>
      </w:r>
      <w:r w:rsidR="006A365E" w:rsidRPr="00CF24A3">
        <w:rPr>
          <w:rFonts w:eastAsia="Calibri"/>
          <w:b/>
          <w:bCs/>
          <w:i/>
          <w:iCs/>
          <w:szCs w:val="22"/>
        </w:rPr>
        <w:t xml:space="preserve"> </w:t>
      </w:r>
      <w:proofErr w:type="spellStart"/>
      <w:r w:rsidRPr="00CF24A3">
        <w:rPr>
          <w:rFonts w:eastAsia="Calibri"/>
          <w:szCs w:val="22"/>
        </w:rPr>
        <w:t>ИК</w:t>
      </w:r>
      <w:r w:rsidR="006A365E" w:rsidRPr="00CF24A3">
        <w:rPr>
          <w:rFonts w:eastAsia="Calibri"/>
          <w:szCs w:val="22"/>
        </w:rPr>
        <w:t>4</w:t>
      </w:r>
      <w:proofErr w:type="spellEnd"/>
      <w:r w:rsidR="006A365E" w:rsidRPr="00CF24A3">
        <w:rPr>
          <w:rFonts w:eastAsia="Calibri"/>
          <w:szCs w:val="22"/>
        </w:rPr>
        <w:t xml:space="preserve">, </w:t>
      </w:r>
      <w:proofErr w:type="spellStart"/>
      <w:r w:rsidR="008D202C">
        <w:rPr>
          <w:rFonts w:eastAsia="Calibri"/>
          <w:szCs w:val="22"/>
        </w:rPr>
        <w:t>ИК</w:t>
      </w:r>
      <w:r w:rsidR="006A365E" w:rsidRPr="00CF24A3">
        <w:rPr>
          <w:rFonts w:eastAsia="Calibri"/>
          <w:szCs w:val="22"/>
        </w:rPr>
        <w:t>5</w:t>
      </w:r>
      <w:proofErr w:type="spellEnd"/>
    </w:p>
    <w:p w14:paraId="4428ED73" w14:textId="77777777" w:rsidR="006A365E" w:rsidRPr="00CF24A3" w:rsidRDefault="006A365E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p w14:paraId="712A1D75" w14:textId="62F83D86" w:rsidR="006A365E" w:rsidRPr="00CF24A3" w:rsidRDefault="004712CD" w:rsidP="006A365E">
      <w:pPr>
        <w:rPr>
          <w:rFonts w:eastAsia="Calibri"/>
          <w:szCs w:val="22"/>
        </w:rPr>
      </w:pPr>
      <w:r w:rsidRPr="00CF24A3">
        <w:rPr>
          <w:rFonts w:eastAsia="Calibri"/>
          <w:b/>
          <w:bCs/>
          <w:i/>
          <w:iCs/>
          <w:szCs w:val="22"/>
        </w:rPr>
        <w:t>Влияние на ресурсы МСЭ, включая финансовые последствия (см. K126)</w:t>
      </w:r>
      <w:r w:rsidR="006A365E" w:rsidRPr="00CF24A3">
        <w:rPr>
          <w:rFonts w:eastAsia="Calibri"/>
          <w:szCs w:val="22"/>
        </w:rPr>
        <w:t>:</w:t>
      </w:r>
      <w:r w:rsidR="00114206" w:rsidRPr="00CF24A3">
        <w:rPr>
          <w:rFonts w:eastAsia="Calibri"/>
          <w:szCs w:val="22"/>
        </w:rPr>
        <w:t xml:space="preserve"> </w:t>
      </w:r>
      <w:r w:rsidR="00BA448C" w:rsidRPr="00CF24A3">
        <w:rPr>
          <w:rFonts w:eastAsia="Calibri"/>
          <w:szCs w:val="22"/>
        </w:rPr>
        <w:t>Минимальное</w:t>
      </w:r>
    </w:p>
    <w:p w14:paraId="77B8F2AF" w14:textId="61412160" w:rsidR="006A365E" w:rsidRPr="00CF24A3" w:rsidRDefault="006A365E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tbl>
      <w:tblPr>
        <w:tblW w:w="9645" w:type="dxa"/>
        <w:tblBorders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D3964" w:rsidRPr="00CF24A3" w14:paraId="15EE5E9F" w14:textId="77777777" w:rsidTr="007D3964">
        <w:tc>
          <w:tcPr>
            <w:tcW w:w="48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954855" w14:textId="5831F8D0" w:rsidR="007D3964" w:rsidRPr="00CF24A3" w:rsidRDefault="007D3964" w:rsidP="007D3964">
            <w:pPr>
              <w:tabs>
                <w:tab w:val="left" w:pos="4366"/>
              </w:tabs>
              <w:rPr>
                <w:rFonts w:eastAsia="Calibri"/>
                <w:b/>
                <w:iCs/>
                <w:color w:val="000000"/>
                <w:szCs w:val="22"/>
              </w:rPr>
            </w:pPr>
            <w:r w:rsidRPr="00CF24A3">
              <w:rPr>
                <w:b/>
                <w:i/>
                <w:color w:val="000000"/>
                <w:szCs w:val="22"/>
              </w:rPr>
              <w:t>Общее региональное предложение</w:t>
            </w:r>
            <w:r w:rsidRPr="00CF24A3">
              <w:rPr>
                <w:bCs/>
                <w:iCs/>
                <w:color w:val="000000"/>
                <w:szCs w:val="22"/>
              </w:rPr>
              <w:t xml:space="preserve">: </w:t>
            </w:r>
            <w:r w:rsidRPr="00CF24A3">
              <w:rPr>
                <w:bCs/>
                <w:color w:val="000000"/>
                <w:szCs w:val="22"/>
              </w:rPr>
              <w:t>Да/нет</w:t>
            </w:r>
          </w:p>
        </w:tc>
        <w:tc>
          <w:tcPr>
            <w:tcW w:w="48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02316F6" w14:textId="77777777" w:rsidR="007D3964" w:rsidRPr="00CF24A3" w:rsidRDefault="007D3964" w:rsidP="007D3964">
            <w:pPr>
              <w:ind w:left="113"/>
              <w:rPr>
                <w:b/>
                <w:szCs w:val="22"/>
              </w:rPr>
            </w:pPr>
            <w:r w:rsidRPr="00CF24A3">
              <w:rPr>
                <w:b/>
                <w:i/>
                <w:iCs/>
                <w:szCs w:val="22"/>
              </w:rPr>
              <w:t>Предложение группы стран</w:t>
            </w:r>
            <w:r w:rsidRPr="00CF24A3">
              <w:rPr>
                <w:bCs/>
                <w:iCs/>
                <w:szCs w:val="22"/>
              </w:rPr>
              <w:t>:</w:t>
            </w:r>
            <w:r w:rsidRPr="00CF24A3">
              <w:rPr>
                <w:bCs/>
                <w:szCs w:val="22"/>
              </w:rPr>
              <w:t xml:space="preserve"> Да/нет</w:t>
            </w:r>
          </w:p>
          <w:p w14:paraId="053D262E" w14:textId="554D1B26" w:rsidR="007D3964" w:rsidRPr="00CF24A3" w:rsidRDefault="007D3964" w:rsidP="007D3964">
            <w:pPr>
              <w:spacing w:after="240"/>
              <w:ind w:left="113"/>
              <w:rPr>
                <w:b/>
                <w:iCs/>
                <w:szCs w:val="22"/>
              </w:rPr>
            </w:pPr>
            <w:r w:rsidRPr="00CF24A3">
              <w:rPr>
                <w:b/>
                <w:i/>
                <w:iCs/>
                <w:szCs w:val="22"/>
              </w:rPr>
              <w:t>Количество стран</w:t>
            </w:r>
            <w:r w:rsidRPr="00CF24A3">
              <w:rPr>
                <w:bCs/>
                <w:iCs/>
                <w:szCs w:val="22"/>
              </w:rPr>
              <w:t>:</w:t>
            </w:r>
          </w:p>
        </w:tc>
      </w:tr>
    </w:tbl>
    <w:p w14:paraId="1AAA4B40" w14:textId="121594E5" w:rsidR="007D3964" w:rsidRPr="00CF24A3" w:rsidRDefault="007D3964" w:rsidP="007D3964">
      <w:pPr>
        <w:pBdr>
          <w:bottom w:val="single" w:sz="12" w:space="1" w:color="auto"/>
        </w:pBd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eastAsia="Calibri"/>
          <w:color w:val="000000"/>
          <w:szCs w:val="22"/>
        </w:rPr>
      </w:pPr>
    </w:p>
    <w:p w14:paraId="172205CD" w14:textId="2DD97A38" w:rsidR="006A365E" w:rsidRPr="00CF24A3" w:rsidRDefault="007D3964" w:rsidP="006A365E">
      <w:pPr>
        <w:rPr>
          <w:rFonts w:eastAsia="Calibri"/>
          <w:b/>
          <w:bCs/>
          <w:i/>
          <w:iCs/>
          <w:szCs w:val="22"/>
        </w:rPr>
      </w:pPr>
      <w:r w:rsidRPr="00CF24A3">
        <w:rPr>
          <w:rFonts w:eastAsia="Calibri"/>
          <w:b/>
          <w:bCs/>
          <w:i/>
          <w:iCs/>
          <w:szCs w:val="22"/>
        </w:rPr>
        <w:t>Примечания</w:t>
      </w:r>
    </w:p>
    <w:p w14:paraId="3A883917" w14:textId="765D346A" w:rsidR="006A365E" w:rsidRPr="00CF24A3" w:rsidRDefault="007D3964" w:rsidP="007D3964">
      <w:pPr>
        <w:jc w:val="center"/>
      </w:pPr>
      <w:r w:rsidRPr="00CF24A3">
        <w:t>______________</w:t>
      </w:r>
    </w:p>
    <w:sectPr w:rsidR="006A365E" w:rsidRPr="00CF24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7B23" w14:textId="77777777" w:rsidR="00F1578A" w:rsidRDefault="00F1578A">
      <w:r>
        <w:separator/>
      </w:r>
    </w:p>
  </w:endnote>
  <w:endnote w:type="continuationSeparator" w:id="0">
    <w:p w14:paraId="12FBF24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FA5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E5D164C" w14:textId="0A5CCAA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21CE">
      <w:rPr>
        <w:noProof/>
        <w:lang w:val="fr-FR"/>
      </w:rPr>
      <w:t>P:\RUS\ITU-R\CONF-R\CMR19\000\011ADD24ADD07REV1R.docx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21CE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21CE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7D7C" w14:textId="4CC3A9A8" w:rsidR="00567276" w:rsidRPr="00CF24A3" w:rsidRDefault="00CF24A3" w:rsidP="00CF24A3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21CE">
      <w:rPr>
        <w:lang w:val="fr-FR"/>
      </w:rPr>
      <w:t>P:\RUS\ITU-R\CONF-R\CMR19\000\011ADD24ADD07REV1R.docx</w:t>
    </w:r>
    <w:r>
      <w:fldChar w:fldCharType="end"/>
    </w:r>
    <w:r w:rsidRPr="00A21770">
      <w:t xml:space="preserve"> (</w:t>
    </w:r>
    <w:r>
      <w:rPr>
        <w:lang w:val="ru-RU"/>
      </w:rPr>
      <w:t>461692</w:t>
    </w:r>
    <w:r w:rsidRPr="00A2177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BB39" w14:textId="6C3EA794" w:rsidR="00567276" w:rsidRPr="00A21770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21CE">
      <w:rPr>
        <w:lang w:val="fr-FR"/>
      </w:rPr>
      <w:t>P:\RUS\ITU-R\CONF-R\CMR19\000\011ADD24ADD07REV1R.docx</w:t>
    </w:r>
    <w:r>
      <w:fldChar w:fldCharType="end"/>
    </w:r>
    <w:r w:rsidR="00595144" w:rsidRPr="00A21770">
      <w:t xml:space="preserve"> (</w:t>
    </w:r>
    <w:r w:rsidR="00CF24A3">
      <w:rPr>
        <w:lang w:val="ru-RU"/>
      </w:rPr>
      <w:t>461692</w:t>
    </w:r>
    <w:r w:rsidR="00595144" w:rsidRPr="00A2177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00AD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003D775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9D8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DAE4BEC" w14:textId="69F56ECE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11(Add.24)(Add.7</w:t>
    </w:r>
    <w:r w:rsidR="008D66D6">
      <w:t>)(Rev.1)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C5D7B53"/>
    <w:multiLevelType w:val="hybridMultilevel"/>
    <w:tmpl w:val="E8B8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39E"/>
    <w:multiLevelType w:val="hybridMultilevel"/>
    <w:tmpl w:val="0092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6315"/>
    <w:rsid w:val="000260F1"/>
    <w:rsid w:val="0003535B"/>
    <w:rsid w:val="000A0EF3"/>
    <w:rsid w:val="000B165B"/>
    <w:rsid w:val="000C3F55"/>
    <w:rsid w:val="000F33D8"/>
    <w:rsid w:val="000F39B4"/>
    <w:rsid w:val="00106B19"/>
    <w:rsid w:val="00111125"/>
    <w:rsid w:val="00113D0B"/>
    <w:rsid w:val="00114206"/>
    <w:rsid w:val="001226EC"/>
    <w:rsid w:val="00123B68"/>
    <w:rsid w:val="00124C09"/>
    <w:rsid w:val="00126F2E"/>
    <w:rsid w:val="001521AE"/>
    <w:rsid w:val="00155B23"/>
    <w:rsid w:val="00173AE3"/>
    <w:rsid w:val="001A3C0A"/>
    <w:rsid w:val="001A5585"/>
    <w:rsid w:val="001C7EC3"/>
    <w:rsid w:val="001E5FB4"/>
    <w:rsid w:val="00202CA0"/>
    <w:rsid w:val="00207705"/>
    <w:rsid w:val="00230582"/>
    <w:rsid w:val="002449AA"/>
    <w:rsid w:val="00245A1F"/>
    <w:rsid w:val="002745C0"/>
    <w:rsid w:val="00290C74"/>
    <w:rsid w:val="002A1549"/>
    <w:rsid w:val="002A2D3F"/>
    <w:rsid w:val="002D4030"/>
    <w:rsid w:val="002E2E5A"/>
    <w:rsid w:val="00300F84"/>
    <w:rsid w:val="00312C81"/>
    <w:rsid w:val="003258F2"/>
    <w:rsid w:val="00344EB8"/>
    <w:rsid w:val="00346BEC"/>
    <w:rsid w:val="00360F99"/>
    <w:rsid w:val="00371E4B"/>
    <w:rsid w:val="003928F4"/>
    <w:rsid w:val="00396C2F"/>
    <w:rsid w:val="003C0D0D"/>
    <w:rsid w:val="003C583C"/>
    <w:rsid w:val="003D1595"/>
    <w:rsid w:val="003F0078"/>
    <w:rsid w:val="004273F9"/>
    <w:rsid w:val="00434A7C"/>
    <w:rsid w:val="0045143A"/>
    <w:rsid w:val="00465596"/>
    <w:rsid w:val="004712CD"/>
    <w:rsid w:val="004A58F4"/>
    <w:rsid w:val="004B716F"/>
    <w:rsid w:val="004C1369"/>
    <w:rsid w:val="004C47ED"/>
    <w:rsid w:val="004F3B0D"/>
    <w:rsid w:val="004F70A4"/>
    <w:rsid w:val="0051315E"/>
    <w:rsid w:val="005144A9"/>
    <w:rsid w:val="00514E1F"/>
    <w:rsid w:val="00521B1D"/>
    <w:rsid w:val="005305D5"/>
    <w:rsid w:val="00540D1E"/>
    <w:rsid w:val="005651C9"/>
    <w:rsid w:val="00567276"/>
    <w:rsid w:val="00572EAB"/>
    <w:rsid w:val="005755E2"/>
    <w:rsid w:val="00595144"/>
    <w:rsid w:val="00597005"/>
    <w:rsid w:val="005A295E"/>
    <w:rsid w:val="005C3EBE"/>
    <w:rsid w:val="005D1879"/>
    <w:rsid w:val="005D79A3"/>
    <w:rsid w:val="005E61DD"/>
    <w:rsid w:val="006023DF"/>
    <w:rsid w:val="006115BE"/>
    <w:rsid w:val="00614771"/>
    <w:rsid w:val="00620DD7"/>
    <w:rsid w:val="00650B1C"/>
    <w:rsid w:val="00657DE0"/>
    <w:rsid w:val="00671CAA"/>
    <w:rsid w:val="00692C06"/>
    <w:rsid w:val="006A21CE"/>
    <w:rsid w:val="006A365E"/>
    <w:rsid w:val="006A6DF2"/>
    <w:rsid w:val="006A6E9B"/>
    <w:rsid w:val="00763F4F"/>
    <w:rsid w:val="00775720"/>
    <w:rsid w:val="007917AE"/>
    <w:rsid w:val="007A08B5"/>
    <w:rsid w:val="007D3964"/>
    <w:rsid w:val="00811633"/>
    <w:rsid w:val="00812452"/>
    <w:rsid w:val="008141BB"/>
    <w:rsid w:val="00815749"/>
    <w:rsid w:val="008320B1"/>
    <w:rsid w:val="00871708"/>
    <w:rsid w:val="00872FC8"/>
    <w:rsid w:val="00890FD1"/>
    <w:rsid w:val="008A31A1"/>
    <w:rsid w:val="008B43F2"/>
    <w:rsid w:val="008C3257"/>
    <w:rsid w:val="008C401C"/>
    <w:rsid w:val="008D202C"/>
    <w:rsid w:val="008D3167"/>
    <w:rsid w:val="008D66D6"/>
    <w:rsid w:val="008E2C4E"/>
    <w:rsid w:val="009119CC"/>
    <w:rsid w:val="00917C0A"/>
    <w:rsid w:val="00941A02"/>
    <w:rsid w:val="009625B0"/>
    <w:rsid w:val="00966C93"/>
    <w:rsid w:val="009732EB"/>
    <w:rsid w:val="00987FA4"/>
    <w:rsid w:val="009B5CC2"/>
    <w:rsid w:val="009C5CA8"/>
    <w:rsid w:val="009D3D63"/>
    <w:rsid w:val="009E21AE"/>
    <w:rsid w:val="009E5493"/>
    <w:rsid w:val="009E5FC8"/>
    <w:rsid w:val="00A117A3"/>
    <w:rsid w:val="00A138D0"/>
    <w:rsid w:val="00A141AF"/>
    <w:rsid w:val="00A2044F"/>
    <w:rsid w:val="00A21770"/>
    <w:rsid w:val="00A4600A"/>
    <w:rsid w:val="00A57C04"/>
    <w:rsid w:val="00A61057"/>
    <w:rsid w:val="00A710E7"/>
    <w:rsid w:val="00A81026"/>
    <w:rsid w:val="00A814B1"/>
    <w:rsid w:val="00A84BF9"/>
    <w:rsid w:val="00A9249F"/>
    <w:rsid w:val="00A97EC0"/>
    <w:rsid w:val="00AC66E6"/>
    <w:rsid w:val="00AF1D36"/>
    <w:rsid w:val="00B24E60"/>
    <w:rsid w:val="00B468A6"/>
    <w:rsid w:val="00B6754E"/>
    <w:rsid w:val="00B75113"/>
    <w:rsid w:val="00BA13A4"/>
    <w:rsid w:val="00BA1AA1"/>
    <w:rsid w:val="00BA35DC"/>
    <w:rsid w:val="00BA448C"/>
    <w:rsid w:val="00BC2A51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2943"/>
    <w:rsid w:val="00C916AF"/>
    <w:rsid w:val="00C92959"/>
    <w:rsid w:val="00CC47C6"/>
    <w:rsid w:val="00CC4DE6"/>
    <w:rsid w:val="00CE5E47"/>
    <w:rsid w:val="00CF020F"/>
    <w:rsid w:val="00CF24A3"/>
    <w:rsid w:val="00D237F1"/>
    <w:rsid w:val="00D53715"/>
    <w:rsid w:val="00DC70B0"/>
    <w:rsid w:val="00DE2EBA"/>
    <w:rsid w:val="00E2253F"/>
    <w:rsid w:val="00E41DB9"/>
    <w:rsid w:val="00E42DAD"/>
    <w:rsid w:val="00E43E99"/>
    <w:rsid w:val="00E5155F"/>
    <w:rsid w:val="00E61AFE"/>
    <w:rsid w:val="00E65919"/>
    <w:rsid w:val="00E73079"/>
    <w:rsid w:val="00E976C1"/>
    <w:rsid w:val="00EA0C0C"/>
    <w:rsid w:val="00EB66F7"/>
    <w:rsid w:val="00F1578A"/>
    <w:rsid w:val="00F21A03"/>
    <w:rsid w:val="00F3397E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78D5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styleId="ListParagraph">
    <w:name w:val="List Paragraph"/>
    <w:basedOn w:val="Normal"/>
    <w:uiPriority w:val="34"/>
    <w:qFormat/>
    <w:rsid w:val="008A31A1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R16-WRC19-C-0011!A24-A7!MSW-R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6D657-16D9-4DC3-BD1B-BA785B71E657}">
  <ds:schemaRefs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AFB61E-215C-4DE0-82C1-32BBDF3BAD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464B53-BCF7-4CB1-B27F-3A7339B7D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DA54F7-EFF0-4E9C-A4EA-6A82AA3C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991</Words>
  <Characters>7305</Characters>
  <Application>Microsoft Office Word</Application>
  <DocSecurity>0</DocSecurity>
  <Lines>165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R16-WRC19-C-0011!A24-A7!MSW-R</vt:lpstr>
    </vt:vector>
  </TitlesOfParts>
  <Manager>General Secretariat - Pool</Manager>
  <Company>International Telecommunication Union (ITU)</Company>
  <LinksUpToDate>false</LinksUpToDate>
  <CharactersWithSpaces>8231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R16-WRC19-C-0011!A24-A7!MSW-R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48</cp:revision>
  <cp:lastPrinted>2019-10-18T13:33:00Z</cp:lastPrinted>
  <dcterms:created xsi:type="dcterms:W3CDTF">2019-09-24T12:05:00Z</dcterms:created>
  <dcterms:modified xsi:type="dcterms:W3CDTF">2019-10-18T13:33:00Z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