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3B25B51D" w14:textId="77777777" w:rsidTr="001355BF">
        <w:trPr>
          <w:cantSplit/>
        </w:trPr>
        <w:tc>
          <w:tcPr>
            <w:tcW w:w="6804" w:type="dxa"/>
          </w:tcPr>
          <w:p w14:paraId="4D5F637F"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5F78DF91"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35E8B326" wp14:editId="3B2D802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4D41146" w14:textId="77777777" w:rsidTr="001355BF">
        <w:trPr>
          <w:cantSplit/>
        </w:trPr>
        <w:tc>
          <w:tcPr>
            <w:tcW w:w="6804" w:type="dxa"/>
            <w:tcBorders>
              <w:bottom w:val="single" w:sz="12" w:space="0" w:color="auto"/>
            </w:tcBorders>
          </w:tcPr>
          <w:p w14:paraId="30A1E18B"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4D565A53" w14:textId="77777777" w:rsidR="0090121B" w:rsidRPr="0002785D" w:rsidRDefault="0090121B" w:rsidP="0090121B">
            <w:pPr>
              <w:spacing w:before="0" w:line="240" w:lineRule="atLeast"/>
              <w:rPr>
                <w:rFonts w:ascii="Verdana" w:hAnsi="Verdana"/>
                <w:szCs w:val="24"/>
                <w:lang w:val="en-US"/>
              </w:rPr>
            </w:pPr>
          </w:p>
        </w:tc>
      </w:tr>
      <w:tr w:rsidR="0090121B" w:rsidRPr="0002785D" w14:paraId="4E329125" w14:textId="77777777" w:rsidTr="001355BF">
        <w:trPr>
          <w:cantSplit/>
        </w:trPr>
        <w:tc>
          <w:tcPr>
            <w:tcW w:w="6804" w:type="dxa"/>
            <w:tcBorders>
              <w:top w:val="single" w:sz="12" w:space="0" w:color="auto"/>
            </w:tcBorders>
          </w:tcPr>
          <w:p w14:paraId="56A76C37"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6FEF6640" w14:textId="77777777" w:rsidR="0090121B" w:rsidRPr="0002785D" w:rsidRDefault="0090121B" w:rsidP="0090121B">
            <w:pPr>
              <w:spacing w:before="0" w:line="240" w:lineRule="atLeast"/>
              <w:rPr>
                <w:rFonts w:ascii="Verdana" w:hAnsi="Verdana"/>
                <w:sz w:val="20"/>
                <w:lang w:val="en-US"/>
              </w:rPr>
            </w:pPr>
          </w:p>
        </w:tc>
      </w:tr>
      <w:tr w:rsidR="0090121B" w:rsidRPr="0002785D" w14:paraId="3F402FEB" w14:textId="77777777" w:rsidTr="001355BF">
        <w:trPr>
          <w:cantSplit/>
        </w:trPr>
        <w:tc>
          <w:tcPr>
            <w:tcW w:w="6804" w:type="dxa"/>
          </w:tcPr>
          <w:p w14:paraId="04F727DD" w14:textId="77777777" w:rsidR="0090121B" w:rsidRPr="00B239FA" w:rsidRDefault="001E7D42" w:rsidP="00EA77F0">
            <w:pPr>
              <w:pStyle w:val="Committee"/>
              <w:framePr w:hSpace="0" w:wrap="auto" w:hAnchor="text" w:yAlign="inline"/>
            </w:pPr>
            <w:r w:rsidRPr="001E7D42">
              <w:t>SESIÓN PLENARIA</w:t>
            </w:r>
          </w:p>
        </w:tc>
        <w:tc>
          <w:tcPr>
            <w:tcW w:w="3227" w:type="dxa"/>
          </w:tcPr>
          <w:p w14:paraId="18C10096" w14:textId="7436FBCA" w:rsidR="0090121B" w:rsidRPr="001355BF" w:rsidRDefault="00A867C5" w:rsidP="0045384C">
            <w:pPr>
              <w:spacing w:before="0"/>
              <w:rPr>
                <w:rFonts w:ascii="Verdana" w:hAnsi="Verdana"/>
                <w:sz w:val="20"/>
                <w:lang w:val="es-ES"/>
              </w:rPr>
            </w:pPr>
            <w:r>
              <w:rPr>
                <w:rFonts w:ascii="Verdana" w:hAnsi="Verdana"/>
                <w:b/>
                <w:sz w:val="20"/>
                <w:lang w:val="es-ES"/>
              </w:rPr>
              <w:t>Revisión 1</w:t>
            </w:r>
            <w:r w:rsidR="0046294B">
              <w:rPr>
                <w:rFonts w:ascii="Verdana" w:hAnsi="Verdana"/>
                <w:b/>
                <w:sz w:val="20"/>
                <w:lang w:val="es-ES"/>
              </w:rPr>
              <w:t xml:space="preserve"> al</w:t>
            </w:r>
            <w:bookmarkStart w:id="2" w:name="_GoBack"/>
            <w:bookmarkEnd w:id="2"/>
            <w:r>
              <w:rPr>
                <w:rFonts w:ascii="Verdana" w:hAnsi="Verdana"/>
                <w:b/>
                <w:sz w:val="20"/>
                <w:lang w:val="es-ES"/>
              </w:rPr>
              <w:br/>
            </w:r>
            <w:r w:rsidR="00AE658F" w:rsidRPr="001355BF">
              <w:rPr>
                <w:rFonts w:ascii="Verdana" w:hAnsi="Verdana"/>
                <w:b/>
                <w:sz w:val="20"/>
                <w:lang w:val="es-ES"/>
              </w:rPr>
              <w:t>Addéndum 7 al</w:t>
            </w:r>
            <w:r w:rsidR="00AE658F" w:rsidRPr="001355BF">
              <w:rPr>
                <w:rFonts w:ascii="Verdana" w:hAnsi="Verdana"/>
                <w:b/>
                <w:sz w:val="20"/>
                <w:lang w:val="es-ES"/>
              </w:rPr>
              <w:br/>
              <w:t>Documento 11(Add.24)</w:t>
            </w:r>
            <w:r w:rsidR="0090121B" w:rsidRPr="001355BF">
              <w:rPr>
                <w:rFonts w:ascii="Verdana" w:hAnsi="Verdana"/>
                <w:b/>
                <w:sz w:val="20"/>
                <w:lang w:val="es-ES"/>
              </w:rPr>
              <w:t>-</w:t>
            </w:r>
            <w:r w:rsidR="00AE658F" w:rsidRPr="001355BF">
              <w:rPr>
                <w:rFonts w:ascii="Verdana" w:hAnsi="Verdana"/>
                <w:b/>
                <w:sz w:val="20"/>
                <w:lang w:val="es-ES"/>
              </w:rPr>
              <w:t>S</w:t>
            </w:r>
          </w:p>
        </w:tc>
      </w:tr>
      <w:bookmarkEnd w:id="1"/>
      <w:tr w:rsidR="000A5B9A" w:rsidRPr="0002785D" w14:paraId="0F8006B8" w14:textId="77777777" w:rsidTr="001355BF">
        <w:trPr>
          <w:cantSplit/>
        </w:trPr>
        <w:tc>
          <w:tcPr>
            <w:tcW w:w="6804" w:type="dxa"/>
          </w:tcPr>
          <w:p w14:paraId="1C7B1168" w14:textId="77777777" w:rsidR="000A5B9A" w:rsidRPr="001355BF" w:rsidRDefault="000A5B9A" w:rsidP="0045384C">
            <w:pPr>
              <w:spacing w:before="0" w:after="48"/>
              <w:rPr>
                <w:rFonts w:ascii="Verdana" w:hAnsi="Verdana"/>
                <w:b/>
                <w:smallCaps/>
                <w:sz w:val="20"/>
                <w:lang w:val="es-ES"/>
              </w:rPr>
            </w:pPr>
          </w:p>
        </w:tc>
        <w:tc>
          <w:tcPr>
            <w:tcW w:w="3227" w:type="dxa"/>
          </w:tcPr>
          <w:p w14:paraId="38577DC0"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17 de septiembre de 2019</w:t>
            </w:r>
          </w:p>
        </w:tc>
      </w:tr>
      <w:tr w:rsidR="000A5B9A" w:rsidRPr="0002785D" w14:paraId="0064897C" w14:textId="77777777" w:rsidTr="001355BF">
        <w:trPr>
          <w:cantSplit/>
        </w:trPr>
        <w:tc>
          <w:tcPr>
            <w:tcW w:w="6804" w:type="dxa"/>
          </w:tcPr>
          <w:p w14:paraId="3D8E7DC3" w14:textId="77777777" w:rsidR="000A5B9A" w:rsidRPr="0002785D" w:rsidRDefault="000A5B9A" w:rsidP="0045384C">
            <w:pPr>
              <w:spacing w:before="0" w:after="48"/>
              <w:rPr>
                <w:rFonts w:ascii="Verdana" w:hAnsi="Verdana"/>
                <w:b/>
                <w:smallCaps/>
                <w:sz w:val="20"/>
                <w:lang w:val="en-US"/>
              </w:rPr>
            </w:pPr>
          </w:p>
        </w:tc>
        <w:tc>
          <w:tcPr>
            <w:tcW w:w="3227" w:type="dxa"/>
          </w:tcPr>
          <w:p w14:paraId="1E7B6F2B" w14:textId="259B4F18"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r w:rsidR="001355BF">
              <w:rPr>
                <w:rFonts w:ascii="Verdana" w:hAnsi="Verdana"/>
                <w:b/>
                <w:sz w:val="20"/>
                <w:lang w:val="en-US"/>
              </w:rPr>
              <w:t>/español</w:t>
            </w:r>
          </w:p>
        </w:tc>
      </w:tr>
      <w:tr w:rsidR="000A5B9A" w:rsidRPr="0002785D" w14:paraId="58D84423" w14:textId="77777777" w:rsidTr="006744FC">
        <w:trPr>
          <w:cantSplit/>
        </w:trPr>
        <w:tc>
          <w:tcPr>
            <w:tcW w:w="10031" w:type="dxa"/>
            <w:gridSpan w:val="2"/>
          </w:tcPr>
          <w:p w14:paraId="2BFB0AC0" w14:textId="77777777" w:rsidR="000A5B9A" w:rsidRPr="0002785D" w:rsidRDefault="000A5B9A" w:rsidP="0045384C">
            <w:pPr>
              <w:spacing w:before="0"/>
              <w:rPr>
                <w:rFonts w:ascii="Verdana" w:hAnsi="Verdana"/>
                <w:b/>
                <w:sz w:val="20"/>
                <w:lang w:val="en-US"/>
              </w:rPr>
            </w:pPr>
          </w:p>
        </w:tc>
      </w:tr>
      <w:tr w:rsidR="000A5B9A" w:rsidRPr="0002785D" w14:paraId="4A377EE2" w14:textId="77777777" w:rsidTr="0050008E">
        <w:trPr>
          <w:cantSplit/>
        </w:trPr>
        <w:tc>
          <w:tcPr>
            <w:tcW w:w="10031" w:type="dxa"/>
            <w:gridSpan w:val="2"/>
          </w:tcPr>
          <w:p w14:paraId="7BBAD983" w14:textId="77777777" w:rsidR="000A5B9A" w:rsidRPr="001355BF" w:rsidRDefault="000A5B9A" w:rsidP="000A5B9A">
            <w:pPr>
              <w:pStyle w:val="Source"/>
              <w:rPr>
                <w:lang w:val="es-ES"/>
              </w:rPr>
            </w:pPr>
            <w:bookmarkStart w:id="3" w:name="dsource" w:colFirst="0" w:colLast="0"/>
            <w:r w:rsidRPr="001355BF">
              <w:rPr>
                <w:lang w:val="es-ES"/>
              </w:rPr>
              <w:t>Estados Miembros de la Comisión Interamericana de Telecomunicaciones (CITEL)</w:t>
            </w:r>
          </w:p>
        </w:tc>
      </w:tr>
      <w:tr w:rsidR="000A5B9A" w:rsidRPr="001355BF" w14:paraId="2C413D53" w14:textId="77777777" w:rsidTr="0050008E">
        <w:trPr>
          <w:cantSplit/>
        </w:trPr>
        <w:tc>
          <w:tcPr>
            <w:tcW w:w="10031" w:type="dxa"/>
            <w:gridSpan w:val="2"/>
          </w:tcPr>
          <w:p w14:paraId="4E0B8D86" w14:textId="1248B12D" w:rsidR="000A5B9A" w:rsidRPr="001355BF" w:rsidRDefault="001355BF" w:rsidP="000A5B9A">
            <w:pPr>
              <w:pStyle w:val="Title1"/>
              <w:rPr>
                <w:lang w:val="es-ES"/>
              </w:rPr>
            </w:pPr>
            <w:bookmarkStart w:id="4" w:name="dtitle1" w:colFirst="0" w:colLast="0"/>
            <w:bookmarkEnd w:id="3"/>
            <w:r w:rsidRPr="00AC32C6">
              <w:rPr>
                <w:lang w:val="es-ES"/>
              </w:rPr>
              <w:t>Propuestas para los trabajos de la Conferencia</w:t>
            </w:r>
          </w:p>
        </w:tc>
      </w:tr>
      <w:tr w:rsidR="000A5B9A" w:rsidRPr="001355BF" w14:paraId="1E6F237C" w14:textId="77777777" w:rsidTr="0050008E">
        <w:trPr>
          <w:cantSplit/>
        </w:trPr>
        <w:tc>
          <w:tcPr>
            <w:tcW w:w="10031" w:type="dxa"/>
            <w:gridSpan w:val="2"/>
          </w:tcPr>
          <w:p w14:paraId="5DDA655A" w14:textId="77777777" w:rsidR="000A5B9A" w:rsidRPr="001355BF" w:rsidRDefault="000A5B9A" w:rsidP="000A5B9A">
            <w:pPr>
              <w:pStyle w:val="Title2"/>
              <w:rPr>
                <w:lang w:val="es-ES"/>
              </w:rPr>
            </w:pPr>
            <w:bookmarkStart w:id="5" w:name="dtitle2" w:colFirst="0" w:colLast="0"/>
            <w:bookmarkEnd w:id="4"/>
          </w:p>
        </w:tc>
      </w:tr>
      <w:tr w:rsidR="000A5B9A" w14:paraId="2C60E5A9" w14:textId="77777777" w:rsidTr="0050008E">
        <w:trPr>
          <w:cantSplit/>
        </w:trPr>
        <w:tc>
          <w:tcPr>
            <w:tcW w:w="10031" w:type="dxa"/>
            <w:gridSpan w:val="2"/>
          </w:tcPr>
          <w:p w14:paraId="28B11434" w14:textId="77777777" w:rsidR="000A5B9A" w:rsidRDefault="000A5B9A" w:rsidP="000A5B9A">
            <w:pPr>
              <w:pStyle w:val="Agendaitem"/>
            </w:pPr>
            <w:bookmarkStart w:id="6" w:name="dtitle3" w:colFirst="0" w:colLast="0"/>
            <w:bookmarkEnd w:id="5"/>
            <w:r w:rsidRPr="00AE658F">
              <w:t>Punto 10 del orden del día</w:t>
            </w:r>
          </w:p>
        </w:tc>
      </w:tr>
    </w:tbl>
    <w:bookmarkEnd w:id="6"/>
    <w:p w14:paraId="1C5744E9" w14:textId="77777777" w:rsidR="001C0E40" w:rsidRDefault="008E48FA" w:rsidP="003A37B0">
      <w:r w:rsidRPr="00E8457B">
        <w:t>10</w:t>
      </w:r>
      <w:r w:rsidRPr="00E8457B">
        <w:tab/>
        <w:t>recomendar al Consejo los puntos que han de incluirse en el orden del día de la próxima CMR, y formular opiniones sobre el orden del día preliminar de la conferencia subsiguiente y sobre los posibles órdenes del día de futuras conferencias,</w:t>
      </w:r>
    </w:p>
    <w:p w14:paraId="27D1D8F4" w14:textId="77777777" w:rsidR="001355BF" w:rsidRPr="008561D2" w:rsidRDefault="001355BF" w:rsidP="001355BF">
      <w:pPr>
        <w:pStyle w:val="Headingb"/>
        <w:rPr>
          <w:lang w:val="es-MX"/>
        </w:rPr>
      </w:pPr>
      <w:r w:rsidRPr="008561D2">
        <w:rPr>
          <w:lang w:val="es-MX"/>
        </w:rPr>
        <w:t>Antecedentes</w:t>
      </w:r>
    </w:p>
    <w:p w14:paraId="387CCC74" w14:textId="77777777" w:rsidR="001355BF" w:rsidRPr="008561D2" w:rsidRDefault="001355BF" w:rsidP="001355BF">
      <w:pPr>
        <w:rPr>
          <w:lang w:val="es-MX"/>
        </w:rPr>
      </w:pPr>
      <w:r w:rsidRPr="008561D2">
        <w:rPr>
          <w:lang w:val="es-MX"/>
        </w:rPr>
        <w:t xml:space="preserve">La CMR-15 adoptó la Resolución </w:t>
      </w:r>
      <w:r w:rsidRPr="008561D2">
        <w:rPr>
          <w:b/>
          <w:lang w:val="es-MX"/>
        </w:rPr>
        <w:t xml:space="preserve">763 </w:t>
      </w:r>
      <w:r w:rsidRPr="008561D2">
        <w:rPr>
          <w:lang w:val="es-MX"/>
        </w:rPr>
        <w:t>(</w:t>
      </w:r>
      <w:r w:rsidRPr="008561D2">
        <w:rPr>
          <w:b/>
          <w:lang w:val="es-MX"/>
        </w:rPr>
        <w:t>CMR 15</w:t>
      </w:r>
      <w:r w:rsidRPr="008561D2">
        <w:rPr>
          <w:lang w:val="es-MX"/>
        </w:rPr>
        <w:t>) para considerar las estaciones a bordo de vehículos suborbitales. Se resolvió llevar a cabo estudios durante el ciclo de estudios de la CMR-19:</w:t>
      </w:r>
    </w:p>
    <w:p w14:paraId="26BC4061" w14:textId="03CA2BF1" w:rsidR="001355BF" w:rsidRPr="008561D2" w:rsidRDefault="00091309" w:rsidP="00091309">
      <w:pPr>
        <w:pStyle w:val="enumlev1"/>
        <w:rPr>
          <w:lang w:val="es-MX"/>
        </w:rPr>
      </w:pPr>
      <w:r w:rsidRPr="00091309">
        <w:rPr>
          <w:lang w:val="es-MX"/>
        </w:rPr>
        <w:t>•</w:t>
      </w:r>
      <w:r>
        <w:rPr>
          <w:lang w:val="es-MX"/>
        </w:rPr>
        <w:tab/>
      </w:r>
      <w:r w:rsidR="001355BF" w:rsidRPr="008561D2">
        <w:rPr>
          <w:lang w:val="es-MX"/>
        </w:rPr>
        <w:t>para identificar cualesquiera medidas técnicas y operativas requeridas en relación con las estaciones a bordo de vehículos suborbitales que puedan contribuir a evitar interferencias perjudiciales entre los servicios de radiocomunicaciones</w:t>
      </w:r>
      <w:r>
        <w:rPr>
          <w:lang w:val="es-MX"/>
        </w:rPr>
        <w:t>;</w:t>
      </w:r>
    </w:p>
    <w:p w14:paraId="1EFE9298" w14:textId="351A5EBB" w:rsidR="001355BF" w:rsidRPr="008561D2" w:rsidRDefault="00091309" w:rsidP="00091309">
      <w:pPr>
        <w:pStyle w:val="enumlev1"/>
        <w:rPr>
          <w:lang w:val="es-MX"/>
        </w:rPr>
      </w:pPr>
      <w:r w:rsidRPr="00091309">
        <w:rPr>
          <w:lang w:val="es-MX"/>
        </w:rPr>
        <w:t>•</w:t>
      </w:r>
      <w:r>
        <w:rPr>
          <w:lang w:val="es-MX"/>
        </w:rPr>
        <w:tab/>
      </w:r>
      <w:r w:rsidR="001355BF" w:rsidRPr="008561D2">
        <w:rPr>
          <w:lang w:val="es-MX"/>
        </w:rPr>
        <w:t>para determinar las necesidades de espectro y, a partir de los resultados de esos estudios, considerar un posible futuro punto del orden del día para la CMR</w:t>
      </w:r>
      <w:r w:rsidR="008E48FA">
        <w:rPr>
          <w:lang w:val="es-MX"/>
        </w:rPr>
        <w:t>-</w:t>
      </w:r>
      <w:r w:rsidR="001355BF" w:rsidRPr="008561D2">
        <w:rPr>
          <w:lang w:val="es-MX"/>
        </w:rPr>
        <w:t>23.</w:t>
      </w:r>
    </w:p>
    <w:p w14:paraId="274AA464" w14:textId="64C2D9C1" w:rsidR="001355BF" w:rsidRPr="008561D2" w:rsidRDefault="001355BF" w:rsidP="001355BF">
      <w:pPr>
        <w:rPr>
          <w:lang w:val="es-MX"/>
        </w:rPr>
      </w:pPr>
      <w:r w:rsidRPr="008561D2">
        <w:rPr>
          <w:lang w:val="es-MX"/>
        </w:rPr>
        <w:t xml:space="preserve">Cabe señalar también que en 2015 el UIT-R formuló la Cuestión UIT-R 259/5, </w:t>
      </w:r>
      <w:r>
        <w:rPr>
          <w:lang w:val="es-MX"/>
        </w:rPr>
        <w:t>«</w:t>
      </w:r>
      <w:r w:rsidRPr="008561D2">
        <w:rPr>
          <w:lang w:val="es-MX"/>
        </w:rPr>
        <w:t>Aspectos operativos y de reglamentación de las radiocomunicaciones para aviones que vuelan en la capa superior de la atmósfera</w:t>
      </w:r>
      <w:r>
        <w:rPr>
          <w:lang w:val="es-MX"/>
        </w:rPr>
        <w:t>»</w:t>
      </w:r>
      <w:r w:rsidRPr="008561D2">
        <w:rPr>
          <w:lang w:val="es-MX"/>
        </w:rPr>
        <w:t xml:space="preserve">. Los estudios realizados en el marco de esta Cuestión están relacionados con la Resolución </w:t>
      </w:r>
      <w:r w:rsidRPr="008561D2">
        <w:rPr>
          <w:b/>
          <w:lang w:val="es-MX"/>
        </w:rPr>
        <w:t>763 (CMR-15)</w:t>
      </w:r>
      <w:r w:rsidRPr="008561D2">
        <w:rPr>
          <w:lang w:val="es-MX"/>
        </w:rPr>
        <w:t xml:space="preserve">. En particular, el </w:t>
      </w:r>
      <w:r w:rsidRPr="00091309">
        <w:rPr>
          <w:i/>
          <w:iCs/>
          <w:lang w:val="es-MX"/>
        </w:rPr>
        <w:t>decide</w:t>
      </w:r>
      <w:r w:rsidRPr="008561D2">
        <w:rPr>
          <w:lang w:val="es-MX"/>
        </w:rPr>
        <w:t xml:space="preserve"> 3 de la Cuestión pregunta: </w:t>
      </w:r>
      <w:r>
        <w:rPr>
          <w:lang w:val="es-MX"/>
        </w:rPr>
        <w:t>«</w:t>
      </w:r>
      <w:r w:rsidRPr="008561D2">
        <w:rPr>
          <w:lang w:val="es-MX"/>
        </w:rPr>
        <w:t>¿Qué enlaces de radiocomunicaciones serán necesarios para apoyar las operaciones de aviones espaciales, y bajo qué definición de servicio de radiocomunicaciones se encontrarán?</w:t>
      </w:r>
      <w:r>
        <w:rPr>
          <w:lang w:val="es-MX"/>
        </w:rPr>
        <w:t>»</w:t>
      </w:r>
    </w:p>
    <w:p w14:paraId="75915BA1" w14:textId="77777777" w:rsidR="001355BF" w:rsidRPr="008561D2" w:rsidRDefault="001355BF" w:rsidP="001355BF">
      <w:pPr>
        <w:rPr>
          <w:lang w:val="es-MX"/>
        </w:rPr>
      </w:pPr>
      <w:r w:rsidRPr="008561D2">
        <w:rPr>
          <w:lang w:val="es-MX"/>
        </w:rPr>
        <w:t>Hay novedades previstas para el vuelo suborbital con base en varios tipos de tecnologías y vehículos. Los enfoques varían entre aquellos que utilizan un solo vehículo y los que utilizan un vehículo de lanzamiento que lleva el vehículo espacial hasta una altura intermedia antes de liberar el vehículo espacial para alejarse acelerando y entrar en vuelo suborbital.</w:t>
      </w:r>
    </w:p>
    <w:p w14:paraId="64751E61" w14:textId="77777777" w:rsidR="001355BF" w:rsidRPr="008561D2" w:rsidRDefault="001355BF" w:rsidP="001355BF">
      <w:pPr>
        <w:rPr>
          <w:lang w:val="es-MX"/>
        </w:rPr>
      </w:pPr>
      <w:r w:rsidRPr="008561D2">
        <w:rPr>
          <w:lang w:val="es-MX"/>
        </w:rPr>
        <w:t>El UIT-R realizó análisis técnicos y operativos de las estaciones a bordo de vehículos suborbitales, incluyendo:</w:t>
      </w:r>
    </w:p>
    <w:p w14:paraId="7C1B68D8" w14:textId="0C48F2C6" w:rsidR="001355BF" w:rsidRPr="008561D2" w:rsidRDefault="00091309" w:rsidP="00091309">
      <w:pPr>
        <w:pStyle w:val="enumlev1"/>
        <w:rPr>
          <w:lang w:val="es-MX"/>
        </w:rPr>
      </w:pPr>
      <w:r w:rsidRPr="00091309">
        <w:rPr>
          <w:lang w:val="es-MX"/>
        </w:rPr>
        <w:t>•</w:t>
      </w:r>
      <w:r>
        <w:rPr>
          <w:lang w:val="es-MX"/>
        </w:rPr>
        <w:tab/>
      </w:r>
      <w:r w:rsidR="001355BF" w:rsidRPr="008561D2">
        <w:rPr>
          <w:lang w:val="es-MX"/>
        </w:rPr>
        <w:t xml:space="preserve">una evaluación de las disposiciones reglamentarias que puedan requerir adiciones o modificaciones; y </w:t>
      </w:r>
    </w:p>
    <w:p w14:paraId="42921F1A" w14:textId="5173ED7D" w:rsidR="001355BF" w:rsidRPr="008561D2" w:rsidRDefault="00091309" w:rsidP="00091309">
      <w:pPr>
        <w:pStyle w:val="enumlev1"/>
        <w:rPr>
          <w:lang w:val="es-MX"/>
        </w:rPr>
      </w:pPr>
      <w:r w:rsidRPr="00091309">
        <w:rPr>
          <w:lang w:val="es-MX"/>
        </w:rPr>
        <w:lastRenderedPageBreak/>
        <w:t>•</w:t>
      </w:r>
      <w:r>
        <w:rPr>
          <w:lang w:val="es-MX"/>
        </w:rPr>
        <w:tab/>
      </w:r>
      <w:r w:rsidR="001355BF" w:rsidRPr="008561D2">
        <w:rPr>
          <w:lang w:val="es-MX"/>
        </w:rPr>
        <w:t>la identificación de una posible necesidad de espectro para apoyar las comunicaciones y la vigilancia en el espacio, sin cambiar el uso actual del servicio de operaciones espaciales.</w:t>
      </w:r>
    </w:p>
    <w:p w14:paraId="46330E3D" w14:textId="7AC0135D" w:rsidR="00597177" w:rsidRPr="00597177" w:rsidRDefault="001355BF" w:rsidP="001355BF">
      <w:pPr>
        <w:rPr>
          <w:rFonts w:asciiTheme="majorBidi" w:hAnsiTheme="majorBidi" w:cstheme="majorBidi"/>
        </w:rPr>
      </w:pPr>
      <w:r w:rsidRPr="008561D2">
        <w:rPr>
          <w:lang w:val="es-MX"/>
        </w:rPr>
        <w:t>Además, los análisis examinaron los balances de enlace y los desplazamientos Doppler para vehículos suborbitales que utilizan los sistemas y tecnologías normalizados existentes de radiocomunicaciones de la OACI. Los estudios concluyeron que, mientras que no hay necesidad de nuevas atribuciones del espectro, es necesario un punto del orden del día de la CMR-23 para modificar las definiciones a fin de facilitar la introducción de las radiocomunicaciones de vehículos suborbitales.</w:t>
      </w:r>
    </w:p>
    <w:p w14:paraId="2FB6071D" w14:textId="77777777" w:rsidR="00363A65" w:rsidRDefault="00363A65" w:rsidP="002C1A52"/>
    <w:p w14:paraId="753BABE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0D3F1BAF" w14:textId="77777777" w:rsidR="00951BE0" w:rsidRDefault="008E48FA">
      <w:pPr>
        <w:pStyle w:val="Proposal"/>
      </w:pPr>
      <w:r>
        <w:lastRenderedPageBreak/>
        <w:t>ADD</w:t>
      </w:r>
      <w:r>
        <w:tab/>
        <w:t>IAP/11A24A7/1</w:t>
      </w:r>
    </w:p>
    <w:p w14:paraId="4915BCCD" w14:textId="28E65642" w:rsidR="00951BE0" w:rsidRDefault="008E48FA">
      <w:pPr>
        <w:pStyle w:val="ResNo"/>
      </w:pPr>
      <w:r>
        <w:t xml:space="preserve">Proyecto de nueva Resolución </w:t>
      </w:r>
      <w:r w:rsidR="001355BF">
        <w:t>[</w:t>
      </w:r>
      <w:r w:rsidR="001355BF" w:rsidRPr="008561D2">
        <w:rPr>
          <w:lang w:val="es-MX"/>
        </w:rPr>
        <w:t>IAP/10(G)</w:t>
      </w:r>
      <w:r w:rsidR="001355BF">
        <w:rPr>
          <w:lang w:val="es-MX"/>
        </w:rPr>
        <w:t>-2023</w:t>
      </w:r>
      <w:r w:rsidR="001355BF" w:rsidRPr="008561D2">
        <w:rPr>
          <w:lang w:val="es-MX"/>
        </w:rPr>
        <w:t>] (CMR-19)</w:t>
      </w:r>
    </w:p>
    <w:p w14:paraId="61F8CF19" w14:textId="42E461F0" w:rsidR="00951BE0" w:rsidRPr="001355BF" w:rsidRDefault="001355BF" w:rsidP="00266EAE">
      <w:pPr>
        <w:pStyle w:val="Restitle"/>
        <w:rPr>
          <w:lang w:val="es-ES"/>
        </w:rPr>
      </w:pPr>
      <w:r w:rsidRPr="008561D2">
        <w:rPr>
          <w:lang w:val="es-MX"/>
        </w:rPr>
        <w:t xml:space="preserve">Orden del día de la </w:t>
      </w:r>
      <w:r w:rsidRPr="00266EAE">
        <w:t>Conferencia</w:t>
      </w:r>
      <w:r w:rsidRPr="008561D2">
        <w:rPr>
          <w:lang w:val="es-MX"/>
        </w:rPr>
        <w:t xml:space="preserve"> Mundial de Radiocomunicaciones de 2023</w:t>
      </w:r>
    </w:p>
    <w:p w14:paraId="212DEEFD" w14:textId="3AD74C15" w:rsidR="00951BE0" w:rsidRDefault="001355BF">
      <w:pPr>
        <w:pStyle w:val="Normalaftertitle"/>
        <w:rPr>
          <w:lang w:val="es-MX"/>
        </w:rPr>
      </w:pPr>
      <w:r w:rsidRPr="008561D2">
        <w:rPr>
          <w:lang w:val="es-MX"/>
        </w:rPr>
        <w:t xml:space="preserve">La Conferencia Mundial de Radiocomunicaciones (Sharm </w:t>
      </w:r>
      <w:r>
        <w:rPr>
          <w:lang w:val="es-MX"/>
        </w:rPr>
        <w:t>e</w:t>
      </w:r>
      <w:r w:rsidRPr="008561D2">
        <w:rPr>
          <w:lang w:val="es-MX"/>
        </w:rPr>
        <w:t>l</w:t>
      </w:r>
      <w:r>
        <w:rPr>
          <w:lang w:val="es-MX"/>
        </w:rPr>
        <w:t>-</w:t>
      </w:r>
      <w:r w:rsidRPr="008561D2">
        <w:rPr>
          <w:lang w:val="es-MX"/>
        </w:rPr>
        <w:t>Sheik</w:t>
      </w:r>
      <w:r>
        <w:rPr>
          <w:lang w:val="es-MX"/>
        </w:rPr>
        <w:t>h</w:t>
      </w:r>
      <w:r w:rsidRPr="008561D2">
        <w:rPr>
          <w:lang w:val="es-MX"/>
        </w:rPr>
        <w:t>, 2019),</w:t>
      </w:r>
    </w:p>
    <w:p w14:paraId="708E8596" w14:textId="1D65AFB4" w:rsidR="001355BF" w:rsidRDefault="001355BF" w:rsidP="001355BF">
      <w:pPr>
        <w:rPr>
          <w:lang w:val="es-MX"/>
        </w:rPr>
      </w:pPr>
      <w:r>
        <w:rPr>
          <w:lang w:val="es-MX"/>
        </w:rPr>
        <w:t>...</w:t>
      </w:r>
    </w:p>
    <w:p w14:paraId="611252E5" w14:textId="4F1F7E70" w:rsidR="001355BF" w:rsidRPr="001355BF" w:rsidRDefault="001355BF" w:rsidP="001355BF">
      <w:pPr>
        <w:rPr>
          <w:lang w:val="es-MX"/>
        </w:rPr>
      </w:pPr>
      <w:r w:rsidRPr="008561D2">
        <w:rPr>
          <w:b/>
          <w:lang w:val="es-MX"/>
        </w:rPr>
        <w:t>X.X1</w:t>
      </w:r>
      <w:r w:rsidRPr="008561D2">
        <w:rPr>
          <w:b/>
          <w:lang w:val="es-MX"/>
        </w:rPr>
        <w:tab/>
      </w:r>
      <w:r w:rsidRPr="008561D2">
        <w:rPr>
          <w:lang w:val="es-MX"/>
        </w:rPr>
        <w:t xml:space="preserve">considerar, de conformidad con la </w:t>
      </w:r>
      <w:r w:rsidRPr="00AC32C6">
        <w:rPr>
          <w:b/>
          <w:bCs/>
          <w:lang w:val="es-MX"/>
        </w:rPr>
        <w:t>Resolución [</w:t>
      </w:r>
      <w:r w:rsidRPr="00AC32C6">
        <w:rPr>
          <w:b/>
          <w:bCs/>
          <w:lang w:val="es-ES"/>
        </w:rPr>
        <w:t>IAP/10(G)/SUB-ORB-VEHICLES</w:t>
      </w:r>
      <w:r w:rsidRPr="00AC32C6">
        <w:rPr>
          <w:b/>
          <w:bCs/>
          <w:lang w:val="es-MX"/>
        </w:rPr>
        <w:t>] (CMR-19)</w:t>
      </w:r>
      <w:r>
        <w:rPr>
          <w:lang w:val="es-MX"/>
        </w:rPr>
        <w:t>,</w:t>
      </w:r>
      <w:r w:rsidRPr="008561D2">
        <w:rPr>
          <w:lang w:val="es-MX"/>
        </w:rPr>
        <w:t xml:space="preserve"> las disposiciones reglamentarias para facilitar las radiocomunicaciones para vehículos suborbitales.</w:t>
      </w:r>
    </w:p>
    <w:p w14:paraId="7A3631E1" w14:textId="3003EE6E" w:rsidR="00951BE0" w:rsidRPr="001355BF" w:rsidRDefault="008E48FA">
      <w:pPr>
        <w:pStyle w:val="Reasons"/>
        <w:rPr>
          <w:lang w:val="es-ES"/>
        </w:rPr>
      </w:pPr>
      <w:r w:rsidRPr="001355BF">
        <w:rPr>
          <w:b/>
          <w:lang w:val="es-ES"/>
        </w:rPr>
        <w:t>Motivos:</w:t>
      </w:r>
      <w:r w:rsidRPr="001355BF">
        <w:rPr>
          <w:lang w:val="es-ES"/>
        </w:rPr>
        <w:tab/>
      </w:r>
      <w:r w:rsidR="001355BF" w:rsidRPr="008561D2">
        <w:rPr>
          <w:lang w:val="es-MX"/>
        </w:rPr>
        <w:t>Permitir la revisión del Reglamento de Radiocomunicaciones a fin de proporcionar reglamentos para las radiocomunicaciones con vehículos suborbitales y facilitar la integración segura de los vehículos suborbitales al sistema existente de gestión del tráfico aéreo.</w:t>
      </w:r>
    </w:p>
    <w:p w14:paraId="0C247A01" w14:textId="77777777" w:rsidR="00951BE0" w:rsidRPr="00322870" w:rsidRDefault="008E48FA">
      <w:pPr>
        <w:pStyle w:val="Proposal"/>
        <w:rPr>
          <w:lang w:val="es-ES"/>
        </w:rPr>
      </w:pPr>
      <w:r w:rsidRPr="00322870">
        <w:rPr>
          <w:lang w:val="es-ES"/>
        </w:rPr>
        <w:t>ADD</w:t>
      </w:r>
      <w:r w:rsidRPr="00322870">
        <w:rPr>
          <w:lang w:val="es-ES"/>
        </w:rPr>
        <w:tab/>
        <w:t>IAP/11A24A7/2</w:t>
      </w:r>
    </w:p>
    <w:p w14:paraId="6E69362D" w14:textId="5BD20103" w:rsidR="00951BE0" w:rsidRDefault="008E48FA">
      <w:pPr>
        <w:pStyle w:val="ResNo"/>
      </w:pPr>
      <w:r>
        <w:t xml:space="preserve">Proyecto de nueva Resolución </w:t>
      </w:r>
      <w:r w:rsidR="001355BF">
        <w:t>[</w:t>
      </w:r>
      <w:r w:rsidR="001355BF" w:rsidRPr="00AC32C6">
        <w:rPr>
          <w:lang w:val="es-ES"/>
        </w:rPr>
        <w:t>IAP/10(G)/Sub-Orb-Vehicles</w:t>
      </w:r>
      <w:r w:rsidR="001355BF" w:rsidRPr="008561D2">
        <w:rPr>
          <w:lang w:val="es-MX"/>
        </w:rPr>
        <w:t>] (CMR-19)</w:t>
      </w:r>
    </w:p>
    <w:p w14:paraId="555056EE" w14:textId="46A60850" w:rsidR="00951BE0" w:rsidRDefault="001355BF">
      <w:pPr>
        <w:pStyle w:val="Restitle"/>
      </w:pPr>
      <w:r w:rsidRPr="008561D2">
        <w:rPr>
          <w:lang w:val="es-MX"/>
        </w:rPr>
        <w:t>Radiocomunicaciones para vehículos suborbitales</w:t>
      </w:r>
    </w:p>
    <w:p w14:paraId="1CB0E801" w14:textId="301A36B7" w:rsidR="001355BF" w:rsidRPr="008561D2" w:rsidRDefault="001355BF" w:rsidP="00322870">
      <w:pPr>
        <w:pStyle w:val="Normalaftertitle"/>
        <w:rPr>
          <w:lang w:val="es-MX"/>
        </w:rPr>
      </w:pPr>
      <w:r w:rsidRPr="008561D2">
        <w:rPr>
          <w:lang w:val="es-MX"/>
        </w:rPr>
        <w:t xml:space="preserve">La Conferencia Mundial de Radiocomunicaciones (Sharm </w:t>
      </w:r>
      <w:r w:rsidR="00266EAE">
        <w:rPr>
          <w:lang w:val="es-MX"/>
        </w:rPr>
        <w:t>e</w:t>
      </w:r>
      <w:r w:rsidRPr="008561D2">
        <w:rPr>
          <w:lang w:val="es-MX"/>
        </w:rPr>
        <w:t>l</w:t>
      </w:r>
      <w:r w:rsidR="00266EAE">
        <w:rPr>
          <w:lang w:val="es-MX"/>
        </w:rPr>
        <w:t>-</w:t>
      </w:r>
      <w:r w:rsidRPr="008561D2">
        <w:rPr>
          <w:lang w:val="es-MX"/>
        </w:rPr>
        <w:t>Sheik</w:t>
      </w:r>
      <w:r w:rsidR="00266EAE">
        <w:rPr>
          <w:lang w:val="es-MX"/>
        </w:rPr>
        <w:t>h</w:t>
      </w:r>
      <w:r w:rsidRPr="008561D2">
        <w:rPr>
          <w:lang w:val="es-MX"/>
        </w:rPr>
        <w:t>, 2019),</w:t>
      </w:r>
    </w:p>
    <w:p w14:paraId="49C124B0" w14:textId="78B1C5BF" w:rsidR="001355BF" w:rsidRPr="008561D2" w:rsidRDefault="001355BF" w:rsidP="00266EAE">
      <w:pPr>
        <w:pStyle w:val="Call"/>
      </w:pPr>
      <w:r w:rsidRPr="008561D2">
        <w:t>considerando</w:t>
      </w:r>
    </w:p>
    <w:p w14:paraId="11A941DE" w14:textId="39C4DE6B" w:rsidR="001355BF" w:rsidRPr="008561D2" w:rsidRDefault="00266EAE" w:rsidP="00266EAE">
      <w:pPr>
        <w:rPr>
          <w:lang w:val="es-MX"/>
        </w:rPr>
      </w:pPr>
      <w:r>
        <w:rPr>
          <w:i/>
          <w:iCs/>
        </w:rPr>
        <w:t>a)</w:t>
      </w:r>
      <w:r>
        <w:rPr>
          <w:i/>
          <w:iCs/>
        </w:rPr>
        <w:tab/>
      </w:r>
      <w:r w:rsidR="001355BF" w:rsidRPr="008561D2">
        <w:rPr>
          <w:lang w:val="es-MX"/>
        </w:rPr>
        <w:t xml:space="preserve">que se están desarrollando vehículos para operar desde el suelo hasta una altitud considerada como el espacio exterior y volver a la tierra sin hacer una órbita; </w:t>
      </w:r>
    </w:p>
    <w:p w14:paraId="25509188" w14:textId="5032FAA3" w:rsidR="001355BF" w:rsidRPr="008561D2" w:rsidRDefault="00266EAE" w:rsidP="00266EAE">
      <w:pPr>
        <w:rPr>
          <w:lang w:val="es-MX"/>
        </w:rPr>
      </w:pPr>
      <w:r>
        <w:rPr>
          <w:i/>
          <w:iCs/>
          <w:lang w:val="es-MX"/>
        </w:rPr>
        <w:t>b)</w:t>
      </w:r>
      <w:r>
        <w:rPr>
          <w:i/>
          <w:iCs/>
          <w:lang w:val="es-MX"/>
        </w:rPr>
        <w:tab/>
      </w:r>
      <w:r w:rsidR="001355BF" w:rsidRPr="008561D2">
        <w:rPr>
          <w:lang w:val="es-MX"/>
        </w:rPr>
        <w:t>que existe la necesidad de asegurar que el equipo instalado en este tipo de vehículos pueda comunicarse de forma segura con los sistemas de gestión del tráfico aéreo sin causar interferencias perjudiciales a las radiocomunicaciones utilizada para fines de seguridad de otros vehículos;</w:t>
      </w:r>
    </w:p>
    <w:p w14:paraId="1EEBC482" w14:textId="1821EAE0" w:rsidR="001355BF" w:rsidRPr="00322870" w:rsidRDefault="00266EAE" w:rsidP="00266EAE">
      <w:pPr>
        <w:rPr>
          <w:lang w:val="es-MX"/>
        </w:rPr>
      </w:pPr>
      <w:r w:rsidRPr="00322870">
        <w:rPr>
          <w:i/>
          <w:iCs/>
          <w:lang w:val="es-MX"/>
        </w:rPr>
        <w:t>c)</w:t>
      </w:r>
      <w:r w:rsidRPr="00322870">
        <w:rPr>
          <w:i/>
          <w:iCs/>
          <w:lang w:val="es-MX"/>
        </w:rPr>
        <w:tab/>
      </w:r>
      <w:r w:rsidR="001355BF" w:rsidRPr="00322870">
        <w:rPr>
          <w:lang w:val="es-MX"/>
        </w:rPr>
        <w:t xml:space="preserve">que la UIT ha venido refiriéndose a estos vehículos como </w:t>
      </w:r>
      <w:r w:rsidR="00644CB0" w:rsidRPr="00322870">
        <w:rPr>
          <w:lang w:val="es-MX"/>
        </w:rPr>
        <w:t>«</w:t>
      </w:r>
      <w:r w:rsidR="001355BF" w:rsidRPr="00322870">
        <w:rPr>
          <w:lang w:val="es-MX"/>
        </w:rPr>
        <w:t>vehículos suborbitales</w:t>
      </w:r>
      <w:r w:rsidR="00644CB0" w:rsidRPr="00322870">
        <w:rPr>
          <w:lang w:val="es-MX"/>
        </w:rPr>
        <w:t>»</w:t>
      </w:r>
      <w:r w:rsidR="001355BF" w:rsidRPr="00322870">
        <w:rPr>
          <w:lang w:val="es-MX"/>
        </w:rPr>
        <w:t>, aunque este tipo de vehículos no está definido en el Reglamento de Radiocomunicaciones;</w:t>
      </w:r>
    </w:p>
    <w:p w14:paraId="55DE683F" w14:textId="78B53B60" w:rsidR="001355BF" w:rsidRPr="00AC32C6" w:rsidRDefault="00266EAE" w:rsidP="00266EAE">
      <w:pPr>
        <w:rPr>
          <w:lang w:val="es-MX"/>
        </w:rPr>
      </w:pPr>
      <w:r w:rsidRPr="00322870">
        <w:rPr>
          <w:i/>
          <w:iCs/>
          <w:lang w:val="es-MX"/>
        </w:rPr>
        <w:t>d)</w:t>
      </w:r>
      <w:r w:rsidRPr="00322870">
        <w:rPr>
          <w:i/>
          <w:iCs/>
          <w:lang w:val="es-MX"/>
        </w:rPr>
        <w:tab/>
      </w:r>
      <w:r w:rsidR="001355BF" w:rsidRPr="00073539">
        <w:rPr>
          <w:lang w:val="es-MX"/>
        </w:rPr>
        <w:t>que no hay una frontera internacionalmente acordad</w:t>
      </w:r>
      <w:r w:rsidR="00371EBB" w:rsidRPr="00073539">
        <w:rPr>
          <w:lang w:val="es-MX"/>
        </w:rPr>
        <w:t>a</w:t>
      </w:r>
      <w:r w:rsidR="001355BF" w:rsidRPr="00073539">
        <w:rPr>
          <w:lang w:val="es-MX"/>
        </w:rPr>
        <w:t xml:space="preserve"> entre la atmósfera de la Tierra y el dominio del espacio;</w:t>
      </w:r>
      <w:r w:rsidR="001355BF" w:rsidRPr="00AC32C6">
        <w:rPr>
          <w:lang w:val="es-MX"/>
        </w:rPr>
        <w:t xml:space="preserve"> </w:t>
      </w:r>
    </w:p>
    <w:p w14:paraId="50521B7E" w14:textId="4F95F93B" w:rsidR="001355BF" w:rsidRPr="008561D2" w:rsidRDefault="00266EAE" w:rsidP="00266EAE">
      <w:pPr>
        <w:rPr>
          <w:lang w:val="es-MX"/>
        </w:rPr>
      </w:pPr>
      <w:r>
        <w:rPr>
          <w:i/>
          <w:iCs/>
          <w:lang w:val="es-MX"/>
        </w:rPr>
        <w:t>e)</w:t>
      </w:r>
      <w:r>
        <w:rPr>
          <w:i/>
          <w:iCs/>
          <w:lang w:val="es-MX"/>
        </w:rPr>
        <w:tab/>
      </w:r>
      <w:r w:rsidR="001355BF" w:rsidRPr="008561D2">
        <w:rPr>
          <w:lang w:val="es-MX"/>
        </w:rPr>
        <w:t>que se requiere radiocomunicaciones entre vehículos suborbitales y la gestión del tráfico aéreo a lo largo de toda la trayectoria de vuelo;</w:t>
      </w:r>
    </w:p>
    <w:p w14:paraId="78F58C1C" w14:textId="574B9713" w:rsidR="001355BF" w:rsidRPr="008561D2" w:rsidRDefault="00266EAE" w:rsidP="00266EAE">
      <w:pPr>
        <w:rPr>
          <w:lang w:val="es-MX"/>
        </w:rPr>
      </w:pPr>
      <w:r>
        <w:rPr>
          <w:i/>
          <w:iCs/>
          <w:lang w:val="es-MX"/>
        </w:rPr>
        <w:t>f)</w:t>
      </w:r>
      <w:r>
        <w:rPr>
          <w:i/>
          <w:iCs/>
          <w:lang w:val="es-MX"/>
        </w:rPr>
        <w:tab/>
      </w:r>
      <w:r w:rsidR="001355BF" w:rsidRPr="008561D2">
        <w:rPr>
          <w:lang w:val="es-MX"/>
        </w:rPr>
        <w:t>que los vehículos que operan en la frontera entre el espacio y la atmósfera o que retornan a la atmósfera pueden generar una cubierta de plasma que puede llegar a envolver la totalidad o la mayor parte del vehículo;</w:t>
      </w:r>
    </w:p>
    <w:p w14:paraId="7F0CF81E" w14:textId="21209B3C" w:rsidR="001355BF" w:rsidRPr="008561D2" w:rsidRDefault="00266EAE" w:rsidP="00266EAE">
      <w:pPr>
        <w:rPr>
          <w:lang w:val="es-MX"/>
        </w:rPr>
      </w:pPr>
      <w:r>
        <w:rPr>
          <w:i/>
          <w:iCs/>
          <w:lang w:val="es-MX"/>
        </w:rPr>
        <w:t>g)</w:t>
      </w:r>
      <w:r>
        <w:rPr>
          <w:i/>
          <w:iCs/>
          <w:lang w:val="es-MX"/>
        </w:rPr>
        <w:tab/>
      </w:r>
      <w:r w:rsidR="001355BF" w:rsidRPr="008561D2">
        <w:rPr>
          <w:lang w:val="es-MX"/>
        </w:rPr>
        <w:t>que la atenuación de la cubierta de plasma no permite que pasen las radiocomunicaciones directamente a tierra</w:t>
      </w:r>
      <w:r>
        <w:rPr>
          <w:lang w:val="es-MX"/>
        </w:rPr>
        <w:t>,</w:t>
      </w:r>
    </w:p>
    <w:p w14:paraId="2F97911C" w14:textId="3681A438" w:rsidR="001355BF" w:rsidRPr="008561D2" w:rsidRDefault="001355BF" w:rsidP="00266EAE">
      <w:pPr>
        <w:pStyle w:val="Call"/>
      </w:pPr>
      <w:r w:rsidRPr="008561D2">
        <w:lastRenderedPageBreak/>
        <w:t>reconociendo</w:t>
      </w:r>
    </w:p>
    <w:p w14:paraId="64A69C89" w14:textId="5A384EDE" w:rsidR="001355BF" w:rsidRDefault="00266EAE" w:rsidP="00266EAE">
      <w:pPr>
        <w:rPr>
          <w:lang w:val="es-MX"/>
        </w:rPr>
      </w:pPr>
      <w:r>
        <w:rPr>
          <w:i/>
          <w:iCs/>
        </w:rPr>
        <w:t>a)</w:t>
      </w:r>
      <w:r>
        <w:rPr>
          <w:i/>
          <w:iCs/>
        </w:rPr>
        <w:tab/>
      </w:r>
      <w:r w:rsidR="001355BF" w:rsidRPr="00AC32C6">
        <w:t>que el Anexo 10 al Convenio de la Organización de Aviación Civil Internacional contiene SARP para los sistemas de radiocomunicaciones y radionavegación aeronáutica utilizados en la aviación civil internacional</w:t>
      </w:r>
      <w:r w:rsidR="001355BF" w:rsidRPr="008561D2">
        <w:rPr>
          <w:lang w:val="es-MX"/>
        </w:rPr>
        <w:t xml:space="preserve">; </w:t>
      </w:r>
    </w:p>
    <w:p w14:paraId="66D02AE7" w14:textId="64149245" w:rsidR="001355BF" w:rsidRPr="008561D2" w:rsidRDefault="00266EAE" w:rsidP="00266EAE">
      <w:pPr>
        <w:rPr>
          <w:lang w:val="es-MX"/>
        </w:rPr>
      </w:pPr>
      <w:r>
        <w:rPr>
          <w:i/>
          <w:iCs/>
          <w:lang w:val="es-MX"/>
        </w:rPr>
        <w:t>b)</w:t>
      </w:r>
      <w:r>
        <w:rPr>
          <w:i/>
          <w:iCs/>
          <w:lang w:val="es-MX"/>
        </w:rPr>
        <w:tab/>
      </w:r>
      <w:r w:rsidR="001355BF" w:rsidRPr="008561D2">
        <w:rPr>
          <w:lang w:val="es-MX"/>
        </w:rPr>
        <w:t>que los vehículos suborbitales utilizarán estaciones tanto espaciales como terrenales;</w:t>
      </w:r>
    </w:p>
    <w:p w14:paraId="5B0AD8C7" w14:textId="3882A2EC" w:rsidR="001355BF" w:rsidRPr="008561D2" w:rsidRDefault="00266EAE" w:rsidP="00266EAE">
      <w:pPr>
        <w:rPr>
          <w:lang w:val="es-MX"/>
        </w:rPr>
      </w:pPr>
      <w:r>
        <w:rPr>
          <w:i/>
          <w:iCs/>
          <w:lang w:val="es-MX"/>
        </w:rPr>
        <w:t>c)</w:t>
      </w:r>
      <w:r>
        <w:rPr>
          <w:i/>
          <w:iCs/>
          <w:lang w:val="es-MX"/>
        </w:rPr>
        <w:tab/>
      </w:r>
      <w:r w:rsidR="001355BF" w:rsidRPr="008561D2">
        <w:rPr>
          <w:lang w:val="es-MX"/>
        </w:rPr>
        <w:t>que, desde un punto de vista técnico, los vehículos suborbitales pueden comunicarse con estaciones espaciales y terrenales bajo las atribuciones a servicios existentes tanto espaciales como terrenales</w:t>
      </w:r>
      <w:r>
        <w:rPr>
          <w:lang w:val="es-MX"/>
        </w:rPr>
        <w:t>,</w:t>
      </w:r>
    </w:p>
    <w:p w14:paraId="4A2B239B" w14:textId="683C486C" w:rsidR="001355BF" w:rsidRPr="008561D2" w:rsidRDefault="001355BF" w:rsidP="00644CB0">
      <w:pPr>
        <w:pStyle w:val="Call"/>
      </w:pPr>
      <w:r w:rsidRPr="008561D2">
        <w:t>observando</w:t>
      </w:r>
    </w:p>
    <w:p w14:paraId="7401DEED" w14:textId="170FCE2D" w:rsidR="001355BF" w:rsidRPr="008561D2" w:rsidRDefault="001355BF" w:rsidP="00266EAE">
      <w:pPr>
        <w:rPr>
          <w:lang w:val="es-MX"/>
        </w:rPr>
      </w:pPr>
      <w:r w:rsidRPr="008561D2">
        <w:rPr>
          <w:lang w:val="es-MX"/>
        </w:rPr>
        <w:t>que el desarrollo de criterios de compatibilidad entre los sistemas aeronáuticos normalizados por la</w:t>
      </w:r>
      <w:r w:rsidR="00DA1B94">
        <w:rPr>
          <w:lang w:val="es-MX"/>
        </w:rPr>
        <w:t> </w:t>
      </w:r>
      <w:r w:rsidRPr="008561D2">
        <w:rPr>
          <w:lang w:val="es-MX"/>
        </w:rPr>
        <w:t>OACI es responsabilidad de la OACI,</w:t>
      </w:r>
    </w:p>
    <w:p w14:paraId="462F4EFF" w14:textId="77777777" w:rsidR="001355BF" w:rsidRPr="008561D2" w:rsidRDefault="001355BF" w:rsidP="00266EAE">
      <w:pPr>
        <w:pStyle w:val="Call"/>
        <w:rPr>
          <w:lang w:val="es-MX"/>
        </w:rPr>
      </w:pPr>
      <w:r w:rsidRPr="008561D2">
        <w:rPr>
          <w:lang w:val="es-MX"/>
        </w:rPr>
        <w:t>resuelve invitar a la Conferencia Mundial de Radiocomunicaciones de 2023</w:t>
      </w:r>
    </w:p>
    <w:p w14:paraId="48B25FEB" w14:textId="1FC49172" w:rsidR="001355BF" w:rsidRPr="008561D2" w:rsidRDefault="001355BF" w:rsidP="00266EAE">
      <w:pPr>
        <w:rPr>
          <w:lang w:val="es-MX"/>
        </w:rPr>
      </w:pPr>
      <w:r w:rsidRPr="008561D2">
        <w:rPr>
          <w:lang w:val="es-MX"/>
        </w:rPr>
        <w:t xml:space="preserve">a considerar los resultados de los estudios de conformidad con </w:t>
      </w:r>
      <w:r>
        <w:rPr>
          <w:lang w:val="es-MX"/>
        </w:rPr>
        <w:t>la presente Resolución</w:t>
      </w:r>
      <w:r w:rsidRPr="008561D2">
        <w:rPr>
          <w:lang w:val="es-MX"/>
        </w:rPr>
        <w:t xml:space="preserve"> y tomar las medidas reglamentarias pertinentes, con exclusión de cualquier modificación al Artículo </w:t>
      </w:r>
      <w:r w:rsidRPr="000908F6">
        <w:rPr>
          <w:b/>
          <w:bCs/>
          <w:lang w:val="es-MX"/>
        </w:rPr>
        <w:t>5</w:t>
      </w:r>
      <w:r w:rsidRPr="008561D2">
        <w:rPr>
          <w:lang w:val="es-MX"/>
        </w:rPr>
        <w:t xml:space="preserve"> del Reglamento de Radiocomunicaciones de la UIT o la imposición de restricciones indebidas a otros servicios, teniendo en cuenta los resultados de los estudios del UIT-R,</w:t>
      </w:r>
    </w:p>
    <w:p w14:paraId="7E168EE3" w14:textId="530C7D15" w:rsidR="001355BF" w:rsidRPr="008561D2" w:rsidRDefault="001355BF" w:rsidP="00266EAE">
      <w:pPr>
        <w:pStyle w:val="Call"/>
        <w:rPr>
          <w:lang w:val="es-MX"/>
        </w:rPr>
      </w:pPr>
      <w:r w:rsidRPr="008561D2">
        <w:rPr>
          <w:lang w:val="es-MX"/>
        </w:rPr>
        <w:t>invita al UIT-R</w:t>
      </w:r>
    </w:p>
    <w:p w14:paraId="42749679" w14:textId="57E3CFBE" w:rsidR="001355BF" w:rsidRPr="008561D2" w:rsidRDefault="001355BF" w:rsidP="00266EAE">
      <w:pPr>
        <w:rPr>
          <w:lang w:val="es-MX"/>
        </w:rPr>
      </w:pPr>
      <w:r w:rsidRPr="008561D2">
        <w:rPr>
          <w:lang w:val="es-MX"/>
        </w:rPr>
        <w:t>a llevar a cabo estudios e identificar, antes de la CMR-23, cualquier revisión al Reglamento de Radiocomunicaciones que pueda facilitar las radiocomunicaciones para una operación segura de los vehículos suborbitales. Esos estudios deben llevarse a cabo en estrecha coordinación con la Organización de Aviación Civil Internacional, y pueden incluir la definición de un vehículo suborbital o la clase de vehículos suborbitales, teniendo en cuenta los servicios de radiocomunicaciones adecuados para aplicaciones de seguridad de vuelo relacionadas con la interoperabilidad con la aviación civil internacional</w:t>
      </w:r>
      <w:r w:rsidR="00644CB0">
        <w:rPr>
          <w:lang w:val="es-MX"/>
        </w:rPr>
        <w:t>,</w:t>
      </w:r>
    </w:p>
    <w:p w14:paraId="0DBD6B1D" w14:textId="21277116" w:rsidR="001355BF" w:rsidRPr="008561D2" w:rsidRDefault="001355BF" w:rsidP="00266EAE">
      <w:pPr>
        <w:pStyle w:val="Call"/>
        <w:rPr>
          <w:lang w:val="es-MX"/>
        </w:rPr>
      </w:pPr>
      <w:r w:rsidRPr="008561D2">
        <w:rPr>
          <w:lang w:val="es-MX"/>
        </w:rPr>
        <w:t>invita a las administraciones</w:t>
      </w:r>
    </w:p>
    <w:p w14:paraId="36C2F221" w14:textId="77777777" w:rsidR="001355BF" w:rsidRPr="008561D2" w:rsidRDefault="001355BF" w:rsidP="00266EAE">
      <w:pPr>
        <w:rPr>
          <w:lang w:val="es-MX"/>
        </w:rPr>
      </w:pPr>
      <w:r w:rsidRPr="000908F6">
        <w:t>a participar activamente en los estudios pr</w:t>
      </w:r>
      <w:r>
        <w:t xml:space="preserve">esentando sus contribuciones </w:t>
      </w:r>
      <w:r w:rsidRPr="008561D2">
        <w:rPr>
          <w:lang w:val="es-MX"/>
        </w:rPr>
        <w:t>al UIT-R,</w:t>
      </w:r>
    </w:p>
    <w:p w14:paraId="6FCFB779" w14:textId="012A2666" w:rsidR="001355BF" w:rsidRPr="008561D2" w:rsidRDefault="001355BF" w:rsidP="00266EAE">
      <w:pPr>
        <w:pStyle w:val="Call"/>
        <w:rPr>
          <w:lang w:val="es-MX"/>
        </w:rPr>
      </w:pPr>
      <w:r w:rsidRPr="008561D2">
        <w:rPr>
          <w:lang w:val="es-MX"/>
        </w:rPr>
        <w:t>encarga al Secretario General</w:t>
      </w:r>
    </w:p>
    <w:p w14:paraId="0623C899" w14:textId="59A58244" w:rsidR="00951BE0" w:rsidRDefault="001355BF" w:rsidP="00266EAE">
      <w:r w:rsidRPr="008561D2">
        <w:rPr>
          <w:lang w:val="es-MX"/>
        </w:rPr>
        <w:t>que señale esta Resolución a la atención de la OACI</w:t>
      </w:r>
      <w:r w:rsidR="00644CB0">
        <w:rPr>
          <w:lang w:val="es-MX"/>
        </w:rPr>
        <w:t>.</w:t>
      </w:r>
    </w:p>
    <w:p w14:paraId="25D34AC8" w14:textId="127F8FBA" w:rsidR="00951BE0" w:rsidRDefault="008E48FA">
      <w:pPr>
        <w:pStyle w:val="Reasons"/>
        <w:rPr>
          <w:lang w:val="es-MX"/>
        </w:rPr>
      </w:pPr>
      <w:r>
        <w:rPr>
          <w:b/>
        </w:rPr>
        <w:t>Motivos:</w:t>
      </w:r>
      <w:r>
        <w:tab/>
      </w:r>
      <w:r w:rsidR="001355BF" w:rsidRPr="008561D2">
        <w:rPr>
          <w:lang w:val="es-MX"/>
        </w:rPr>
        <w:t>Una resolución apoyará los estudios del UIT-R que se estiman necesarios bajo el punto relevante del orden del día de la CMR-23.</w:t>
      </w:r>
    </w:p>
    <w:p w14:paraId="42B9A0DF" w14:textId="665D5DBB" w:rsidR="001355BF" w:rsidRDefault="001355BF">
      <w:pPr>
        <w:tabs>
          <w:tab w:val="clear" w:pos="1134"/>
          <w:tab w:val="clear" w:pos="1871"/>
          <w:tab w:val="clear" w:pos="2268"/>
        </w:tabs>
        <w:overflowPunct/>
        <w:autoSpaceDE/>
        <w:autoSpaceDN/>
        <w:adjustRightInd/>
        <w:spacing w:before="0"/>
        <w:textAlignment w:val="auto"/>
      </w:pPr>
      <w:r>
        <w:br w:type="page"/>
      </w:r>
    </w:p>
    <w:p w14:paraId="051B870F" w14:textId="77777777" w:rsidR="001355BF" w:rsidRPr="00103853" w:rsidRDefault="001355BF" w:rsidP="00266EAE">
      <w:pPr>
        <w:pStyle w:val="AnnexNo"/>
        <w:rPr>
          <w:rFonts w:eastAsia="Calibri"/>
          <w:bCs/>
          <w:lang w:val="es-MX"/>
        </w:rPr>
      </w:pPr>
      <w:r w:rsidRPr="00103853">
        <w:rPr>
          <w:lang w:val="es-MX"/>
        </w:rPr>
        <w:lastRenderedPageBreak/>
        <w:t>ANEXO</w:t>
      </w:r>
    </w:p>
    <w:p w14:paraId="368196E2" w14:textId="7BC00D43" w:rsidR="001355BF" w:rsidRPr="00103853" w:rsidRDefault="001355BF" w:rsidP="00266EAE">
      <w:pPr>
        <w:pStyle w:val="Annextitle"/>
        <w:rPr>
          <w:rFonts w:eastAsia="Calibri"/>
          <w:bCs/>
          <w:lang w:val="es-MX"/>
        </w:rPr>
      </w:pPr>
      <w:r w:rsidRPr="00103853">
        <w:rPr>
          <w:lang w:val="es-MX"/>
        </w:rPr>
        <w:t>Propuesta para un futuro punto d</w:t>
      </w:r>
      <w:r w:rsidRPr="002755C9">
        <w:rPr>
          <w:lang w:val="es-MX"/>
        </w:rPr>
        <w:t>el orden del</w:t>
      </w:r>
      <w:r>
        <w:rPr>
          <w:lang w:val="es-MX"/>
        </w:rPr>
        <w:t xml:space="preserve"> </w:t>
      </w:r>
      <w:r w:rsidRPr="00103853">
        <w:rPr>
          <w:lang w:val="es-MX"/>
        </w:rPr>
        <w:t>día para la CMR-23</w:t>
      </w:r>
    </w:p>
    <w:p w14:paraId="0F5949B3" w14:textId="77777777" w:rsidR="001355BF" w:rsidRPr="00103853" w:rsidRDefault="001355BF" w:rsidP="001355BF">
      <w:pPr>
        <w:rPr>
          <w:rFonts w:eastAsia="Calibri"/>
          <w:bCs/>
          <w:sz w:val="22"/>
          <w:szCs w:val="22"/>
          <w:lang w:val="es-MX"/>
        </w:rPr>
      </w:pPr>
      <w:r w:rsidRPr="00103853">
        <w:rPr>
          <w:b/>
          <w:sz w:val="22"/>
          <w:szCs w:val="22"/>
          <w:lang w:val="es-MX"/>
        </w:rPr>
        <w:t>Asunto:</w:t>
      </w:r>
      <w:r w:rsidRPr="00103853">
        <w:rPr>
          <w:sz w:val="22"/>
          <w:szCs w:val="22"/>
          <w:lang w:val="es-MX"/>
        </w:rPr>
        <w:t xml:space="preserve"> Propuesta de un futuro Punto del orden del día para la CMR-2023 a fin de considerar los resultados de los estudios para facilitar las </w:t>
      </w:r>
      <w:r>
        <w:rPr>
          <w:sz w:val="22"/>
          <w:szCs w:val="22"/>
          <w:lang w:val="es-MX"/>
        </w:rPr>
        <w:t>radio</w:t>
      </w:r>
      <w:r w:rsidRPr="00103853">
        <w:rPr>
          <w:sz w:val="22"/>
          <w:szCs w:val="22"/>
          <w:lang w:val="es-MX"/>
        </w:rPr>
        <w:t>comunicaciones para una operación segura de los vehículos suborbitales.</w:t>
      </w:r>
    </w:p>
    <w:p w14:paraId="6F6D06B5" w14:textId="7DB8930C" w:rsidR="001355BF" w:rsidRPr="00C639B0" w:rsidRDefault="001355BF" w:rsidP="00C639B0">
      <w:pPr>
        <w:rPr>
          <w:rFonts w:eastAsia="Calibri"/>
          <w:sz w:val="22"/>
          <w:szCs w:val="22"/>
          <w:lang w:val="es-MX"/>
        </w:rPr>
      </w:pPr>
    </w:p>
    <w:p w14:paraId="44A72DD0" w14:textId="77777777" w:rsidR="001355BF" w:rsidRPr="00103853" w:rsidRDefault="001355BF" w:rsidP="001355BF">
      <w:pPr>
        <w:rPr>
          <w:rFonts w:eastAsia="Calibri"/>
          <w:sz w:val="22"/>
          <w:szCs w:val="22"/>
          <w:lang w:val="es-MX"/>
        </w:rPr>
      </w:pPr>
      <w:r w:rsidRPr="00103853">
        <w:rPr>
          <w:b/>
          <w:sz w:val="22"/>
          <w:szCs w:val="22"/>
          <w:lang w:val="es-MX"/>
        </w:rPr>
        <w:t>Origen</w:t>
      </w:r>
      <w:r w:rsidRPr="00103853">
        <w:rPr>
          <w:sz w:val="22"/>
          <w:szCs w:val="22"/>
          <w:lang w:val="es-MX"/>
        </w:rPr>
        <w:t>:</w:t>
      </w:r>
      <w:r w:rsidRPr="005E2819">
        <w:rPr>
          <w:b/>
          <w:sz w:val="22"/>
          <w:szCs w:val="22"/>
          <w:lang w:val="es-MX"/>
        </w:rPr>
        <w:t xml:space="preserve"> Estados Miembros de la CITEL</w:t>
      </w:r>
    </w:p>
    <w:p w14:paraId="5C95594E"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688FEFE2" w14:textId="5C91EA1D" w:rsidR="001355BF" w:rsidRPr="00103853" w:rsidRDefault="001355BF" w:rsidP="001355BF">
      <w:pPr>
        <w:rPr>
          <w:rFonts w:eastAsia="Calibri"/>
          <w:sz w:val="22"/>
          <w:szCs w:val="22"/>
          <w:lang w:val="es-MX"/>
        </w:rPr>
      </w:pPr>
      <w:r w:rsidRPr="00EF6934">
        <w:rPr>
          <w:b/>
          <w:bCs/>
          <w:i/>
          <w:sz w:val="22"/>
          <w:szCs w:val="22"/>
          <w:lang w:val="es-MX"/>
        </w:rPr>
        <w:t>Propuesta</w:t>
      </w:r>
      <w:r w:rsidRPr="00644CB0">
        <w:rPr>
          <w:b/>
          <w:bCs/>
          <w:i/>
          <w:sz w:val="22"/>
          <w:szCs w:val="22"/>
          <w:lang w:val="es-MX"/>
        </w:rPr>
        <w:t>:</w:t>
      </w:r>
      <w:r w:rsidRPr="00103853">
        <w:rPr>
          <w:i/>
          <w:sz w:val="22"/>
          <w:szCs w:val="22"/>
          <w:lang w:val="es-MX"/>
        </w:rPr>
        <w:t xml:space="preserve"> </w:t>
      </w:r>
      <w:r w:rsidRPr="00103853">
        <w:rPr>
          <w:color w:val="000000"/>
          <w:sz w:val="22"/>
          <w:szCs w:val="22"/>
          <w:lang w:val="es-MX"/>
        </w:rPr>
        <w:t xml:space="preserve">identificar cualquier revisión al Reglamento de Radiocomunicaciones, excluyendo cualquier nueva atribución de frecuencias, que pueda permitir el uso de las radiocomunicaciones para la operación </w:t>
      </w:r>
      <w:r w:rsidRPr="00322870">
        <w:rPr>
          <w:color w:val="000000"/>
          <w:spacing w:val="-4"/>
          <w:sz w:val="22"/>
          <w:szCs w:val="22"/>
          <w:lang w:val="es-MX"/>
        </w:rPr>
        <w:t xml:space="preserve">segura de los vehículos suborbitales en virtud de la Resolución </w:t>
      </w:r>
      <w:r w:rsidRPr="00322870">
        <w:rPr>
          <w:b/>
          <w:color w:val="000000"/>
          <w:spacing w:val="-4"/>
          <w:sz w:val="22"/>
          <w:szCs w:val="22"/>
          <w:lang w:val="es-MX"/>
        </w:rPr>
        <w:t>[</w:t>
      </w:r>
      <w:r w:rsidR="00322870" w:rsidRPr="00322870">
        <w:rPr>
          <w:rFonts w:eastAsia="Calibri"/>
          <w:b/>
          <w:color w:val="000000"/>
          <w:spacing w:val="-4"/>
          <w:sz w:val="22"/>
          <w:szCs w:val="22"/>
        </w:rPr>
        <w:t>IAP/10(G)/SUB-ORB-VEHICLES</w:t>
      </w:r>
      <w:r w:rsidRPr="00322870">
        <w:rPr>
          <w:b/>
          <w:color w:val="000000"/>
          <w:spacing w:val="-4"/>
          <w:sz w:val="22"/>
          <w:szCs w:val="22"/>
          <w:lang w:val="es-MX"/>
        </w:rPr>
        <w:t>] (CMR</w:t>
      </w:r>
      <w:r w:rsidR="00322870">
        <w:rPr>
          <w:b/>
          <w:color w:val="000000"/>
          <w:spacing w:val="-4"/>
          <w:sz w:val="22"/>
          <w:szCs w:val="22"/>
          <w:lang w:val="es-MX"/>
        </w:rPr>
        <w:noBreakHyphen/>
      </w:r>
      <w:r w:rsidRPr="00322870">
        <w:rPr>
          <w:b/>
          <w:color w:val="000000"/>
          <w:spacing w:val="-4"/>
          <w:sz w:val="22"/>
          <w:szCs w:val="22"/>
          <w:lang w:val="es-MX"/>
        </w:rPr>
        <w:t>19)</w:t>
      </w:r>
      <w:r w:rsidR="00644CB0" w:rsidRPr="00322870">
        <w:rPr>
          <w:color w:val="000000"/>
          <w:spacing w:val="-4"/>
          <w:sz w:val="22"/>
          <w:szCs w:val="22"/>
          <w:lang w:val="es-MX"/>
        </w:rPr>
        <w:t>.</w:t>
      </w:r>
    </w:p>
    <w:p w14:paraId="74F2962D"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19783DD4" w14:textId="77777777" w:rsidR="001355BF" w:rsidRPr="00103853" w:rsidRDefault="001355BF" w:rsidP="001355BF">
      <w:pPr>
        <w:rPr>
          <w:rFonts w:eastAsia="Calibri"/>
          <w:b/>
          <w:bCs/>
          <w:i/>
          <w:iCs/>
          <w:sz w:val="22"/>
          <w:szCs w:val="22"/>
          <w:lang w:val="es-MX"/>
        </w:rPr>
      </w:pPr>
      <w:r w:rsidRPr="00103853">
        <w:rPr>
          <w:b/>
          <w:i/>
          <w:sz w:val="22"/>
          <w:szCs w:val="22"/>
          <w:lang w:val="es-MX"/>
        </w:rPr>
        <w:t>Antecedentes/Motivos:</w:t>
      </w:r>
    </w:p>
    <w:p w14:paraId="34E89CB2" w14:textId="77777777" w:rsidR="001355BF" w:rsidRPr="00103853" w:rsidRDefault="001355BF" w:rsidP="001355BF">
      <w:pPr>
        <w:rPr>
          <w:rFonts w:eastAsia="Calibri"/>
          <w:iCs/>
          <w:sz w:val="22"/>
          <w:szCs w:val="22"/>
          <w:lang w:val="es-MX"/>
        </w:rPr>
      </w:pPr>
      <w:r w:rsidRPr="00103853">
        <w:rPr>
          <w:sz w:val="22"/>
          <w:szCs w:val="22"/>
          <w:lang w:val="es-MX"/>
        </w:rPr>
        <w:t>Proporcionar un medio para reconocer, en el Reglamento de Radiocomunicaciones, las radiocomunicaciones desde y hacia vehículos suborbitales dentro de las atribuciones de frecuencias existentes.</w:t>
      </w:r>
    </w:p>
    <w:p w14:paraId="5AD038B9"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011CE5CE" w14:textId="77777777" w:rsidR="001355BF" w:rsidRPr="00103853" w:rsidRDefault="001355BF" w:rsidP="001355BF">
      <w:pPr>
        <w:rPr>
          <w:rFonts w:eastAsia="Calibri"/>
          <w:b/>
          <w:bCs/>
          <w:i/>
          <w:iCs/>
          <w:sz w:val="22"/>
          <w:szCs w:val="22"/>
          <w:lang w:val="es-MX"/>
        </w:rPr>
      </w:pPr>
      <w:r w:rsidRPr="00103853">
        <w:rPr>
          <w:b/>
          <w:i/>
          <w:sz w:val="22"/>
          <w:szCs w:val="22"/>
          <w:lang w:val="es-MX"/>
        </w:rPr>
        <w:t xml:space="preserve">Servicios de radiocomunicaciones en cuestión: </w:t>
      </w:r>
    </w:p>
    <w:p w14:paraId="4CA8C615" w14:textId="77777777" w:rsidR="001355BF" w:rsidRPr="00103853" w:rsidRDefault="001355BF" w:rsidP="001355BF">
      <w:pPr>
        <w:rPr>
          <w:rFonts w:eastAsia="Calibri"/>
          <w:sz w:val="22"/>
          <w:szCs w:val="22"/>
          <w:lang w:val="es-MX"/>
        </w:rPr>
      </w:pPr>
      <w:r w:rsidRPr="00103853">
        <w:rPr>
          <w:sz w:val="22"/>
          <w:szCs w:val="22"/>
          <w:lang w:val="es-MX"/>
        </w:rPr>
        <w:t>Servicio de radionavegación aeronáutica, servicio móvil aeronáutico, servicio fijo por satélite, servicio móvil por satélite.</w:t>
      </w:r>
    </w:p>
    <w:p w14:paraId="01C400F4"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5765501B" w14:textId="15A61A33" w:rsidR="001355BF" w:rsidRPr="00103853" w:rsidRDefault="001355BF" w:rsidP="001355BF">
      <w:pPr>
        <w:rPr>
          <w:rFonts w:eastAsia="Calibri"/>
          <w:sz w:val="22"/>
          <w:szCs w:val="22"/>
          <w:lang w:val="es-MX"/>
        </w:rPr>
      </w:pPr>
      <w:r w:rsidRPr="00103853">
        <w:rPr>
          <w:b/>
          <w:i/>
          <w:sz w:val="22"/>
          <w:szCs w:val="22"/>
          <w:lang w:val="es-MX"/>
        </w:rPr>
        <w:t>Indicación de posibles dificultades:</w:t>
      </w:r>
      <w:r w:rsidRPr="00103853">
        <w:rPr>
          <w:sz w:val="22"/>
          <w:szCs w:val="22"/>
          <w:lang w:val="es-MX"/>
        </w:rPr>
        <w:t xml:space="preserve"> Ninguna prevista</w:t>
      </w:r>
    </w:p>
    <w:p w14:paraId="64BEEFE1"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0C0573F1" w14:textId="77777777" w:rsidR="001355BF" w:rsidRPr="00103853" w:rsidRDefault="001355BF" w:rsidP="001355BF">
      <w:pPr>
        <w:rPr>
          <w:rFonts w:eastAsia="Calibri"/>
          <w:sz w:val="22"/>
          <w:szCs w:val="22"/>
          <w:lang w:val="es-MX"/>
        </w:rPr>
      </w:pPr>
      <w:r w:rsidRPr="00103853">
        <w:rPr>
          <w:b/>
          <w:i/>
          <w:sz w:val="22"/>
          <w:szCs w:val="22"/>
          <w:lang w:val="es-MX"/>
        </w:rPr>
        <w:t xml:space="preserve">Estudios previos o en curso sobre el tema: </w:t>
      </w:r>
      <w:r w:rsidRPr="00103853">
        <w:rPr>
          <w:sz w:val="22"/>
          <w:szCs w:val="22"/>
          <w:lang w:val="es-MX"/>
        </w:rPr>
        <w:t xml:space="preserve">Los estudios se han estado desarrollando en el Grupo de Trabajo 5B bajo la Cuestión 4 del Punto 9.1 del orden del día de la CMR-19 en el </w:t>
      </w:r>
      <w:r>
        <w:rPr>
          <w:sz w:val="22"/>
          <w:szCs w:val="22"/>
          <w:lang w:val="es-MX"/>
        </w:rPr>
        <w:t>periodo</w:t>
      </w:r>
      <w:r w:rsidRPr="00103853">
        <w:rPr>
          <w:sz w:val="22"/>
          <w:szCs w:val="22"/>
          <w:lang w:val="es-MX"/>
        </w:rPr>
        <w:t xml:space="preserve"> de estudios 2016-2019, y desde 2015 bajo la Cuestión UIT-R 259/5.</w:t>
      </w:r>
    </w:p>
    <w:p w14:paraId="483D98ED"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263"/>
        <w:gridCol w:w="5357"/>
      </w:tblGrid>
      <w:tr w:rsidR="001355BF" w:rsidRPr="00103853" w14:paraId="1D44E2FD" w14:textId="77777777" w:rsidTr="00C639B0">
        <w:tc>
          <w:tcPr>
            <w:tcW w:w="4263" w:type="dxa"/>
            <w:tcBorders>
              <w:top w:val="nil"/>
              <w:left w:val="nil"/>
              <w:bottom w:val="single" w:sz="12" w:space="0" w:color="auto"/>
              <w:right w:val="single" w:sz="12" w:space="0" w:color="auto"/>
            </w:tcBorders>
            <w:hideMark/>
          </w:tcPr>
          <w:p w14:paraId="7E2094A9" w14:textId="72BE9D51" w:rsidR="001355BF" w:rsidRPr="00103853" w:rsidRDefault="001355BF" w:rsidP="00357E06">
            <w:pPr>
              <w:framePr w:hSpace="181" w:wrap="notBeside" w:vAnchor="text" w:hAnchor="text" w:xAlign="center" w:y="1"/>
              <w:tabs>
                <w:tab w:val="left" w:pos="4366"/>
              </w:tabs>
              <w:rPr>
                <w:rFonts w:eastAsia="Calibri"/>
                <w:bCs/>
                <w:iCs/>
                <w:color w:val="000000"/>
                <w:sz w:val="22"/>
                <w:szCs w:val="22"/>
                <w:lang w:val="es-MX"/>
              </w:rPr>
            </w:pPr>
            <w:r w:rsidRPr="00103853">
              <w:rPr>
                <w:b/>
                <w:i/>
                <w:color w:val="000000"/>
                <w:sz w:val="22"/>
                <w:szCs w:val="22"/>
                <w:lang w:val="es-MX"/>
              </w:rPr>
              <w:t xml:space="preserve">Estudios que han de efectuarse a cargo de: </w:t>
            </w:r>
            <w:r w:rsidRPr="00103853">
              <w:rPr>
                <w:color w:val="000000"/>
                <w:sz w:val="22"/>
                <w:szCs w:val="22"/>
                <w:lang w:val="es-MX"/>
              </w:rPr>
              <w:t>Comisión de Estudio 5 del UIT-R</w:t>
            </w:r>
          </w:p>
          <w:p w14:paraId="42F40C0F" w14:textId="77777777" w:rsidR="001355BF" w:rsidRPr="00103853" w:rsidRDefault="001355BF" w:rsidP="00357E06">
            <w:pPr>
              <w:framePr w:hSpace="181" w:wrap="notBeside" w:vAnchor="text" w:hAnchor="text" w:xAlign="center" w:y="1"/>
              <w:tabs>
                <w:tab w:val="left" w:pos="4366"/>
              </w:tabs>
              <w:rPr>
                <w:rFonts w:eastAsia="Calibri"/>
                <w:b/>
                <w:bCs/>
                <w:i/>
                <w:iCs/>
                <w:color w:val="000000"/>
                <w:sz w:val="22"/>
                <w:szCs w:val="22"/>
                <w:lang w:val="es-MX"/>
              </w:rPr>
            </w:pPr>
          </w:p>
        </w:tc>
        <w:tc>
          <w:tcPr>
            <w:tcW w:w="5357" w:type="dxa"/>
            <w:tcBorders>
              <w:top w:val="nil"/>
              <w:left w:val="single" w:sz="12" w:space="0" w:color="auto"/>
              <w:bottom w:val="single" w:sz="12" w:space="0" w:color="auto"/>
              <w:right w:val="nil"/>
            </w:tcBorders>
          </w:tcPr>
          <w:p w14:paraId="277F6E3F" w14:textId="77777777" w:rsidR="001355BF" w:rsidRPr="00103853" w:rsidRDefault="001355BF" w:rsidP="00357E06">
            <w:pPr>
              <w:framePr w:hSpace="181" w:wrap="notBeside" w:vAnchor="text" w:hAnchor="text" w:xAlign="center" w:y="1"/>
              <w:tabs>
                <w:tab w:val="left" w:pos="360"/>
                <w:tab w:val="left" w:pos="900"/>
                <w:tab w:val="left" w:pos="4366"/>
              </w:tabs>
              <w:ind w:left="113"/>
              <w:rPr>
                <w:rFonts w:eastAsia="Calibri"/>
                <w:bCs/>
                <w:i/>
                <w:color w:val="000000"/>
                <w:sz w:val="22"/>
                <w:szCs w:val="22"/>
              </w:rPr>
            </w:pPr>
            <w:r w:rsidRPr="00103853">
              <w:rPr>
                <w:i/>
                <w:color w:val="000000"/>
                <w:sz w:val="22"/>
                <w:szCs w:val="22"/>
              </w:rPr>
              <w:t xml:space="preserve">con participación de: </w:t>
            </w:r>
          </w:p>
          <w:p w14:paraId="5EB535B6" w14:textId="418A53D3" w:rsidR="001355BF" w:rsidRPr="00103853" w:rsidRDefault="001355BF" w:rsidP="00357E06">
            <w:pPr>
              <w:framePr w:hSpace="181" w:wrap="notBeside" w:vAnchor="text" w:hAnchor="text" w:xAlign="center" w:y="1"/>
              <w:tabs>
                <w:tab w:val="left" w:pos="360"/>
                <w:tab w:val="left" w:pos="900"/>
                <w:tab w:val="left" w:pos="4366"/>
              </w:tabs>
              <w:ind w:left="113"/>
              <w:rPr>
                <w:rFonts w:eastAsia="Calibri"/>
                <w:iCs/>
                <w:color w:val="000000"/>
                <w:sz w:val="22"/>
                <w:szCs w:val="22"/>
              </w:rPr>
            </w:pPr>
            <w:r w:rsidRPr="00103853">
              <w:rPr>
                <w:color w:val="000000"/>
                <w:sz w:val="22"/>
                <w:szCs w:val="22"/>
              </w:rPr>
              <w:t>CE 4, 5</w:t>
            </w:r>
          </w:p>
          <w:p w14:paraId="68DA6440" w14:textId="77777777" w:rsidR="001355BF" w:rsidRPr="00103853" w:rsidRDefault="001355BF" w:rsidP="00357E06">
            <w:pPr>
              <w:framePr w:hSpace="181" w:wrap="notBeside" w:vAnchor="text" w:hAnchor="text" w:xAlign="center" w:y="1"/>
              <w:tabs>
                <w:tab w:val="left" w:pos="360"/>
                <w:tab w:val="left" w:pos="900"/>
                <w:tab w:val="left" w:pos="4366"/>
              </w:tabs>
              <w:ind w:left="113"/>
              <w:rPr>
                <w:rFonts w:eastAsia="Calibri"/>
                <w:b/>
                <w:bCs/>
                <w:iCs/>
                <w:color w:val="000000"/>
                <w:sz w:val="22"/>
                <w:szCs w:val="22"/>
              </w:rPr>
            </w:pPr>
          </w:p>
        </w:tc>
      </w:tr>
    </w:tbl>
    <w:p w14:paraId="76C4C16C" w14:textId="0FFB94DB" w:rsidR="001355BF" w:rsidRPr="00103853" w:rsidRDefault="001355BF" w:rsidP="001355BF">
      <w:pPr>
        <w:rPr>
          <w:rFonts w:eastAsia="Calibri"/>
          <w:sz w:val="22"/>
          <w:szCs w:val="22"/>
          <w:lang w:val="es-MX"/>
        </w:rPr>
      </w:pPr>
      <w:r w:rsidRPr="00103853">
        <w:rPr>
          <w:b/>
          <w:i/>
          <w:sz w:val="22"/>
          <w:szCs w:val="22"/>
          <w:lang w:val="es-MX"/>
        </w:rPr>
        <w:t xml:space="preserve">Comisiones de estudio del UIT-R interesadas: </w:t>
      </w:r>
      <w:r w:rsidRPr="00103853">
        <w:rPr>
          <w:sz w:val="22"/>
          <w:szCs w:val="22"/>
          <w:lang w:val="es-MX"/>
        </w:rPr>
        <w:t>CE 4, 5</w:t>
      </w:r>
    </w:p>
    <w:p w14:paraId="753D514E"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4C650DF4" w14:textId="1700AD0D" w:rsidR="001355BF" w:rsidRPr="00103853" w:rsidRDefault="001355BF" w:rsidP="001355BF">
      <w:pPr>
        <w:rPr>
          <w:rFonts w:eastAsia="Calibri"/>
          <w:sz w:val="22"/>
          <w:szCs w:val="22"/>
          <w:lang w:val="es-MX"/>
        </w:rPr>
      </w:pPr>
      <w:r w:rsidRPr="00103853">
        <w:rPr>
          <w:b/>
          <w:i/>
          <w:sz w:val="22"/>
          <w:szCs w:val="22"/>
          <w:lang w:val="es-MX"/>
        </w:rPr>
        <w:t>Consecuencias en los recursos de la UIT, incluidas las implicaciones financieras (véase el CV126):</w:t>
      </w:r>
      <w:r w:rsidRPr="00103853">
        <w:rPr>
          <w:sz w:val="22"/>
          <w:szCs w:val="22"/>
          <w:lang w:val="es-MX"/>
        </w:rPr>
        <w:t xml:space="preserve"> Mínimas</w:t>
      </w:r>
    </w:p>
    <w:p w14:paraId="5BD523C7"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lang w:val="es-MX"/>
        </w:rPr>
      </w:pPr>
    </w:p>
    <w:p w14:paraId="1ACA76D7" w14:textId="77777777" w:rsidR="001355BF" w:rsidRPr="00103853" w:rsidRDefault="001355BF" w:rsidP="001355BF">
      <w:pPr>
        <w:rPr>
          <w:rFonts w:eastAsia="Calibri"/>
          <w:sz w:val="22"/>
          <w:szCs w:val="22"/>
          <w:lang w:val="es-MX"/>
        </w:rPr>
      </w:pPr>
      <w:r w:rsidRPr="00103853">
        <w:rPr>
          <w:b/>
          <w:i/>
          <w:sz w:val="22"/>
          <w:szCs w:val="22"/>
          <w:lang w:val="es-MX"/>
        </w:rPr>
        <w:t xml:space="preserve">Propuesta regional común: </w:t>
      </w:r>
      <w:r w:rsidRPr="00103853">
        <w:rPr>
          <w:sz w:val="22"/>
          <w:szCs w:val="22"/>
          <w:lang w:val="es-MX"/>
        </w:rPr>
        <w:t xml:space="preserve">Sí/No </w:t>
      </w:r>
      <w:r w:rsidRPr="00103853">
        <w:rPr>
          <w:sz w:val="22"/>
          <w:szCs w:val="22"/>
          <w:lang w:val="es-MX"/>
        </w:rPr>
        <w:tab/>
      </w:r>
      <w:r w:rsidRPr="00103853">
        <w:rPr>
          <w:sz w:val="22"/>
          <w:szCs w:val="22"/>
          <w:lang w:val="es-MX"/>
        </w:rPr>
        <w:tab/>
      </w:r>
      <w:r w:rsidRPr="00103853">
        <w:rPr>
          <w:b/>
          <w:i/>
          <w:sz w:val="22"/>
          <w:szCs w:val="22"/>
          <w:lang w:val="es-MX"/>
        </w:rPr>
        <w:t xml:space="preserve">Propuesta multipaís: </w:t>
      </w:r>
      <w:r w:rsidRPr="00103853">
        <w:rPr>
          <w:sz w:val="22"/>
          <w:szCs w:val="22"/>
          <w:lang w:val="es-MX"/>
        </w:rPr>
        <w:t>Sí/No</w:t>
      </w:r>
    </w:p>
    <w:p w14:paraId="643DDF02" w14:textId="77777777" w:rsidR="001355BF" w:rsidRPr="00103853" w:rsidRDefault="001355BF" w:rsidP="001355BF">
      <w:pPr>
        <w:ind w:firstLine="720"/>
        <w:rPr>
          <w:rFonts w:eastAsia="Calibri"/>
          <w:i/>
          <w:iCs/>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0908F6">
        <w:rPr>
          <w:b/>
          <w:bCs/>
          <w:i/>
          <w:sz w:val="22"/>
          <w:szCs w:val="22"/>
        </w:rPr>
        <w:t>Número de países</w:t>
      </w:r>
      <w:r w:rsidRPr="00644CB0">
        <w:rPr>
          <w:b/>
          <w:bCs/>
          <w:i/>
          <w:sz w:val="22"/>
          <w:szCs w:val="22"/>
        </w:rPr>
        <w:t>:</w:t>
      </w:r>
    </w:p>
    <w:p w14:paraId="34A145D1" w14:textId="77777777" w:rsidR="001355BF" w:rsidRPr="00103853" w:rsidRDefault="001355BF" w:rsidP="00C639B0">
      <w:pPr>
        <w:pBdr>
          <w:bottom w:val="single" w:sz="12" w:space="1" w:color="auto"/>
        </w:pBdr>
        <w:tabs>
          <w:tab w:val="left" w:pos="794"/>
          <w:tab w:val="left" w:pos="1191"/>
          <w:tab w:val="left" w:pos="1588"/>
          <w:tab w:val="left" w:pos="1985"/>
        </w:tabs>
        <w:spacing w:before="0"/>
        <w:rPr>
          <w:rFonts w:eastAsia="Calibri"/>
          <w:color w:val="000000"/>
          <w:sz w:val="22"/>
          <w:szCs w:val="22"/>
        </w:rPr>
      </w:pPr>
    </w:p>
    <w:p w14:paraId="26E1BD28" w14:textId="451DBF30" w:rsidR="001355BF" w:rsidRPr="00DA1B94" w:rsidRDefault="001355BF" w:rsidP="00DA1B94">
      <w:pPr>
        <w:rPr>
          <w:b/>
          <w:bCs/>
          <w:i/>
          <w:iCs/>
        </w:rPr>
      </w:pPr>
      <w:r w:rsidRPr="00DA1B94">
        <w:rPr>
          <w:b/>
          <w:bCs/>
          <w:i/>
          <w:iCs/>
          <w:sz w:val="22"/>
          <w:szCs w:val="18"/>
          <w:lang w:val="es-MX"/>
        </w:rPr>
        <w:t>Observaciones</w:t>
      </w:r>
    </w:p>
    <w:p w14:paraId="2739E1A3" w14:textId="77777777" w:rsidR="001355BF" w:rsidRDefault="001355BF" w:rsidP="00DA1B94"/>
    <w:p w14:paraId="7291FD4F" w14:textId="77777777" w:rsidR="001355BF" w:rsidRDefault="001355BF">
      <w:pPr>
        <w:jc w:val="center"/>
      </w:pPr>
      <w:r>
        <w:t>______________</w:t>
      </w:r>
    </w:p>
    <w:p w14:paraId="213C73F9" w14:textId="77777777" w:rsidR="001355BF" w:rsidRDefault="001355BF" w:rsidP="00DA1B94"/>
    <w:sectPr w:rsidR="001355B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55DE" w14:textId="77777777" w:rsidR="00FD03C4" w:rsidRDefault="00FD03C4">
      <w:r>
        <w:separator/>
      </w:r>
    </w:p>
  </w:endnote>
  <w:endnote w:type="continuationSeparator" w:id="0">
    <w:p w14:paraId="184E5367"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B1B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08557" w14:textId="5A032927" w:rsidR="0077084A" w:rsidRDefault="0077084A">
    <w:pPr>
      <w:ind w:right="360"/>
      <w:rPr>
        <w:lang w:val="en-US"/>
      </w:rPr>
    </w:pPr>
    <w:r>
      <w:fldChar w:fldCharType="begin"/>
    </w:r>
    <w:r>
      <w:rPr>
        <w:lang w:val="en-US"/>
      </w:rPr>
      <w:instrText xml:space="preserve"> FILENAME \p  \* MERGEFORMAT </w:instrText>
    </w:r>
    <w:r>
      <w:fldChar w:fldCharType="separate"/>
    </w:r>
    <w:r w:rsidR="00E76D5E">
      <w:rPr>
        <w:noProof/>
        <w:lang w:val="en-US"/>
      </w:rPr>
      <w:t>P:\ESP\ITU-R\CONF-R\CMR19\000\011ADD24ADD07S.docx</w:t>
    </w:r>
    <w:r>
      <w:fldChar w:fldCharType="end"/>
    </w:r>
    <w:r>
      <w:rPr>
        <w:lang w:val="en-US"/>
      </w:rPr>
      <w:tab/>
    </w:r>
    <w:r>
      <w:fldChar w:fldCharType="begin"/>
    </w:r>
    <w:r>
      <w:instrText xml:space="preserve"> SAVEDATE \@ DD.MM.YY </w:instrText>
    </w:r>
    <w:r>
      <w:fldChar w:fldCharType="separate"/>
    </w:r>
    <w:r w:rsidR="0046294B">
      <w:rPr>
        <w:noProof/>
      </w:rPr>
      <w:t>02.10.19</w:t>
    </w:r>
    <w:r>
      <w:fldChar w:fldCharType="end"/>
    </w:r>
    <w:r>
      <w:rPr>
        <w:lang w:val="en-US"/>
      </w:rPr>
      <w:tab/>
    </w:r>
    <w:r>
      <w:fldChar w:fldCharType="begin"/>
    </w:r>
    <w:r>
      <w:instrText xml:space="preserve"> PRINTDATE \@ DD.MM.YY </w:instrText>
    </w:r>
    <w:r>
      <w:fldChar w:fldCharType="separate"/>
    </w:r>
    <w:r w:rsidR="00E76D5E">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ACF8" w14:textId="67D68AE4" w:rsidR="0077084A" w:rsidRPr="00A867C5" w:rsidRDefault="00A867C5" w:rsidP="00A867C5">
    <w:pPr>
      <w:pStyle w:val="Footer"/>
      <w:rPr>
        <w:lang w:val="en-GB"/>
      </w:rPr>
    </w:pPr>
    <w:r>
      <w:fldChar w:fldCharType="begin"/>
    </w:r>
    <w:r>
      <w:rPr>
        <w:lang w:val="en-US"/>
      </w:rPr>
      <w:instrText xml:space="preserve"> FILENAME \p  \* MERGEFORMAT </w:instrText>
    </w:r>
    <w:r>
      <w:fldChar w:fldCharType="separate"/>
    </w:r>
    <w:r w:rsidR="004C4FF0">
      <w:rPr>
        <w:lang w:val="en-US"/>
      </w:rPr>
      <w:t>P:\ESP\ITU-R\CONF-R\CMR19\000\011ADD24ADD07REV1S.docx</w:t>
    </w:r>
    <w:r>
      <w:fldChar w:fldCharType="end"/>
    </w:r>
    <w:r w:rsidRPr="00E76D5E">
      <w:rPr>
        <w:lang w:val="en-GB"/>
      </w:rPr>
      <w:t xml:space="preserve"> </w:t>
    </w:r>
    <w:r>
      <w:rPr>
        <w:lang w:val="en-GB"/>
      </w:rPr>
      <w:t>(461692)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3CB4" w14:textId="1A136673" w:rsidR="0077084A" w:rsidRPr="00E76D5E" w:rsidRDefault="0077084A" w:rsidP="00B47331">
    <w:pPr>
      <w:pStyle w:val="Footer"/>
      <w:rPr>
        <w:lang w:val="en-GB"/>
      </w:rPr>
    </w:pPr>
    <w:r>
      <w:fldChar w:fldCharType="begin"/>
    </w:r>
    <w:r>
      <w:rPr>
        <w:lang w:val="en-US"/>
      </w:rPr>
      <w:instrText xml:space="preserve"> FILENAME \p  \* MERGEFORMAT </w:instrText>
    </w:r>
    <w:r>
      <w:fldChar w:fldCharType="separate"/>
    </w:r>
    <w:r w:rsidR="004C4FF0">
      <w:rPr>
        <w:lang w:val="en-US"/>
      </w:rPr>
      <w:t>P:\ESP\ITU-R\CONF-R\CMR19\000\011ADD24ADD07REV1S.docx</w:t>
    </w:r>
    <w:r>
      <w:fldChar w:fldCharType="end"/>
    </w:r>
    <w:r w:rsidR="00E76D5E" w:rsidRPr="00E76D5E">
      <w:rPr>
        <w:lang w:val="en-GB"/>
      </w:rPr>
      <w:t xml:space="preserve"> </w:t>
    </w:r>
    <w:r w:rsidR="00E76D5E">
      <w:rPr>
        <w:lang w:val="en-GB"/>
      </w:rPr>
      <w:t>(46</w:t>
    </w:r>
    <w:r w:rsidR="00A867C5">
      <w:rPr>
        <w:lang w:val="en-GB"/>
      </w:rPr>
      <w:t>1692</w:t>
    </w:r>
    <w:r w:rsidR="00E76D5E">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958E" w14:textId="77777777" w:rsidR="00FD03C4" w:rsidRDefault="00FD03C4">
      <w:r>
        <w:rPr>
          <w:b/>
        </w:rPr>
        <w:t>_______________</w:t>
      </w:r>
    </w:p>
  </w:footnote>
  <w:footnote w:type="continuationSeparator" w:id="0">
    <w:p w14:paraId="03FF9EBE"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E71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F901E06" w14:textId="71C6300C" w:rsidR="0077084A" w:rsidRDefault="008750A8" w:rsidP="00C44E9E">
    <w:pPr>
      <w:pStyle w:val="Header"/>
      <w:rPr>
        <w:lang w:val="en-US"/>
      </w:rPr>
    </w:pPr>
    <w:r>
      <w:rPr>
        <w:lang w:val="en-US"/>
      </w:rPr>
      <w:t>CMR1</w:t>
    </w:r>
    <w:r w:rsidR="00C44E9E">
      <w:rPr>
        <w:lang w:val="en-US"/>
      </w:rPr>
      <w:t>9</w:t>
    </w:r>
    <w:r>
      <w:rPr>
        <w:lang w:val="en-US"/>
      </w:rPr>
      <w:t>/</w:t>
    </w:r>
    <w:r w:rsidR="00702F3D">
      <w:t>11(Add.24)(Add.7)</w:t>
    </w:r>
    <w:r w:rsidR="00A867C5">
      <w:t>(Rev.1)</w:t>
    </w:r>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5B728F"/>
    <w:multiLevelType w:val="hybridMultilevel"/>
    <w:tmpl w:val="41023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A0675"/>
    <w:multiLevelType w:val="hybridMultilevel"/>
    <w:tmpl w:val="3BDA736E"/>
    <w:lvl w:ilvl="0" w:tplc="BF801294">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6373D"/>
    <w:multiLevelType w:val="hybridMultilevel"/>
    <w:tmpl w:val="337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716BB"/>
    <w:multiLevelType w:val="hybridMultilevel"/>
    <w:tmpl w:val="4E7C5F8C"/>
    <w:lvl w:ilvl="0" w:tplc="AF8C36F2">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611C5"/>
    <w:multiLevelType w:val="hybridMultilevel"/>
    <w:tmpl w:val="D624A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3539"/>
    <w:rsid w:val="00087AE8"/>
    <w:rsid w:val="00090A5B"/>
    <w:rsid w:val="00091309"/>
    <w:rsid w:val="000A5B9A"/>
    <w:rsid w:val="000E5BF9"/>
    <w:rsid w:val="000F0E6D"/>
    <w:rsid w:val="00121170"/>
    <w:rsid w:val="00123CC5"/>
    <w:rsid w:val="001355BF"/>
    <w:rsid w:val="00142020"/>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66EAE"/>
    <w:rsid w:val="002A791F"/>
    <w:rsid w:val="002C1A52"/>
    <w:rsid w:val="002C1B26"/>
    <w:rsid w:val="002C5D6C"/>
    <w:rsid w:val="002E701F"/>
    <w:rsid w:val="00322870"/>
    <w:rsid w:val="003248A9"/>
    <w:rsid w:val="00324FFA"/>
    <w:rsid w:val="0032680B"/>
    <w:rsid w:val="00363A65"/>
    <w:rsid w:val="00371EBB"/>
    <w:rsid w:val="003B1E8C"/>
    <w:rsid w:val="003C2508"/>
    <w:rsid w:val="003D0AA3"/>
    <w:rsid w:val="003E2086"/>
    <w:rsid w:val="003F7F66"/>
    <w:rsid w:val="00440B3A"/>
    <w:rsid w:val="0044375A"/>
    <w:rsid w:val="0045384C"/>
    <w:rsid w:val="00454553"/>
    <w:rsid w:val="0046294B"/>
    <w:rsid w:val="00472A86"/>
    <w:rsid w:val="004B124A"/>
    <w:rsid w:val="004B3095"/>
    <w:rsid w:val="004C4FF0"/>
    <w:rsid w:val="004D2C7C"/>
    <w:rsid w:val="005133B5"/>
    <w:rsid w:val="00524392"/>
    <w:rsid w:val="00532097"/>
    <w:rsid w:val="00565806"/>
    <w:rsid w:val="0058350F"/>
    <w:rsid w:val="00583C7E"/>
    <w:rsid w:val="0059098E"/>
    <w:rsid w:val="005D46FB"/>
    <w:rsid w:val="005F2605"/>
    <w:rsid w:val="005F3B0E"/>
    <w:rsid w:val="005F559C"/>
    <w:rsid w:val="00602857"/>
    <w:rsid w:val="006124AD"/>
    <w:rsid w:val="00624009"/>
    <w:rsid w:val="00644CB0"/>
    <w:rsid w:val="00662BA0"/>
    <w:rsid w:val="0067344B"/>
    <w:rsid w:val="00684A94"/>
    <w:rsid w:val="00692AAE"/>
    <w:rsid w:val="006C0E38"/>
    <w:rsid w:val="006D6E67"/>
    <w:rsid w:val="006E1A13"/>
    <w:rsid w:val="00701C20"/>
    <w:rsid w:val="00702F3D"/>
    <w:rsid w:val="0070518E"/>
    <w:rsid w:val="00717FBA"/>
    <w:rsid w:val="007354E9"/>
    <w:rsid w:val="0074579D"/>
    <w:rsid w:val="00765578"/>
    <w:rsid w:val="00766333"/>
    <w:rsid w:val="0077084A"/>
    <w:rsid w:val="007952C7"/>
    <w:rsid w:val="007C0B95"/>
    <w:rsid w:val="007C2317"/>
    <w:rsid w:val="007D330A"/>
    <w:rsid w:val="00866AE6"/>
    <w:rsid w:val="008750A8"/>
    <w:rsid w:val="008E48FA"/>
    <w:rsid w:val="008E5AF2"/>
    <w:rsid w:val="0090121B"/>
    <w:rsid w:val="009106C2"/>
    <w:rsid w:val="009144C9"/>
    <w:rsid w:val="0094091F"/>
    <w:rsid w:val="00951BE0"/>
    <w:rsid w:val="00962171"/>
    <w:rsid w:val="00973754"/>
    <w:rsid w:val="009C0BED"/>
    <w:rsid w:val="009E11EC"/>
    <w:rsid w:val="00A021CC"/>
    <w:rsid w:val="00A118DB"/>
    <w:rsid w:val="00A439B2"/>
    <w:rsid w:val="00A4450C"/>
    <w:rsid w:val="00A867C5"/>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639B0"/>
    <w:rsid w:val="00C63EB5"/>
    <w:rsid w:val="00C87DA7"/>
    <w:rsid w:val="00CC01E0"/>
    <w:rsid w:val="00CD5FEE"/>
    <w:rsid w:val="00CE60D2"/>
    <w:rsid w:val="00CE7431"/>
    <w:rsid w:val="00D0288A"/>
    <w:rsid w:val="00D72A5D"/>
    <w:rsid w:val="00DA1B94"/>
    <w:rsid w:val="00DA71A3"/>
    <w:rsid w:val="00DC629B"/>
    <w:rsid w:val="00DE1C31"/>
    <w:rsid w:val="00E05BFF"/>
    <w:rsid w:val="00E262F1"/>
    <w:rsid w:val="00E3176A"/>
    <w:rsid w:val="00E54754"/>
    <w:rsid w:val="00E56BD3"/>
    <w:rsid w:val="00E71D14"/>
    <w:rsid w:val="00E76D5E"/>
    <w:rsid w:val="00EA77F0"/>
    <w:rsid w:val="00EC03DF"/>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30AEE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9008-1070-4091-A1BA-769840AFF481}">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48062-848D-41A4-A80D-4DD7C9164CDF}">
  <ds:schemaRefs>
    <ds:schemaRef ds:uri="http://schemas.microsoft.com/sharepoint/events"/>
  </ds:schemaRefs>
</ds:datastoreItem>
</file>

<file path=customXml/itemProps4.xml><?xml version="1.0" encoding="utf-8"?>
<ds:datastoreItem xmlns:ds="http://schemas.openxmlformats.org/officeDocument/2006/customXml" ds:itemID="{4BC6DC59-2620-4684-BFA1-A25138A45814}">
  <ds:schemaRefs>
    <ds:schemaRef ds:uri="996b2e75-67fd-4955-a3b0-5ab9934cb50b"/>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32a1a8c5-2265-4ebc-b7a0-2071e2c5c9bb"/>
    <ds:schemaRef ds:uri="http://purl.org/dc/dcmitype/"/>
  </ds:schemaRefs>
</ds:datastoreItem>
</file>

<file path=customXml/itemProps5.xml><?xml version="1.0" encoding="utf-8"?>
<ds:datastoreItem xmlns:ds="http://schemas.openxmlformats.org/officeDocument/2006/customXml" ds:itemID="{C44090FA-DACD-467A-8D17-E93CA011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1289</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R16-WRC19-C-0011!A24-A7!MSW-S</vt:lpstr>
    </vt:vector>
  </TitlesOfParts>
  <Manager>Secretaría General - Pool</Manager>
  <Company>Unión Internacional de Telecomunicaciones (UIT)</Company>
  <LinksUpToDate>false</LinksUpToDate>
  <CharactersWithSpaces>8937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R16-WRC19-C-0011!A24-A7!MSW-S</dc:title>
  <dc:subject>Conferencia Mundial de Radiocomunicaciones - 2019</dc:subject>
  <dc:creator>Documents Proposals Manager (DPM)</dc:creator>
  <cp:keywords>DPM_v2019.9.25.1_prod</cp:keywords>
  <dc:description/>
  <cp:lastModifiedBy>Spanish</cp:lastModifiedBy>
  <cp:revision>5</cp:revision>
  <cp:lastPrinted>2003-02-19T20:20:00Z</cp:lastPrinted>
  <dcterms:created xsi:type="dcterms:W3CDTF">2019-10-02T12:00:00Z</dcterms:created>
  <dcterms:modified xsi:type="dcterms:W3CDTF">2019-10-02T12:13:00Z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