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BB1D82" w:rsidRPr="00FB3C84" w14:paraId="48424B3D" w14:textId="77777777" w:rsidTr="00693855">
        <w:trPr>
          <w:cantSplit/>
        </w:trPr>
        <w:tc>
          <w:tcPr>
            <w:tcW w:w="6804" w:type="dxa"/>
          </w:tcPr>
          <w:p w14:paraId="7DDCCF1D" w14:textId="77777777" w:rsidR="00BB1D82" w:rsidRPr="00FB3C84" w:rsidRDefault="00851625" w:rsidP="00693855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bookmarkStart w:id="0" w:name="_GoBack"/>
            <w:bookmarkEnd w:id="0"/>
            <w:r w:rsidRPr="00FB3C84"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</w:t>
            </w:r>
            <w:r w:rsidR="00FD7AA3" w:rsidRPr="00FB3C84">
              <w:rPr>
                <w:rFonts w:ascii="Verdana" w:hAnsi="Verdana"/>
                <w:b/>
                <w:bCs/>
                <w:sz w:val="20"/>
                <w:lang w:val="fr-CH"/>
              </w:rPr>
              <w:t>9</w:t>
            </w:r>
            <w:r w:rsidRPr="00FB3C84">
              <w:rPr>
                <w:rFonts w:ascii="Verdana" w:hAnsi="Verdana"/>
                <w:b/>
                <w:bCs/>
                <w:sz w:val="20"/>
                <w:lang w:val="fr-CH"/>
              </w:rPr>
              <w:t>)</w:t>
            </w:r>
            <w:r w:rsidRPr="00FB3C84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proofErr w:type="spellStart"/>
            <w:r w:rsidR="00063A1F" w:rsidRPr="00FB3C8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Charm</w:t>
            </w:r>
            <w:proofErr w:type="spellEnd"/>
            <w:r w:rsidR="00063A1F" w:rsidRPr="00FB3C8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el-Cheikh, </w:t>
            </w:r>
            <w:r w:rsidR="00081366" w:rsidRPr="00FB3C8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É</w:t>
            </w:r>
            <w:r w:rsidR="00063A1F" w:rsidRPr="00FB3C8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gypte</w:t>
            </w:r>
            <w:r w:rsidRPr="00FB3C8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,</w:t>
            </w:r>
            <w:r w:rsidR="00E537FF" w:rsidRPr="00FB3C8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FB3C8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 w:rsidRPr="00FB3C8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8 octobre </w:t>
            </w:r>
            <w:r w:rsidR="00F10064" w:rsidRPr="00FB3C8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–</w:t>
            </w:r>
            <w:r w:rsidR="00FD7AA3" w:rsidRPr="00FB3C8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FB3C8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 w:rsidRPr="00FB3C8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Pr="00FB3C8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novembre 201</w:t>
            </w:r>
            <w:r w:rsidR="00FD7AA3" w:rsidRPr="00FB3C8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9</w:t>
            </w:r>
          </w:p>
        </w:tc>
        <w:tc>
          <w:tcPr>
            <w:tcW w:w="3227" w:type="dxa"/>
          </w:tcPr>
          <w:p w14:paraId="1B0274AA" w14:textId="77777777" w:rsidR="00BB1D82" w:rsidRPr="00FB3C84" w:rsidRDefault="000A55AE" w:rsidP="00693855">
            <w:pPr>
              <w:spacing w:before="0"/>
              <w:jc w:val="right"/>
              <w:rPr>
                <w:lang w:val="fr-CH"/>
              </w:rPr>
            </w:pPr>
            <w:r w:rsidRPr="00FB3C84">
              <w:rPr>
                <w:rFonts w:ascii="Verdana" w:hAnsi="Verdana"/>
                <w:b/>
                <w:bCs/>
                <w:noProof/>
                <w:lang w:val="fr-CH" w:eastAsia="zh-CN"/>
              </w:rPr>
              <w:drawing>
                <wp:inline distT="0" distB="0" distL="0" distR="0" wp14:anchorId="000A5CB3" wp14:editId="2892E2D8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FB3C84" w14:paraId="4B8AA18D" w14:textId="77777777" w:rsidTr="00693855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324D46D1" w14:textId="77777777" w:rsidR="00BB1D82" w:rsidRPr="00FB3C84" w:rsidRDefault="00BB1D82" w:rsidP="00693855">
            <w:pPr>
              <w:spacing w:before="0" w:after="48"/>
              <w:rPr>
                <w:b/>
                <w:smallCaps/>
                <w:szCs w:val="24"/>
                <w:lang w:val="fr-CH"/>
              </w:rPr>
            </w:pPr>
            <w:bookmarkStart w:id="1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59A289BB" w14:textId="77777777" w:rsidR="00BB1D82" w:rsidRPr="00FB3C84" w:rsidRDefault="00BB1D82" w:rsidP="00693855">
            <w:pPr>
              <w:spacing w:before="0"/>
              <w:rPr>
                <w:rFonts w:ascii="Verdana" w:hAnsi="Verdana"/>
                <w:szCs w:val="24"/>
                <w:lang w:val="fr-CH"/>
              </w:rPr>
            </w:pPr>
          </w:p>
        </w:tc>
      </w:tr>
      <w:tr w:rsidR="00BB1D82" w:rsidRPr="00FB3C84" w14:paraId="29FDAAC0" w14:textId="77777777" w:rsidTr="00693855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2064772A" w14:textId="77777777" w:rsidR="00BB1D82" w:rsidRPr="00FB3C84" w:rsidRDefault="00BB1D82" w:rsidP="00693855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493C5109" w14:textId="77777777" w:rsidR="00BB1D82" w:rsidRPr="00FB3C84" w:rsidRDefault="00BB1D82" w:rsidP="00693855">
            <w:pPr>
              <w:spacing w:before="0"/>
              <w:rPr>
                <w:rFonts w:ascii="Verdana" w:hAnsi="Verdana"/>
                <w:sz w:val="20"/>
                <w:lang w:val="fr-CH"/>
              </w:rPr>
            </w:pPr>
          </w:p>
        </w:tc>
      </w:tr>
      <w:tr w:rsidR="00BB1D82" w:rsidRPr="00FB3C84" w14:paraId="689FB8F0" w14:textId="77777777" w:rsidTr="00693855">
        <w:trPr>
          <w:cantSplit/>
        </w:trPr>
        <w:tc>
          <w:tcPr>
            <w:tcW w:w="6804" w:type="dxa"/>
          </w:tcPr>
          <w:p w14:paraId="038C517C" w14:textId="77777777" w:rsidR="00BB1D82" w:rsidRPr="00FB3C84" w:rsidRDefault="006D4724" w:rsidP="00693855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FB3C84">
              <w:rPr>
                <w:rFonts w:ascii="Verdana" w:hAnsi="Verdana"/>
                <w:b/>
                <w:sz w:val="20"/>
                <w:lang w:val="fr-CH"/>
              </w:rPr>
              <w:t>SÉANCE PLÉNIÈRE</w:t>
            </w:r>
          </w:p>
        </w:tc>
        <w:tc>
          <w:tcPr>
            <w:tcW w:w="3227" w:type="dxa"/>
          </w:tcPr>
          <w:p w14:paraId="391EAB55" w14:textId="77777777" w:rsidR="00BB1D82" w:rsidRPr="00FB3C84" w:rsidRDefault="006D4724" w:rsidP="00693855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FB3C84">
              <w:rPr>
                <w:rFonts w:ascii="Verdana" w:hAnsi="Verdana"/>
                <w:b/>
                <w:sz w:val="20"/>
                <w:lang w:val="fr-CH"/>
              </w:rPr>
              <w:t>Addendum 8 au</w:t>
            </w:r>
            <w:r w:rsidRPr="00FB3C84">
              <w:rPr>
                <w:rFonts w:ascii="Verdana" w:hAnsi="Verdana"/>
                <w:b/>
                <w:sz w:val="20"/>
                <w:lang w:val="fr-CH"/>
              </w:rPr>
              <w:br/>
              <w:t>Document 11(Add.24)</w:t>
            </w:r>
            <w:r w:rsidR="00BB1D82" w:rsidRPr="00FB3C84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FB3C84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FB3C84" w14:paraId="1BBD00EA" w14:textId="77777777" w:rsidTr="00693855">
        <w:trPr>
          <w:cantSplit/>
        </w:trPr>
        <w:tc>
          <w:tcPr>
            <w:tcW w:w="6804" w:type="dxa"/>
          </w:tcPr>
          <w:p w14:paraId="5286BFF4" w14:textId="77777777" w:rsidR="00690C7B" w:rsidRPr="00FB3C84" w:rsidRDefault="00690C7B" w:rsidP="00693855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227" w:type="dxa"/>
          </w:tcPr>
          <w:p w14:paraId="167EDBA5" w14:textId="77777777" w:rsidR="00690C7B" w:rsidRPr="00FB3C84" w:rsidRDefault="00690C7B" w:rsidP="00693855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FB3C84">
              <w:rPr>
                <w:rFonts w:ascii="Verdana" w:hAnsi="Verdana"/>
                <w:b/>
                <w:sz w:val="20"/>
                <w:lang w:val="fr-CH"/>
              </w:rPr>
              <w:t>16 septembre 2019</w:t>
            </w:r>
          </w:p>
        </w:tc>
      </w:tr>
      <w:tr w:rsidR="00690C7B" w:rsidRPr="00FB3C84" w14:paraId="5C258DDB" w14:textId="77777777" w:rsidTr="00693855">
        <w:trPr>
          <w:cantSplit/>
        </w:trPr>
        <w:tc>
          <w:tcPr>
            <w:tcW w:w="6804" w:type="dxa"/>
          </w:tcPr>
          <w:p w14:paraId="3CD8DEC9" w14:textId="77777777" w:rsidR="00690C7B" w:rsidRPr="00FB3C84" w:rsidRDefault="00690C7B" w:rsidP="00693855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227" w:type="dxa"/>
          </w:tcPr>
          <w:p w14:paraId="66E78D53" w14:textId="3865F3A0" w:rsidR="00690C7B" w:rsidRPr="00FB3C84" w:rsidRDefault="00690C7B" w:rsidP="00693855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FB3C84">
              <w:rPr>
                <w:rFonts w:ascii="Verdana" w:hAnsi="Verdana"/>
                <w:b/>
                <w:sz w:val="20"/>
                <w:lang w:val="fr-CH"/>
              </w:rPr>
              <w:t>Original: anglais</w:t>
            </w:r>
            <w:r w:rsidR="00456E41" w:rsidRPr="00FB3C84">
              <w:rPr>
                <w:rFonts w:ascii="Verdana" w:hAnsi="Verdana"/>
                <w:b/>
                <w:sz w:val="20"/>
                <w:lang w:val="fr-CH"/>
              </w:rPr>
              <w:t>/espagnol</w:t>
            </w:r>
          </w:p>
        </w:tc>
      </w:tr>
      <w:tr w:rsidR="00690C7B" w:rsidRPr="00FB3C84" w14:paraId="0861E674" w14:textId="77777777" w:rsidTr="00C11970">
        <w:trPr>
          <w:cantSplit/>
        </w:trPr>
        <w:tc>
          <w:tcPr>
            <w:tcW w:w="10031" w:type="dxa"/>
            <w:gridSpan w:val="2"/>
          </w:tcPr>
          <w:p w14:paraId="27BFE932" w14:textId="77777777" w:rsidR="00690C7B" w:rsidRPr="00FB3C84" w:rsidRDefault="00690C7B" w:rsidP="00693855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</w:tr>
      <w:tr w:rsidR="00690C7B" w:rsidRPr="00FB3C84" w14:paraId="62826E91" w14:textId="77777777" w:rsidTr="0050008E">
        <w:trPr>
          <w:cantSplit/>
        </w:trPr>
        <w:tc>
          <w:tcPr>
            <w:tcW w:w="10031" w:type="dxa"/>
            <w:gridSpan w:val="2"/>
          </w:tcPr>
          <w:p w14:paraId="2ED2A7F7" w14:textId="305B1140" w:rsidR="00690C7B" w:rsidRPr="00FB3C84" w:rsidRDefault="00701983" w:rsidP="00693855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FB3C84">
              <w:rPr>
                <w:lang w:val="fr-CH"/>
              </w:rPr>
              <w:t>É</w:t>
            </w:r>
            <w:r w:rsidR="00690C7B" w:rsidRPr="00FB3C84">
              <w:rPr>
                <w:lang w:val="fr-CH"/>
              </w:rPr>
              <w:t>tats Membres de la Commission interaméricaine des télécommunications (CITEL)</w:t>
            </w:r>
          </w:p>
        </w:tc>
      </w:tr>
      <w:tr w:rsidR="00690C7B" w:rsidRPr="00FB3C84" w14:paraId="52A20972" w14:textId="77777777" w:rsidTr="0050008E">
        <w:trPr>
          <w:cantSplit/>
        </w:trPr>
        <w:tc>
          <w:tcPr>
            <w:tcW w:w="10031" w:type="dxa"/>
            <w:gridSpan w:val="2"/>
          </w:tcPr>
          <w:p w14:paraId="40D8A796" w14:textId="1BB21AEB" w:rsidR="00690C7B" w:rsidRPr="00FB3C84" w:rsidRDefault="00701983" w:rsidP="00693855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FB3C84">
              <w:rPr>
                <w:lang w:val="fr-CH"/>
              </w:rPr>
              <w:t>PROPOSITIONS POUR LES TRAVAUX DE LA CONFÉRENCE</w:t>
            </w:r>
          </w:p>
        </w:tc>
      </w:tr>
      <w:tr w:rsidR="00690C7B" w:rsidRPr="00FB3C84" w14:paraId="21149EDB" w14:textId="77777777" w:rsidTr="0050008E">
        <w:trPr>
          <w:cantSplit/>
        </w:trPr>
        <w:tc>
          <w:tcPr>
            <w:tcW w:w="10031" w:type="dxa"/>
            <w:gridSpan w:val="2"/>
          </w:tcPr>
          <w:p w14:paraId="2D514018" w14:textId="77777777" w:rsidR="00690C7B" w:rsidRPr="00FB3C84" w:rsidRDefault="00690C7B" w:rsidP="00693855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RPr="00FB3C84" w14:paraId="504288E8" w14:textId="77777777" w:rsidTr="0050008E">
        <w:trPr>
          <w:cantSplit/>
        </w:trPr>
        <w:tc>
          <w:tcPr>
            <w:tcW w:w="10031" w:type="dxa"/>
            <w:gridSpan w:val="2"/>
          </w:tcPr>
          <w:p w14:paraId="2F1EEBA3" w14:textId="77777777" w:rsidR="00690C7B" w:rsidRPr="00FB3C84" w:rsidRDefault="00690C7B" w:rsidP="00693855">
            <w:pPr>
              <w:pStyle w:val="Agendaitem"/>
            </w:pPr>
            <w:bookmarkStart w:id="5" w:name="dtitle3" w:colFirst="0" w:colLast="0"/>
            <w:bookmarkEnd w:id="4"/>
            <w:r w:rsidRPr="00FB3C84">
              <w:t>Point 10 de l'ordre du jour</w:t>
            </w:r>
          </w:p>
        </w:tc>
      </w:tr>
    </w:tbl>
    <w:bookmarkEnd w:id="5"/>
    <w:p w14:paraId="7BC98AFE" w14:textId="3A355A8F" w:rsidR="001C0E40" w:rsidRPr="00FB3C84" w:rsidRDefault="00DA0574" w:rsidP="00693855">
      <w:pPr>
        <w:rPr>
          <w:lang w:val="fr-CH"/>
        </w:rPr>
      </w:pPr>
      <w:r w:rsidRPr="00FB3C84">
        <w:rPr>
          <w:lang w:val="fr-CH"/>
        </w:rPr>
        <w:t>10</w:t>
      </w:r>
      <w:r w:rsidRPr="00FB3C84">
        <w:rPr>
          <w:lang w:val="fr-CH"/>
        </w:rPr>
        <w:tab/>
        <w:t>recommander au Conseil des points à inscrire à l'ordre du jour de la CMR suivante et exposer ses vues sur l'ordre du jour préliminaire de la conférence ultérieure ainsi que sur des points éventuels à inscrire à l'ordre du jour de conférences futures, conformément à l'article 7 de la Convention</w:t>
      </w:r>
      <w:r w:rsidR="00456E41" w:rsidRPr="00FB3C84">
        <w:rPr>
          <w:lang w:val="fr-CH"/>
        </w:rPr>
        <w:t>.</w:t>
      </w:r>
    </w:p>
    <w:p w14:paraId="4D078A4B" w14:textId="33F8210C" w:rsidR="00456E41" w:rsidRPr="00FB3C84" w:rsidRDefault="00294D21" w:rsidP="00693855">
      <w:pPr>
        <w:pStyle w:val="Headingb"/>
        <w:rPr>
          <w:lang w:val="fr-CH"/>
        </w:rPr>
      </w:pPr>
      <w:r w:rsidRPr="00FB3C84">
        <w:rPr>
          <w:lang w:val="fr-CH"/>
        </w:rPr>
        <w:t>Contexte</w:t>
      </w:r>
    </w:p>
    <w:p w14:paraId="39FD2468" w14:textId="590B0EED" w:rsidR="00294D21" w:rsidRPr="00FB3C84" w:rsidRDefault="00294D21" w:rsidP="00693855">
      <w:pPr>
        <w:rPr>
          <w:lang w:val="fr-CH"/>
        </w:rPr>
      </w:pPr>
      <w:r w:rsidRPr="00FB3C84">
        <w:rPr>
          <w:lang w:val="fr-CH"/>
        </w:rPr>
        <w:t>L'exploitation de stations terriennes en mouvement (ESIM) communi</w:t>
      </w:r>
      <w:r w:rsidR="00B60D7A" w:rsidRPr="00FB3C84">
        <w:rPr>
          <w:lang w:val="fr-CH"/>
        </w:rPr>
        <w:t>qu</w:t>
      </w:r>
      <w:r w:rsidRPr="00FB3C84">
        <w:rPr>
          <w:lang w:val="fr-CH"/>
        </w:rPr>
        <w:t xml:space="preserve">ant avec des stations </w:t>
      </w:r>
      <w:proofErr w:type="gramStart"/>
      <w:r w:rsidRPr="00FB3C84">
        <w:rPr>
          <w:lang w:val="fr-CH"/>
        </w:rPr>
        <w:t>spatiales</w:t>
      </w:r>
      <w:proofErr w:type="gramEnd"/>
      <w:r w:rsidRPr="00FB3C84">
        <w:rPr>
          <w:lang w:val="fr-CH"/>
        </w:rPr>
        <w:t xml:space="preserve"> non géostationnaires du service fixe par satellite </w:t>
      </w:r>
      <w:r w:rsidR="00B170B0" w:rsidRPr="00FB3C84">
        <w:rPr>
          <w:lang w:val="fr-CH"/>
        </w:rPr>
        <w:t>est déjà régie par</w:t>
      </w:r>
      <w:r w:rsidRPr="00FB3C84">
        <w:rPr>
          <w:lang w:val="fr-CH"/>
        </w:rPr>
        <w:t xml:space="preserve"> le cadre réglementaire international.</w:t>
      </w:r>
    </w:p>
    <w:p w14:paraId="4E73619B" w14:textId="1566A960" w:rsidR="00456E41" w:rsidRPr="00FB3C84" w:rsidRDefault="009644BC" w:rsidP="00693855">
      <w:pPr>
        <w:rPr>
          <w:lang w:val="fr-CH"/>
        </w:rPr>
      </w:pPr>
      <w:r w:rsidRPr="00FB3C84">
        <w:rPr>
          <w:lang w:val="fr-CH"/>
        </w:rPr>
        <w:t>L</w:t>
      </w:r>
      <w:r w:rsidR="007567CD" w:rsidRPr="00FB3C84">
        <w:rPr>
          <w:lang w:val="fr-CH"/>
        </w:rPr>
        <w:t xml:space="preserve">e renvoi </w:t>
      </w:r>
      <w:r w:rsidRPr="00FB3C84">
        <w:rPr>
          <w:lang w:val="fr-CH"/>
        </w:rPr>
        <w:t xml:space="preserve">numéro </w:t>
      </w:r>
      <w:r w:rsidRPr="00FB3C84">
        <w:rPr>
          <w:b/>
          <w:lang w:val="fr-CH"/>
        </w:rPr>
        <w:t>5.527A</w:t>
      </w:r>
      <w:r w:rsidRPr="00FB3C84">
        <w:rPr>
          <w:bCs/>
          <w:lang w:val="fr-CH"/>
        </w:rPr>
        <w:t xml:space="preserve"> du Règlement des radiocommunications</w:t>
      </w:r>
      <w:r w:rsidR="00A778BE" w:rsidRPr="00FB3C84">
        <w:rPr>
          <w:bCs/>
          <w:lang w:val="fr-CH"/>
        </w:rPr>
        <w:t xml:space="preserve"> dispose que l'exploitation des stations terriennes en mouvement communiquant avec </w:t>
      </w:r>
      <w:r w:rsidR="00477C55" w:rsidRPr="00FB3C84">
        <w:rPr>
          <w:bCs/>
          <w:lang w:val="fr-CH"/>
        </w:rPr>
        <w:t>d</w:t>
      </w:r>
      <w:r w:rsidR="00A778BE" w:rsidRPr="00FB3C84">
        <w:rPr>
          <w:bCs/>
          <w:lang w:val="fr-CH"/>
        </w:rPr>
        <w:t xml:space="preserve">es </w:t>
      </w:r>
      <w:r w:rsidR="00960749" w:rsidRPr="00FB3C84">
        <w:rPr>
          <w:bCs/>
          <w:lang w:val="fr-CH"/>
        </w:rPr>
        <w:t xml:space="preserve">réseaux à satellite géostationnaire du </w:t>
      </w:r>
      <w:r w:rsidR="00A778BE" w:rsidRPr="00FB3C84">
        <w:rPr>
          <w:bCs/>
          <w:lang w:val="fr-CH"/>
        </w:rPr>
        <w:t>service fixe par satellite</w:t>
      </w:r>
      <w:r w:rsidR="00740F8B" w:rsidRPr="00FB3C84">
        <w:rPr>
          <w:bCs/>
          <w:lang w:val="fr-CH"/>
        </w:rPr>
        <w:t xml:space="preserve"> (SFS)</w:t>
      </w:r>
      <w:r w:rsidR="00A778BE" w:rsidRPr="00FB3C84">
        <w:rPr>
          <w:bCs/>
          <w:lang w:val="fr-CH"/>
        </w:rPr>
        <w:t xml:space="preserve"> est autorisée mais qu'elle est assujettie aux dispositions de la Résolution </w:t>
      </w:r>
      <w:r w:rsidR="00A778BE" w:rsidRPr="00FB3C84">
        <w:rPr>
          <w:b/>
          <w:lang w:val="fr-CH"/>
        </w:rPr>
        <w:t>156 (CMR</w:t>
      </w:r>
      <w:r w:rsidR="00607FA3" w:rsidRPr="00FB3C84">
        <w:rPr>
          <w:b/>
          <w:lang w:val="fr-CH"/>
        </w:rPr>
        <w:t>-</w:t>
      </w:r>
      <w:r w:rsidR="00A778BE" w:rsidRPr="00FB3C84">
        <w:rPr>
          <w:b/>
          <w:lang w:val="fr-CH"/>
        </w:rPr>
        <w:t>15)</w:t>
      </w:r>
      <w:r w:rsidR="00A778BE" w:rsidRPr="00FB3C84">
        <w:rPr>
          <w:bCs/>
          <w:lang w:val="fr-CH"/>
        </w:rPr>
        <w:t xml:space="preserve"> dans les bandes de fréquences </w:t>
      </w:r>
      <w:r w:rsidR="00456E41" w:rsidRPr="00FB3C84">
        <w:rPr>
          <w:lang w:val="fr-CH"/>
        </w:rPr>
        <w:t>19</w:t>
      </w:r>
      <w:r w:rsidR="00A778BE" w:rsidRPr="00FB3C84">
        <w:rPr>
          <w:lang w:val="fr-CH"/>
        </w:rPr>
        <w:t>,</w:t>
      </w:r>
      <w:r w:rsidR="00456E41" w:rsidRPr="00FB3C84">
        <w:rPr>
          <w:lang w:val="fr-CH"/>
        </w:rPr>
        <w:t>7-20</w:t>
      </w:r>
      <w:r w:rsidR="00A778BE" w:rsidRPr="00FB3C84">
        <w:rPr>
          <w:lang w:val="fr-CH"/>
        </w:rPr>
        <w:t>,</w:t>
      </w:r>
      <w:r w:rsidR="00456E41" w:rsidRPr="00FB3C84">
        <w:rPr>
          <w:lang w:val="fr-CH"/>
        </w:rPr>
        <w:t xml:space="preserve">2 GHz </w:t>
      </w:r>
      <w:r w:rsidR="00A778BE" w:rsidRPr="00FB3C84">
        <w:rPr>
          <w:lang w:val="fr-CH"/>
        </w:rPr>
        <w:t xml:space="preserve">et </w:t>
      </w:r>
      <w:r w:rsidR="00456E41" w:rsidRPr="00FB3C84">
        <w:rPr>
          <w:lang w:val="fr-CH"/>
        </w:rPr>
        <w:t>29</w:t>
      </w:r>
      <w:r w:rsidR="00A778BE" w:rsidRPr="00FB3C84">
        <w:rPr>
          <w:lang w:val="fr-CH"/>
        </w:rPr>
        <w:t>,</w:t>
      </w:r>
      <w:r w:rsidR="00456E41" w:rsidRPr="00FB3C84">
        <w:rPr>
          <w:lang w:val="fr-CH"/>
        </w:rPr>
        <w:t>5</w:t>
      </w:r>
      <w:r w:rsidR="00D554AD" w:rsidRPr="00FB3C84">
        <w:rPr>
          <w:lang w:val="fr-CH"/>
        </w:rPr>
        <w:noBreakHyphen/>
      </w:r>
      <w:r w:rsidR="00456E41" w:rsidRPr="00FB3C84">
        <w:rPr>
          <w:lang w:val="fr-CH"/>
        </w:rPr>
        <w:t>30</w:t>
      </w:r>
      <w:r w:rsidR="00A778BE" w:rsidRPr="00FB3C84">
        <w:rPr>
          <w:lang w:val="fr-CH"/>
        </w:rPr>
        <w:t>,</w:t>
      </w:r>
      <w:r w:rsidR="00456E41" w:rsidRPr="00FB3C84">
        <w:rPr>
          <w:lang w:val="fr-CH"/>
        </w:rPr>
        <w:t>0 GHz.</w:t>
      </w:r>
    </w:p>
    <w:p w14:paraId="7DE63F96" w14:textId="27DA0CAF" w:rsidR="003A583E" w:rsidRPr="00FB3C84" w:rsidRDefault="00960749" w:rsidP="00693855">
      <w:pPr>
        <w:rPr>
          <w:lang w:val="fr-CH"/>
        </w:rPr>
      </w:pPr>
      <w:r w:rsidRPr="00FB3C84">
        <w:rPr>
          <w:lang w:val="fr-CH"/>
        </w:rPr>
        <w:t xml:space="preserve">Par ailleurs, </w:t>
      </w:r>
      <w:r w:rsidR="007567CD" w:rsidRPr="00FB3C84">
        <w:rPr>
          <w:lang w:val="fr-CH"/>
        </w:rPr>
        <w:t>dans le cadre</w:t>
      </w:r>
      <w:r w:rsidRPr="00FB3C84">
        <w:rPr>
          <w:lang w:val="fr-CH"/>
        </w:rPr>
        <w:t xml:space="preserve"> du point 1.5 de l'ordre du jour, la CMR-19 devrait autoriser l'exploitation de</w:t>
      </w:r>
      <w:r w:rsidR="00DD0D25" w:rsidRPr="00FB3C84">
        <w:rPr>
          <w:lang w:val="fr-CH"/>
        </w:rPr>
        <w:t>s</w:t>
      </w:r>
      <w:r w:rsidR="00001BF0" w:rsidRPr="00FB3C84">
        <w:rPr>
          <w:lang w:val="fr-CH"/>
        </w:rPr>
        <w:t xml:space="preserve"> stations</w:t>
      </w:r>
      <w:r w:rsidRPr="00FB3C84">
        <w:rPr>
          <w:lang w:val="fr-CH"/>
        </w:rPr>
        <w:t xml:space="preserve"> ESIM communiquant avec </w:t>
      </w:r>
      <w:r w:rsidR="00477C55" w:rsidRPr="00FB3C84">
        <w:rPr>
          <w:lang w:val="fr-CH"/>
        </w:rPr>
        <w:t>d</w:t>
      </w:r>
      <w:r w:rsidRPr="00FB3C84">
        <w:rPr>
          <w:bCs/>
          <w:lang w:val="fr-CH"/>
        </w:rPr>
        <w:t xml:space="preserve">es réseaux à satellite géostationnaire du </w:t>
      </w:r>
      <w:r w:rsidR="00740F8B" w:rsidRPr="00FB3C84">
        <w:rPr>
          <w:bCs/>
          <w:lang w:val="fr-CH"/>
        </w:rPr>
        <w:t xml:space="preserve">SFS </w:t>
      </w:r>
      <w:r w:rsidR="00B561BB" w:rsidRPr="00FB3C84">
        <w:rPr>
          <w:bCs/>
          <w:lang w:val="fr-CH"/>
        </w:rPr>
        <w:t xml:space="preserve">dans </w:t>
      </w:r>
      <w:r w:rsidR="00067EA3" w:rsidRPr="00FB3C84">
        <w:rPr>
          <w:bCs/>
          <w:lang w:val="fr-CH"/>
        </w:rPr>
        <w:t>une partie ou dans la totalité d</w:t>
      </w:r>
      <w:r w:rsidR="00B561BB" w:rsidRPr="00FB3C84">
        <w:rPr>
          <w:bCs/>
          <w:lang w:val="fr-CH"/>
        </w:rPr>
        <w:t xml:space="preserve">es bandes de fréquences </w:t>
      </w:r>
      <w:r w:rsidR="00456E41" w:rsidRPr="00FB3C84">
        <w:rPr>
          <w:lang w:val="fr-CH"/>
        </w:rPr>
        <w:t>17</w:t>
      </w:r>
      <w:r w:rsidR="00B561BB" w:rsidRPr="00FB3C84">
        <w:rPr>
          <w:lang w:val="fr-CH"/>
        </w:rPr>
        <w:t>,</w:t>
      </w:r>
      <w:r w:rsidR="00456E41" w:rsidRPr="00FB3C84">
        <w:rPr>
          <w:lang w:val="fr-CH"/>
        </w:rPr>
        <w:t>7-19</w:t>
      </w:r>
      <w:r w:rsidR="00B561BB" w:rsidRPr="00FB3C84">
        <w:rPr>
          <w:lang w:val="fr-CH"/>
        </w:rPr>
        <w:t>,</w:t>
      </w:r>
      <w:r w:rsidR="00456E41" w:rsidRPr="00FB3C84">
        <w:rPr>
          <w:lang w:val="fr-CH"/>
        </w:rPr>
        <w:t xml:space="preserve">7 GHz </w:t>
      </w:r>
      <w:r w:rsidR="00B561BB" w:rsidRPr="00FB3C84">
        <w:rPr>
          <w:lang w:val="fr-CH"/>
        </w:rPr>
        <w:t xml:space="preserve">et </w:t>
      </w:r>
      <w:r w:rsidR="00456E41" w:rsidRPr="00FB3C84">
        <w:rPr>
          <w:lang w:val="fr-CH"/>
        </w:rPr>
        <w:t>27</w:t>
      </w:r>
      <w:r w:rsidR="00B561BB" w:rsidRPr="00FB3C84">
        <w:rPr>
          <w:lang w:val="fr-CH"/>
        </w:rPr>
        <w:t>,</w:t>
      </w:r>
      <w:r w:rsidR="00456E41" w:rsidRPr="00FB3C84">
        <w:rPr>
          <w:lang w:val="fr-CH"/>
        </w:rPr>
        <w:t>5-29</w:t>
      </w:r>
      <w:r w:rsidR="00B561BB" w:rsidRPr="00FB3C84">
        <w:rPr>
          <w:lang w:val="fr-CH"/>
        </w:rPr>
        <w:t>,</w:t>
      </w:r>
      <w:r w:rsidR="00456E41" w:rsidRPr="00FB3C84">
        <w:rPr>
          <w:lang w:val="fr-CH"/>
        </w:rPr>
        <w:t>5 GHz.</w:t>
      </w:r>
    </w:p>
    <w:p w14:paraId="2CE9760A" w14:textId="7325673E" w:rsidR="00456E41" w:rsidRPr="00FB3C84" w:rsidRDefault="00FF5F43" w:rsidP="00693855">
      <w:pPr>
        <w:rPr>
          <w:lang w:val="fr-CH"/>
        </w:rPr>
      </w:pPr>
      <w:r w:rsidRPr="00FB3C84">
        <w:rPr>
          <w:lang w:val="fr-CH"/>
        </w:rPr>
        <w:t>La CITEL propose</w:t>
      </w:r>
      <w:r w:rsidR="00456E41" w:rsidRPr="00FB3C84">
        <w:rPr>
          <w:lang w:val="fr-CH"/>
        </w:rPr>
        <w:t xml:space="preserve"> de procéder à des études techniques </w:t>
      </w:r>
      <w:r w:rsidR="00B117B6" w:rsidRPr="00FB3C84">
        <w:rPr>
          <w:lang w:val="fr-CH"/>
        </w:rPr>
        <w:t>sur le</w:t>
      </w:r>
      <w:r w:rsidR="00456E41" w:rsidRPr="00FB3C84">
        <w:rPr>
          <w:lang w:val="fr-CH"/>
        </w:rPr>
        <w:t xml:space="preserve"> partage entre de</w:t>
      </w:r>
      <w:r w:rsidR="00A65D76" w:rsidRPr="00FB3C84">
        <w:rPr>
          <w:lang w:val="fr-CH"/>
        </w:rPr>
        <w:t>s</w:t>
      </w:r>
      <w:r w:rsidR="00456E41" w:rsidRPr="00FB3C84">
        <w:rPr>
          <w:lang w:val="fr-CH"/>
        </w:rPr>
        <w:t xml:space="preserve"> stations ESIM communiquant avec des </w:t>
      </w:r>
      <w:r w:rsidR="00740F8B" w:rsidRPr="00FB3C84">
        <w:rPr>
          <w:lang w:val="fr-CH"/>
        </w:rPr>
        <w:t>stations spatiales non géostationnaires</w:t>
      </w:r>
      <w:r w:rsidR="00456E41" w:rsidRPr="00FB3C84">
        <w:rPr>
          <w:lang w:val="fr-CH"/>
        </w:rPr>
        <w:t xml:space="preserve"> du SFS et </w:t>
      </w:r>
      <w:r w:rsidR="00706096" w:rsidRPr="00FB3C84">
        <w:rPr>
          <w:lang w:val="fr-CH"/>
        </w:rPr>
        <w:t>d</w:t>
      </w:r>
      <w:r w:rsidR="00456E41" w:rsidRPr="00FB3C84">
        <w:rPr>
          <w:lang w:val="fr-CH"/>
        </w:rPr>
        <w:t>es</w:t>
      </w:r>
      <w:r w:rsidR="00706096" w:rsidRPr="00FB3C84">
        <w:rPr>
          <w:lang w:val="fr-CH"/>
        </w:rPr>
        <w:t xml:space="preserve"> systèmes</w:t>
      </w:r>
      <w:r w:rsidR="00456E41" w:rsidRPr="00FB3C84">
        <w:rPr>
          <w:lang w:val="fr-CH"/>
        </w:rPr>
        <w:t xml:space="preserve"> </w:t>
      </w:r>
      <w:r w:rsidR="00706096" w:rsidRPr="00FB3C84">
        <w:rPr>
          <w:lang w:val="fr-CH"/>
        </w:rPr>
        <w:t>d'</w:t>
      </w:r>
      <w:r w:rsidR="00456E41" w:rsidRPr="00FB3C84">
        <w:rPr>
          <w:lang w:val="fr-CH"/>
        </w:rPr>
        <w:t xml:space="preserve">autres services primaires dans les bandes de fréquences 17,7-20,2 GHz, 27,5-29,1 GHz </w:t>
      </w:r>
      <w:r w:rsidR="00706096" w:rsidRPr="00FB3C84">
        <w:rPr>
          <w:lang w:val="fr-CH"/>
        </w:rPr>
        <w:t xml:space="preserve">et </w:t>
      </w:r>
      <w:r w:rsidR="00456E41" w:rsidRPr="00FB3C84">
        <w:rPr>
          <w:lang w:val="fr-CH"/>
        </w:rPr>
        <w:t>29,5</w:t>
      </w:r>
      <w:r w:rsidR="00706096" w:rsidRPr="00FB3C84">
        <w:rPr>
          <w:lang w:val="fr-CH"/>
        </w:rPr>
        <w:noBreakHyphen/>
      </w:r>
      <w:r w:rsidR="00456E41" w:rsidRPr="00FB3C84">
        <w:rPr>
          <w:lang w:val="fr-CH"/>
        </w:rPr>
        <w:t>30,0</w:t>
      </w:r>
      <w:r w:rsidR="00706096" w:rsidRPr="00FB3C84">
        <w:rPr>
          <w:lang w:val="fr-CH"/>
        </w:rPr>
        <w:t> </w:t>
      </w:r>
      <w:r w:rsidR="00456E41" w:rsidRPr="00FB3C84">
        <w:rPr>
          <w:lang w:val="fr-CH"/>
        </w:rPr>
        <w:t xml:space="preserve">GHz, </w:t>
      </w:r>
      <w:r w:rsidR="008B3CAD" w:rsidRPr="00FB3C84">
        <w:rPr>
          <w:lang w:val="fr-CH"/>
        </w:rPr>
        <w:t>et d</w:t>
      </w:r>
      <w:r w:rsidR="007A205F" w:rsidRPr="00FB3C84">
        <w:rPr>
          <w:lang w:val="fr-CH"/>
        </w:rPr>
        <w:t>'établir</w:t>
      </w:r>
      <w:r w:rsidR="008B3CAD" w:rsidRPr="00FB3C84">
        <w:rPr>
          <w:lang w:val="fr-CH"/>
        </w:rPr>
        <w:t xml:space="preserve"> les disposition</w:t>
      </w:r>
      <w:r w:rsidR="007A205F" w:rsidRPr="00FB3C84">
        <w:rPr>
          <w:lang w:val="fr-CH"/>
        </w:rPr>
        <w:t>s</w:t>
      </w:r>
      <w:r w:rsidR="00456E41" w:rsidRPr="00FB3C84">
        <w:rPr>
          <w:lang w:val="fr-CH"/>
        </w:rPr>
        <w:t xml:space="preserve"> techniques et réglementaires </w:t>
      </w:r>
      <w:r w:rsidR="00C31AA5" w:rsidRPr="00FB3C84">
        <w:rPr>
          <w:lang w:val="fr-CH"/>
        </w:rPr>
        <w:t>propres à</w:t>
      </w:r>
      <w:r w:rsidR="00456E41" w:rsidRPr="00FB3C84">
        <w:rPr>
          <w:lang w:val="fr-CH"/>
        </w:rPr>
        <w:t xml:space="preserve"> faciliter le fonctionnement de ces stations terriennes, tout en veillant à ce qu'aucun brouillage préjudiciable ne soit causé aux</w:t>
      </w:r>
      <w:r w:rsidR="00577A82" w:rsidRPr="00FB3C84">
        <w:rPr>
          <w:lang w:val="fr-CH"/>
        </w:rPr>
        <w:t xml:space="preserve"> stations du SFS, du </w:t>
      </w:r>
      <w:r w:rsidR="00326E18" w:rsidRPr="00FB3C84">
        <w:rPr>
          <w:lang w:val="fr-CH"/>
        </w:rPr>
        <w:t xml:space="preserve">SF </w:t>
      </w:r>
      <w:r w:rsidR="00577A82" w:rsidRPr="00FB3C84">
        <w:rPr>
          <w:lang w:val="fr-CH"/>
        </w:rPr>
        <w:t>et d'</w:t>
      </w:r>
      <w:r w:rsidR="00456E41" w:rsidRPr="00FB3C84">
        <w:rPr>
          <w:lang w:val="fr-CH"/>
        </w:rPr>
        <w:t>autres services primaires.</w:t>
      </w:r>
    </w:p>
    <w:p w14:paraId="10046359" w14:textId="77777777" w:rsidR="00053BFE" w:rsidRPr="00FB3C84" w:rsidRDefault="00DA0574" w:rsidP="00693855">
      <w:pPr>
        <w:pStyle w:val="Proposal"/>
        <w:rPr>
          <w:lang w:val="fr-CH"/>
        </w:rPr>
      </w:pPr>
      <w:r w:rsidRPr="00FB3C84">
        <w:rPr>
          <w:lang w:val="fr-CH"/>
        </w:rPr>
        <w:lastRenderedPageBreak/>
        <w:t>ADD</w:t>
      </w:r>
      <w:r w:rsidRPr="00FB3C84">
        <w:rPr>
          <w:lang w:val="fr-CH"/>
        </w:rPr>
        <w:tab/>
        <w:t>IAP/11A24A8/1</w:t>
      </w:r>
    </w:p>
    <w:p w14:paraId="13640F1F" w14:textId="7797C528" w:rsidR="0015203F" w:rsidRPr="00FB3C84" w:rsidRDefault="00DA0574" w:rsidP="00693855">
      <w:pPr>
        <w:pStyle w:val="ResNo"/>
        <w:rPr>
          <w:lang w:val="fr-CH"/>
        </w:rPr>
      </w:pPr>
      <w:r w:rsidRPr="00FB3C84">
        <w:rPr>
          <w:lang w:val="fr-CH"/>
        </w:rPr>
        <w:t>Projet de nouvelle R</w:t>
      </w:r>
      <w:r w:rsidR="00701983" w:rsidRPr="00FB3C84">
        <w:rPr>
          <w:lang w:val="fr-CH"/>
        </w:rPr>
        <w:t>É</w:t>
      </w:r>
      <w:r w:rsidRPr="00FB3C84">
        <w:rPr>
          <w:lang w:val="fr-CH"/>
        </w:rPr>
        <w:t>solution</w:t>
      </w:r>
      <w:r w:rsidR="00E103DC" w:rsidRPr="00FB3C84">
        <w:rPr>
          <w:lang w:val="fr-CH"/>
        </w:rPr>
        <w:t xml:space="preserve"> </w:t>
      </w:r>
      <w:r w:rsidR="00E103DC" w:rsidRPr="00FB3C84">
        <w:rPr>
          <w:lang w:val="fr-CH" w:eastAsia="fr-CH"/>
        </w:rPr>
        <w:t>[iap/10(H)-2023] (</w:t>
      </w:r>
      <w:r w:rsidR="00415E6F" w:rsidRPr="00FB3C84">
        <w:rPr>
          <w:lang w:val="fr-CH" w:eastAsia="fr-CH"/>
        </w:rPr>
        <w:t>CMR</w:t>
      </w:r>
      <w:r w:rsidR="00E103DC" w:rsidRPr="00FB3C84">
        <w:rPr>
          <w:lang w:val="fr-CH" w:eastAsia="fr-CH"/>
        </w:rPr>
        <w:t>-19)</w:t>
      </w:r>
    </w:p>
    <w:p w14:paraId="00A4DE2D" w14:textId="7D846AED" w:rsidR="00053BFE" w:rsidRPr="00FB3C84" w:rsidRDefault="00A7211A" w:rsidP="00693855">
      <w:pPr>
        <w:pStyle w:val="Restitle"/>
        <w:rPr>
          <w:lang w:val="fr-CH"/>
        </w:rPr>
      </w:pPr>
      <w:bookmarkStart w:id="6" w:name="_Toc319401924"/>
      <w:bookmarkStart w:id="7" w:name="_Toc327364587"/>
      <w:r w:rsidRPr="00FB3C84">
        <w:rPr>
          <w:lang w:val="fr-CH"/>
        </w:rPr>
        <w:t>Ordre du jour</w:t>
      </w:r>
      <w:r w:rsidR="00E103DC" w:rsidRPr="00FB3C84">
        <w:rPr>
          <w:lang w:val="fr-CH"/>
        </w:rPr>
        <w:t xml:space="preserve"> </w:t>
      </w:r>
      <w:bookmarkEnd w:id="6"/>
      <w:bookmarkEnd w:id="7"/>
      <w:r w:rsidRPr="00FB3C84">
        <w:rPr>
          <w:lang w:val="fr-CH"/>
        </w:rPr>
        <w:t xml:space="preserve">de la Conférence mondiale des radiocommunications </w:t>
      </w:r>
      <w:r w:rsidR="006E059C" w:rsidRPr="00FB3C84">
        <w:rPr>
          <w:lang w:val="fr-CH"/>
        </w:rPr>
        <w:t xml:space="preserve">de </w:t>
      </w:r>
      <w:r w:rsidRPr="00FB3C84">
        <w:rPr>
          <w:lang w:val="fr-CH"/>
        </w:rPr>
        <w:t>2023</w:t>
      </w:r>
    </w:p>
    <w:p w14:paraId="79D5192C" w14:textId="1C3D5E76" w:rsidR="00E103DC" w:rsidRPr="00FB3C84" w:rsidRDefault="00E103DC" w:rsidP="00693855">
      <w:pPr>
        <w:pStyle w:val="Normalaftertitle"/>
        <w:rPr>
          <w:lang w:val="fr-CH"/>
        </w:rPr>
      </w:pPr>
      <w:r w:rsidRPr="00FB3C84">
        <w:rPr>
          <w:lang w:val="fr-CH"/>
        </w:rPr>
        <w:t>La Conférence mondiale des radiocommunications (</w:t>
      </w:r>
      <w:proofErr w:type="spellStart"/>
      <w:r w:rsidRPr="00FB3C84">
        <w:rPr>
          <w:lang w:val="fr-CH"/>
        </w:rPr>
        <w:t>Charm</w:t>
      </w:r>
      <w:proofErr w:type="spellEnd"/>
      <w:r w:rsidRPr="00FB3C84">
        <w:rPr>
          <w:lang w:val="fr-CH"/>
        </w:rPr>
        <w:t xml:space="preserve"> el-Cheikh, 2019),</w:t>
      </w:r>
    </w:p>
    <w:p w14:paraId="3FB9AE02" w14:textId="77777777" w:rsidR="006E059C" w:rsidRPr="00FB3C84" w:rsidRDefault="006E059C" w:rsidP="00693855">
      <w:pPr>
        <w:pStyle w:val="Call"/>
        <w:keepNext w:val="0"/>
        <w:keepLines w:val="0"/>
        <w:rPr>
          <w:lang w:val="fr-CH"/>
        </w:rPr>
      </w:pPr>
      <w:proofErr w:type="gramStart"/>
      <w:r w:rsidRPr="00FB3C84">
        <w:rPr>
          <w:lang w:val="fr-CH"/>
        </w:rPr>
        <w:t>considérant</w:t>
      </w:r>
      <w:proofErr w:type="gramEnd"/>
    </w:p>
    <w:p w14:paraId="51556448" w14:textId="77777777" w:rsidR="006E059C" w:rsidRPr="00FB3C84" w:rsidRDefault="006E059C" w:rsidP="00693855">
      <w:pPr>
        <w:rPr>
          <w:lang w:val="fr-CH"/>
        </w:rPr>
      </w:pPr>
      <w:r w:rsidRPr="00FB3C84">
        <w:rPr>
          <w:i/>
          <w:iCs/>
          <w:lang w:val="fr-CH"/>
        </w:rPr>
        <w:t>a)</w:t>
      </w:r>
      <w:r w:rsidRPr="00FB3C84">
        <w:rPr>
          <w:lang w:val="fr-CH"/>
        </w:rPr>
        <w:tab/>
        <w:t>que, conformément au numéro 118 de la Convention de l'UIT, le cadre général de l'ordre du jour d'une conférence mondiale des radiocommunications devrait être fixé de quatre à six ans à l'avance et que l'ordre du jour définitif est fixé par le Conseil deux ans avant la conférence;</w:t>
      </w:r>
    </w:p>
    <w:p w14:paraId="53F50B07" w14:textId="77777777" w:rsidR="006E059C" w:rsidRPr="00FB3C84" w:rsidRDefault="006E059C" w:rsidP="00693855">
      <w:pPr>
        <w:rPr>
          <w:i/>
          <w:iCs/>
          <w:lang w:val="fr-CH"/>
        </w:rPr>
      </w:pPr>
      <w:r w:rsidRPr="00FB3C84">
        <w:rPr>
          <w:i/>
          <w:iCs/>
          <w:lang w:val="fr-CH"/>
        </w:rPr>
        <w:t>b)</w:t>
      </w:r>
      <w:r w:rsidRPr="00FB3C84">
        <w:rPr>
          <w:i/>
          <w:iCs/>
          <w:lang w:val="fr-CH"/>
        </w:rPr>
        <w:tab/>
      </w:r>
      <w:r w:rsidRPr="00FB3C84">
        <w:rPr>
          <w:lang w:val="fr-CH"/>
        </w:rPr>
        <w:t>l'article 13 de la Constitution de l'UIT, concernant la compétence et la fréquence des conférences mondiales des radiocommunications, et l'article 7 de la Convention relatif à leur ordre du jour;</w:t>
      </w:r>
    </w:p>
    <w:p w14:paraId="795D9CF2" w14:textId="3612EE7A" w:rsidR="00E103DC" w:rsidRPr="00FB3C84" w:rsidRDefault="006E059C" w:rsidP="00693855">
      <w:pPr>
        <w:rPr>
          <w:lang w:val="fr-CH"/>
        </w:rPr>
      </w:pPr>
      <w:r w:rsidRPr="00FB3C84">
        <w:rPr>
          <w:i/>
          <w:iCs/>
          <w:lang w:val="fr-CH"/>
        </w:rPr>
        <w:t>c)</w:t>
      </w:r>
      <w:r w:rsidRPr="00FB3C84">
        <w:rPr>
          <w:lang w:val="fr-CH"/>
        </w:rPr>
        <w:tab/>
        <w:t>les résolutions et recommandations pertinentes des conférences administratives mondiales des radiocommunications (CAMR) et des conférences mondiales des radiocommunications (CMR) précédentes,</w:t>
      </w:r>
    </w:p>
    <w:p w14:paraId="1CBA91BA" w14:textId="77777777" w:rsidR="006E059C" w:rsidRPr="00FB3C84" w:rsidRDefault="006E059C" w:rsidP="00693855">
      <w:pPr>
        <w:pStyle w:val="Call"/>
        <w:rPr>
          <w:lang w:val="fr-CH"/>
        </w:rPr>
      </w:pPr>
      <w:proofErr w:type="gramStart"/>
      <w:r w:rsidRPr="00FB3C84">
        <w:rPr>
          <w:lang w:val="fr-CH"/>
        </w:rPr>
        <w:t>décide</w:t>
      </w:r>
      <w:proofErr w:type="gramEnd"/>
    </w:p>
    <w:p w14:paraId="3C754B49" w14:textId="71F0302C" w:rsidR="006E059C" w:rsidRPr="00FB3C84" w:rsidRDefault="006E059C" w:rsidP="00693855">
      <w:pPr>
        <w:rPr>
          <w:lang w:val="fr-CH"/>
        </w:rPr>
      </w:pPr>
      <w:proofErr w:type="gramStart"/>
      <w:r w:rsidRPr="00FB3C84">
        <w:rPr>
          <w:lang w:val="fr-CH"/>
        </w:rPr>
        <w:t>de</w:t>
      </w:r>
      <w:proofErr w:type="gramEnd"/>
      <w:r w:rsidRPr="00FB3C84">
        <w:rPr>
          <w:lang w:val="fr-CH"/>
        </w:rPr>
        <w:t xml:space="preserve"> recommander au Conseil de convoquer en 20</w:t>
      </w:r>
      <w:r w:rsidR="0025163D" w:rsidRPr="00FB3C84">
        <w:rPr>
          <w:lang w:val="fr-CH"/>
        </w:rPr>
        <w:t>23</w:t>
      </w:r>
      <w:r w:rsidRPr="00FB3C84">
        <w:rPr>
          <w:lang w:val="fr-CH"/>
        </w:rPr>
        <w:t xml:space="preserve"> une conférence mondiale des radiocommunications d'une durée maximale de quatre semaines, dont l'ordre du jour sera le suivant:</w:t>
      </w:r>
    </w:p>
    <w:p w14:paraId="3A43F1C9" w14:textId="797270D6" w:rsidR="006E059C" w:rsidRPr="00FB3C84" w:rsidRDefault="006E059C" w:rsidP="00693855">
      <w:pPr>
        <w:rPr>
          <w:lang w:val="fr-CH"/>
        </w:rPr>
      </w:pPr>
      <w:r w:rsidRPr="00FB3C84">
        <w:rPr>
          <w:lang w:val="fr-CH"/>
        </w:rPr>
        <w:t>1</w:t>
      </w:r>
      <w:r w:rsidRPr="00FB3C84">
        <w:rPr>
          <w:lang w:val="fr-CH"/>
        </w:rPr>
        <w:tab/>
        <w:t>sur la base des propositions des administrations, compte tenu des résultats de la CMR</w:t>
      </w:r>
      <w:r w:rsidRPr="00FB3C84">
        <w:rPr>
          <w:lang w:val="fr-CH"/>
        </w:rPr>
        <w:noBreakHyphen/>
        <w:t>1</w:t>
      </w:r>
      <w:r w:rsidR="0025163D" w:rsidRPr="00FB3C84">
        <w:rPr>
          <w:lang w:val="fr-CH"/>
        </w:rPr>
        <w:t>9</w:t>
      </w:r>
      <w:r w:rsidRPr="00FB3C84">
        <w:rPr>
          <w:lang w:val="fr-CH"/>
        </w:rPr>
        <w:t xml:space="preserve"> </w:t>
      </w:r>
      <w:r w:rsidR="003C1DDC" w:rsidRPr="00FB3C84">
        <w:rPr>
          <w:lang w:val="fr-CH"/>
        </w:rPr>
        <w:t>et</w:t>
      </w:r>
      <w:r w:rsidRPr="00FB3C84">
        <w:rPr>
          <w:lang w:val="fr-CH"/>
        </w:rPr>
        <w:t xml:space="preserve"> du rapport de la Réunion de préparation à la Conférence</w:t>
      </w:r>
      <w:r w:rsidR="007866F4" w:rsidRPr="00FB3C84">
        <w:rPr>
          <w:lang w:val="fr-CH"/>
        </w:rPr>
        <w:t>,</w:t>
      </w:r>
      <w:r w:rsidRPr="00FB3C84">
        <w:rPr>
          <w:lang w:val="fr-CH"/>
        </w:rPr>
        <w:t xml:space="preserve"> et compte dûment tenu des besoins des services existants ou futurs dans les bandes de fréquences considérées, examiner les points suivants et prendre les mesures appropriées:</w:t>
      </w:r>
    </w:p>
    <w:p w14:paraId="3D69D0D9" w14:textId="6B3B91D1" w:rsidR="006E059C" w:rsidRPr="00FB3C84" w:rsidRDefault="006E059C" w:rsidP="00693855">
      <w:pPr>
        <w:rPr>
          <w:lang w:val="fr-CH"/>
        </w:rPr>
      </w:pPr>
      <w:r w:rsidRPr="00FB3C84">
        <w:rPr>
          <w:bCs/>
          <w:lang w:val="fr-CH"/>
        </w:rPr>
        <w:t>1.[NGSO-ESIM]</w:t>
      </w:r>
      <w:r w:rsidRPr="00FB3C84">
        <w:rPr>
          <w:bCs/>
          <w:lang w:val="fr-CH"/>
        </w:rPr>
        <w:tab/>
      </w:r>
      <w:r w:rsidR="005E3293" w:rsidRPr="00FB3C84">
        <w:rPr>
          <w:bCs/>
          <w:lang w:val="fr-CH"/>
        </w:rPr>
        <w:t>examiner, compte tenu des études menées par l'UIT-R conformément à la Résolution [</w:t>
      </w:r>
      <w:r w:rsidR="005E3293" w:rsidRPr="00FB3C84">
        <w:rPr>
          <w:b/>
          <w:lang w:val="fr-CH"/>
        </w:rPr>
        <w:t>IAP/10(H)/NGSO ESIM</w:t>
      </w:r>
      <w:r w:rsidR="005E3293" w:rsidRPr="00FB3C84">
        <w:rPr>
          <w:bCs/>
          <w:lang w:val="fr-CH"/>
        </w:rPr>
        <w:t xml:space="preserve">] </w:t>
      </w:r>
      <w:r w:rsidR="005E3293" w:rsidRPr="00FB3C84">
        <w:rPr>
          <w:b/>
          <w:lang w:val="fr-CH"/>
        </w:rPr>
        <w:t>(CMR-19)</w:t>
      </w:r>
      <w:r w:rsidR="005E3293" w:rsidRPr="00FB3C84">
        <w:rPr>
          <w:bCs/>
          <w:lang w:val="fr-CH"/>
        </w:rPr>
        <w:t xml:space="preserve">, les mesures réglementaires </w:t>
      </w:r>
      <w:r w:rsidR="00D55FC4" w:rsidRPr="00FB3C84">
        <w:rPr>
          <w:bCs/>
          <w:lang w:val="fr-CH"/>
        </w:rPr>
        <w:t xml:space="preserve">appropriées concernant l'utilisation </w:t>
      </w:r>
      <w:r w:rsidR="003E6661" w:rsidRPr="00FB3C84">
        <w:rPr>
          <w:bCs/>
          <w:lang w:val="fr-CH"/>
        </w:rPr>
        <w:t xml:space="preserve">des bandes de fréquences </w:t>
      </w:r>
      <w:r w:rsidRPr="00FB3C84">
        <w:rPr>
          <w:lang w:val="fr-CH"/>
        </w:rPr>
        <w:t>17</w:t>
      </w:r>
      <w:r w:rsidR="003E6661" w:rsidRPr="00FB3C84">
        <w:rPr>
          <w:lang w:val="fr-CH"/>
        </w:rPr>
        <w:t>,</w:t>
      </w:r>
      <w:r w:rsidRPr="00FB3C84">
        <w:rPr>
          <w:lang w:val="fr-CH"/>
        </w:rPr>
        <w:t>7-19</w:t>
      </w:r>
      <w:r w:rsidR="003E6661" w:rsidRPr="00FB3C84">
        <w:rPr>
          <w:lang w:val="fr-CH"/>
        </w:rPr>
        <w:t>,</w:t>
      </w:r>
      <w:r w:rsidRPr="00FB3C84">
        <w:rPr>
          <w:lang w:val="fr-CH"/>
        </w:rPr>
        <w:t xml:space="preserve">3 GHz </w:t>
      </w:r>
      <w:r w:rsidR="003E6661" w:rsidRPr="00FB3C84">
        <w:rPr>
          <w:lang w:val="fr-CH"/>
        </w:rPr>
        <w:t xml:space="preserve">et </w:t>
      </w:r>
      <w:r w:rsidRPr="00FB3C84">
        <w:rPr>
          <w:lang w:val="fr-CH"/>
        </w:rPr>
        <w:t>19</w:t>
      </w:r>
      <w:r w:rsidR="003E6661" w:rsidRPr="00FB3C84">
        <w:rPr>
          <w:lang w:val="fr-CH"/>
        </w:rPr>
        <w:t>,</w:t>
      </w:r>
      <w:r w:rsidRPr="00FB3C84">
        <w:rPr>
          <w:lang w:val="fr-CH"/>
        </w:rPr>
        <w:t>7-20</w:t>
      </w:r>
      <w:r w:rsidR="003E6661" w:rsidRPr="00FB3C84">
        <w:rPr>
          <w:lang w:val="fr-CH"/>
        </w:rPr>
        <w:t>,</w:t>
      </w:r>
      <w:r w:rsidRPr="00FB3C84">
        <w:rPr>
          <w:lang w:val="fr-CH"/>
        </w:rPr>
        <w:t>2 GHz (</w:t>
      </w:r>
      <w:r w:rsidR="003E6661" w:rsidRPr="00FB3C84">
        <w:rPr>
          <w:lang w:val="fr-CH"/>
        </w:rPr>
        <w:t>espace vers Terre</w:t>
      </w:r>
      <w:r w:rsidRPr="00FB3C84">
        <w:rPr>
          <w:lang w:val="fr-CH"/>
        </w:rPr>
        <w:t xml:space="preserve">), </w:t>
      </w:r>
      <w:r w:rsidR="003E6661" w:rsidRPr="00FB3C84">
        <w:rPr>
          <w:lang w:val="fr-CH"/>
        </w:rPr>
        <w:t xml:space="preserve">ainsi que </w:t>
      </w:r>
      <w:r w:rsidRPr="00FB3C84">
        <w:rPr>
          <w:lang w:val="fr-CH"/>
        </w:rPr>
        <w:t>27</w:t>
      </w:r>
      <w:r w:rsidR="003E6661" w:rsidRPr="00FB3C84">
        <w:rPr>
          <w:lang w:val="fr-CH"/>
        </w:rPr>
        <w:t>,</w:t>
      </w:r>
      <w:r w:rsidRPr="00FB3C84">
        <w:rPr>
          <w:lang w:val="fr-CH"/>
        </w:rPr>
        <w:t>5-29</w:t>
      </w:r>
      <w:r w:rsidR="003E6661" w:rsidRPr="00FB3C84">
        <w:rPr>
          <w:lang w:val="fr-CH"/>
        </w:rPr>
        <w:t>,</w:t>
      </w:r>
      <w:r w:rsidRPr="00FB3C84">
        <w:rPr>
          <w:lang w:val="fr-CH"/>
        </w:rPr>
        <w:t xml:space="preserve">1 GHz </w:t>
      </w:r>
      <w:r w:rsidR="003E6661" w:rsidRPr="00FB3C84">
        <w:rPr>
          <w:lang w:val="fr-CH"/>
        </w:rPr>
        <w:t xml:space="preserve">et </w:t>
      </w:r>
      <w:r w:rsidRPr="00FB3C84">
        <w:rPr>
          <w:lang w:val="fr-CH"/>
        </w:rPr>
        <w:t>29</w:t>
      </w:r>
      <w:r w:rsidR="003E6661" w:rsidRPr="00FB3C84">
        <w:rPr>
          <w:lang w:val="fr-CH"/>
        </w:rPr>
        <w:t>,</w:t>
      </w:r>
      <w:r w:rsidRPr="00FB3C84">
        <w:rPr>
          <w:lang w:val="fr-CH"/>
        </w:rPr>
        <w:t>5-30 GHz (</w:t>
      </w:r>
      <w:r w:rsidR="003E6661" w:rsidRPr="00FB3C84">
        <w:rPr>
          <w:lang w:val="fr-CH"/>
        </w:rPr>
        <w:t>Terre vers espace</w:t>
      </w:r>
      <w:r w:rsidRPr="00FB3C84">
        <w:rPr>
          <w:lang w:val="fr-CH"/>
        </w:rPr>
        <w:t xml:space="preserve">) </w:t>
      </w:r>
      <w:r w:rsidR="003E6661" w:rsidRPr="00FB3C84">
        <w:rPr>
          <w:lang w:val="fr-CH"/>
        </w:rPr>
        <w:t xml:space="preserve">par les stations terriennes </w:t>
      </w:r>
      <w:r w:rsidR="00D55FC4" w:rsidRPr="00FB3C84">
        <w:rPr>
          <w:lang w:val="fr-CH"/>
        </w:rPr>
        <w:t xml:space="preserve">[aéronautiques et maritimes] </w:t>
      </w:r>
      <w:r w:rsidR="003E6661" w:rsidRPr="00FB3C84">
        <w:rPr>
          <w:lang w:val="fr-CH"/>
        </w:rPr>
        <w:t>en mouvement communi</w:t>
      </w:r>
      <w:r w:rsidR="002250D5" w:rsidRPr="00FB3C84">
        <w:rPr>
          <w:lang w:val="fr-CH"/>
        </w:rPr>
        <w:t>qu</w:t>
      </w:r>
      <w:r w:rsidR="003E6661" w:rsidRPr="00FB3C84">
        <w:rPr>
          <w:lang w:val="fr-CH"/>
        </w:rPr>
        <w:t>ant avec des stations spatiales non géostationnaires du service fixe par satellite</w:t>
      </w:r>
      <w:r w:rsidR="00693855" w:rsidRPr="00FB3C84">
        <w:rPr>
          <w:lang w:val="fr-CH"/>
        </w:rPr>
        <w:t>,</w:t>
      </w:r>
    </w:p>
    <w:p w14:paraId="6A668D82" w14:textId="77777777" w:rsidR="006E059C" w:rsidRPr="00FB3C84" w:rsidRDefault="006E059C" w:rsidP="00693855">
      <w:pPr>
        <w:pStyle w:val="Call"/>
        <w:keepNext w:val="0"/>
        <w:keepLines w:val="0"/>
        <w:rPr>
          <w:lang w:val="fr-CH"/>
        </w:rPr>
      </w:pPr>
      <w:proofErr w:type="gramStart"/>
      <w:r w:rsidRPr="00FB3C84">
        <w:rPr>
          <w:lang w:val="fr-CH"/>
        </w:rPr>
        <w:t>décide</w:t>
      </w:r>
      <w:proofErr w:type="gramEnd"/>
      <w:r w:rsidRPr="00FB3C84">
        <w:rPr>
          <w:lang w:val="fr-CH"/>
        </w:rPr>
        <w:t xml:space="preserve"> en outre</w:t>
      </w:r>
    </w:p>
    <w:p w14:paraId="7B4FA954" w14:textId="77777777" w:rsidR="006E059C" w:rsidRPr="00FB3C84" w:rsidRDefault="006E059C" w:rsidP="00693855">
      <w:pPr>
        <w:rPr>
          <w:lang w:val="fr-CH"/>
        </w:rPr>
      </w:pPr>
      <w:proofErr w:type="gramStart"/>
      <w:r w:rsidRPr="00FB3C84">
        <w:rPr>
          <w:lang w:val="fr-CH"/>
        </w:rPr>
        <w:t>d'activer</w:t>
      </w:r>
      <w:proofErr w:type="gramEnd"/>
      <w:r w:rsidRPr="00FB3C84">
        <w:rPr>
          <w:lang w:val="fr-CH"/>
        </w:rPr>
        <w:t xml:space="preserve"> la Réunion de préparation à la Conférence,</w:t>
      </w:r>
    </w:p>
    <w:p w14:paraId="3A1FE8C3" w14:textId="77777777" w:rsidR="006E059C" w:rsidRPr="00FB3C84" w:rsidRDefault="006E059C" w:rsidP="00693855">
      <w:pPr>
        <w:pStyle w:val="Call"/>
        <w:rPr>
          <w:lang w:val="fr-CH"/>
        </w:rPr>
      </w:pPr>
      <w:proofErr w:type="gramStart"/>
      <w:r w:rsidRPr="00FB3C84">
        <w:rPr>
          <w:lang w:val="fr-CH"/>
        </w:rPr>
        <w:t>invite</w:t>
      </w:r>
      <w:proofErr w:type="gramEnd"/>
      <w:r w:rsidRPr="00FB3C84">
        <w:rPr>
          <w:lang w:val="fr-CH"/>
        </w:rPr>
        <w:t xml:space="preserve"> le Conseil</w:t>
      </w:r>
    </w:p>
    <w:p w14:paraId="75315462" w14:textId="66BFD51F" w:rsidR="006E059C" w:rsidRPr="00FB3C84" w:rsidRDefault="006E059C" w:rsidP="00693855">
      <w:pPr>
        <w:keepNext/>
        <w:keepLines/>
        <w:rPr>
          <w:lang w:val="fr-CH"/>
        </w:rPr>
      </w:pPr>
      <w:proofErr w:type="gramStart"/>
      <w:r w:rsidRPr="00FB3C84">
        <w:rPr>
          <w:lang w:val="fr-CH"/>
        </w:rPr>
        <w:t>à</w:t>
      </w:r>
      <w:proofErr w:type="gramEnd"/>
      <w:r w:rsidRPr="00FB3C84">
        <w:rPr>
          <w:lang w:val="fr-CH"/>
        </w:rPr>
        <w:t xml:space="preserve"> arrêter définitivement l'ordre du jour</w:t>
      </w:r>
      <w:r w:rsidR="00D55FC4" w:rsidRPr="00FB3C84">
        <w:rPr>
          <w:lang w:val="fr-CH"/>
        </w:rPr>
        <w:t xml:space="preserve"> et</w:t>
      </w:r>
      <w:r w:rsidRPr="00FB3C84">
        <w:rPr>
          <w:lang w:val="fr-CH"/>
        </w:rPr>
        <w:t xml:space="preserve"> à prendre les dispositions nécessaires en vue de la convocation de la CMR</w:t>
      </w:r>
      <w:r w:rsidRPr="00FB3C84">
        <w:rPr>
          <w:lang w:val="fr-CH"/>
        </w:rPr>
        <w:noBreakHyphen/>
      </w:r>
      <w:r w:rsidR="0025163D" w:rsidRPr="00FB3C84">
        <w:rPr>
          <w:lang w:val="fr-CH"/>
        </w:rPr>
        <w:t>23</w:t>
      </w:r>
      <w:r w:rsidR="00D55FC4" w:rsidRPr="00FB3C84">
        <w:rPr>
          <w:lang w:val="fr-CH"/>
        </w:rPr>
        <w:t>,</w:t>
      </w:r>
      <w:r w:rsidRPr="00FB3C84">
        <w:rPr>
          <w:lang w:val="fr-CH"/>
        </w:rPr>
        <w:t xml:space="preserve"> et à engager dès que possible les consultations nécessaires avec les </w:t>
      </w:r>
      <w:r w:rsidR="0025163D" w:rsidRPr="00FB3C84">
        <w:rPr>
          <w:lang w:val="fr-CH"/>
        </w:rPr>
        <w:t>É</w:t>
      </w:r>
      <w:r w:rsidRPr="00FB3C84">
        <w:rPr>
          <w:lang w:val="fr-CH"/>
        </w:rPr>
        <w:t>tats Membres,</w:t>
      </w:r>
    </w:p>
    <w:p w14:paraId="007F21C0" w14:textId="77777777" w:rsidR="006E059C" w:rsidRPr="00FB3C84" w:rsidRDefault="006E059C" w:rsidP="00693855">
      <w:pPr>
        <w:pStyle w:val="Call"/>
        <w:keepNext w:val="0"/>
        <w:keepLines w:val="0"/>
        <w:rPr>
          <w:lang w:val="fr-CH"/>
        </w:rPr>
      </w:pPr>
      <w:proofErr w:type="gramStart"/>
      <w:r w:rsidRPr="00FB3C84">
        <w:rPr>
          <w:lang w:val="fr-CH"/>
        </w:rPr>
        <w:t>charge</w:t>
      </w:r>
      <w:proofErr w:type="gramEnd"/>
      <w:r w:rsidRPr="00FB3C84">
        <w:rPr>
          <w:lang w:val="fr-CH"/>
        </w:rPr>
        <w:t xml:space="preserve"> le Directeur du Bureau des radiocommunications</w:t>
      </w:r>
    </w:p>
    <w:p w14:paraId="283E76D4" w14:textId="4FFB9B9B" w:rsidR="006E059C" w:rsidRPr="00FB3C84" w:rsidRDefault="006E059C" w:rsidP="00693855">
      <w:pPr>
        <w:rPr>
          <w:lang w:val="fr-CH"/>
        </w:rPr>
      </w:pPr>
      <w:proofErr w:type="gramStart"/>
      <w:r w:rsidRPr="00FB3C84">
        <w:rPr>
          <w:lang w:val="fr-CH"/>
        </w:rPr>
        <w:t>de</w:t>
      </w:r>
      <w:proofErr w:type="gramEnd"/>
      <w:r w:rsidRPr="00FB3C84">
        <w:rPr>
          <w:lang w:val="fr-CH"/>
        </w:rPr>
        <w:t xml:space="preserve"> prendre les dispositions voulues pour la convocation des sessions de la Réunion de préparation à la Conférence et d'élaborer un Rapport à l'intention de la CMR</w:t>
      </w:r>
      <w:r w:rsidRPr="00FB3C84">
        <w:rPr>
          <w:lang w:val="fr-CH"/>
        </w:rPr>
        <w:noBreakHyphen/>
      </w:r>
      <w:r w:rsidR="0031104B" w:rsidRPr="00FB3C84">
        <w:rPr>
          <w:lang w:val="fr-CH"/>
        </w:rPr>
        <w:t>23</w:t>
      </w:r>
      <w:r w:rsidRPr="00FB3C84">
        <w:rPr>
          <w:lang w:val="fr-CH"/>
        </w:rPr>
        <w:t>,</w:t>
      </w:r>
    </w:p>
    <w:p w14:paraId="7F615FB5" w14:textId="77777777" w:rsidR="006E059C" w:rsidRPr="00FB3C84" w:rsidRDefault="006E059C" w:rsidP="00693855">
      <w:pPr>
        <w:pStyle w:val="Call"/>
        <w:keepNext w:val="0"/>
        <w:keepLines w:val="0"/>
        <w:rPr>
          <w:lang w:val="fr-CH"/>
        </w:rPr>
      </w:pPr>
      <w:proofErr w:type="gramStart"/>
      <w:r w:rsidRPr="00FB3C84">
        <w:rPr>
          <w:lang w:val="fr-CH"/>
        </w:rPr>
        <w:t>charge</w:t>
      </w:r>
      <w:proofErr w:type="gramEnd"/>
      <w:r w:rsidRPr="00FB3C84">
        <w:rPr>
          <w:lang w:val="fr-CH"/>
        </w:rPr>
        <w:t xml:space="preserve"> le Secrétaire général</w:t>
      </w:r>
    </w:p>
    <w:p w14:paraId="0F723688" w14:textId="55A18D0A" w:rsidR="006E059C" w:rsidRPr="00FB3C84" w:rsidRDefault="006E059C" w:rsidP="00693855">
      <w:pPr>
        <w:rPr>
          <w:lang w:val="fr-CH"/>
        </w:rPr>
      </w:pPr>
      <w:proofErr w:type="gramStart"/>
      <w:r w:rsidRPr="00FB3C84">
        <w:rPr>
          <w:lang w:val="fr-CH"/>
        </w:rPr>
        <w:t>de</w:t>
      </w:r>
      <w:proofErr w:type="gramEnd"/>
      <w:r w:rsidRPr="00FB3C84">
        <w:rPr>
          <w:lang w:val="fr-CH"/>
        </w:rPr>
        <w:t xml:space="preserve"> communiquer la présente Résolution aux organisations internationales ou régionales concernées.</w:t>
      </w:r>
    </w:p>
    <w:p w14:paraId="5F4ABC5B" w14:textId="3A6BE4F8" w:rsidR="006E059C" w:rsidRPr="00FB3C84" w:rsidRDefault="006E059C" w:rsidP="00693855">
      <w:pPr>
        <w:pStyle w:val="Reasons"/>
        <w:rPr>
          <w:lang w:val="fr-CH"/>
        </w:rPr>
      </w:pPr>
      <w:r w:rsidRPr="00FB3C84">
        <w:rPr>
          <w:b/>
          <w:bCs/>
          <w:lang w:val="fr-CH"/>
        </w:rPr>
        <w:t>Motifs:</w:t>
      </w:r>
      <w:r w:rsidRPr="00FB3C84">
        <w:rPr>
          <w:b/>
          <w:bCs/>
          <w:lang w:val="fr-CH"/>
        </w:rPr>
        <w:tab/>
      </w:r>
      <w:r w:rsidR="009F2B83" w:rsidRPr="00FB3C84">
        <w:rPr>
          <w:lang w:val="fr-CH"/>
        </w:rPr>
        <w:t xml:space="preserve">Répondre au besoin croissant de connectivité «en mouvement» en autorisant l'exploitation de stations ESIM </w:t>
      </w:r>
      <w:r w:rsidR="004A4E18" w:rsidRPr="00FB3C84">
        <w:rPr>
          <w:lang w:val="fr-CH"/>
        </w:rPr>
        <w:t>communiquant avec des stations spatiales non géostationnaires dans des bandes de fréquences supplémentaires</w:t>
      </w:r>
      <w:r w:rsidR="009B298E" w:rsidRPr="00FB3C84">
        <w:rPr>
          <w:lang w:val="fr-CH"/>
        </w:rPr>
        <w:t>,</w:t>
      </w:r>
      <w:r w:rsidR="004A4E18" w:rsidRPr="00FB3C84">
        <w:rPr>
          <w:lang w:val="fr-CH"/>
        </w:rPr>
        <w:t xml:space="preserve"> tout en veillant à éviter </w:t>
      </w:r>
      <w:r w:rsidR="00D55FC4" w:rsidRPr="00FB3C84">
        <w:rPr>
          <w:lang w:val="fr-CH"/>
        </w:rPr>
        <w:t>que d</w:t>
      </w:r>
      <w:r w:rsidR="004A4E18" w:rsidRPr="00FB3C84">
        <w:rPr>
          <w:lang w:val="fr-CH"/>
        </w:rPr>
        <w:t xml:space="preserve">es brouillages préjudiciables </w:t>
      </w:r>
      <w:r w:rsidR="00D55FC4" w:rsidRPr="00FB3C84">
        <w:rPr>
          <w:lang w:val="fr-CH"/>
        </w:rPr>
        <w:t xml:space="preserve">soient causés </w:t>
      </w:r>
      <w:r w:rsidR="004A4E18" w:rsidRPr="00FB3C84">
        <w:rPr>
          <w:lang w:val="fr-CH"/>
        </w:rPr>
        <w:t>à d'autres services.</w:t>
      </w:r>
    </w:p>
    <w:p w14:paraId="4FEC0384" w14:textId="77777777" w:rsidR="00053BFE" w:rsidRPr="00FB3C84" w:rsidRDefault="00DA0574" w:rsidP="00693855">
      <w:pPr>
        <w:pStyle w:val="Proposal"/>
        <w:rPr>
          <w:lang w:val="fr-CH"/>
        </w:rPr>
      </w:pPr>
      <w:r w:rsidRPr="00FB3C84">
        <w:rPr>
          <w:lang w:val="fr-CH"/>
        </w:rPr>
        <w:t>ADD</w:t>
      </w:r>
      <w:r w:rsidRPr="00FB3C84">
        <w:rPr>
          <w:lang w:val="fr-CH"/>
        </w:rPr>
        <w:tab/>
        <w:t>IAP/11A24A8/2</w:t>
      </w:r>
    </w:p>
    <w:p w14:paraId="2C4FCE60" w14:textId="0F75FFA2" w:rsidR="0015203F" w:rsidRPr="00FB3C84" w:rsidRDefault="00DA0574" w:rsidP="00693855">
      <w:pPr>
        <w:pStyle w:val="ResNo"/>
        <w:rPr>
          <w:lang w:val="fr-CH"/>
        </w:rPr>
      </w:pPr>
      <w:r w:rsidRPr="00FB3C84">
        <w:rPr>
          <w:lang w:val="fr-CH"/>
        </w:rPr>
        <w:t>Projet de nouvelle R</w:t>
      </w:r>
      <w:r w:rsidR="00701983" w:rsidRPr="00FB3C84">
        <w:rPr>
          <w:lang w:val="fr-CH"/>
        </w:rPr>
        <w:t>É</w:t>
      </w:r>
      <w:r w:rsidRPr="00FB3C84">
        <w:rPr>
          <w:lang w:val="fr-CH"/>
        </w:rPr>
        <w:t>solution</w:t>
      </w:r>
      <w:r w:rsidR="006E059C" w:rsidRPr="00FB3C84">
        <w:rPr>
          <w:lang w:val="fr-CH"/>
        </w:rPr>
        <w:t xml:space="preserve"> [IAP/10(H)/NGSO ESIM] (</w:t>
      </w:r>
      <w:r w:rsidR="00EB296A" w:rsidRPr="00FB3C84">
        <w:rPr>
          <w:lang w:val="fr-CH"/>
        </w:rPr>
        <w:t>CMR</w:t>
      </w:r>
      <w:r w:rsidR="006E059C" w:rsidRPr="00FB3C84">
        <w:rPr>
          <w:lang w:val="fr-CH"/>
        </w:rPr>
        <w:t>-19)</w:t>
      </w:r>
    </w:p>
    <w:p w14:paraId="0CACFBA4" w14:textId="6BCFCC5B" w:rsidR="00053BFE" w:rsidRPr="00FB3C84" w:rsidRDefault="00032B1A" w:rsidP="00693855">
      <w:pPr>
        <w:pStyle w:val="Restitle"/>
        <w:rPr>
          <w:lang w:val="fr-CH"/>
        </w:rPr>
      </w:pPr>
      <w:bookmarkStart w:id="8" w:name="_Toc445304131"/>
      <w:bookmarkStart w:id="9" w:name="_Toc445304460"/>
      <w:r w:rsidRPr="00FB3C84">
        <w:rPr>
          <w:lang w:val="fr-CH"/>
        </w:rPr>
        <w:t>Utilisation des bandes de fréquences 17,7-19,3 GHz</w:t>
      </w:r>
      <w:r w:rsidR="0031104B" w:rsidRPr="00FB3C84">
        <w:rPr>
          <w:lang w:val="fr-CH"/>
        </w:rPr>
        <w:t xml:space="preserve"> et 19,7-20,2 GHz</w:t>
      </w:r>
      <w:r w:rsidRPr="00FB3C84">
        <w:rPr>
          <w:lang w:val="fr-CH"/>
        </w:rPr>
        <w:t xml:space="preserve"> </w:t>
      </w:r>
      <w:r w:rsidR="00B33C73">
        <w:rPr>
          <w:lang w:val="fr-CH"/>
        </w:rPr>
        <w:br/>
      </w:r>
      <w:r w:rsidRPr="00FB3C84">
        <w:rPr>
          <w:lang w:val="fr-CH"/>
        </w:rPr>
        <w:t>(espace vers Terre), 28,6</w:t>
      </w:r>
      <w:r w:rsidRPr="00FB3C84">
        <w:rPr>
          <w:lang w:val="fr-CH"/>
        </w:rPr>
        <w:noBreakHyphen/>
        <w:t>29,1 GHz et 29,5-30</w:t>
      </w:r>
      <w:r w:rsidR="00A21293" w:rsidRPr="00FB3C84">
        <w:rPr>
          <w:lang w:val="fr-CH"/>
        </w:rPr>
        <w:t>,0</w:t>
      </w:r>
      <w:r w:rsidRPr="00FB3C84">
        <w:rPr>
          <w:lang w:val="fr-CH"/>
        </w:rPr>
        <w:t xml:space="preserve"> GHz (Terre vers espace) par </w:t>
      </w:r>
      <w:r w:rsidR="00B33C73">
        <w:rPr>
          <w:lang w:val="fr-CH"/>
        </w:rPr>
        <w:br/>
      </w:r>
      <w:r w:rsidRPr="00FB3C84">
        <w:rPr>
          <w:lang w:val="fr-CH"/>
        </w:rPr>
        <w:t xml:space="preserve">les stations terriennes en mouvement communiquant avec des stations </w:t>
      </w:r>
      <w:r w:rsidR="00B33C73">
        <w:rPr>
          <w:lang w:val="fr-CH"/>
        </w:rPr>
        <w:br/>
      </w:r>
      <w:r w:rsidRPr="00FB3C84">
        <w:rPr>
          <w:lang w:val="fr-CH"/>
        </w:rPr>
        <w:t xml:space="preserve">spatiales </w:t>
      </w:r>
      <w:r w:rsidR="00560601" w:rsidRPr="00FB3C84">
        <w:rPr>
          <w:lang w:val="fr-CH"/>
        </w:rPr>
        <w:t>non </w:t>
      </w:r>
      <w:r w:rsidRPr="00FB3C84">
        <w:rPr>
          <w:lang w:val="fr-CH"/>
        </w:rPr>
        <w:t>géostationnaires du service fixe par satellite</w:t>
      </w:r>
      <w:bookmarkEnd w:id="8"/>
      <w:bookmarkEnd w:id="9"/>
    </w:p>
    <w:p w14:paraId="3036DD03" w14:textId="1ED56849" w:rsidR="00032B1A" w:rsidRPr="00FB3C84" w:rsidRDefault="00032B1A" w:rsidP="00693855">
      <w:pPr>
        <w:rPr>
          <w:lang w:val="fr-CH"/>
        </w:rPr>
      </w:pPr>
      <w:r w:rsidRPr="00FB3C84">
        <w:rPr>
          <w:lang w:val="fr-CH"/>
        </w:rPr>
        <w:t>La Conférence mondiale des radiocommunications (</w:t>
      </w:r>
      <w:proofErr w:type="spellStart"/>
      <w:r w:rsidRPr="00FB3C84">
        <w:rPr>
          <w:lang w:val="fr-CH"/>
        </w:rPr>
        <w:t>Charm</w:t>
      </w:r>
      <w:proofErr w:type="spellEnd"/>
      <w:r w:rsidRPr="00FB3C84">
        <w:rPr>
          <w:lang w:val="fr-CH"/>
        </w:rPr>
        <w:t xml:space="preserve"> el-Cheikh, 2019),</w:t>
      </w:r>
    </w:p>
    <w:p w14:paraId="727E37D9" w14:textId="77777777" w:rsidR="001822C0" w:rsidRPr="00FB3C84" w:rsidRDefault="001822C0" w:rsidP="00693855">
      <w:pPr>
        <w:pStyle w:val="Call"/>
        <w:rPr>
          <w:lang w:val="fr-CH"/>
        </w:rPr>
      </w:pPr>
      <w:proofErr w:type="gramStart"/>
      <w:r w:rsidRPr="00FB3C84">
        <w:rPr>
          <w:lang w:val="fr-CH"/>
        </w:rPr>
        <w:t>considérant</w:t>
      </w:r>
      <w:proofErr w:type="gramEnd"/>
    </w:p>
    <w:p w14:paraId="7C0E8578" w14:textId="1E3DD2F5" w:rsidR="00032B1A" w:rsidRPr="00FB3C84" w:rsidRDefault="001822C0" w:rsidP="00693855">
      <w:pPr>
        <w:rPr>
          <w:lang w:val="fr-CH"/>
        </w:rPr>
      </w:pPr>
      <w:r w:rsidRPr="00FB3C84">
        <w:rPr>
          <w:i/>
          <w:iCs/>
          <w:lang w:val="fr-CH"/>
        </w:rPr>
        <w:t>a)</w:t>
      </w:r>
      <w:r w:rsidRPr="00FB3C84">
        <w:rPr>
          <w:lang w:val="fr-CH"/>
        </w:rPr>
        <w:tab/>
        <w:t xml:space="preserve">que les bandes de fréquences 17,7-19,3 GHz et 19,7-20,2 GHz (espace vers Terre), </w:t>
      </w:r>
      <w:r w:rsidR="00560601" w:rsidRPr="00FB3C84">
        <w:rPr>
          <w:lang w:val="fr-CH"/>
        </w:rPr>
        <w:t xml:space="preserve">ainsi que </w:t>
      </w:r>
      <w:r w:rsidRPr="00FB3C84">
        <w:rPr>
          <w:lang w:val="fr-CH"/>
        </w:rPr>
        <w:t>27,5-29,1 GHz et 29,5-30</w:t>
      </w:r>
      <w:r w:rsidR="00B54375" w:rsidRPr="00FB3C84">
        <w:rPr>
          <w:lang w:val="fr-CH"/>
        </w:rPr>
        <w:t>,0</w:t>
      </w:r>
      <w:r w:rsidRPr="00FB3C84">
        <w:rPr>
          <w:lang w:val="fr-CH"/>
        </w:rPr>
        <w:t xml:space="preserve"> GHz (Terre vers espace) sont attribuées à titre primaire </w:t>
      </w:r>
      <w:r w:rsidR="00D55FC4" w:rsidRPr="00FB3C84">
        <w:rPr>
          <w:lang w:val="fr-CH"/>
        </w:rPr>
        <w:t xml:space="preserve">avec égalité des droits </w:t>
      </w:r>
      <w:r w:rsidRPr="00FB3C84">
        <w:rPr>
          <w:lang w:val="fr-CH"/>
        </w:rPr>
        <w:t>au service fixe par satellite (SFS)</w:t>
      </w:r>
      <w:r w:rsidR="009477EE" w:rsidRPr="00FB3C84">
        <w:rPr>
          <w:lang w:val="fr-CH"/>
        </w:rPr>
        <w:t xml:space="preserve"> dans le monde entier</w:t>
      </w:r>
      <w:r w:rsidR="009E4A97" w:rsidRPr="00FB3C84">
        <w:rPr>
          <w:lang w:val="fr-CH"/>
        </w:rPr>
        <w:t>,</w:t>
      </w:r>
      <w:r w:rsidRPr="00FB3C84">
        <w:rPr>
          <w:lang w:val="fr-CH"/>
        </w:rPr>
        <w:t xml:space="preserve"> et qu'</w:t>
      </w:r>
      <w:r w:rsidR="00D55FC4" w:rsidRPr="00FB3C84">
        <w:rPr>
          <w:lang w:val="fr-CH"/>
        </w:rPr>
        <w:t xml:space="preserve">il existe </w:t>
      </w:r>
      <w:r w:rsidRPr="00FB3C84">
        <w:rPr>
          <w:lang w:val="fr-CH"/>
        </w:rPr>
        <w:t xml:space="preserve">un </w:t>
      </w:r>
      <w:r w:rsidR="0086288E" w:rsidRPr="00FB3C84">
        <w:rPr>
          <w:lang w:val="fr-CH"/>
        </w:rPr>
        <w:t>certain</w:t>
      </w:r>
      <w:r w:rsidRPr="00FB3C84">
        <w:rPr>
          <w:lang w:val="fr-CH"/>
        </w:rPr>
        <w:t xml:space="preserve"> nombre de </w:t>
      </w:r>
      <w:r w:rsidR="00FB1D78" w:rsidRPr="00FB3C84">
        <w:rPr>
          <w:lang w:val="fr-CH"/>
        </w:rPr>
        <w:t>systèmes</w:t>
      </w:r>
      <w:r w:rsidRPr="00FB3C84">
        <w:rPr>
          <w:lang w:val="fr-CH"/>
        </w:rPr>
        <w:t xml:space="preserve"> à satellite</w:t>
      </w:r>
      <w:r w:rsidR="009E4A97" w:rsidRPr="00FB3C84">
        <w:rPr>
          <w:lang w:val="fr-CH"/>
        </w:rPr>
        <w:t>s</w:t>
      </w:r>
      <w:r w:rsidRPr="00FB3C84">
        <w:rPr>
          <w:lang w:val="fr-CH"/>
        </w:rPr>
        <w:t xml:space="preserve"> </w:t>
      </w:r>
      <w:r w:rsidR="00705BA1" w:rsidRPr="00FB3C84">
        <w:rPr>
          <w:lang w:val="fr-CH"/>
        </w:rPr>
        <w:t>non </w:t>
      </w:r>
      <w:r w:rsidRPr="00FB3C84">
        <w:rPr>
          <w:lang w:val="fr-CH"/>
        </w:rPr>
        <w:t>géostationnaire</w:t>
      </w:r>
      <w:r w:rsidR="009E4A97" w:rsidRPr="00FB3C84">
        <w:rPr>
          <w:lang w:val="fr-CH"/>
        </w:rPr>
        <w:t>s</w:t>
      </w:r>
      <w:r w:rsidRPr="00FB3C84">
        <w:rPr>
          <w:lang w:val="fr-CH"/>
        </w:rPr>
        <w:t xml:space="preserve"> </w:t>
      </w:r>
      <w:r w:rsidR="00D55FC4" w:rsidRPr="00FB3C84">
        <w:rPr>
          <w:lang w:val="fr-CH"/>
        </w:rPr>
        <w:t>qui sont exploités ou qu'il est prévu d'exploiter</w:t>
      </w:r>
      <w:r w:rsidRPr="00FB3C84">
        <w:rPr>
          <w:lang w:val="fr-CH"/>
        </w:rPr>
        <w:t xml:space="preserve"> dans ces bandes de fréquences;</w:t>
      </w:r>
    </w:p>
    <w:p w14:paraId="718863AC" w14:textId="44D2CC3B" w:rsidR="001822C0" w:rsidRPr="00FB3C84" w:rsidRDefault="001822C0" w:rsidP="00693855">
      <w:pPr>
        <w:rPr>
          <w:lang w:val="fr-CH"/>
        </w:rPr>
      </w:pPr>
      <w:r w:rsidRPr="00FB3C84">
        <w:rPr>
          <w:i/>
          <w:iCs/>
          <w:lang w:val="fr-CH"/>
        </w:rPr>
        <w:t>b)</w:t>
      </w:r>
      <w:r w:rsidRPr="00FB3C84">
        <w:rPr>
          <w:lang w:val="fr-CH"/>
        </w:rPr>
        <w:tab/>
      </w:r>
      <w:r w:rsidR="002F7F74" w:rsidRPr="00FB3C84">
        <w:rPr>
          <w:lang w:val="fr-CH"/>
        </w:rPr>
        <w:t xml:space="preserve">qu'il existe déjà des constellations de satellites non géostationnaires fonctionnant dans les bandes de fréquences </w:t>
      </w:r>
      <w:r w:rsidRPr="00FB3C84">
        <w:rPr>
          <w:lang w:val="fr-CH"/>
        </w:rPr>
        <w:t>17</w:t>
      </w:r>
      <w:r w:rsidR="002F7F74" w:rsidRPr="00FB3C84">
        <w:rPr>
          <w:lang w:val="fr-CH"/>
        </w:rPr>
        <w:t>,</w:t>
      </w:r>
      <w:r w:rsidRPr="00FB3C84">
        <w:rPr>
          <w:lang w:val="fr-CH"/>
        </w:rPr>
        <w:t>7-20</w:t>
      </w:r>
      <w:r w:rsidR="002F7F74" w:rsidRPr="00FB3C84">
        <w:rPr>
          <w:lang w:val="fr-CH"/>
        </w:rPr>
        <w:t>,</w:t>
      </w:r>
      <w:r w:rsidRPr="00FB3C84">
        <w:rPr>
          <w:lang w:val="fr-CH"/>
        </w:rPr>
        <w:t>2 GHz (</w:t>
      </w:r>
      <w:r w:rsidR="002F7F74" w:rsidRPr="00FB3C84">
        <w:rPr>
          <w:lang w:val="fr-CH"/>
        </w:rPr>
        <w:t>espace vers Terre</w:t>
      </w:r>
      <w:r w:rsidRPr="00FB3C84">
        <w:rPr>
          <w:lang w:val="fr-CH"/>
        </w:rPr>
        <w:t xml:space="preserve">) </w:t>
      </w:r>
      <w:r w:rsidR="002F7F74" w:rsidRPr="00FB3C84">
        <w:rPr>
          <w:lang w:val="fr-CH"/>
        </w:rPr>
        <w:t xml:space="preserve">et </w:t>
      </w:r>
      <w:r w:rsidRPr="00FB3C84">
        <w:rPr>
          <w:lang w:val="fr-CH"/>
        </w:rPr>
        <w:t>27</w:t>
      </w:r>
      <w:r w:rsidR="002F7F74" w:rsidRPr="00FB3C84">
        <w:rPr>
          <w:lang w:val="fr-CH"/>
        </w:rPr>
        <w:t>,</w:t>
      </w:r>
      <w:r w:rsidRPr="00FB3C84">
        <w:rPr>
          <w:lang w:val="fr-CH"/>
        </w:rPr>
        <w:t>5-30</w:t>
      </w:r>
      <w:r w:rsidR="00B2773A" w:rsidRPr="00FB3C84">
        <w:rPr>
          <w:lang w:val="fr-CH"/>
        </w:rPr>
        <w:t>,0</w:t>
      </w:r>
      <w:r w:rsidRPr="00FB3C84">
        <w:rPr>
          <w:lang w:val="fr-CH"/>
        </w:rPr>
        <w:t xml:space="preserve"> GHz (</w:t>
      </w:r>
      <w:r w:rsidR="002F7F74" w:rsidRPr="00FB3C84">
        <w:rPr>
          <w:lang w:val="fr-CH"/>
        </w:rPr>
        <w:t>Terre vers espace</w:t>
      </w:r>
      <w:r w:rsidRPr="00FB3C84">
        <w:rPr>
          <w:lang w:val="fr-CH"/>
        </w:rPr>
        <w:t>)</w:t>
      </w:r>
      <w:r w:rsidR="002F7F74" w:rsidRPr="00FB3C84">
        <w:rPr>
          <w:lang w:val="fr-CH"/>
        </w:rPr>
        <w:t>, et que ces</w:t>
      </w:r>
      <w:r w:rsidRPr="00FB3C84">
        <w:rPr>
          <w:lang w:val="fr-CH"/>
        </w:rPr>
        <w:t xml:space="preserve"> constellations </w:t>
      </w:r>
      <w:r w:rsidR="002F7F74" w:rsidRPr="00FB3C84">
        <w:rPr>
          <w:lang w:val="fr-CH"/>
        </w:rPr>
        <w:t>sont conçues pour répondre au besoin croissant d'accès à la connectivité large bande partout dans le monde;</w:t>
      </w:r>
    </w:p>
    <w:p w14:paraId="454B7D39" w14:textId="2DF9965D" w:rsidR="001822C0" w:rsidRPr="00FB3C84" w:rsidRDefault="001822C0" w:rsidP="00693855">
      <w:pPr>
        <w:rPr>
          <w:lang w:val="fr-CH"/>
        </w:rPr>
      </w:pPr>
      <w:r w:rsidRPr="00FB3C84">
        <w:rPr>
          <w:i/>
          <w:iCs/>
          <w:lang w:val="fr-CH"/>
        </w:rPr>
        <w:t>c)</w:t>
      </w:r>
      <w:r w:rsidRPr="00FB3C84">
        <w:rPr>
          <w:lang w:val="fr-CH"/>
        </w:rPr>
        <w:tab/>
        <w:t>que</w:t>
      </w:r>
      <w:r w:rsidR="002F7F74" w:rsidRPr="00FB3C84">
        <w:rPr>
          <w:lang w:val="fr-CH"/>
        </w:rPr>
        <w:t xml:space="preserve"> les différen</w:t>
      </w:r>
      <w:r w:rsidR="0066065E" w:rsidRPr="00FB3C84">
        <w:rPr>
          <w:lang w:val="fr-CH"/>
        </w:rPr>
        <w:t>te</w:t>
      </w:r>
      <w:r w:rsidR="002F7F74" w:rsidRPr="00FB3C84">
        <w:rPr>
          <w:lang w:val="fr-CH"/>
        </w:rPr>
        <w:t xml:space="preserve">s </w:t>
      </w:r>
      <w:r w:rsidR="0066065E" w:rsidRPr="00FB3C84">
        <w:rPr>
          <w:lang w:val="fr-CH"/>
        </w:rPr>
        <w:t xml:space="preserve">parties </w:t>
      </w:r>
      <w:r w:rsidR="002F7F74" w:rsidRPr="00FB3C84">
        <w:rPr>
          <w:lang w:val="fr-CH"/>
        </w:rPr>
        <w:t>d</w:t>
      </w:r>
      <w:r w:rsidRPr="00FB3C84">
        <w:rPr>
          <w:lang w:val="fr-CH"/>
        </w:rPr>
        <w:t>es bandes de fréquences</w:t>
      </w:r>
      <w:r w:rsidR="002F7F74" w:rsidRPr="00FB3C84">
        <w:rPr>
          <w:lang w:val="fr-CH"/>
        </w:rPr>
        <w:t xml:space="preserve"> </w:t>
      </w:r>
      <w:r w:rsidR="0096502F" w:rsidRPr="00FB3C84">
        <w:rPr>
          <w:lang w:val="fr-CH"/>
        </w:rPr>
        <w:t>indiquées</w:t>
      </w:r>
      <w:r w:rsidR="002F7F74" w:rsidRPr="00FB3C84">
        <w:rPr>
          <w:lang w:val="fr-CH"/>
        </w:rPr>
        <w:t xml:space="preserve"> </w:t>
      </w:r>
      <w:r w:rsidR="00D55FC4" w:rsidRPr="00FB3C84">
        <w:rPr>
          <w:lang w:val="fr-CH"/>
        </w:rPr>
        <w:t xml:space="preserve">au point </w:t>
      </w:r>
      <w:r w:rsidR="00D55FC4" w:rsidRPr="00FB3C84">
        <w:rPr>
          <w:i/>
          <w:iCs/>
          <w:lang w:val="fr-CH"/>
        </w:rPr>
        <w:t>a)</w:t>
      </w:r>
      <w:r w:rsidR="00D55FC4" w:rsidRPr="00FB3C84">
        <w:rPr>
          <w:lang w:val="fr-CH"/>
        </w:rPr>
        <w:t xml:space="preserve"> du </w:t>
      </w:r>
      <w:r w:rsidR="002F7F74" w:rsidRPr="00FB3C84">
        <w:rPr>
          <w:i/>
          <w:iCs/>
          <w:lang w:val="fr-CH"/>
        </w:rPr>
        <w:t xml:space="preserve">considérant </w:t>
      </w:r>
      <w:r w:rsidR="002F7F74" w:rsidRPr="00FB3C84">
        <w:rPr>
          <w:lang w:val="fr-CH"/>
        </w:rPr>
        <w:t>sont soumis</w:t>
      </w:r>
      <w:r w:rsidR="0066065E" w:rsidRPr="00FB3C84">
        <w:rPr>
          <w:lang w:val="fr-CH"/>
        </w:rPr>
        <w:t>es</w:t>
      </w:r>
      <w:r w:rsidR="002F7F74" w:rsidRPr="00FB3C84">
        <w:rPr>
          <w:lang w:val="fr-CH"/>
        </w:rPr>
        <w:t xml:space="preserve"> à des</w:t>
      </w:r>
      <w:r w:rsidRPr="00FB3C84">
        <w:rPr>
          <w:lang w:val="fr-CH"/>
        </w:rPr>
        <w:t xml:space="preserve"> procédures réglementaires et techniques </w:t>
      </w:r>
      <w:r w:rsidR="00B2773A" w:rsidRPr="00FB3C84">
        <w:rPr>
          <w:lang w:val="fr-CH"/>
        </w:rPr>
        <w:t>tant pour</w:t>
      </w:r>
      <w:r w:rsidRPr="00FB3C84">
        <w:rPr>
          <w:lang w:val="fr-CH"/>
        </w:rPr>
        <w:t xml:space="preserve"> les réseaux à satellite géostationnaire du SFS </w:t>
      </w:r>
      <w:r w:rsidR="00B2773A" w:rsidRPr="00FB3C84">
        <w:rPr>
          <w:lang w:val="fr-CH"/>
        </w:rPr>
        <w:t>que pour</w:t>
      </w:r>
      <w:r w:rsidRPr="00FB3C84">
        <w:rPr>
          <w:lang w:val="fr-CH"/>
        </w:rPr>
        <w:t xml:space="preserve"> les systèmes à satellites non géostationnaires du SFS;</w:t>
      </w:r>
    </w:p>
    <w:p w14:paraId="61289DBB" w14:textId="45CB1C1D" w:rsidR="001822C0" w:rsidRPr="00FB3C84" w:rsidRDefault="001822C0" w:rsidP="00693855">
      <w:pPr>
        <w:rPr>
          <w:lang w:val="fr-CH"/>
        </w:rPr>
      </w:pPr>
      <w:r w:rsidRPr="00FB3C84">
        <w:rPr>
          <w:i/>
          <w:iCs/>
          <w:lang w:val="fr-CH"/>
        </w:rPr>
        <w:t>d)</w:t>
      </w:r>
      <w:r w:rsidRPr="00FB3C84">
        <w:rPr>
          <w:i/>
          <w:iCs/>
          <w:lang w:val="fr-CH"/>
        </w:rPr>
        <w:tab/>
      </w:r>
      <w:r w:rsidRPr="00FB3C84">
        <w:rPr>
          <w:lang w:val="fr-CH"/>
        </w:rPr>
        <w:t>qu</w:t>
      </w:r>
      <w:r w:rsidR="0080328D" w:rsidRPr="00FB3C84">
        <w:rPr>
          <w:lang w:val="fr-CH"/>
        </w:rPr>
        <w:t>'il existe un</w:t>
      </w:r>
      <w:r w:rsidRPr="00FB3C84">
        <w:rPr>
          <w:lang w:val="fr-CH"/>
        </w:rPr>
        <w:t xml:space="preserve"> besoin de communications mobiles</w:t>
      </w:r>
      <w:r w:rsidR="0080328D" w:rsidRPr="00FB3C84">
        <w:rPr>
          <w:lang w:val="fr-CH"/>
        </w:rPr>
        <w:t xml:space="preserve"> par satellite</w:t>
      </w:r>
      <w:r w:rsidRPr="00FB3C84">
        <w:rPr>
          <w:lang w:val="fr-CH"/>
        </w:rPr>
        <w:t xml:space="preserve">, </w:t>
      </w:r>
      <w:r w:rsidR="0080328D" w:rsidRPr="00FB3C84">
        <w:rPr>
          <w:lang w:val="fr-CH"/>
        </w:rPr>
        <w:t xml:space="preserve">et en particulier </w:t>
      </w:r>
      <w:r w:rsidRPr="00FB3C84">
        <w:rPr>
          <w:lang w:val="fr-CH"/>
        </w:rPr>
        <w:t xml:space="preserve">de services par satellite large bande </w:t>
      </w:r>
      <w:r w:rsidR="00317B0A" w:rsidRPr="00FB3C84">
        <w:rPr>
          <w:lang w:val="fr-CH"/>
        </w:rPr>
        <w:t>à l'échelle</w:t>
      </w:r>
      <w:r w:rsidRPr="00FB3C84">
        <w:rPr>
          <w:lang w:val="fr-CH"/>
        </w:rPr>
        <w:t xml:space="preserve"> mondial</w:t>
      </w:r>
      <w:r w:rsidR="00317B0A" w:rsidRPr="00FB3C84">
        <w:rPr>
          <w:lang w:val="fr-CH"/>
        </w:rPr>
        <w:t>e</w:t>
      </w:r>
      <w:r w:rsidRPr="00FB3C84">
        <w:rPr>
          <w:lang w:val="fr-CH"/>
        </w:rPr>
        <w:t xml:space="preserve">, et qu'il est possible de </w:t>
      </w:r>
      <w:r w:rsidR="0096502F" w:rsidRPr="00FB3C84">
        <w:rPr>
          <w:lang w:val="fr-CH"/>
        </w:rPr>
        <w:t>répondre</w:t>
      </w:r>
      <w:r w:rsidRPr="00FB3C84">
        <w:rPr>
          <w:lang w:val="fr-CH"/>
        </w:rPr>
        <w:t xml:space="preserve"> en partie à ce besoin en permettant aux stations terriennes en mouvement de communiquer avec des stations spatiales du SFS fonctionnant dans les bandes de fréquences</w:t>
      </w:r>
      <w:r w:rsidR="0096502F" w:rsidRPr="00FB3C84">
        <w:rPr>
          <w:lang w:val="fr-CH"/>
        </w:rPr>
        <w:t xml:space="preserve"> indiquées </w:t>
      </w:r>
      <w:r w:rsidR="00D55FC4" w:rsidRPr="00FB3C84">
        <w:rPr>
          <w:lang w:val="fr-CH"/>
        </w:rPr>
        <w:t xml:space="preserve">au point </w:t>
      </w:r>
      <w:r w:rsidR="00D55FC4" w:rsidRPr="00FB3C84">
        <w:rPr>
          <w:i/>
          <w:iCs/>
          <w:lang w:val="fr-CH"/>
        </w:rPr>
        <w:t>a)</w:t>
      </w:r>
      <w:r w:rsidR="00D55FC4" w:rsidRPr="00FB3C84">
        <w:rPr>
          <w:lang w:val="fr-CH"/>
        </w:rPr>
        <w:t xml:space="preserve"> du </w:t>
      </w:r>
      <w:r w:rsidR="00D55FC4" w:rsidRPr="00FB3C84">
        <w:rPr>
          <w:i/>
          <w:iCs/>
          <w:lang w:val="fr-CH"/>
        </w:rPr>
        <w:t>considérant</w:t>
      </w:r>
      <w:r w:rsidRPr="00FB3C84">
        <w:rPr>
          <w:lang w:val="fr-CH"/>
        </w:rPr>
        <w:t>;</w:t>
      </w:r>
    </w:p>
    <w:p w14:paraId="5E82C118" w14:textId="5F5B13BF" w:rsidR="001822C0" w:rsidRPr="00FB3C84" w:rsidRDefault="001822C0" w:rsidP="00693855">
      <w:pPr>
        <w:rPr>
          <w:iCs/>
          <w:szCs w:val="24"/>
          <w:lang w:val="fr-CH"/>
        </w:rPr>
      </w:pPr>
      <w:r w:rsidRPr="00FB3C84">
        <w:rPr>
          <w:i/>
          <w:iCs/>
          <w:lang w:val="fr-CH"/>
        </w:rPr>
        <w:t>e)</w:t>
      </w:r>
      <w:r w:rsidRPr="00FB3C84">
        <w:rPr>
          <w:i/>
          <w:iCs/>
          <w:lang w:val="fr-CH"/>
        </w:rPr>
        <w:tab/>
      </w:r>
      <w:r w:rsidR="00335061" w:rsidRPr="00FB3C84">
        <w:rPr>
          <w:lang w:val="fr-CH"/>
        </w:rPr>
        <w:t xml:space="preserve">que conformément aux dispositions pertinentes des </w:t>
      </w:r>
      <w:r w:rsidR="00D55FC4" w:rsidRPr="00FB3C84">
        <w:rPr>
          <w:szCs w:val="24"/>
          <w:lang w:val="fr-CH"/>
        </w:rPr>
        <w:t>A</w:t>
      </w:r>
      <w:r w:rsidRPr="00FB3C84">
        <w:rPr>
          <w:szCs w:val="24"/>
          <w:lang w:val="fr-CH"/>
        </w:rPr>
        <w:t xml:space="preserve">rticles </w:t>
      </w:r>
      <w:r w:rsidRPr="00FB3C84">
        <w:rPr>
          <w:b/>
          <w:bCs/>
          <w:szCs w:val="24"/>
          <w:lang w:val="fr-CH"/>
        </w:rPr>
        <w:t>9</w:t>
      </w:r>
      <w:r w:rsidRPr="00FB3C84">
        <w:rPr>
          <w:szCs w:val="24"/>
          <w:lang w:val="fr-CH"/>
        </w:rPr>
        <w:t xml:space="preserve"> </w:t>
      </w:r>
      <w:r w:rsidR="00335061" w:rsidRPr="00FB3C84">
        <w:rPr>
          <w:szCs w:val="24"/>
          <w:lang w:val="fr-CH"/>
        </w:rPr>
        <w:t>et</w:t>
      </w:r>
      <w:r w:rsidRPr="00FB3C84">
        <w:rPr>
          <w:szCs w:val="24"/>
          <w:lang w:val="fr-CH"/>
        </w:rPr>
        <w:t xml:space="preserve"> </w:t>
      </w:r>
      <w:r w:rsidRPr="00FB3C84">
        <w:rPr>
          <w:b/>
          <w:bCs/>
          <w:szCs w:val="24"/>
          <w:lang w:val="fr-CH"/>
        </w:rPr>
        <w:t>11</w:t>
      </w:r>
      <w:r w:rsidRPr="00FB3C84">
        <w:rPr>
          <w:szCs w:val="24"/>
          <w:lang w:val="fr-CH"/>
        </w:rPr>
        <w:t xml:space="preserve"> </w:t>
      </w:r>
      <w:r w:rsidR="00335061" w:rsidRPr="00FB3C84">
        <w:rPr>
          <w:szCs w:val="24"/>
          <w:lang w:val="fr-CH"/>
        </w:rPr>
        <w:t xml:space="preserve">du Règlement des radiocommunications, les </w:t>
      </w:r>
      <w:r w:rsidR="00093C44" w:rsidRPr="00FB3C84">
        <w:rPr>
          <w:bCs/>
          <w:lang w:val="fr-CH"/>
        </w:rPr>
        <w:t xml:space="preserve">réseaux à satellite non géostationnaire du SFS </w:t>
      </w:r>
      <w:r w:rsidR="00E6160F" w:rsidRPr="00FB3C84">
        <w:rPr>
          <w:bCs/>
          <w:lang w:val="fr-CH"/>
        </w:rPr>
        <w:t>destinés</w:t>
      </w:r>
      <w:r w:rsidR="00093C44" w:rsidRPr="00FB3C84">
        <w:rPr>
          <w:bCs/>
          <w:lang w:val="fr-CH"/>
        </w:rPr>
        <w:t xml:space="preserve"> à fonctionner dans les bandes de fréquences indiquées </w:t>
      </w:r>
      <w:r w:rsidR="00D55FC4" w:rsidRPr="00FB3C84">
        <w:rPr>
          <w:lang w:val="fr-CH"/>
        </w:rPr>
        <w:t xml:space="preserve">au point </w:t>
      </w:r>
      <w:r w:rsidR="00D55FC4" w:rsidRPr="00FB3C84">
        <w:rPr>
          <w:i/>
          <w:iCs/>
          <w:lang w:val="fr-CH"/>
        </w:rPr>
        <w:t>a)</w:t>
      </w:r>
      <w:r w:rsidR="00D55FC4" w:rsidRPr="00FB3C84">
        <w:rPr>
          <w:lang w:val="fr-CH"/>
        </w:rPr>
        <w:t xml:space="preserve"> du </w:t>
      </w:r>
      <w:r w:rsidR="00D55FC4" w:rsidRPr="00FB3C84">
        <w:rPr>
          <w:i/>
          <w:iCs/>
          <w:lang w:val="fr-CH"/>
        </w:rPr>
        <w:t>considérant</w:t>
      </w:r>
      <w:r w:rsidR="00D55FC4" w:rsidRPr="00FB3C84">
        <w:rPr>
          <w:lang w:val="fr-CH"/>
        </w:rPr>
        <w:t xml:space="preserve"> </w:t>
      </w:r>
      <w:r w:rsidR="00093C44" w:rsidRPr="00FB3C84">
        <w:rPr>
          <w:lang w:val="fr-CH"/>
        </w:rPr>
        <w:t>devraient faire l'objet d'une coordination et d'une notification;</w:t>
      </w:r>
    </w:p>
    <w:p w14:paraId="3580DD4C" w14:textId="7BC77B56" w:rsidR="001822C0" w:rsidRPr="00FB3C84" w:rsidRDefault="001822C0" w:rsidP="00693855">
      <w:pPr>
        <w:rPr>
          <w:szCs w:val="24"/>
          <w:lang w:val="fr-CH"/>
        </w:rPr>
      </w:pPr>
      <w:r w:rsidRPr="00FB3C84">
        <w:rPr>
          <w:i/>
          <w:iCs/>
          <w:szCs w:val="24"/>
          <w:lang w:val="fr-CH"/>
        </w:rPr>
        <w:t>f)</w:t>
      </w:r>
      <w:r w:rsidRPr="00FB3C84">
        <w:rPr>
          <w:i/>
          <w:iCs/>
          <w:szCs w:val="24"/>
          <w:lang w:val="fr-CH"/>
        </w:rPr>
        <w:tab/>
      </w:r>
      <w:r w:rsidR="00166F2C" w:rsidRPr="00FB3C84">
        <w:rPr>
          <w:szCs w:val="24"/>
          <w:lang w:val="fr-CH"/>
        </w:rPr>
        <w:t xml:space="preserve">que les bandes de fréquences en question sont également attribuées </w:t>
      </w:r>
      <w:r w:rsidR="00A07164" w:rsidRPr="00FB3C84">
        <w:rPr>
          <w:lang w:val="fr-CH"/>
        </w:rPr>
        <w:t>à titre primaire avec égalité de droits à différents services de radiocommunication dont le fonctionnement et le développement ultérieur doivent être protégés;</w:t>
      </w:r>
    </w:p>
    <w:p w14:paraId="3CD2F615" w14:textId="08E73F66" w:rsidR="002F688D" w:rsidRPr="00FB3C84" w:rsidRDefault="002F688D" w:rsidP="00693855">
      <w:pPr>
        <w:rPr>
          <w:lang w:val="fr-CH"/>
        </w:rPr>
      </w:pPr>
      <w:r w:rsidRPr="00FB3C84">
        <w:rPr>
          <w:i/>
          <w:iCs/>
          <w:lang w:val="fr-CH"/>
        </w:rPr>
        <w:t>g)</w:t>
      </w:r>
      <w:r w:rsidRPr="00FB3C84">
        <w:rPr>
          <w:i/>
          <w:iCs/>
          <w:lang w:val="fr-CH"/>
        </w:rPr>
        <w:tab/>
      </w:r>
      <w:r w:rsidRPr="00FB3C84">
        <w:rPr>
          <w:lang w:val="fr-CH"/>
        </w:rPr>
        <w:t>qu'à l'heure actuelle, il n'existe aucune procédure réglementaire régissant expressément la coordination des stations terriennes en mouvement vis-à-vis des stations des services de Terre,</w:t>
      </w:r>
    </w:p>
    <w:p w14:paraId="2A77E18E" w14:textId="43A02907" w:rsidR="002F688D" w:rsidRPr="00FB3C84" w:rsidRDefault="004A2F17" w:rsidP="00693855">
      <w:pPr>
        <w:pStyle w:val="Call"/>
        <w:rPr>
          <w:lang w:val="fr-CH"/>
        </w:rPr>
      </w:pPr>
      <w:proofErr w:type="gramStart"/>
      <w:r w:rsidRPr="00FB3C84">
        <w:rPr>
          <w:lang w:val="fr-CH"/>
        </w:rPr>
        <w:t>reconnaissant</w:t>
      </w:r>
      <w:proofErr w:type="gramEnd"/>
    </w:p>
    <w:p w14:paraId="52EB074A" w14:textId="5FEF6229" w:rsidR="004A2F17" w:rsidRPr="00FB3C84" w:rsidRDefault="00E22965" w:rsidP="00693855">
      <w:pPr>
        <w:rPr>
          <w:lang w:val="fr-CH"/>
        </w:rPr>
      </w:pPr>
      <w:r w:rsidRPr="00FB3C84">
        <w:rPr>
          <w:i/>
          <w:iCs/>
          <w:lang w:val="fr-CH"/>
        </w:rPr>
        <w:t>a)</w:t>
      </w:r>
      <w:r w:rsidRPr="00FB3C84">
        <w:rPr>
          <w:lang w:val="fr-CH"/>
        </w:rPr>
        <w:tab/>
      </w:r>
      <w:r w:rsidR="002F61B7" w:rsidRPr="00FB3C84">
        <w:rPr>
          <w:lang w:val="fr-CH"/>
        </w:rPr>
        <w:t xml:space="preserve">que les </w:t>
      </w:r>
      <w:r w:rsidR="00F64836" w:rsidRPr="00FB3C84">
        <w:rPr>
          <w:lang w:val="fr-CH"/>
        </w:rPr>
        <w:t>exigences</w:t>
      </w:r>
      <w:r w:rsidR="002F61B7" w:rsidRPr="00FB3C84">
        <w:rPr>
          <w:lang w:val="fr-CH"/>
        </w:rPr>
        <w:t xml:space="preserve"> techniques et opérationnelles </w:t>
      </w:r>
      <w:r w:rsidR="00F64836" w:rsidRPr="00FB3C84">
        <w:rPr>
          <w:lang w:val="fr-CH"/>
        </w:rPr>
        <w:t>relatives aux</w:t>
      </w:r>
      <w:r w:rsidR="002F61B7" w:rsidRPr="00FB3C84">
        <w:rPr>
          <w:lang w:val="fr-CH"/>
        </w:rPr>
        <w:t xml:space="preserve"> stations ESIM (qui étaient appelées stations terriennes</w:t>
      </w:r>
      <w:r w:rsidR="00F64836" w:rsidRPr="00FB3C84">
        <w:rPr>
          <w:lang w:val="fr-CH"/>
        </w:rPr>
        <w:t xml:space="preserve"> placées sur des plates-formes mobiles («ESOMP») avant la CMR-15) fonctionnant avec des systèmes non OSG du SFS dans les bandes de fréquences 17,3-19,3</w:t>
      </w:r>
      <w:r w:rsidR="00693855" w:rsidRPr="00FB3C84">
        <w:rPr>
          <w:lang w:val="fr-CH"/>
        </w:rPr>
        <w:t>,</w:t>
      </w:r>
      <w:r w:rsidR="00F64836" w:rsidRPr="00FB3C84">
        <w:rPr>
          <w:lang w:val="fr-CH"/>
        </w:rPr>
        <w:t xml:space="preserve"> 19,7</w:t>
      </w:r>
      <w:r w:rsidR="00693855" w:rsidRPr="00FB3C84">
        <w:rPr>
          <w:lang w:val="fr-CH"/>
        </w:rPr>
        <w:noBreakHyphen/>
      </w:r>
      <w:r w:rsidR="00F64836" w:rsidRPr="00FB3C84">
        <w:rPr>
          <w:lang w:val="fr-CH"/>
        </w:rPr>
        <w:t>20,2, 27-29,1 et 29,5-30</w:t>
      </w:r>
      <w:r w:rsidR="00F1030D" w:rsidRPr="00FB3C84">
        <w:rPr>
          <w:lang w:val="fr-CH"/>
        </w:rPr>
        <w:t>,0</w:t>
      </w:r>
      <w:r w:rsidR="00F64836" w:rsidRPr="00FB3C84">
        <w:rPr>
          <w:lang w:val="fr-CH"/>
        </w:rPr>
        <w:t xml:space="preserve"> GHz ont été examinées par l'UIT-R et consignées dans le Rapport UIT</w:t>
      </w:r>
      <w:r w:rsidR="00F64836" w:rsidRPr="00FB3C84">
        <w:rPr>
          <w:lang w:val="fr-CH"/>
        </w:rPr>
        <w:noBreakHyphen/>
        <w:t>R S.2261;</w:t>
      </w:r>
    </w:p>
    <w:p w14:paraId="30E3EE17" w14:textId="3D4F2360" w:rsidR="004A2F17" w:rsidRPr="00FB3C84" w:rsidRDefault="004A2F17" w:rsidP="00693855">
      <w:pPr>
        <w:rPr>
          <w:lang w:val="fr-CH"/>
        </w:rPr>
      </w:pPr>
      <w:r w:rsidRPr="00FB3C84">
        <w:rPr>
          <w:i/>
          <w:iCs/>
          <w:lang w:val="fr-CH"/>
        </w:rPr>
        <w:t>b)</w:t>
      </w:r>
      <w:r w:rsidRPr="00FB3C84">
        <w:rPr>
          <w:i/>
          <w:iCs/>
          <w:lang w:val="fr-CH"/>
        </w:rPr>
        <w:tab/>
      </w:r>
      <w:r w:rsidR="00757C30" w:rsidRPr="00FB3C84">
        <w:rPr>
          <w:lang w:val="fr-CH"/>
        </w:rPr>
        <w:t>que l'</w:t>
      </w:r>
      <w:r w:rsidR="00652458" w:rsidRPr="00FB3C84">
        <w:rPr>
          <w:lang w:val="fr-CH"/>
        </w:rPr>
        <w:t>A</w:t>
      </w:r>
      <w:r w:rsidR="00757C30" w:rsidRPr="00FB3C84">
        <w:rPr>
          <w:lang w:val="fr-CH"/>
        </w:rPr>
        <w:t>rticle </w:t>
      </w:r>
      <w:r w:rsidR="00757C30" w:rsidRPr="00FB3C84">
        <w:rPr>
          <w:b/>
          <w:bCs/>
          <w:lang w:val="fr-CH"/>
        </w:rPr>
        <w:t>22</w:t>
      </w:r>
      <w:r w:rsidR="00757C30" w:rsidRPr="00FB3C84">
        <w:rPr>
          <w:lang w:val="fr-CH"/>
        </w:rPr>
        <w:t xml:space="preserve"> du Règlement des radiocommunications fixe des limites d'epfd aux systèmes </w:t>
      </w:r>
      <w:r w:rsidR="00757C30" w:rsidRPr="00FB3C84">
        <w:rPr>
          <w:bCs/>
          <w:lang w:val="fr-CH"/>
        </w:rPr>
        <w:t>à satellite</w:t>
      </w:r>
      <w:r w:rsidR="00010942" w:rsidRPr="00FB3C84">
        <w:rPr>
          <w:bCs/>
          <w:lang w:val="fr-CH"/>
        </w:rPr>
        <w:t>s</w:t>
      </w:r>
      <w:r w:rsidR="00757C30" w:rsidRPr="00FB3C84">
        <w:rPr>
          <w:bCs/>
          <w:lang w:val="fr-CH"/>
        </w:rPr>
        <w:t xml:space="preserve"> non géostationnaire</w:t>
      </w:r>
      <w:r w:rsidR="00010942" w:rsidRPr="00FB3C84">
        <w:rPr>
          <w:bCs/>
          <w:lang w:val="fr-CH"/>
        </w:rPr>
        <w:t>s</w:t>
      </w:r>
      <w:r w:rsidR="00757C30" w:rsidRPr="00FB3C84">
        <w:rPr>
          <w:bCs/>
          <w:lang w:val="fr-CH"/>
        </w:rPr>
        <w:t xml:space="preserve"> du SFS pour protéger les systèmes à satellite</w:t>
      </w:r>
      <w:r w:rsidR="00010942" w:rsidRPr="00FB3C84">
        <w:rPr>
          <w:bCs/>
          <w:lang w:val="fr-CH"/>
        </w:rPr>
        <w:t>s</w:t>
      </w:r>
      <w:r w:rsidR="00757C30" w:rsidRPr="00FB3C84">
        <w:rPr>
          <w:bCs/>
          <w:lang w:val="fr-CH"/>
        </w:rPr>
        <w:t xml:space="preserve"> géostationnaire</w:t>
      </w:r>
      <w:r w:rsidR="00010942" w:rsidRPr="00FB3C84">
        <w:rPr>
          <w:bCs/>
          <w:lang w:val="fr-CH"/>
        </w:rPr>
        <w:t>s</w:t>
      </w:r>
      <w:r w:rsidR="00757C30" w:rsidRPr="00FB3C84">
        <w:rPr>
          <w:bCs/>
          <w:lang w:val="fr-CH"/>
        </w:rPr>
        <w:t xml:space="preserve"> du SFS dans les bandes de fréquences </w:t>
      </w:r>
      <w:r w:rsidRPr="00FB3C84">
        <w:rPr>
          <w:lang w:val="fr-CH"/>
        </w:rPr>
        <w:t>17</w:t>
      </w:r>
      <w:r w:rsidR="00757C30" w:rsidRPr="00FB3C84">
        <w:rPr>
          <w:lang w:val="fr-CH"/>
        </w:rPr>
        <w:t>,</w:t>
      </w:r>
      <w:r w:rsidRPr="00FB3C84">
        <w:rPr>
          <w:lang w:val="fr-CH"/>
        </w:rPr>
        <w:t>8-18</w:t>
      </w:r>
      <w:r w:rsidR="00757C30" w:rsidRPr="00FB3C84">
        <w:rPr>
          <w:lang w:val="fr-CH"/>
        </w:rPr>
        <w:t>,</w:t>
      </w:r>
      <w:r w:rsidRPr="00FB3C84">
        <w:rPr>
          <w:lang w:val="fr-CH"/>
        </w:rPr>
        <w:t>6 GHz, 19</w:t>
      </w:r>
      <w:r w:rsidR="00757C30" w:rsidRPr="00FB3C84">
        <w:rPr>
          <w:lang w:val="fr-CH"/>
        </w:rPr>
        <w:t>,</w:t>
      </w:r>
      <w:r w:rsidRPr="00FB3C84">
        <w:rPr>
          <w:lang w:val="fr-CH"/>
        </w:rPr>
        <w:t>7-20</w:t>
      </w:r>
      <w:r w:rsidR="00031560" w:rsidRPr="00FB3C84">
        <w:rPr>
          <w:lang w:val="fr-CH"/>
        </w:rPr>
        <w:t>,</w:t>
      </w:r>
      <w:r w:rsidRPr="00FB3C84">
        <w:rPr>
          <w:lang w:val="fr-CH"/>
        </w:rPr>
        <w:t>2 GHz (</w:t>
      </w:r>
      <w:r w:rsidR="00757C30" w:rsidRPr="00FB3C84">
        <w:rPr>
          <w:lang w:val="fr-CH"/>
        </w:rPr>
        <w:t>espace vers Terre</w:t>
      </w:r>
      <w:r w:rsidRPr="00FB3C84">
        <w:rPr>
          <w:lang w:val="fr-CH"/>
        </w:rPr>
        <w:t>)</w:t>
      </w:r>
      <w:r w:rsidR="00757C30" w:rsidRPr="00FB3C84">
        <w:rPr>
          <w:lang w:val="fr-CH"/>
        </w:rPr>
        <w:t>,</w:t>
      </w:r>
      <w:r w:rsidRPr="00FB3C84">
        <w:rPr>
          <w:lang w:val="fr-CH"/>
        </w:rPr>
        <w:t xml:space="preserve"> 27</w:t>
      </w:r>
      <w:r w:rsidR="00757C30" w:rsidRPr="00FB3C84">
        <w:rPr>
          <w:lang w:val="fr-CH"/>
        </w:rPr>
        <w:t>,</w:t>
      </w:r>
      <w:r w:rsidRPr="00FB3C84">
        <w:rPr>
          <w:lang w:val="fr-CH"/>
        </w:rPr>
        <w:t>5</w:t>
      </w:r>
      <w:r w:rsidR="00757C30" w:rsidRPr="00FB3C84">
        <w:rPr>
          <w:lang w:val="fr-CH"/>
        </w:rPr>
        <w:noBreakHyphen/>
      </w:r>
      <w:r w:rsidRPr="00FB3C84">
        <w:rPr>
          <w:lang w:val="fr-CH"/>
        </w:rPr>
        <w:t>28</w:t>
      </w:r>
      <w:r w:rsidR="00757C30" w:rsidRPr="00FB3C84">
        <w:rPr>
          <w:lang w:val="fr-CH"/>
        </w:rPr>
        <w:t>,</w:t>
      </w:r>
      <w:r w:rsidRPr="00FB3C84">
        <w:rPr>
          <w:lang w:val="fr-CH"/>
        </w:rPr>
        <w:t>6</w:t>
      </w:r>
      <w:r w:rsidR="00757C30" w:rsidRPr="00FB3C84">
        <w:rPr>
          <w:lang w:val="fr-CH"/>
        </w:rPr>
        <w:t> </w:t>
      </w:r>
      <w:r w:rsidRPr="00FB3C84">
        <w:rPr>
          <w:lang w:val="fr-CH"/>
        </w:rPr>
        <w:t>GHz, 29</w:t>
      </w:r>
      <w:r w:rsidR="00757C30" w:rsidRPr="00FB3C84">
        <w:rPr>
          <w:lang w:val="fr-CH"/>
        </w:rPr>
        <w:t>,</w:t>
      </w:r>
      <w:r w:rsidRPr="00FB3C84">
        <w:rPr>
          <w:lang w:val="fr-CH"/>
        </w:rPr>
        <w:t>5-30</w:t>
      </w:r>
      <w:r w:rsidR="005D3E37" w:rsidRPr="00FB3C84">
        <w:rPr>
          <w:lang w:val="fr-CH"/>
        </w:rPr>
        <w:t>,0</w:t>
      </w:r>
      <w:r w:rsidRPr="00FB3C84">
        <w:rPr>
          <w:lang w:val="fr-CH"/>
        </w:rPr>
        <w:t xml:space="preserve"> GHz (</w:t>
      </w:r>
      <w:r w:rsidR="00757C30" w:rsidRPr="00FB3C84">
        <w:rPr>
          <w:lang w:val="fr-CH"/>
        </w:rPr>
        <w:t>Terre vers espace</w:t>
      </w:r>
      <w:r w:rsidRPr="00FB3C84">
        <w:rPr>
          <w:lang w:val="fr-CH"/>
        </w:rPr>
        <w:t xml:space="preserve">) </w:t>
      </w:r>
      <w:r w:rsidR="00757C30" w:rsidRPr="00FB3C84">
        <w:rPr>
          <w:lang w:val="fr-CH"/>
        </w:rPr>
        <w:t xml:space="preserve">et </w:t>
      </w:r>
      <w:r w:rsidRPr="00FB3C84">
        <w:rPr>
          <w:lang w:val="fr-CH"/>
        </w:rPr>
        <w:t>17</w:t>
      </w:r>
      <w:r w:rsidR="00757C30" w:rsidRPr="00FB3C84">
        <w:rPr>
          <w:lang w:val="fr-CH"/>
        </w:rPr>
        <w:t>,</w:t>
      </w:r>
      <w:r w:rsidRPr="00FB3C84">
        <w:rPr>
          <w:lang w:val="fr-CH"/>
        </w:rPr>
        <w:t>8-18</w:t>
      </w:r>
      <w:r w:rsidR="00757C30" w:rsidRPr="00FB3C84">
        <w:rPr>
          <w:lang w:val="fr-CH"/>
        </w:rPr>
        <w:t>,</w:t>
      </w:r>
      <w:r w:rsidRPr="00FB3C84">
        <w:rPr>
          <w:lang w:val="fr-CH"/>
        </w:rPr>
        <w:t>4 GHz (inter-satellite</w:t>
      </w:r>
      <w:r w:rsidR="00757C30" w:rsidRPr="00FB3C84">
        <w:rPr>
          <w:lang w:val="fr-CH"/>
        </w:rPr>
        <w:t>s</w:t>
      </w:r>
      <w:r w:rsidRPr="00FB3C84">
        <w:rPr>
          <w:lang w:val="fr-CH"/>
        </w:rPr>
        <w:t>);</w:t>
      </w:r>
    </w:p>
    <w:p w14:paraId="72DDC3E3" w14:textId="058ED32D" w:rsidR="00FB015D" w:rsidRPr="00FB3C84" w:rsidRDefault="004B2EBF" w:rsidP="00693855">
      <w:pPr>
        <w:rPr>
          <w:szCs w:val="24"/>
          <w:lang w:val="fr-CH"/>
        </w:rPr>
      </w:pPr>
      <w:r w:rsidRPr="00FB3C84">
        <w:rPr>
          <w:i/>
          <w:iCs/>
          <w:szCs w:val="24"/>
          <w:lang w:val="fr-CH"/>
        </w:rPr>
        <w:t>c)</w:t>
      </w:r>
      <w:r w:rsidRPr="00FB3C84">
        <w:rPr>
          <w:i/>
          <w:iCs/>
          <w:szCs w:val="24"/>
          <w:lang w:val="fr-CH"/>
        </w:rPr>
        <w:tab/>
      </w:r>
      <w:r w:rsidR="00FB015D" w:rsidRPr="00FB3C84">
        <w:rPr>
          <w:szCs w:val="24"/>
          <w:lang w:val="fr-CH"/>
        </w:rPr>
        <w:t>que l'</w:t>
      </w:r>
      <w:r w:rsidR="00652458" w:rsidRPr="00FB3C84">
        <w:rPr>
          <w:szCs w:val="24"/>
          <w:lang w:val="fr-CH"/>
        </w:rPr>
        <w:t>A</w:t>
      </w:r>
      <w:r w:rsidR="004A2F17" w:rsidRPr="00FB3C84">
        <w:rPr>
          <w:szCs w:val="24"/>
          <w:lang w:val="fr-CH"/>
        </w:rPr>
        <w:t xml:space="preserve">rticle </w:t>
      </w:r>
      <w:r w:rsidR="004A2F17" w:rsidRPr="00FB3C84">
        <w:rPr>
          <w:b/>
          <w:bCs/>
          <w:szCs w:val="24"/>
          <w:lang w:val="fr-CH"/>
        </w:rPr>
        <w:t>21</w:t>
      </w:r>
      <w:r w:rsidR="004A2F17" w:rsidRPr="00FB3C84">
        <w:rPr>
          <w:szCs w:val="24"/>
          <w:lang w:val="fr-CH"/>
        </w:rPr>
        <w:t xml:space="preserve"> </w:t>
      </w:r>
      <w:r w:rsidR="00FB015D" w:rsidRPr="00FB3C84">
        <w:rPr>
          <w:szCs w:val="24"/>
          <w:lang w:val="fr-CH"/>
        </w:rPr>
        <w:t xml:space="preserve">du Règlement des radiocommunications établit les limites de </w:t>
      </w:r>
      <w:r w:rsidR="007D34B5" w:rsidRPr="00FB3C84">
        <w:rPr>
          <w:szCs w:val="24"/>
          <w:lang w:val="fr-CH"/>
        </w:rPr>
        <w:t xml:space="preserve">puissance surfacique applicables aux </w:t>
      </w:r>
      <w:r w:rsidR="007D34B5" w:rsidRPr="00FB3C84">
        <w:rPr>
          <w:bCs/>
          <w:lang w:val="fr-CH"/>
        </w:rPr>
        <w:t>systèmes à satellite</w:t>
      </w:r>
      <w:r w:rsidR="00F40114" w:rsidRPr="00FB3C84">
        <w:rPr>
          <w:bCs/>
          <w:lang w:val="fr-CH"/>
        </w:rPr>
        <w:t>s</w:t>
      </w:r>
      <w:r w:rsidR="007D34B5" w:rsidRPr="00FB3C84">
        <w:rPr>
          <w:bCs/>
          <w:lang w:val="fr-CH"/>
        </w:rPr>
        <w:t xml:space="preserve"> non géostationnaire</w:t>
      </w:r>
      <w:r w:rsidR="00F40114" w:rsidRPr="00FB3C84">
        <w:rPr>
          <w:bCs/>
          <w:lang w:val="fr-CH"/>
        </w:rPr>
        <w:t>s</w:t>
      </w:r>
      <w:r w:rsidR="007D34B5" w:rsidRPr="00FB3C84">
        <w:rPr>
          <w:bCs/>
          <w:lang w:val="fr-CH"/>
        </w:rPr>
        <w:t xml:space="preserve"> du SFS</w:t>
      </w:r>
      <w:r w:rsidR="00096A52" w:rsidRPr="00FB3C84">
        <w:rPr>
          <w:bCs/>
          <w:lang w:val="fr-CH"/>
        </w:rPr>
        <w:t xml:space="preserve"> pour protéger les stations terrestres fixes et mobiles;</w:t>
      </w:r>
    </w:p>
    <w:p w14:paraId="11303519" w14:textId="4564AC4B" w:rsidR="004B2EBF" w:rsidRPr="00FB3C84" w:rsidRDefault="004B2EBF" w:rsidP="00693855">
      <w:pPr>
        <w:rPr>
          <w:szCs w:val="24"/>
          <w:lang w:val="fr-CH"/>
        </w:rPr>
      </w:pPr>
      <w:r w:rsidRPr="00FB3C84">
        <w:rPr>
          <w:i/>
          <w:iCs/>
          <w:szCs w:val="24"/>
          <w:lang w:val="fr-CH"/>
        </w:rPr>
        <w:t>d)</w:t>
      </w:r>
      <w:r w:rsidRPr="00FB3C84">
        <w:rPr>
          <w:i/>
          <w:iCs/>
          <w:szCs w:val="24"/>
          <w:lang w:val="fr-CH"/>
        </w:rPr>
        <w:tab/>
      </w:r>
      <w:r w:rsidRPr="00FB3C84">
        <w:rPr>
          <w:szCs w:val="24"/>
          <w:lang w:val="fr-CH"/>
        </w:rPr>
        <w:t xml:space="preserve">que la </w:t>
      </w:r>
      <w:r w:rsidR="00CF0FDB" w:rsidRPr="00FB3C84">
        <w:rPr>
          <w:szCs w:val="24"/>
          <w:lang w:val="fr-CH"/>
        </w:rPr>
        <w:t xml:space="preserve">CMR-15 </w:t>
      </w:r>
      <w:r w:rsidRPr="00FB3C84">
        <w:rPr>
          <w:szCs w:val="24"/>
          <w:lang w:val="fr-CH"/>
        </w:rPr>
        <w:t xml:space="preserve">a adopté le renvoi </w:t>
      </w:r>
      <w:r w:rsidRPr="00FB3C84">
        <w:rPr>
          <w:b/>
          <w:bCs/>
          <w:szCs w:val="24"/>
          <w:lang w:val="fr-CH"/>
        </w:rPr>
        <w:t xml:space="preserve">5.527A </w:t>
      </w:r>
      <w:r w:rsidRPr="00FB3C84">
        <w:rPr>
          <w:szCs w:val="24"/>
          <w:lang w:val="fr-CH"/>
        </w:rPr>
        <w:t xml:space="preserve">et la Résolution </w:t>
      </w:r>
      <w:r w:rsidRPr="00FB3C84">
        <w:rPr>
          <w:b/>
          <w:bCs/>
          <w:szCs w:val="24"/>
          <w:lang w:val="fr-CH"/>
        </w:rPr>
        <w:t>156</w:t>
      </w:r>
      <w:r w:rsidRPr="00FB3C84">
        <w:rPr>
          <w:szCs w:val="24"/>
          <w:lang w:val="fr-CH"/>
        </w:rPr>
        <w:t xml:space="preserve"> </w:t>
      </w:r>
      <w:r w:rsidRPr="00FB3C84">
        <w:rPr>
          <w:b/>
          <w:bCs/>
          <w:szCs w:val="24"/>
          <w:lang w:val="fr-CH"/>
        </w:rPr>
        <w:t>(CMR</w:t>
      </w:r>
      <w:r w:rsidRPr="00FB3C84">
        <w:rPr>
          <w:b/>
          <w:bCs/>
          <w:szCs w:val="24"/>
          <w:lang w:val="fr-CH"/>
        </w:rPr>
        <w:noBreakHyphen/>
        <w:t>15)</w:t>
      </w:r>
      <w:r w:rsidRPr="00FB3C84">
        <w:rPr>
          <w:szCs w:val="24"/>
          <w:lang w:val="fr-CH"/>
        </w:rPr>
        <w:t xml:space="preserve"> concernant les stations terriennes en mouvement</w:t>
      </w:r>
      <w:r w:rsidR="00CF0FDB" w:rsidRPr="00FB3C84">
        <w:rPr>
          <w:szCs w:val="24"/>
          <w:lang w:val="fr-CH"/>
        </w:rPr>
        <w:t xml:space="preserve"> communiquant avec</w:t>
      </w:r>
      <w:r w:rsidR="00CF0FDB" w:rsidRPr="00FB3C84">
        <w:rPr>
          <w:lang w:val="fr-CH"/>
        </w:rPr>
        <w:t xml:space="preserve"> d</w:t>
      </w:r>
      <w:r w:rsidR="00CF0FDB" w:rsidRPr="00FB3C84">
        <w:rPr>
          <w:bCs/>
          <w:lang w:val="fr-CH"/>
        </w:rPr>
        <w:t>es satellite</w:t>
      </w:r>
      <w:r w:rsidR="00652458" w:rsidRPr="00FB3C84">
        <w:rPr>
          <w:bCs/>
          <w:lang w:val="fr-CH"/>
        </w:rPr>
        <w:t>s</w:t>
      </w:r>
      <w:r w:rsidR="00CF0FDB" w:rsidRPr="00FB3C84">
        <w:rPr>
          <w:bCs/>
          <w:lang w:val="fr-CH"/>
        </w:rPr>
        <w:t xml:space="preserve"> géostationnaire</w:t>
      </w:r>
      <w:r w:rsidR="00652458" w:rsidRPr="00FB3C84">
        <w:rPr>
          <w:bCs/>
          <w:lang w:val="fr-CH"/>
        </w:rPr>
        <w:t>s</w:t>
      </w:r>
      <w:r w:rsidRPr="00FB3C84">
        <w:rPr>
          <w:szCs w:val="24"/>
          <w:lang w:val="fr-CH"/>
        </w:rPr>
        <w:t>;</w:t>
      </w:r>
    </w:p>
    <w:p w14:paraId="5568B203" w14:textId="631D5F5D" w:rsidR="004B2EBF" w:rsidRPr="00FB3C84" w:rsidRDefault="004B2EBF" w:rsidP="00693855">
      <w:pPr>
        <w:rPr>
          <w:szCs w:val="24"/>
          <w:lang w:val="fr-CH"/>
        </w:rPr>
      </w:pPr>
      <w:r w:rsidRPr="00FB3C84">
        <w:rPr>
          <w:i/>
          <w:iCs/>
          <w:szCs w:val="24"/>
          <w:lang w:val="fr-CH"/>
        </w:rPr>
        <w:t>e)</w:t>
      </w:r>
      <w:r w:rsidRPr="00FB3C84">
        <w:rPr>
          <w:i/>
          <w:iCs/>
          <w:szCs w:val="24"/>
          <w:lang w:val="fr-CH"/>
        </w:rPr>
        <w:tab/>
      </w:r>
      <w:r w:rsidRPr="00FB3C84">
        <w:rPr>
          <w:szCs w:val="24"/>
          <w:lang w:val="fr-CH"/>
        </w:rPr>
        <w:t xml:space="preserve">que les progrès techniques, et notamment l'utilisation de techniques de poursuite, permettent aux stations terriennes en mouvement de fonctionner conformément aux caractéristiques des stations terriennes </w:t>
      </w:r>
      <w:r w:rsidR="00652458" w:rsidRPr="00FB3C84">
        <w:rPr>
          <w:szCs w:val="24"/>
          <w:lang w:val="fr-CH"/>
        </w:rPr>
        <w:t>types</w:t>
      </w:r>
      <w:r w:rsidRPr="00FB3C84">
        <w:rPr>
          <w:szCs w:val="24"/>
          <w:lang w:val="fr-CH"/>
        </w:rPr>
        <w:t xml:space="preserve"> du SFS;</w:t>
      </w:r>
    </w:p>
    <w:p w14:paraId="49A6089E" w14:textId="51AA086A" w:rsidR="004B2EBF" w:rsidRPr="00FB3C84" w:rsidRDefault="004B2EBF" w:rsidP="00693855">
      <w:pPr>
        <w:rPr>
          <w:szCs w:val="24"/>
          <w:lang w:val="fr-CH"/>
        </w:rPr>
      </w:pPr>
      <w:r w:rsidRPr="00FB3C84">
        <w:rPr>
          <w:i/>
          <w:iCs/>
          <w:szCs w:val="24"/>
          <w:lang w:val="fr-CH"/>
        </w:rPr>
        <w:t>f)</w:t>
      </w:r>
      <w:r w:rsidRPr="00FB3C84">
        <w:rPr>
          <w:i/>
          <w:iCs/>
          <w:szCs w:val="24"/>
          <w:lang w:val="fr-CH"/>
        </w:rPr>
        <w:tab/>
      </w:r>
      <w:r w:rsidRPr="00FB3C84">
        <w:rPr>
          <w:szCs w:val="24"/>
          <w:lang w:val="fr-CH"/>
        </w:rPr>
        <w:t xml:space="preserve">que ces stations </w:t>
      </w:r>
      <w:r w:rsidR="00652458" w:rsidRPr="00FB3C84">
        <w:rPr>
          <w:szCs w:val="24"/>
          <w:lang w:val="fr-CH"/>
        </w:rPr>
        <w:t xml:space="preserve">terriennes </w:t>
      </w:r>
      <w:r w:rsidRPr="00FB3C84">
        <w:rPr>
          <w:szCs w:val="24"/>
          <w:lang w:val="fr-CH"/>
        </w:rPr>
        <w:t>ne doivent pas être utilisées ni servir pour les applications liées à la sécurité de la vie humaine,</w:t>
      </w:r>
    </w:p>
    <w:p w14:paraId="760C3594" w14:textId="6E2BAC8C" w:rsidR="00AA1671" w:rsidRPr="00FB3C84" w:rsidRDefault="00AA1671" w:rsidP="00693855">
      <w:pPr>
        <w:pStyle w:val="Call"/>
        <w:rPr>
          <w:lang w:val="fr-CH"/>
        </w:rPr>
      </w:pPr>
      <w:proofErr w:type="gramStart"/>
      <w:r w:rsidRPr="00FB3C84">
        <w:rPr>
          <w:lang w:val="fr-CH"/>
        </w:rPr>
        <w:t>reconnaissant</w:t>
      </w:r>
      <w:proofErr w:type="gramEnd"/>
      <w:r w:rsidRPr="00FB3C84">
        <w:rPr>
          <w:lang w:val="fr-CH"/>
        </w:rPr>
        <w:t xml:space="preserve"> en outre</w:t>
      </w:r>
    </w:p>
    <w:p w14:paraId="3DC2207B" w14:textId="6291A64A" w:rsidR="00AA1671" w:rsidRPr="00FB3C84" w:rsidRDefault="00AA1671" w:rsidP="00693855">
      <w:pPr>
        <w:rPr>
          <w:iCs/>
          <w:lang w:val="fr-CH"/>
        </w:rPr>
      </w:pPr>
      <w:r w:rsidRPr="00FB3C84">
        <w:rPr>
          <w:i/>
          <w:iCs/>
          <w:lang w:val="fr-CH"/>
        </w:rPr>
        <w:t>a)</w:t>
      </w:r>
      <w:r w:rsidRPr="00FB3C84">
        <w:rPr>
          <w:i/>
          <w:iCs/>
          <w:lang w:val="fr-CH"/>
        </w:rPr>
        <w:tab/>
      </w:r>
      <w:r w:rsidRPr="00FB3C84">
        <w:rPr>
          <w:lang w:val="fr-CH"/>
        </w:rPr>
        <w:t xml:space="preserve">que certaines parties de la bande de fréquences </w:t>
      </w:r>
      <w:r w:rsidRPr="00FB3C84">
        <w:rPr>
          <w:iCs/>
          <w:lang w:val="fr-CH"/>
        </w:rPr>
        <w:t>17,7-18,1 GHz</w:t>
      </w:r>
      <w:r w:rsidRPr="00FB3C84">
        <w:rPr>
          <w:lang w:val="fr-CH"/>
        </w:rPr>
        <w:t xml:space="preserve"> sont utilisées par les liaisons de connexion du service de radiodiffusion par satellite, sous réserve des dispositions de l'Appendice</w:t>
      </w:r>
      <w:r w:rsidRPr="00FB3C84">
        <w:rPr>
          <w:i/>
          <w:iCs/>
          <w:lang w:val="fr-CH"/>
        </w:rPr>
        <w:t> </w:t>
      </w:r>
      <w:r w:rsidRPr="00FB3C84">
        <w:rPr>
          <w:b/>
          <w:bCs/>
          <w:iCs/>
          <w:lang w:val="fr-CH"/>
        </w:rPr>
        <w:t>30A</w:t>
      </w:r>
      <w:r w:rsidRPr="00FB3C84">
        <w:rPr>
          <w:iCs/>
          <w:lang w:val="fr-CH"/>
        </w:rPr>
        <w:t xml:space="preserve"> (numéro </w:t>
      </w:r>
      <w:r w:rsidRPr="00FB3C84">
        <w:rPr>
          <w:b/>
          <w:bCs/>
          <w:iCs/>
          <w:lang w:val="fr-CH"/>
        </w:rPr>
        <w:t>5.516</w:t>
      </w:r>
      <w:r w:rsidRPr="00FB3C84">
        <w:rPr>
          <w:iCs/>
          <w:lang w:val="fr-CH"/>
        </w:rPr>
        <w:t>);</w:t>
      </w:r>
    </w:p>
    <w:p w14:paraId="5B64E41A" w14:textId="2DD8868F" w:rsidR="00AA1671" w:rsidRPr="00FB3C84" w:rsidRDefault="00AA1671" w:rsidP="00693855">
      <w:pPr>
        <w:rPr>
          <w:iCs/>
          <w:lang w:val="fr-CH"/>
        </w:rPr>
      </w:pPr>
      <w:r w:rsidRPr="00FB3C84">
        <w:rPr>
          <w:i/>
          <w:lang w:val="fr-CH"/>
        </w:rPr>
        <w:t>b)</w:t>
      </w:r>
      <w:r w:rsidRPr="00FB3C84">
        <w:rPr>
          <w:iCs/>
          <w:lang w:val="fr-CH"/>
        </w:rPr>
        <w:tab/>
        <w:t>que les bandes</w:t>
      </w:r>
      <w:r w:rsidRPr="00FB3C84">
        <w:rPr>
          <w:lang w:val="fr-CH"/>
        </w:rPr>
        <w:t xml:space="preserve"> de fréquences</w:t>
      </w:r>
      <w:r w:rsidRPr="00FB3C84">
        <w:rPr>
          <w:iCs/>
          <w:lang w:val="fr-CH"/>
        </w:rPr>
        <w:t xml:space="preserve"> 18,3-19,3 GHz (Région 2), 19,7-20,2 </w:t>
      </w:r>
      <w:r w:rsidR="002C5940" w:rsidRPr="00FB3C84">
        <w:rPr>
          <w:iCs/>
          <w:lang w:val="fr-CH"/>
        </w:rPr>
        <w:t xml:space="preserve">GHz </w:t>
      </w:r>
      <w:r w:rsidRPr="00FB3C84">
        <w:rPr>
          <w:iCs/>
          <w:lang w:val="fr-CH"/>
        </w:rPr>
        <w:t>(toutes les Régions)</w:t>
      </w:r>
      <w:r w:rsidR="002C5940" w:rsidRPr="00FB3C84">
        <w:rPr>
          <w:iCs/>
          <w:lang w:val="fr-CH"/>
        </w:rPr>
        <w:t xml:space="preserve">, </w:t>
      </w:r>
      <w:r w:rsidRPr="00FB3C84">
        <w:rPr>
          <w:iCs/>
          <w:lang w:val="fr-CH"/>
        </w:rPr>
        <w:t>27,5-27,82 GHz (Région 1), 28,35-28,45</w:t>
      </w:r>
      <w:r w:rsidR="002C5940" w:rsidRPr="00FB3C84">
        <w:rPr>
          <w:iCs/>
          <w:lang w:val="fr-CH"/>
        </w:rPr>
        <w:t xml:space="preserve"> </w:t>
      </w:r>
      <w:r w:rsidRPr="00FB3C84">
        <w:rPr>
          <w:iCs/>
          <w:lang w:val="fr-CH"/>
        </w:rPr>
        <w:t xml:space="preserve">GHz (Région 2), 28,45-28,94 GHz (toutes les Régions), 28,94-29,1 GHz (Régions 2 et 3), 29,25-29,46 GHz (Région </w:t>
      </w:r>
      <w:r w:rsidR="002C5940" w:rsidRPr="00FB3C84">
        <w:rPr>
          <w:iCs/>
          <w:lang w:val="fr-CH"/>
        </w:rPr>
        <w:t>2</w:t>
      </w:r>
      <w:r w:rsidRPr="00FB3C84">
        <w:rPr>
          <w:iCs/>
          <w:lang w:val="fr-CH"/>
        </w:rPr>
        <w:t>)</w:t>
      </w:r>
      <w:r w:rsidR="002C5940" w:rsidRPr="00FB3C84">
        <w:rPr>
          <w:iCs/>
          <w:lang w:val="fr-CH"/>
        </w:rPr>
        <w:t>, 29,465-30,0 GHz (toutes les Régions),</w:t>
      </w:r>
      <w:r w:rsidRPr="00FB3C84">
        <w:rPr>
          <w:iCs/>
          <w:lang w:val="fr-CH"/>
        </w:rPr>
        <w:t xml:space="preserve"> </w:t>
      </w:r>
      <w:r w:rsidR="002C5940" w:rsidRPr="00FB3C84">
        <w:rPr>
          <w:iCs/>
          <w:lang w:val="fr-CH"/>
        </w:rPr>
        <w:t>3</w:t>
      </w:r>
      <w:r w:rsidRPr="00FB3C84">
        <w:rPr>
          <w:iCs/>
          <w:lang w:val="fr-CH"/>
        </w:rPr>
        <w:t>9,</w:t>
      </w:r>
      <w:r w:rsidR="002C5940" w:rsidRPr="00FB3C84">
        <w:rPr>
          <w:iCs/>
          <w:lang w:val="fr-CH"/>
        </w:rPr>
        <w:t>5</w:t>
      </w:r>
      <w:r w:rsidRPr="00FB3C84">
        <w:rPr>
          <w:iCs/>
          <w:lang w:val="fr-CH"/>
        </w:rPr>
        <w:t>-</w:t>
      </w:r>
      <w:r w:rsidR="002C5940" w:rsidRPr="00FB3C84">
        <w:rPr>
          <w:iCs/>
          <w:lang w:val="fr-CH"/>
        </w:rPr>
        <w:t>40</w:t>
      </w:r>
      <w:r w:rsidRPr="00FB3C84">
        <w:rPr>
          <w:iCs/>
          <w:lang w:val="fr-CH"/>
        </w:rPr>
        <w:t xml:space="preserve"> GHz (Région</w:t>
      </w:r>
      <w:r w:rsidR="002C5940" w:rsidRPr="00FB3C84">
        <w:rPr>
          <w:iCs/>
          <w:lang w:val="fr-CH"/>
        </w:rPr>
        <w:t xml:space="preserve"> 1</w:t>
      </w:r>
      <w:r w:rsidRPr="00FB3C84">
        <w:rPr>
          <w:iCs/>
          <w:lang w:val="fr-CH"/>
        </w:rPr>
        <w:t>)</w:t>
      </w:r>
      <w:r w:rsidR="002C5940" w:rsidRPr="00FB3C84">
        <w:rPr>
          <w:iCs/>
          <w:lang w:val="fr-CH"/>
        </w:rPr>
        <w:t>, 40-40,5 GHz (toutes les Régions), 40,5-42 GHz (Région 2) et 48,2-50,2 GHz (Région 2)</w:t>
      </w:r>
      <w:r w:rsidRPr="00FB3C84">
        <w:rPr>
          <w:iCs/>
          <w:lang w:val="fr-CH"/>
        </w:rPr>
        <w:t xml:space="preserve"> </w:t>
      </w:r>
      <w:r w:rsidR="00652458" w:rsidRPr="00FB3C84">
        <w:rPr>
          <w:iCs/>
          <w:lang w:val="fr-CH"/>
        </w:rPr>
        <w:t>ont été identifiées pour être utilisées par les</w:t>
      </w:r>
      <w:r w:rsidRPr="00FB3C84">
        <w:rPr>
          <w:iCs/>
          <w:lang w:val="fr-CH"/>
        </w:rPr>
        <w:t xml:space="preserve"> applications haute densité du service fixe par satellite (numéro </w:t>
      </w:r>
      <w:r w:rsidRPr="00FB3C84">
        <w:rPr>
          <w:b/>
          <w:bCs/>
          <w:iCs/>
          <w:lang w:val="fr-CH"/>
        </w:rPr>
        <w:t>5.516B</w:t>
      </w:r>
      <w:r w:rsidRPr="00FB3C84">
        <w:rPr>
          <w:iCs/>
          <w:lang w:val="fr-CH"/>
        </w:rPr>
        <w:t>);</w:t>
      </w:r>
    </w:p>
    <w:p w14:paraId="55CD3DA1" w14:textId="57520792" w:rsidR="00AA1671" w:rsidRPr="00FB3C84" w:rsidRDefault="00AA1671" w:rsidP="00693855">
      <w:pPr>
        <w:rPr>
          <w:iCs/>
          <w:lang w:val="fr-CH"/>
        </w:rPr>
      </w:pPr>
      <w:r w:rsidRPr="00FB3C84">
        <w:rPr>
          <w:i/>
          <w:lang w:val="fr-CH"/>
        </w:rPr>
        <w:t>c)</w:t>
      </w:r>
      <w:r w:rsidRPr="00FB3C84">
        <w:rPr>
          <w:iCs/>
          <w:lang w:val="fr-CH"/>
        </w:rPr>
        <w:tab/>
        <w:t>que l'utilisation de la bande</w:t>
      </w:r>
      <w:r w:rsidRPr="00FB3C84">
        <w:rPr>
          <w:lang w:val="fr-CH"/>
        </w:rPr>
        <w:t xml:space="preserve"> de fréquences</w:t>
      </w:r>
      <w:r w:rsidRPr="00FB3C84">
        <w:rPr>
          <w:iCs/>
          <w:lang w:val="fr-CH"/>
        </w:rPr>
        <w:t xml:space="preserve"> 18,1-18,4 GHz par le service fixe par satellite (Terre vers espace) est limitée aux liaisons de connexion des systèmes à satellites géostationnaires du service de radiodiffusion par satellite (numéro </w:t>
      </w:r>
      <w:r w:rsidRPr="00FB3C84">
        <w:rPr>
          <w:b/>
          <w:bCs/>
          <w:iCs/>
          <w:lang w:val="fr-CH"/>
        </w:rPr>
        <w:t>5.520</w:t>
      </w:r>
      <w:r w:rsidRPr="00FB3C84">
        <w:rPr>
          <w:iCs/>
          <w:lang w:val="fr-CH"/>
        </w:rPr>
        <w:t>);</w:t>
      </w:r>
    </w:p>
    <w:p w14:paraId="00F942CF" w14:textId="60B608B3" w:rsidR="00D3102E" w:rsidRPr="00FB3C84" w:rsidRDefault="00D3102E" w:rsidP="00693855">
      <w:pPr>
        <w:rPr>
          <w:lang w:val="fr-CH"/>
        </w:rPr>
      </w:pPr>
      <w:r w:rsidRPr="00FB3C84">
        <w:rPr>
          <w:i/>
          <w:iCs/>
          <w:lang w:val="fr-CH"/>
        </w:rPr>
        <w:t>d)</w:t>
      </w:r>
      <w:r w:rsidRPr="00FB3C84">
        <w:rPr>
          <w:i/>
          <w:iCs/>
          <w:lang w:val="fr-CH"/>
        </w:rPr>
        <w:tab/>
      </w:r>
      <w:r w:rsidRPr="00FB3C84">
        <w:rPr>
          <w:lang w:val="fr-CH"/>
        </w:rPr>
        <w:t>que l'utilisation des bandes de fréquences 17,8-18,6 GHz, 19,7-20,2 GHz, 27,5</w:t>
      </w:r>
      <w:r w:rsidR="00423258" w:rsidRPr="00FB3C84">
        <w:rPr>
          <w:lang w:val="fr-CH"/>
        </w:rPr>
        <w:noBreakHyphen/>
      </w:r>
      <w:r w:rsidRPr="00FB3C84">
        <w:rPr>
          <w:lang w:val="fr-CH"/>
        </w:rPr>
        <w:t>28,6</w:t>
      </w:r>
      <w:r w:rsidR="00423258" w:rsidRPr="00FB3C84">
        <w:rPr>
          <w:lang w:val="fr-CH"/>
        </w:rPr>
        <w:t> </w:t>
      </w:r>
      <w:r w:rsidRPr="00FB3C84">
        <w:rPr>
          <w:lang w:val="fr-CH"/>
        </w:rPr>
        <w:t>GHz et 29,5-30</w:t>
      </w:r>
      <w:r w:rsidR="000C4157" w:rsidRPr="00FB3C84">
        <w:rPr>
          <w:lang w:val="fr-CH"/>
        </w:rPr>
        <w:t>,0</w:t>
      </w:r>
      <w:r w:rsidRPr="00FB3C84">
        <w:rPr>
          <w:lang w:val="fr-CH"/>
        </w:rPr>
        <w:t xml:space="preserve"> GHz par les systèmes à satellites non géostationnaires du </w:t>
      </w:r>
      <w:r w:rsidR="00BA5973" w:rsidRPr="00FB3C84">
        <w:rPr>
          <w:lang w:val="fr-CH"/>
        </w:rPr>
        <w:t>SFS</w:t>
      </w:r>
      <w:r w:rsidRPr="00FB3C84">
        <w:rPr>
          <w:lang w:val="fr-CH"/>
        </w:rPr>
        <w:t xml:space="preserve"> est </w:t>
      </w:r>
      <w:r w:rsidR="00652458" w:rsidRPr="00FB3C84">
        <w:rPr>
          <w:lang w:val="fr-CH"/>
        </w:rPr>
        <w:t>soumise à l'application des</w:t>
      </w:r>
      <w:r w:rsidR="000E41A0" w:rsidRPr="00FB3C84">
        <w:rPr>
          <w:lang w:val="fr-CH"/>
        </w:rPr>
        <w:t xml:space="preserve"> </w:t>
      </w:r>
      <w:r w:rsidRPr="00FB3C84">
        <w:rPr>
          <w:lang w:val="fr-CH"/>
        </w:rPr>
        <w:t xml:space="preserve">dispositions des numéros </w:t>
      </w:r>
      <w:r w:rsidRPr="00FB3C84">
        <w:rPr>
          <w:b/>
          <w:bCs/>
          <w:lang w:val="fr-CH"/>
        </w:rPr>
        <w:t>5.484A</w:t>
      </w:r>
      <w:r w:rsidRPr="00FB3C84">
        <w:rPr>
          <w:lang w:val="fr-CH"/>
        </w:rPr>
        <w:t xml:space="preserve">, </w:t>
      </w:r>
      <w:r w:rsidRPr="00FB3C84">
        <w:rPr>
          <w:b/>
          <w:bCs/>
          <w:lang w:val="fr-CH"/>
        </w:rPr>
        <w:t xml:space="preserve">22.5C </w:t>
      </w:r>
      <w:r w:rsidRPr="00FB3C84">
        <w:rPr>
          <w:lang w:val="fr-CH"/>
        </w:rPr>
        <w:t xml:space="preserve">et </w:t>
      </w:r>
      <w:r w:rsidRPr="00FB3C84">
        <w:rPr>
          <w:b/>
          <w:bCs/>
          <w:lang w:val="fr-CH"/>
        </w:rPr>
        <w:t>22.5I</w:t>
      </w:r>
      <w:r w:rsidRPr="00FB3C84">
        <w:rPr>
          <w:lang w:val="fr-CH"/>
        </w:rPr>
        <w:t>;</w:t>
      </w:r>
    </w:p>
    <w:p w14:paraId="076EC670" w14:textId="4CF3069C" w:rsidR="00D3102E" w:rsidRPr="00FB3C84" w:rsidRDefault="0053082C" w:rsidP="00693855">
      <w:pPr>
        <w:rPr>
          <w:lang w:val="fr-CH"/>
        </w:rPr>
      </w:pPr>
      <w:r w:rsidRPr="00FB3C84">
        <w:rPr>
          <w:i/>
          <w:iCs/>
          <w:lang w:val="fr-CH"/>
        </w:rPr>
        <w:t>e)</w:t>
      </w:r>
      <w:r w:rsidRPr="00FB3C84">
        <w:rPr>
          <w:i/>
          <w:iCs/>
          <w:lang w:val="fr-CH"/>
        </w:rPr>
        <w:tab/>
      </w:r>
      <w:r w:rsidRPr="00FB3C84">
        <w:rPr>
          <w:lang w:val="fr-CH"/>
        </w:rPr>
        <w:t xml:space="preserve">que l'utilisation des bandes de fréquences 18,8-19,3 GHz et 28,6-29,1 GHz par des réseaux à satellite </w:t>
      </w:r>
      <w:r w:rsidR="002073F1" w:rsidRPr="00FB3C84">
        <w:rPr>
          <w:lang w:val="fr-CH"/>
        </w:rPr>
        <w:t xml:space="preserve">géostationnaire et </w:t>
      </w:r>
      <w:r w:rsidRPr="00FB3C84">
        <w:rPr>
          <w:lang w:val="fr-CH"/>
        </w:rPr>
        <w:t xml:space="preserve">non géostationnaire du </w:t>
      </w:r>
      <w:r w:rsidR="00BB42A9" w:rsidRPr="00FB3C84">
        <w:rPr>
          <w:lang w:val="fr-CH"/>
        </w:rPr>
        <w:t xml:space="preserve">SFS </w:t>
      </w:r>
      <w:r w:rsidRPr="00FB3C84">
        <w:rPr>
          <w:lang w:val="fr-CH"/>
        </w:rPr>
        <w:t xml:space="preserve">est soumise à l'application des dispositions du numéro </w:t>
      </w:r>
      <w:r w:rsidRPr="00FB3C84">
        <w:rPr>
          <w:b/>
          <w:bCs/>
          <w:lang w:val="fr-CH"/>
        </w:rPr>
        <w:t>9.11A</w:t>
      </w:r>
      <w:r w:rsidRPr="00FB3C84">
        <w:rPr>
          <w:lang w:val="fr-CH"/>
        </w:rPr>
        <w:t xml:space="preserve"> et que le numéro </w:t>
      </w:r>
      <w:r w:rsidRPr="00FB3C84">
        <w:rPr>
          <w:b/>
          <w:bCs/>
          <w:lang w:val="fr-CH"/>
        </w:rPr>
        <w:t>22.2</w:t>
      </w:r>
      <w:r w:rsidRPr="00FB3C84">
        <w:rPr>
          <w:lang w:val="fr-CH"/>
        </w:rPr>
        <w:t xml:space="preserve"> ne s'applique pas (numéro </w:t>
      </w:r>
      <w:r w:rsidRPr="00FB3C84">
        <w:rPr>
          <w:b/>
          <w:bCs/>
          <w:lang w:val="fr-CH"/>
        </w:rPr>
        <w:t>5.523A</w:t>
      </w:r>
      <w:r w:rsidRPr="00FB3C84">
        <w:rPr>
          <w:lang w:val="fr-CH"/>
        </w:rPr>
        <w:t>);</w:t>
      </w:r>
    </w:p>
    <w:p w14:paraId="2707B016" w14:textId="528CC6C7" w:rsidR="0053082C" w:rsidRPr="00FB3C84" w:rsidRDefault="0053082C" w:rsidP="00693855">
      <w:pPr>
        <w:rPr>
          <w:lang w:val="fr-CH"/>
        </w:rPr>
      </w:pPr>
      <w:r w:rsidRPr="00FB3C84">
        <w:rPr>
          <w:i/>
          <w:iCs/>
          <w:lang w:val="fr-CH"/>
        </w:rPr>
        <w:t>f)</w:t>
      </w:r>
      <w:r w:rsidRPr="00FB3C84">
        <w:rPr>
          <w:i/>
          <w:iCs/>
          <w:lang w:val="fr-CH"/>
        </w:rPr>
        <w:tab/>
      </w:r>
      <w:r w:rsidRPr="00FB3C84">
        <w:rPr>
          <w:lang w:val="fr-CH"/>
        </w:rPr>
        <w:t xml:space="preserve">que l'utilisation de la bande de fréquences 19,3-19,7 GHz par les </w:t>
      </w:r>
      <w:r w:rsidR="000A0942" w:rsidRPr="00FB3C84">
        <w:rPr>
          <w:lang w:val="fr-CH"/>
        </w:rPr>
        <w:t xml:space="preserve">systèmes à satellites géostationnaires </w:t>
      </w:r>
      <w:r w:rsidRPr="00FB3C84">
        <w:rPr>
          <w:lang w:val="fr-CH"/>
        </w:rPr>
        <w:t xml:space="preserve">du service fixe par satellite et par les liaisons de connexion des systèmes à satellites non géostationnaires du service mobile par satellite est subordonnée aux dispositions du numéro </w:t>
      </w:r>
      <w:r w:rsidRPr="00FB3C84">
        <w:rPr>
          <w:b/>
          <w:bCs/>
          <w:lang w:val="fr-CH"/>
        </w:rPr>
        <w:t>9.11A</w:t>
      </w:r>
      <w:r w:rsidRPr="00FB3C84">
        <w:rPr>
          <w:lang w:val="fr-CH"/>
        </w:rPr>
        <w:t xml:space="preserve">, mais n'est pas assujettie aux dispositions du numéro </w:t>
      </w:r>
      <w:r w:rsidRPr="00FB3C84">
        <w:rPr>
          <w:b/>
          <w:bCs/>
          <w:lang w:val="fr-CH"/>
        </w:rPr>
        <w:t>22.2</w:t>
      </w:r>
      <w:r w:rsidR="008D4AC2" w:rsidRPr="00FB3C84">
        <w:rPr>
          <w:lang w:val="fr-CH"/>
        </w:rPr>
        <w:t>. En outre,</w:t>
      </w:r>
      <w:r w:rsidRPr="00FB3C84">
        <w:rPr>
          <w:lang w:val="fr-CH"/>
        </w:rPr>
        <w:t xml:space="preserve"> l'utilisation de cette bande de fréquences par d'autres systèmes </w:t>
      </w:r>
      <w:r w:rsidR="00D84025" w:rsidRPr="00FB3C84">
        <w:rPr>
          <w:lang w:val="fr-CH"/>
        </w:rPr>
        <w:t xml:space="preserve">à satellites non géostationnaires </w:t>
      </w:r>
      <w:r w:rsidRPr="00FB3C84">
        <w:rPr>
          <w:lang w:val="fr-CH"/>
        </w:rPr>
        <w:t xml:space="preserve">du </w:t>
      </w:r>
      <w:r w:rsidR="003D42C1" w:rsidRPr="00FB3C84">
        <w:rPr>
          <w:lang w:val="fr-CH"/>
        </w:rPr>
        <w:t>SFS</w:t>
      </w:r>
      <w:r w:rsidRPr="00FB3C84">
        <w:rPr>
          <w:lang w:val="fr-CH"/>
        </w:rPr>
        <w:t xml:space="preserve">, ou dans les cas indiqués aux numéros </w:t>
      </w:r>
      <w:r w:rsidRPr="00FB3C84">
        <w:rPr>
          <w:b/>
          <w:bCs/>
          <w:lang w:val="fr-CH"/>
        </w:rPr>
        <w:t>5.523C</w:t>
      </w:r>
      <w:r w:rsidRPr="00FB3C84">
        <w:rPr>
          <w:lang w:val="fr-CH"/>
        </w:rPr>
        <w:t xml:space="preserve"> et </w:t>
      </w:r>
      <w:r w:rsidRPr="00FB3C84">
        <w:rPr>
          <w:b/>
          <w:bCs/>
          <w:lang w:val="fr-CH"/>
        </w:rPr>
        <w:t>5.523E</w:t>
      </w:r>
      <w:r w:rsidRPr="00FB3C84">
        <w:rPr>
          <w:lang w:val="fr-CH"/>
        </w:rPr>
        <w:t xml:space="preserve">, n'est pas assujettie aux dispositions du numéro </w:t>
      </w:r>
      <w:r w:rsidRPr="00FB3C84">
        <w:rPr>
          <w:b/>
          <w:bCs/>
          <w:lang w:val="fr-CH"/>
        </w:rPr>
        <w:t>9.11A</w:t>
      </w:r>
      <w:r w:rsidRPr="00FB3C84">
        <w:rPr>
          <w:lang w:val="fr-CH"/>
        </w:rPr>
        <w:t xml:space="preserve"> et reste soumise à l'application des procédures prévues aux Articles </w:t>
      </w:r>
      <w:r w:rsidRPr="00FB3C84">
        <w:rPr>
          <w:b/>
          <w:bCs/>
          <w:lang w:val="fr-CH"/>
        </w:rPr>
        <w:t>9</w:t>
      </w:r>
      <w:r w:rsidRPr="00FB3C84">
        <w:rPr>
          <w:lang w:val="fr-CH"/>
        </w:rPr>
        <w:t xml:space="preserve"> (sauf numéro </w:t>
      </w:r>
      <w:r w:rsidRPr="00FB3C84">
        <w:rPr>
          <w:b/>
          <w:bCs/>
          <w:lang w:val="fr-CH"/>
        </w:rPr>
        <w:t>9.11A</w:t>
      </w:r>
      <w:r w:rsidRPr="00FB3C84">
        <w:rPr>
          <w:lang w:val="fr-CH"/>
        </w:rPr>
        <w:t xml:space="preserve">) et </w:t>
      </w:r>
      <w:r w:rsidRPr="00FB3C84">
        <w:rPr>
          <w:b/>
          <w:bCs/>
          <w:lang w:val="fr-CH"/>
        </w:rPr>
        <w:t>11</w:t>
      </w:r>
      <w:r w:rsidRPr="00FB3C84">
        <w:rPr>
          <w:lang w:val="fr-CH"/>
        </w:rPr>
        <w:t>, ainsi qu'aux dispositions du numéro </w:t>
      </w:r>
      <w:r w:rsidRPr="00FB3C84">
        <w:rPr>
          <w:b/>
          <w:bCs/>
          <w:lang w:val="fr-CH"/>
        </w:rPr>
        <w:t>22.2</w:t>
      </w:r>
      <w:r w:rsidRPr="00FB3C84">
        <w:rPr>
          <w:lang w:val="fr-CH"/>
        </w:rPr>
        <w:t xml:space="preserve"> (numéro </w:t>
      </w:r>
      <w:r w:rsidRPr="00FB3C84">
        <w:rPr>
          <w:b/>
          <w:bCs/>
          <w:lang w:val="fr-CH"/>
        </w:rPr>
        <w:t>5.523D</w:t>
      </w:r>
      <w:r w:rsidRPr="00FB3C84">
        <w:rPr>
          <w:lang w:val="fr-CH"/>
        </w:rPr>
        <w:t>);</w:t>
      </w:r>
    </w:p>
    <w:p w14:paraId="1BA726ED" w14:textId="545D0D03" w:rsidR="0053082C" w:rsidRPr="00FB3C84" w:rsidRDefault="0053082C" w:rsidP="00693855">
      <w:pPr>
        <w:rPr>
          <w:iCs/>
          <w:lang w:val="fr-CH"/>
        </w:rPr>
      </w:pPr>
      <w:r w:rsidRPr="00FB3C84">
        <w:rPr>
          <w:i/>
          <w:lang w:val="fr-CH"/>
        </w:rPr>
        <w:t>g)</w:t>
      </w:r>
      <w:r w:rsidRPr="00FB3C84">
        <w:rPr>
          <w:i/>
          <w:lang w:val="fr-CH"/>
        </w:rPr>
        <w:tab/>
      </w:r>
      <w:r w:rsidRPr="00FB3C84">
        <w:rPr>
          <w:iCs/>
          <w:lang w:val="fr-CH"/>
        </w:rPr>
        <w:t xml:space="preserve">que </w:t>
      </w:r>
      <w:r w:rsidRPr="00FB3C84">
        <w:rPr>
          <w:lang w:val="fr-CH"/>
        </w:rPr>
        <w:t>l</w:t>
      </w:r>
      <w:r w:rsidR="00E22965" w:rsidRPr="00FB3C84">
        <w:rPr>
          <w:lang w:val="fr-CH"/>
        </w:rPr>
        <w:t>es</w:t>
      </w:r>
      <w:r w:rsidRPr="00FB3C84">
        <w:rPr>
          <w:lang w:val="fr-CH"/>
        </w:rPr>
        <w:t xml:space="preserve"> bande</w:t>
      </w:r>
      <w:r w:rsidR="00E22965" w:rsidRPr="00FB3C84">
        <w:rPr>
          <w:lang w:val="fr-CH"/>
        </w:rPr>
        <w:t>s</w:t>
      </w:r>
      <w:r w:rsidRPr="00FB3C84">
        <w:rPr>
          <w:lang w:val="fr-CH"/>
        </w:rPr>
        <w:t xml:space="preserve"> de fréquences 27,5-</w:t>
      </w:r>
      <w:r w:rsidR="00E22965" w:rsidRPr="00FB3C84">
        <w:rPr>
          <w:lang w:val="fr-CH"/>
        </w:rPr>
        <w:t>29,1</w:t>
      </w:r>
      <w:r w:rsidRPr="00FB3C84">
        <w:rPr>
          <w:lang w:val="fr-CH"/>
        </w:rPr>
        <w:t xml:space="preserve"> GHz </w:t>
      </w:r>
      <w:r w:rsidR="00E22965" w:rsidRPr="00FB3C84">
        <w:rPr>
          <w:lang w:val="fr-CH"/>
        </w:rPr>
        <w:t>et 29,5-30</w:t>
      </w:r>
      <w:r w:rsidR="00722232" w:rsidRPr="00FB3C84">
        <w:rPr>
          <w:lang w:val="fr-CH"/>
        </w:rPr>
        <w:t>,0</w:t>
      </w:r>
      <w:r w:rsidR="00E22965" w:rsidRPr="00FB3C84">
        <w:rPr>
          <w:lang w:val="fr-CH"/>
        </w:rPr>
        <w:t xml:space="preserve"> GHz </w:t>
      </w:r>
      <w:r w:rsidRPr="00FB3C84">
        <w:rPr>
          <w:lang w:val="fr-CH"/>
        </w:rPr>
        <w:t>peu</w:t>
      </w:r>
      <w:r w:rsidR="00E22965" w:rsidRPr="00FB3C84">
        <w:rPr>
          <w:lang w:val="fr-CH"/>
        </w:rPr>
        <w:t>vent</w:t>
      </w:r>
      <w:r w:rsidRPr="00FB3C84">
        <w:rPr>
          <w:lang w:val="fr-CH"/>
        </w:rPr>
        <w:t xml:space="preserve"> être utilisée</w:t>
      </w:r>
      <w:r w:rsidR="00E22965" w:rsidRPr="00FB3C84">
        <w:rPr>
          <w:lang w:val="fr-CH"/>
        </w:rPr>
        <w:t>s</w:t>
      </w:r>
      <w:r w:rsidRPr="00FB3C84">
        <w:rPr>
          <w:lang w:val="fr-CH"/>
        </w:rPr>
        <w:t xml:space="preserve"> par le service fixe par satellite (Terre vers espace) pour </w:t>
      </w:r>
      <w:r w:rsidR="00652458" w:rsidRPr="00FB3C84">
        <w:rPr>
          <w:lang w:val="fr-CH"/>
        </w:rPr>
        <w:t>assurer</w:t>
      </w:r>
      <w:r w:rsidRPr="00FB3C84">
        <w:rPr>
          <w:lang w:val="fr-CH"/>
        </w:rPr>
        <w:t xml:space="preserve"> de</w:t>
      </w:r>
      <w:r w:rsidR="00EB67BF" w:rsidRPr="00FB3C84">
        <w:rPr>
          <w:lang w:val="fr-CH"/>
        </w:rPr>
        <w:t>s</w:t>
      </w:r>
      <w:r w:rsidRPr="00FB3C84">
        <w:rPr>
          <w:lang w:val="fr-CH"/>
        </w:rPr>
        <w:t xml:space="preserve"> liaisons de connexion </w:t>
      </w:r>
      <w:r w:rsidR="00EB67BF" w:rsidRPr="00FB3C84">
        <w:rPr>
          <w:lang w:val="fr-CH"/>
        </w:rPr>
        <w:t xml:space="preserve">du </w:t>
      </w:r>
      <w:r w:rsidRPr="00FB3C84">
        <w:rPr>
          <w:lang w:val="fr-CH"/>
        </w:rPr>
        <w:t xml:space="preserve">service de radiodiffusion par satellite </w:t>
      </w:r>
      <w:r w:rsidRPr="00FB3C84">
        <w:rPr>
          <w:iCs/>
          <w:lang w:val="fr-CH"/>
        </w:rPr>
        <w:t xml:space="preserve">(numéro </w:t>
      </w:r>
      <w:r w:rsidRPr="00FB3C84">
        <w:rPr>
          <w:b/>
          <w:bCs/>
          <w:iCs/>
          <w:lang w:val="fr-CH"/>
        </w:rPr>
        <w:t>5.539</w:t>
      </w:r>
      <w:r w:rsidRPr="00FB3C84">
        <w:rPr>
          <w:iCs/>
          <w:lang w:val="fr-CH"/>
        </w:rPr>
        <w:t>);</w:t>
      </w:r>
    </w:p>
    <w:p w14:paraId="1B1D2359" w14:textId="7394C1FA" w:rsidR="00E22965" w:rsidRPr="00FB3C84" w:rsidRDefault="00E22965" w:rsidP="00693855">
      <w:pPr>
        <w:rPr>
          <w:color w:val="212121"/>
          <w:szCs w:val="24"/>
          <w:lang w:val="fr-CH"/>
        </w:rPr>
      </w:pPr>
      <w:r w:rsidRPr="00FB3C84">
        <w:rPr>
          <w:i/>
          <w:iCs/>
          <w:color w:val="212121"/>
          <w:szCs w:val="24"/>
          <w:lang w:val="fr-CH"/>
        </w:rPr>
        <w:t>h)</w:t>
      </w:r>
      <w:r w:rsidRPr="00FB3C84">
        <w:rPr>
          <w:i/>
          <w:iCs/>
          <w:color w:val="212121"/>
          <w:szCs w:val="24"/>
          <w:lang w:val="fr-CH"/>
        </w:rPr>
        <w:tab/>
      </w:r>
      <w:r w:rsidR="00FE743E" w:rsidRPr="00FB3C84">
        <w:rPr>
          <w:color w:val="212121"/>
          <w:szCs w:val="24"/>
          <w:lang w:val="fr-CH"/>
        </w:rPr>
        <w:t>que certaines parties des bandes de fréquences</w:t>
      </w:r>
      <w:r w:rsidRPr="00FB3C84">
        <w:rPr>
          <w:color w:val="212121"/>
          <w:szCs w:val="24"/>
          <w:lang w:val="fr-CH"/>
        </w:rPr>
        <w:t xml:space="preserve"> 27</w:t>
      </w:r>
      <w:r w:rsidR="00FE743E" w:rsidRPr="00FB3C84">
        <w:rPr>
          <w:color w:val="212121"/>
          <w:szCs w:val="24"/>
          <w:lang w:val="fr-CH"/>
        </w:rPr>
        <w:t>,</w:t>
      </w:r>
      <w:r w:rsidRPr="00FB3C84">
        <w:rPr>
          <w:color w:val="212121"/>
          <w:szCs w:val="24"/>
          <w:lang w:val="fr-CH"/>
        </w:rPr>
        <w:t>5-29</w:t>
      </w:r>
      <w:r w:rsidR="00FE743E" w:rsidRPr="00FB3C84">
        <w:rPr>
          <w:color w:val="212121"/>
          <w:szCs w:val="24"/>
          <w:lang w:val="fr-CH"/>
        </w:rPr>
        <w:t>,</w:t>
      </w:r>
      <w:r w:rsidR="00CD0605">
        <w:rPr>
          <w:color w:val="212121"/>
          <w:szCs w:val="24"/>
          <w:lang w:val="fr-CH"/>
        </w:rPr>
        <w:t>1</w:t>
      </w:r>
      <w:r w:rsidRPr="00FB3C84">
        <w:rPr>
          <w:color w:val="212121"/>
          <w:szCs w:val="24"/>
          <w:lang w:val="fr-CH"/>
        </w:rPr>
        <w:t xml:space="preserve"> GHz, 37</w:t>
      </w:r>
      <w:r w:rsidR="00FE743E" w:rsidRPr="00FB3C84">
        <w:rPr>
          <w:color w:val="212121"/>
          <w:szCs w:val="24"/>
          <w:lang w:val="fr-CH"/>
        </w:rPr>
        <w:t>,</w:t>
      </w:r>
      <w:r w:rsidRPr="00FB3C84">
        <w:rPr>
          <w:color w:val="212121"/>
          <w:szCs w:val="24"/>
          <w:lang w:val="fr-CH"/>
        </w:rPr>
        <w:t>5-42</w:t>
      </w:r>
      <w:r w:rsidR="00FE743E" w:rsidRPr="00FB3C84">
        <w:rPr>
          <w:color w:val="212121"/>
          <w:szCs w:val="24"/>
          <w:lang w:val="fr-CH"/>
        </w:rPr>
        <w:t>,</w:t>
      </w:r>
      <w:r w:rsidRPr="00FB3C84">
        <w:rPr>
          <w:color w:val="212121"/>
          <w:szCs w:val="24"/>
          <w:lang w:val="fr-CH"/>
        </w:rPr>
        <w:t>5 GHz, 47</w:t>
      </w:r>
      <w:r w:rsidR="00FE743E" w:rsidRPr="00FB3C84">
        <w:rPr>
          <w:color w:val="212121"/>
          <w:szCs w:val="24"/>
          <w:lang w:val="fr-CH"/>
        </w:rPr>
        <w:t>,</w:t>
      </w:r>
      <w:r w:rsidRPr="00FB3C84">
        <w:rPr>
          <w:color w:val="212121"/>
          <w:szCs w:val="24"/>
          <w:lang w:val="fr-CH"/>
        </w:rPr>
        <w:t>2</w:t>
      </w:r>
      <w:r w:rsidR="00FE743E" w:rsidRPr="00FB3C84">
        <w:rPr>
          <w:color w:val="212121"/>
          <w:szCs w:val="24"/>
          <w:lang w:val="fr-CH"/>
        </w:rPr>
        <w:noBreakHyphen/>
      </w:r>
      <w:r w:rsidRPr="00FB3C84">
        <w:rPr>
          <w:color w:val="212121"/>
          <w:szCs w:val="24"/>
          <w:lang w:val="fr-CH"/>
        </w:rPr>
        <w:t>50</w:t>
      </w:r>
      <w:r w:rsidR="00FE743E" w:rsidRPr="00FB3C84">
        <w:rPr>
          <w:color w:val="212121"/>
          <w:szCs w:val="24"/>
          <w:lang w:val="fr-CH"/>
        </w:rPr>
        <w:t>,</w:t>
      </w:r>
      <w:r w:rsidRPr="00FB3C84">
        <w:rPr>
          <w:color w:val="212121"/>
          <w:szCs w:val="24"/>
          <w:lang w:val="fr-CH"/>
        </w:rPr>
        <w:t>2</w:t>
      </w:r>
      <w:r w:rsidR="00BF7463" w:rsidRPr="00FB3C84">
        <w:rPr>
          <w:color w:val="212121"/>
          <w:szCs w:val="24"/>
          <w:lang w:val="fr-CH"/>
        </w:rPr>
        <w:t> </w:t>
      </w:r>
      <w:r w:rsidRPr="00FB3C84">
        <w:rPr>
          <w:color w:val="212121"/>
          <w:szCs w:val="24"/>
          <w:lang w:val="fr-CH"/>
        </w:rPr>
        <w:t>GHz</w:t>
      </w:r>
      <w:r w:rsidR="00FE743E" w:rsidRPr="00FB3C84">
        <w:rPr>
          <w:color w:val="212121"/>
          <w:szCs w:val="24"/>
          <w:lang w:val="fr-CH"/>
        </w:rPr>
        <w:t xml:space="preserve"> et</w:t>
      </w:r>
      <w:r w:rsidRPr="00FB3C84">
        <w:rPr>
          <w:color w:val="212121"/>
          <w:szCs w:val="24"/>
          <w:lang w:val="fr-CH"/>
        </w:rPr>
        <w:t xml:space="preserve"> 50</w:t>
      </w:r>
      <w:r w:rsidR="00FE743E" w:rsidRPr="00FB3C84">
        <w:rPr>
          <w:color w:val="212121"/>
          <w:szCs w:val="24"/>
          <w:lang w:val="fr-CH"/>
        </w:rPr>
        <w:t>,</w:t>
      </w:r>
      <w:r w:rsidRPr="00FB3C84">
        <w:rPr>
          <w:color w:val="212121"/>
          <w:szCs w:val="24"/>
          <w:lang w:val="fr-CH"/>
        </w:rPr>
        <w:t>4-51</w:t>
      </w:r>
      <w:r w:rsidR="00FE743E" w:rsidRPr="00FB3C84">
        <w:rPr>
          <w:color w:val="212121"/>
          <w:szCs w:val="24"/>
          <w:lang w:val="fr-CH"/>
        </w:rPr>
        <w:t>,</w:t>
      </w:r>
      <w:r w:rsidRPr="00FB3C84">
        <w:rPr>
          <w:color w:val="212121"/>
          <w:szCs w:val="24"/>
          <w:lang w:val="fr-CH"/>
        </w:rPr>
        <w:t xml:space="preserve">4 GHz </w:t>
      </w:r>
      <w:r w:rsidR="00FE743E" w:rsidRPr="00FB3C84">
        <w:rPr>
          <w:color w:val="212121"/>
          <w:szCs w:val="24"/>
          <w:lang w:val="fr-CH"/>
        </w:rPr>
        <w:t>sont attribuées aux services fixe et mobile à titre primaire dans le monde entier;</w:t>
      </w:r>
    </w:p>
    <w:p w14:paraId="47E1E094" w14:textId="44E06B7B" w:rsidR="00E22965" w:rsidRPr="00FB3C84" w:rsidRDefault="00E22965" w:rsidP="00693855">
      <w:pPr>
        <w:rPr>
          <w:color w:val="212121"/>
          <w:szCs w:val="24"/>
          <w:lang w:val="fr-CH"/>
        </w:rPr>
      </w:pPr>
      <w:r w:rsidRPr="00FB3C84">
        <w:rPr>
          <w:i/>
          <w:iCs/>
          <w:color w:val="212121"/>
          <w:szCs w:val="24"/>
          <w:lang w:val="fr-CH"/>
        </w:rPr>
        <w:t>i)</w:t>
      </w:r>
      <w:r w:rsidRPr="00FB3C84">
        <w:rPr>
          <w:i/>
          <w:iCs/>
          <w:color w:val="212121"/>
          <w:szCs w:val="24"/>
          <w:lang w:val="fr-CH"/>
        </w:rPr>
        <w:tab/>
      </w:r>
      <w:r w:rsidR="00FE743E" w:rsidRPr="00FB3C84">
        <w:rPr>
          <w:color w:val="212121"/>
          <w:szCs w:val="24"/>
          <w:lang w:val="fr-CH"/>
        </w:rPr>
        <w:t>que la bande de fréquences</w:t>
      </w:r>
      <w:r w:rsidRPr="00FB3C84">
        <w:rPr>
          <w:color w:val="212121"/>
          <w:szCs w:val="24"/>
          <w:lang w:val="fr-CH"/>
        </w:rPr>
        <w:t xml:space="preserve"> 18</w:t>
      </w:r>
      <w:r w:rsidR="00FE743E" w:rsidRPr="00FB3C84">
        <w:rPr>
          <w:color w:val="212121"/>
          <w:szCs w:val="24"/>
          <w:lang w:val="fr-CH"/>
        </w:rPr>
        <w:t>,</w:t>
      </w:r>
      <w:r w:rsidRPr="00FB3C84">
        <w:rPr>
          <w:color w:val="212121"/>
          <w:szCs w:val="24"/>
          <w:lang w:val="fr-CH"/>
        </w:rPr>
        <w:t>6-18</w:t>
      </w:r>
      <w:r w:rsidR="00FE743E" w:rsidRPr="00FB3C84">
        <w:rPr>
          <w:color w:val="212121"/>
          <w:szCs w:val="24"/>
          <w:lang w:val="fr-CH"/>
        </w:rPr>
        <w:t>,</w:t>
      </w:r>
      <w:r w:rsidRPr="00FB3C84">
        <w:rPr>
          <w:color w:val="212121"/>
          <w:szCs w:val="24"/>
          <w:lang w:val="fr-CH"/>
        </w:rPr>
        <w:t xml:space="preserve">8 GHz </w:t>
      </w:r>
      <w:r w:rsidR="00FE743E" w:rsidRPr="00FB3C84">
        <w:rPr>
          <w:color w:val="212121"/>
          <w:szCs w:val="24"/>
          <w:lang w:val="fr-CH"/>
        </w:rPr>
        <w:t xml:space="preserve">est </w:t>
      </w:r>
      <w:r w:rsidR="00652458" w:rsidRPr="00FB3C84">
        <w:rPr>
          <w:color w:val="212121"/>
          <w:szCs w:val="24"/>
          <w:lang w:val="fr-CH"/>
        </w:rPr>
        <w:t>utilisée</w:t>
      </w:r>
      <w:r w:rsidR="00FE743E" w:rsidRPr="00FB3C84">
        <w:rPr>
          <w:color w:val="212121"/>
          <w:szCs w:val="24"/>
          <w:lang w:val="fr-CH"/>
        </w:rPr>
        <w:t xml:space="preserve"> par le s</w:t>
      </w:r>
      <w:r w:rsidR="00FE743E" w:rsidRPr="00FB3C84">
        <w:rPr>
          <w:lang w:val="fr-CH"/>
        </w:rPr>
        <w:t>ervice d'exploration de la Terre par satellite (passive)</w:t>
      </w:r>
      <w:r w:rsidR="00652458" w:rsidRPr="00FB3C84">
        <w:rPr>
          <w:lang w:val="fr-CH"/>
        </w:rPr>
        <w:t>,</w:t>
      </w:r>
      <w:r w:rsidR="00FE743E" w:rsidRPr="00FB3C84">
        <w:rPr>
          <w:lang w:val="fr-CH"/>
        </w:rPr>
        <w:t xml:space="preserve"> dont la protection doit être assurée,</w:t>
      </w:r>
    </w:p>
    <w:p w14:paraId="3F71600A" w14:textId="4BAE95AB" w:rsidR="00E22965" w:rsidRPr="00FB3C84" w:rsidRDefault="00FE743E" w:rsidP="00693855">
      <w:pPr>
        <w:pStyle w:val="Call"/>
        <w:rPr>
          <w:lang w:val="fr-CH"/>
        </w:rPr>
      </w:pPr>
      <w:proofErr w:type="gramStart"/>
      <w:r w:rsidRPr="00FB3C84">
        <w:rPr>
          <w:lang w:val="fr-CH"/>
        </w:rPr>
        <w:t>décide</w:t>
      </w:r>
      <w:proofErr w:type="gramEnd"/>
      <w:r w:rsidRPr="00FB3C84">
        <w:rPr>
          <w:lang w:val="fr-CH"/>
        </w:rPr>
        <w:t xml:space="preserve"> d'inviter l'UIT-R</w:t>
      </w:r>
    </w:p>
    <w:p w14:paraId="7B7E240A" w14:textId="724016D6" w:rsidR="00E22965" w:rsidRPr="00FB3C84" w:rsidRDefault="00E22965" w:rsidP="00693855">
      <w:pPr>
        <w:rPr>
          <w:lang w:val="fr-CH"/>
        </w:rPr>
      </w:pPr>
      <w:r w:rsidRPr="00FB3C84">
        <w:rPr>
          <w:lang w:val="fr-CH"/>
        </w:rPr>
        <w:t>1</w:t>
      </w:r>
      <w:r w:rsidRPr="00FB3C84">
        <w:rPr>
          <w:lang w:val="fr-CH"/>
        </w:rPr>
        <w:tab/>
      </w:r>
      <w:r w:rsidR="00FE743E" w:rsidRPr="00FB3C84">
        <w:rPr>
          <w:lang w:val="fr-CH"/>
        </w:rPr>
        <w:t xml:space="preserve">à </w:t>
      </w:r>
      <w:r w:rsidR="00652458" w:rsidRPr="00FB3C84">
        <w:rPr>
          <w:lang w:val="fr-CH"/>
        </w:rPr>
        <w:t>étudier</w:t>
      </w:r>
      <w:r w:rsidR="00FE743E" w:rsidRPr="00FB3C84">
        <w:rPr>
          <w:lang w:val="fr-CH"/>
        </w:rPr>
        <w:t xml:space="preserve"> les </w:t>
      </w:r>
      <w:r w:rsidR="00CA6D15" w:rsidRPr="00FB3C84">
        <w:rPr>
          <w:lang w:val="fr-CH"/>
        </w:rPr>
        <w:t xml:space="preserve">caractéristiques techniques et opérationnelles et les besoins des utilisateurs des différents types de stations terriennes en mouvement qui </w:t>
      </w:r>
      <w:r w:rsidR="00652458" w:rsidRPr="00FB3C84">
        <w:rPr>
          <w:lang w:val="fr-CH"/>
        </w:rPr>
        <w:t>sont exploitées ou qu'il est prévu d'exploiter</w:t>
      </w:r>
      <w:r w:rsidR="00CA6D15" w:rsidRPr="00FB3C84">
        <w:rPr>
          <w:lang w:val="fr-CH"/>
        </w:rPr>
        <w:t xml:space="preserve"> dans </w:t>
      </w:r>
      <w:r w:rsidR="00D77D36" w:rsidRPr="00FB3C84">
        <w:rPr>
          <w:lang w:val="fr-CH"/>
        </w:rPr>
        <w:t xml:space="preserve">une partie ou </w:t>
      </w:r>
      <w:r w:rsidR="00793D9E" w:rsidRPr="00FB3C84">
        <w:rPr>
          <w:lang w:val="fr-CH"/>
        </w:rPr>
        <w:t xml:space="preserve">dans </w:t>
      </w:r>
      <w:r w:rsidR="00D77D36" w:rsidRPr="00FB3C84">
        <w:rPr>
          <w:lang w:val="fr-CH"/>
        </w:rPr>
        <w:t>la totalité d</w:t>
      </w:r>
      <w:r w:rsidR="00CA6D15" w:rsidRPr="00FB3C84">
        <w:rPr>
          <w:lang w:val="fr-CH"/>
        </w:rPr>
        <w:t xml:space="preserve">es bandes de fréquences </w:t>
      </w:r>
      <w:r w:rsidR="00D77D36" w:rsidRPr="00FB3C84">
        <w:rPr>
          <w:lang w:val="fr-CH"/>
        </w:rPr>
        <w:t>17</w:t>
      </w:r>
      <w:r w:rsidR="00793D9E" w:rsidRPr="00FB3C84">
        <w:rPr>
          <w:lang w:val="fr-CH"/>
        </w:rPr>
        <w:t>,</w:t>
      </w:r>
      <w:r w:rsidR="00D77D36" w:rsidRPr="00FB3C84">
        <w:rPr>
          <w:lang w:val="fr-CH"/>
        </w:rPr>
        <w:t>7-19</w:t>
      </w:r>
      <w:r w:rsidR="00793D9E" w:rsidRPr="00FB3C84">
        <w:rPr>
          <w:lang w:val="fr-CH"/>
        </w:rPr>
        <w:t>,</w:t>
      </w:r>
      <w:r w:rsidR="00D77D36" w:rsidRPr="00FB3C84">
        <w:rPr>
          <w:lang w:val="fr-CH"/>
        </w:rPr>
        <w:t>3 GHz</w:t>
      </w:r>
      <w:r w:rsidR="00793D9E" w:rsidRPr="00FB3C84">
        <w:rPr>
          <w:lang w:val="fr-CH"/>
        </w:rPr>
        <w:t xml:space="preserve"> et</w:t>
      </w:r>
      <w:r w:rsidR="00D77D36" w:rsidRPr="00FB3C84">
        <w:rPr>
          <w:lang w:val="fr-CH"/>
        </w:rPr>
        <w:t xml:space="preserve"> 19</w:t>
      </w:r>
      <w:r w:rsidR="00793D9E" w:rsidRPr="00FB3C84">
        <w:rPr>
          <w:lang w:val="fr-CH"/>
        </w:rPr>
        <w:t>,</w:t>
      </w:r>
      <w:r w:rsidR="00D77D36" w:rsidRPr="00FB3C84">
        <w:rPr>
          <w:lang w:val="fr-CH"/>
        </w:rPr>
        <w:t>7</w:t>
      </w:r>
      <w:r w:rsidR="00693855" w:rsidRPr="00FB3C84">
        <w:rPr>
          <w:lang w:val="fr-CH"/>
        </w:rPr>
        <w:noBreakHyphen/>
      </w:r>
      <w:r w:rsidR="00D77D36" w:rsidRPr="00FB3C84">
        <w:rPr>
          <w:lang w:val="fr-CH"/>
        </w:rPr>
        <w:t>20</w:t>
      </w:r>
      <w:r w:rsidR="00793D9E" w:rsidRPr="00FB3C84">
        <w:rPr>
          <w:lang w:val="fr-CH"/>
        </w:rPr>
        <w:t>,</w:t>
      </w:r>
      <w:r w:rsidR="00D77D36" w:rsidRPr="00FB3C84">
        <w:rPr>
          <w:lang w:val="fr-CH"/>
        </w:rPr>
        <w:t>2</w:t>
      </w:r>
      <w:r w:rsidR="00693855" w:rsidRPr="00FB3C84">
        <w:rPr>
          <w:lang w:val="fr-CH"/>
        </w:rPr>
        <w:t> </w:t>
      </w:r>
      <w:r w:rsidR="00D77D36" w:rsidRPr="00FB3C84">
        <w:rPr>
          <w:lang w:val="fr-CH"/>
        </w:rPr>
        <w:t>GHz (</w:t>
      </w:r>
      <w:r w:rsidR="00793D9E" w:rsidRPr="00FB3C84">
        <w:rPr>
          <w:lang w:val="fr-CH"/>
        </w:rPr>
        <w:t>espace vers Terre</w:t>
      </w:r>
      <w:r w:rsidR="00D77D36" w:rsidRPr="00FB3C84">
        <w:rPr>
          <w:lang w:val="fr-CH"/>
        </w:rPr>
        <w:t>), 27</w:t>
      </w:r>
      <w:r w:rsidR="00793D9E" w:rsidRPr="00FB3C84">
        <w:rPr>
          <w:lang w:val="fr-CH"/>
        </w:rPr>
        <w:t>,</w:t>
      </w:r>
      <w:r w:rsidR="00D77D36" w:rsidRPr="00FB3C84">
        <w:rPr>
          <w:lang w:val="fr-CH"/>
        </w:rPr>
        <w:t>5-29</w:t>
      </w:r>
      <w:r w:rsidR="00793D9E" w:rsidRPr="00FB3C84">
        <w:rPr>
          <w:lang w:val="fr-CH"/>
        </w:rPr>
        <w:t>,</w:t>
      </w:r>
      <w:r w:rsidR="00D77D36" w:rsidRPr="00FB3C84">
        <w:rPr>
          <w:lang w:val="fr-CH"/>
        </w:rPr>
        <w:t xml:space="preserve">1 GHz </w:t>
      </w:r>
      <w:r w:rsidR="00793D9E" w:rsidRPr="00FB3C84">
        <w:rPr>
          <w:lang w:val="fr-CH"/>
        </w:rPr>
        <w:t xml:space="preserve">et </w:t>
      </w:r>
      <w:r w:rsidR="00D77D36" w:rsidRPr="00FB3C84">
        <w:rPr>
          <w:lang w:val="fr-CH"/>
        </w:rPr>
        <w:t>29</w:t>
      </w:r>
      <w:r w:rsidR="00C15FF3" w:rsidRPr="00FB3C84">
        <w:rPr>
          <w:lang w:val="fr-CH"/>
        </w:rPr>
        <w:t>,</w:t>
      </w:r>
      <w:r w:rsidR="00D77D36" w:rsidRPr="00FB3C84">
        <w:rPr>
          <w:lang w:val="fr-CH"/>
        </w:rPr>
        <w:t>5-30</w:t>
      </w:r>
      <w:r w:rsidR="006D4C7C" w:rsidRPr="00FB3C84">
        <w:rPr>
          <w:lang w:val="fr-CH"/>
        </w:rPr>
        <w:t>,0</w:t>
      </w:r>
      <w:r w:rsidR="00D77D36" w:rsidRPr="00FB3C84">
        <w:rPr>
          <w:lang w:val="fr-CH"/>
        </w:rPr>
        <w:t xml:space="preserve"> GHz (</w:t>
      </w:r>
      <w:r w:rsidR="00793D9E" w:rsidRPr="00FB3C84">
        <w:rPr>
          <w:lang w:val="fr-CH"/>
        </w:rPr>
        <w:t>Terre vers espace</w:t>
      </w:r>
      <w:r w:rsidR="00D77D36" w:rsidRPr="00FB3C84">
        <w:rPr>
          <w:lang w:val="fr-CH"/>
        </w:rPr>
        <w:t xml:space="preserve">), qui sont </w:t>
      </w:r>
      <w:r w:rsidR="00CA6D15" w:rsidRPr="00FB3C84">
        <w:rPr>
          <w:lang w:val="fr-CH"/>
        </w:rPr>
        <w:t xml:space="preserve">attribuées </w:t>
      </w:r>
      <w:r w:rsidR="00652458" w:rsidRPr="00FB3C84">
        <w:rPr>
          <w:lang w:val="fr-CH"/>
        </w:rPr>
        <w:t>au</w:t>
      </w:r>
      <w:r w:rsidR="001024E1" w:rsidRPr="00FB3C84">
        <w:rPr>
          <w:bCs/>
          <w:lang w:val="fr-CH"/>
        </w:rPr>
        <w:t xml:space="preserve"> </w:t>
      </w:r>
      <w:r w:rsidR="00050D2D" w:rsidRPr="00FB3C84">
        <w:rPr>
          <w:bCs/>
          <w:lang w:val="fr-CH"/>
        </w:rPr>
        <w:t>SFS</w:t>
      </w:r>
      <w:r w:rsidR="00652458" w:rsidRPr="00FB3C84">
        <w:rPr>
          <w:bCs/>
          <w:lang w:val="fr-CH"/>
        </w:rPr>
        <w:t xml:space="preserve"> non OSG</w:t>
      </w:r>
      <w:r w:rsidR="00D77D36" w:rsidRPr="00FB3C84">
        <w:rPr>
          <w:bCs/>
          <w:lang w:val="fr-CH"/>
        </w:rPr>
        <w:t>;</w:t>
      </w:r>
    </w:p>
    <w:p w14:paraId="31398D9E" w14:textId="7A7BED47" w:rsidR="00E22965" w:rsidRPr="00FB3C84" w:rsidRDefault="00E22965" w:rsidP="00693855">
      <w:pPr>
        <w:rPr>
          <w:lang w:val="fr-CH"/>
        </w:rPr>
      </w:pPr>
      <w:r w:rsidRPr="00FB3C84">
        <w:rPr>
          <w:lang w:val="fr-CH"/>
        </w:rPr>
        <w:t>2</w:t>
      </w:r>
      <w:r w:rsidRPr="00FB3C84">
        <w:rPr>
          <w:lang w:val="fr-CH"/>
        </w:rPr>
        <w:tab/>
      </w:r>
      <w:r w:rsidR="00E30566" w:rsidRPr="00FB3C84">
        <w:rPr>
          <w:lang w:val="fr-CH"/>
        </w:rPr>
        <w:t xml:space="preserve">à </w:t>
      </w:r>
      <w:r w:rsidR="007D3C08" w:rsidRPr="00FB3C84">
        <w:rPr>
          <w:lang w:val="fr-CH"/>
        </w:rPr>
        <w:t>mener</w:t>
      </w:r>
      <w:r w:rsidR="00E30566" w:rsidRPr="00FB3C84">
        <w:rPr>
          <w:lang w:val="fr-CH"/>
        </w:rPr>
        <w:t xml:space="preserve"> des études de partage et de compatibilité entre </w:t>
      </w:r>
      <w:r w:rsidR="00652458" w:rsidRPr="00FB3C84">
        <w:rPr>
          <w:lang w:val="fr-CH"/>
        </w:rPr>
        <w:t>l</w:t>
      </w:r>
      <w:r w:rsidR="00E30566" w:rsidRPr="00FB3C84">
        <w:rPr>
          <w:lang w:val="fr-CH"/>
        </w:rPr>
        <w:t xml:space="preserve">es stations terriennes en mouvement communiquant avec des systèmes à satellites non géostationnaires du SFS et </w:t>
      </w:r>
      <w:r w:rsidR="00652458" w:rsidRPr="00FB3C84">
        <w:rPr>
          <w:lang w:val="fr-CH"/>
        </w:rPr>
        <w:t>l</w:t>
      </w:r>
      <w:r w:rsidR="00E30566" w:rsidRPr="00FB3C84">
        <w:rPr>
          <w:lang w:val="fr-CH"/>
        </w:rPr>
        <w:t>es autres services primaires dans une partie ou dans la totalité des bandes de fréquences 17,7</w:t>
      </w:r>
      <w:r w:rsidR="00E30566" w:rsidRPr="00FB3C84">
        <w:rPr>
          <w:lang w:val="fr-CH"/>
        </w:rPr>
        <w:noBreakHyphen/>
        <w:t>19,3 GHz et 19,7-20,2 GHz (espace vers Terre), 27,5-29,1 GHz et 29,5-30</w:t>
      </w:r>
      <w:r w:rsidR="006337B1" w:rsidRPr="00FB3C84">
        <w:rPr>
          <w:lang w:val="fr-CH"/>
        </w:rPr>
        <w:t>,0</w:t>
      </w:r>
      <w:r w:rsidR="00E30566" w:rsidRPr="00FB3C84">
        <w:rPr>
          <w:lang w:val="fr-CH"/>
        </w:rPr>
        <w:t xml:space="preserve"> GHz (Terre vers espace);</w:t>
      </w:r>
    </w:p>
    <w:p w14:paraId="07FAB527" w14:textId="3DD36CEF" w:rsidR="00E22965" w:rsidRPr="00FB3C84" w:rsidRDefault="00E22965" w:rsidP="00693855">
      <w:pPr>
        <w:rPr>
          <w:lang w:val="fr-CH"/>
        </w:rPr>
      </w:pPr>
      <w:r w:rsidRPr="00FB3C84">
        <w:rPr>
          <w:lang w:val="fr-CH"/>
        </w:rPr>
        <w:t>3</w:t>
      </w:r>
      <w:r w:rsidRPr="00FB3C84">
        <w:rPr>
          <w:lang w:val="fr-CH"/>
        </w:rPr>
        <w:tab/>
      </w:r>
      <w:r w:rsidR="009B65FB" w:rsidRPr="00FB3C84">
        <w:rPr>
          <w:lang w:val="fr-CH"/>
        </w:rPr>
        <w:t xml:space="preserve">à définir les </w:t>
      </w:r>
      <w:r w:rsidR="00652458" w:rsidRPr="00FB3C84">
        <w:rPr>
          <w:lang w:val="fr-CH"/>
        </w:rPr>
        <w:t>conditions</w:t>
      </w:r>
      <w:r w:rsidR="009B65FB" w:rsidRPr="00FB3C84">
        <w:rPr>
          <w:lang w:val="fr-CH"/>
        </w:rPr>
        <w:t xml:space="preserve"> techniques et opérationnel</w:t>
      </w:r>
      <w:r w:rsidR="00652458" w:rsidRPr="00FB3C84">
        <w:rPr>
          <w:lang w:val="fr-CH"/>
        </w:rPr>
        <w:t>le</w:t>
      </w:r>
      <w:r w:rsidR="009B65FB" w:rsidRPr="00FB3C84">
        <w:rPr>
          <w:lang w:val="fr-CH"/>
        </w:rPr>
        <w:t xml:space="preserve">s permettant de faciliter la tâche des administrations </w:t>
      </w:r>
      <w:r w:rsidR="0051129A" w:rsidRPr="00FB3C84">
        <w:rPr>
          <w:lang w:val="fr-CH"/>
        </w:rPr>
        <w:t xml:space="preserve">qui </w:t>
      </w:r>
      <w:r w:rsidR="009B65FB" w:rsidRPr="00FB3C84">
        <w:rPr>
          <w:lang w:val="fr-CH"/>
        </w:rPr>
        <w:t>souhait</w:t>
      </w:r>
      <w:r w:rsidR="0051129A" w:rsidRPr="00FB3C84">
        <w:rPr>
          <w:lang w:val="fr-CH"/>
        </w:rPr>
        <w:t>e</w:t>
      </w:r>
      <w:r w:rsidR="009B65FB" w:rsidRPr="00FB3C84">
        <w:rPr>
          <w:lang w:val="fr-CH"/>
        </w:rPr>
        <w:t xml:space="preserve">nt autoriser et coordonner </w:t>
      </w:r>
      <w:r w:rsidR="0088777F" w:rsidRPr="00FB3C84">
        <w:rPr>
          <w:lang w:val="fr-CH"/>
        </w:rPr>
        <w:t xml:space="preserve">l'exploitation </w:t>
      </w:r>
      <w:r w:rsidR="009B65FB" w:rsidRPr="00FB3C84">
        <w:rPr>
          <w:lang w:val="fr-CH"/>
        </w:rPr>
        <w:t xml:space="preserve">de stations terriennes en mouvement </w:t>
      </w:r>
      <w:r w:rsidR="0088777F" w:rsidRPr="00FB3C84">
        <w:rPr>
          <w:lang w:val="fr-CH"/>
        </w:rPr>
        <w:t xml:space="preserve">avec les pays voisins concernés, compte tenu des </w:t>
      </w:r>
      <w:r w:rsidR="008A4EA0" w:rsidRPr="00FB3C84">
        <w:rPr>
          <w:lang w:val="fr-CH"/>
        </w:rPr>
        <w:t>résultats</w:t>
      </w:r>
      <w:r w:rsidR="0088777F" w:rsidRPr="00FB3C84">
        <w:rPr>
          <w:lang w:val="fr-CH"/>
        </w:rPr>
        <w:t xml:space="preserve"> des études menées au titre du </w:t>
      </w:r>
      <w:r w:rsidR="00652458" w:rsidRPr="00FB3C84">
        <w:rPr>
          <w:lang w:val="fr-CH"/>
        </w:rPr>
        <w:t xml:space="preserve">point 1 du </w:t>
      </w:r>
      <w:r w:rsidR="0088777F" w:rsidRPr="00FB3C84">
        <w:rPr>
          <w:i/>
          <w:lang w:val="fr-CH"/>
        </w:rPr>
        <w:t>décide</w:t>
      </w:r>
      <w:r w:rsidR="0088777F" w:rsidRPr="00FB3C84">
        <w:rPr>
          <w:lang w:val="fr-CH"/>
        </w:rPr>
        <w:t>;</w:t>
      </w:r>
    </w:p>
    <w:p w14:paraId="380448F9" w14:textId="718C57F8" w:rsidR="00E22965" w:rsidRPr="00FB3C84" w:rsidRDefault="00E22965" w:rsidP="00693855">
      <w:pPr>
        <w:rPr>
          <w:lang w:val="fr-CH"/>
        </w:rPr>
      </w:pPr>
      <w:r w:rsidRPr="00FB3C84">
        <w:rPr>
          <w:lang w:val="fr-CH"/>
        </w:rPr>
        <w:t>4</w:t>
      </w:r>
      <w:r w:rsidRPr="00FB3C84">
        <w:rPr>
          <w:lang w:val="fr-CH"/>
        </w:rPr>
        <w:tab/>
      </w:r>
      <w:r w:rsidR="00860DAD" w:rsidRPr="00FB3C84">
        <w:rPr>
          <w:lang w:val="fr-CH"/>
        </w:rPr>
        <w:t xml:space="preserve">à établir les dispositions techniques et réglementaires régissant l'exploitation des stations terriennes aéronautiques et maritimes en mouvement </w:t>
      </w:r>
      <w:r w:rsidR="00AB58BA" w:rsidRPr="00FB3C84">
        <w:rPr>
          <w:lang w:val="fr-CH"/>
        </w:rPr>
        <w:t xml:space="preserve">communiquant </w:t>
      </w:r>
      <w:r w:rsidR="00860DAD" w:rsidRPr="00FB3C84">
        <w:rPr>
          <w:lang w:val="fr-CH"/>
        </w:rPr>
        <w:t xml:space="preserve">avec des systèmes à satellites non géostationnaires du SFS, compte tenu des </w:t>
      </w:r>
      <w:r w:rsidR="00865C4A" w:rsidRPr="00FB3C84">
        <w:rPr>
          <w:lang w:val="fr-CH"/>
        </w:rPr>
        <w:t>résultats</w:t>
      </w:r>
      <w:r w:rsidR="00860DAD" w:rsidRPr="00FB3C84">
        <w:rPr>
          <w:lang w:val="fr-CH"/>
        </w:rPr>
        <w:t xml:space="preserve"> des études menées au titre d</w:t>
      </w:r>
      <w:r w:rsidR="00824CE3" w:rsidRPr="00FB3C84">
        <w:rPr>
          <w:lang w:val="fr-CH"/>
        </w:rPr>
        <w:t>es points 1 et 2 du</w:t>
      </w:r>
      <w:r w:rsidR="00860DAD" w:rsidRPr="00FB3C84">
        <w:rPr>
          <w:lang w:val="fr-CH"/>
        </w:rPr>
        <w:t xml:space="preserve"> </w:t>
      </w:r>
      <w:r w:rsidR="00860DAD" w:rsidRPr="00FB3C84">
        <w:rPr>
          <w:i/>
          <w:lang w:val="fr-CH"/>
        </w:rPr>
        <w:t>décide</w:t>
      </w:r>
      <w:r w:rsidR="00860DAD" w:rsidRPr="00FB3C84">
        <w:rPr>
          <w:lang w:val="fr-CH"/>
        </w:rPr>
        <w:t>;</w:t>
      </w:r>
    </w:p>
    <w:p w14:paraId="17704DF4" w14:textId="3E8D07B6" w:rsidR="00E22965" w:rsidRPr="00FB3C84" w:rsidRDefault="00E22965" w:rsidP="00693855">
      <w:pPr>
        <w:rPr>
          <w:lang w:val="fr-CH"/>
        </w:rPr>
      </w:pPr>
      <w:r w:rsidRPr="00FB3C84">
        <w:rPr>
          <w:lang w:val="fr-CH"/>
        </w:rPr>
        <w:t>5</w:t>
      </w:r>
      <w:r w:rsidRPr="00FB3C84">
        <w:rPr>
          <w:lang w:val="fr-CH"/>
        </w:rPr>
        <w:tab/>
      </w:r>
      <w:r w:rsidR="00860DAD" w:rsidRPr="00FB3C84">
        <w:rPr>
          <w:lang w:val="fr-CH"/>
        </w:rPr>
        <w:t>à achever ces études à temps pour la</w:t>
      </w:r>
      <w:r w:rsidRPr="00FB3C84">
        <w:rPr>
          <w:lang w:val="fr-CH"/>
        </w:rPr>
        <w:t xml:space="preserve"> </w:t>
      </w:r>
      <w:r w:rsidR="00860DAD" w:rsidRPr="00FB3C84">
        <w:rPr>
          <w:lang w:val="fr-CH"/>
        </w:rPr>
        <w:t>CMR-</w:t>
      </w:r>
      <w:r w:rsidRPr="00FB3C84">
        <w:rPr>
          <w:lang w:val="fr-CH"/>
        </w:rPr>
        <w:t>23,</w:t>
      </w:r>
    </w:p>
    <w:p w14:paraId="4A6B46C8" w14:textId="3EF93878" w:rsidR="00E22965" w:rsidRPr="00FB3C84" w:rsidRDefault="00860DAD" w:rsidP="00693855">
      <w:pPr>
        <w:pStyle w:val="Call"/>
        <w:rPr>
          <w:lang w:val="fr-CH"/>
        </w:rPr>
      </w:pPr>
      <w:proofErr w:type="gramStart"/>
      <w:r w:rsidRPr="00FB3C84">
        <w:rPr>
          <w:lang w:val="fr-CH"/>
        </w:rPr>
        <w:t>décide</w:t>
      </w:r>
      <w:proofErr w:type="gramEnd"/>
      <w:r w:rsidRPr="00FB3C84">
        <w:rPr>
          <w:lang w:val="fr-CH"/>
        </w:rPr>
        <w:t xml:space="preserve"> en outre d'inviter la CMR-23</w:t>
      </w:r>
    </w:p>
    <w:p w14:paraId="42BE5705" w14:textId="38805014" w:rsidR="00E22965" w:rsidRPr="00FB3C84" w:rsidRDefault="00860DAD" w:rsidP="00693855">
      <w:pPr>
        <w:rPr>
          <w:lang w:val="fr-CH"/>
        </w:rPr>
      </w:pPr>
      <w:proofErr w:type="gramStart"/>
      <w:r w:rsidRPr="00FB3C84">
        <w:rPr>
          <w:lang w:val="fr-CH"/>
        </w:rPr>
        <w:t>à</w:t>
      </w:r>
      <w:proofErr w:type="gramEnd"/>
      <w:r w:rsidRPr="00FB3C84">
        <w:rPr>
          <w:lang w:val="fr-CH"/>
        </w:rPr>
        <w:t xml:space="preserve"> examiner les </w:t>
      </w:r>
      <w:r w:rsidR="00233584" w:rsidRPr="00FB3C84">
        <w:rPr>
          <w:lang w:val="fr-CH"/>
        </w:rPr>
        <w:t>résultats</w:t>
      </w:r>
      <w:r w:rsidRPr="00FB3C84">
        <w:rPr>
          <w:lang w:val="fr-CH"/>
        </w:rPr>
        <w:t xml:space="preserve"> de ces études et à prendre les mesures </w:t>
      </w:r>
      <w:r w:rsidR="00824CE3" w:rsidRPr="00FB3C84">
        <w:rPr>
          <w:lang w:val="fr-CH"/>
        </w:rPr>
        <w:t>appropriées</w:t>
      </w:r>
      <w:r w:rsidRPr="00FB3C84">
        <w:rPr>
          <w:lang w:val="fr-CH"/>
        </w:rPr>
        <w:t>.</w:t>
      </w:r>
    </w:p>
    <w:p w14:paraId="71C1E71B" w14:textId="77777777" w:rsidR="00860DAD" w:rsidRPr="00FB3C84" w:rsidRDefault="00860DAD" w:rsidP="00693855">
      <w:pPr>
        <w:pStyle w:val="Reasons"/>
        <w:rPr>
          <w:lang w:val="fr-CH"/>
        </w:rPr>
      </w:pPr>
    </w:p>
    <w:p w14:paraId="633E6FFC" w14:textId="77777777" w:rsidR="00053BFE" w:rsidRPr="00FB3C84" w:rsidRDefault="00DA0574" w:rsidP="00693855">
      <w:pPr>
        <w:pStyle w:val="Proposal"/>
        <w:rPr>
          <w:lang w:val="fr-CH"/>
        </w:rPr>
      </w:pPr>
      <w:r w:rsidRPr="00FB3C84">
        <w:rPr>
          <w:lang w:val="fr-CH"/>
        </w:rPr>
        <w:t>SUP</w:t>
      </w:r>
      <w:r w:rsidRPr="00FB3C84">
        <w:rPr>
          <w:lang w:val="fr-CH"/>
        </w:rPr>
        <w:tab/>
        <w:t>IAP/11A24A8/3</w:t>
      </w:r>
    </w:p>
    <w:p w14:paraId="6D5AF33B" w14:textId="77777777" w:rsidR="004A4B52" w:rsidRPr="00FB3C84" w:rsidRDefault="00DA0574" w:rsidP="00693855">
      <w:pPr>
        <w:pStyle w:val="ResNo"/>
        <w:rPr>
          <w:lang w:val="fr-CH"/>
        </w:rPr>
      </w:pPr>
      <w:r w:rsidRPr="00FB3C84">
        <w:rPr>
          <w:lang w:val="fr-CH"/>
        </w:rPr>
        <w:t>RÉSOLUTION 810 (CMR-15)</w:t>
      </w:r>
    </w:p>
    <w:p w14:paraId="553212B9" w14:textId="77777777" w:rsidR="004A4B52" w:rsidRPr="00FB3C84" w:rsidRDefault="00DA0574" w:rsidP="00693855">
      <w:pPr>
        <w:pStyle w:val="Restitle"/>
        <w:rPr>
          <w:lang w:val="fr-CH"/>
        </w:rPr>
      </w:pPr>
      <w:bookmarkStart w:id="10" w:name="_Toc450208829"/>
      <w:r w:rsidRPr="00FB3C84">
        <w:rPr>
          <w:lang w:val="fr-CH"/>
        </w:rPr>
        <w:t>Ordre du jour préliminaire de la Conférence mondiale</w:t>
      </w:r>
      <w:r w:rsidRPr="00FB3C84">
        <w:rPr>
          <w:lang w:val="fr-CH"/>
        </w:rPr>
        <w:br/>
        <w:t>des radiocommunications de 2023</w:t>
      </w:r>
      <w:bookmarkEnd w:id="10"/>
    </w:p>
    <w:p w14:paraId="47AE2D3D" w14:textId="5D4FC875" w:rsidR="00053BFE" w:rsidRPr="00FB3C84" w:rsidRDefault="00DA0574" w:rsidP="00693855">
      <w:pPr>
        <w:pStyle w:val="Reasons"/>
        <w:rPr>
          <w:lang w:val="fr-CH"/>
        </w:rPr>
      </w:pPr>
      <w:r w:rsidRPr="00FB3C84">
        <w:rPr>
          <w:b/>
          <w:lang w:val="fr-CH"/>
        </w:rPr>
        <w:t>Motifs:</w:t>
      </w:r>
      <w:r w:rsidRPr="00FB3C84">
        <w:rPr>
          <w:lang w:val="fr-CH"/>
        </w:rPr>
        <w:tab/>
      </w:r>
      <w:r w:rsidR="00A11BA4" w:rsidRPr="00FB3C84">
        <w:rPr>
          <w:lang w:val="fr-CH"/>
        </w:rPr>
        <w:t>Cette Résolution doit être supprimée car la CMR-19 élaborera une nouvelle Résolution qui contiendra l'ordre du jour de la CMR-23.</w:t>
      </w:r>
    </w:p>
    <w:p w14:paraId="58CA28D6" w14:textId="4F0FB1D8" w:rsidR="00DA0574" w:rsidRPr="00FB3C84" w:rsidRDefault="00DA0574" w:rsidP="00693855">
      <w:pPr>
        <w:jc w:val="center"/>
        <w:rPr>
          <w:lang w:val="fr-CH"/>
        </w:rPr>
      </w:pPr>
      <w:r w:rsidRPr="00FB3C84">
        <w:rPr>
          <w:lang w:val="fr-CH"/>
        </w:rPr>
        <w:t>______________</w:t>
      </w:r>
    </w:p>
    <w:sectPr w:rsidR="00DA0574" w:rsidRPr="00FB3C84">
      <w:headerReference w:type="default" r:id="rId13"/>
      <w:footerReference w:type="even" r:id="rId14"/>
      <w:footerReference w:type="default" r:id="rId15"/>
      <w:footerReference w:type="first" r:id="rId16"/>
      <w:type w:val="nextColumn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30C38" w14:textId="77777777" w:rsidR="00200E19" w:rsidRDefault="00200E19">
      <w:r>
        <w:separator/>
      </w:r>
    </w:p>
  </w:endnote>
  <w:endnote w:type="continuationSeparator" w:id="0">
    <w:p w14:paraId="77337175" w14:textId="77777777" w:rsidR="00200E19" w:rsidRDefault="00200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7BE52" w14:textId="384C79F2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FE27A7">
      <w:rPr>
        <w:noProof/>
        <w:lang w:val="en-US"/>
      </w:rPr>
      <w:t>P:\FRA\ITU-R\CONF-R\CMR19\000\011ADD24ADD08V2F.docx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E27A7">
      <w:rPr>
        <w:noProof/>
      </w:rPr>
      <w:t>10.10.19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E27A7">
      <w:rPr>
        <w:noProof/>
      </w:rPr>
      <w:t>10.10.19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F829F" w14:textId="36C9269F" w:rsidR="001C0CFA" w:rsidRPr="00B33C73" w:rsidRDefault="00547870" w:rsidP="001C0CFA">
    <w:pPr>
      <w:pStyle w:val="Footer"/>
      <w:rPr>
        <w:lang w:val="en-GB"/>
      </w:rPr>
    </w:pPr>
    <w:r>
      <w:fldChar w:fldCharType="begin"/>
    </w:r>
    <w:r w:rsidRPr="00B33C73">
      <w:rPr>
        <w:lang w:val="en-GB"/>
      </w:rPr>
      <w:instrText xml:space="preserve"> FILENAME \p  \* MERGEFORMAT </w:instrText>
    </w:r>
    <w:r>
      <w:fldChar w:fldCharType="separate"/>
    </w:r>
    <w:r w:rsidR="00FE27A7">
      <w:rPr>
        <w:lang w:val="en-GB"/>
      </w:rPr>
      <w:t>P:\FRA\ITU-R\CONF-R\CMR19\000\011ADD24ADD08V2F.docx</w:t>
    </w:r>
    <w:r>
      <w:fldChar w:fldCharType="end"/>
    </w:r>
    <w:r w:rsidR="001C0CFA" w:rsidRPr="00B33C73">
      <w:rPr>
        <w:lang w:val="en-GB"/>
      </w:rPr>
      <w:t xml:space="preserve"> (460769)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75FEF" w14:textId="48413332" w:rsidR="00936D25" w:rsidRDefault="00936D25" w:rsidP="001A11F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FE27A7">
      <w:rPr>
        <w:lang w:val="en-US"/>
      </w:rPr>
      <w:t>P:\FRA\ITU-R\CONF-R\CMR19\000\011ADD24ADD08V2F.docx</w:t>
    </w:r>
    <w:r>
      <w:fldChar w:fldCharType="end"/>
    </w:r>
    <w:r w:rsidR="001C0CFA" w:rsidRPr="00B33C73">
      <w:rPr>
        <w:lang w:val="en-GB"/>
      </w:rPr>
      <w:t xml:space="preserve"> (460769)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B6B77" w14:textId="77777777" w:rsidR="00200E19" w:rsidRDefault="00200E19">
      <w:r>
        <w:rPr>
          <w:b/>
        </w:rPr>
        <w:t>_______________</w:t>
      </w:r>
    </w:p>
  </w:footnote>
  <w:footnote w:type="continuationSeparator" w:id="0">
    <w:p w14:paraId="499B5C7B" w14:textId="77777777" w:rsidR="00200E19" w:rsidRDefault="00200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0E9BF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46A3FE15" w14:textId="77777777"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11(Add.24)(Add.8)-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9D648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2560B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F4491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AC71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4694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44BA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D7C5C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7E0D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387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F271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EF3B4E"/>
    <w:multiLevelType w:val="hybridMultilevel"/>
    <w:tmpl w:val="94F898D8"/>
    <w:lvl w:ilvl="0" w:tplc="04090017">
      <w:start w:val="1"/>
      <w:numFmt w:val="lowerLetter"/>
      <w:lvlText w:val="%1)"/>
      <w:lvlJc w:val="left"/>
      <w:pPr>
        <w:ind w:left="1140" w:hanging="420"/>
      </w:pPr>
      <w:rPr>
        <w:rFonts w:hint="default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585AFB"/>
    <w:multiLevelType w:val="hybridMultilevel"/>
    <w:tmpl w:val="51EC42A8"/>
    <w:lvl w:ilvl="0" w:tplc="AD8ED6A6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1BF0"/>
    <w:rsid w:val="00007EC7"/>
    <w:rsid w:val="00010942"/>
    <w:rsid w:val="00010B43"/>
    <w:rsid w:val="00016648"/>
    <w:rsid w:val="00031560"/>
    <w:rsid w:val="00032B1A"/>
    <w:rsid w:val="00033222"/>
    <w:rsid w:val="0003522F"/>
    <w:rsid w:val="00040613"/>
    <w:rsid w:val="00043DA4"/>
    <w:rsid w:val="00050D2D"/>
    <w:rsid w:val="00053BFE"/>
    <w:rsid w:val="00063A1F"/>
    <w:rsid w:val="00067EA3"/>
    <w:rsid w:val="00080E2C"/>
    <w:rsid w:val="00081366"/>
    <w:rsid w:val="000863B3"/>
    <w:rsid w:val="00093C44"/>
    <w:rsid w:val="00096A52"/>
    <w:rsid w:val="000971FB"/>
    <w:rsid w:val="000A0942"/>
    <w:rsid w:val="000A4755"/>
    <w:rsid w:val="000A55AE"/>
    <w:rsid w:val="000B2E0C"/>
    <w:rsid w:val="000B3D0C"/>
    <w:rsid w:val="000C4157"/>
    <w:rsid w:val="000E3EB0"/>
    <w:rsid w:val="000E41A0"/>
    <w:rsid w:val="001024E1"/>
    <w:rsid w:val="001167B9"/>
    <w:rsid w:val="001267A0"/>
    <w:rsid w:val="0015203F"/>
    <w:rsid w:val="00160C64"/>
    <w:rsid w:val="00166F2C"/>
    <w:rsid w:val="0018169B"/>
    <w:rsid w:val="001822C0"/>
    <w:rsid w:val="0019352B"/>
    <w:rsid w:val="001960D0"/>
    <w:rsid w:val="001A11F6"/>
    <w:rsid w:val="001C0CFA"/>
    <w:rsid w:val="001D4A1D"/>
    <w:rsid w:val="001F17E8"/>
    <w:rsid w:val="00200E19"/>
    <w:rsid w:val="00204306"/>
    <w:rsid w:val="002073F1"/>
    <w:rsid w:val="002250D5"/>
    <w:rsid w:val="00232FD2"/>
    <w:rsid w:val="00233584"/>
    <w:rsid w:val="0025163D"/>
    <w:rsid w:val="0026554E"/>
    <w:rsid w:val="002756D0"/>
    <w:rsid w:val="00294D21"/>
    <w:rsid w:val="002A16BC"/>
    <w:rsid w:val="002A4622"/>
    <w:rsid w:val="002A6F8F"/>
    <w:rsid w:val="002B17E5"/>
    <w:rsid w:val="002C0EBF"/>
    <w:rsid w:val="002C28A4"/>
    <w:rsid w:val="002C5940"/>
    <w:rsid w:val="002D508A"/>
    <w:rsid w:val="002D7E0A"/>
    <w:rsid w:val="002F61B7"/>
    <w:rsid w:val="002F688D"/>
    <w:rsid w:val="002F7F74"/>
    <w:rsid w:val="00304665"/>
    <w:rsid w:val="0031104B"/>
    <w:rsid w:val="00315AFE"/>
    <w:rsid w:val="00317B0A"/>
    <w:rsid w:val="00326E18"/>
    <w:rsid w:val="00335061"/>
    <w:rsid w:val="00354A98"/>
    <w:rsid w:val="003606A6"/>
    <w:rsid w:val="0036650C"/>
    <w:rsid w:val="00393ACD"/>
    <w:rsid w:val="003A583E"/>
    <w:rsid w:val="003A70D9"/>
    <w:rsid w:val="003C0CC3"/>
    <w:rsid w:val="003C1DDC"/>
    <w:rsid w:val="003D3105"/>
    <w:rsid w:val="003D3773"/>
    <w:rsid w:val="003D42C1"/>
    <w:rsid w:val="003E112B"/>
    <w:rsid w:val="003E1D1C"/>
    <w:rsid w:val="003E6661"/>
    <w:rsid w:val="003E7B05"/>
    <w:rsid w:val="003F3719"/>
    <w:rsid w:val="003F6F2D"/>
    <w:rsid w:val="00415E6F"/>
    <w:rsid w:val="00423258"/>
    <w:rsid w:val="00456E41"/>
    <w:rsid w:val="00466211"/>
    <w:rsid w:val="00474995"/>
    <w:rsid w:val="00477C55"/>
    <w:rsid w:val="00483196"/>
    <w:rsid w:val="004834A9"/>
    <w:rsid w:val="0049652A"/>
    <w:rsid w:val="004A2F17"/>
    <w:rsid w:val="004A4E18"/>
    <w:rsid w:val="004B2EBF"/>
    <w:rsid w:val="004C12C5"/>
    <w:rsid w:val="004D01FC"/>
    <w:rsid w:val="004D4F9E"/>
    <w:rsid w:val="004D508E"/>
    <w:rsid w:val="004E28C3"/>
    <w:rsid w:val="004F1F8E"/>
    <w:rsid w:val="0051129A"/>
    <w:rsid w:val="00512A32"/>
    <w:rsid w:val="0053082C"/>
    <w:rsid w:val="00530AC5"/>
    <w:rsid w:val="005343DA"/>
    <w:rsid w:val="00536BFE"/>
    <w:rsid w:val="00547870"/>
    <w:rsid w:val="005543F1"/>
    <w:rsid w:val="00560601"/>
    <w:rsid w:val="00560874"/>
    <w:rsid w:val="00564A17"/>
    <w:rsid w:val="00577A82"/>
    <w:rsid w:val="00586CF2"/>
    <w:rsid w:val="005A7C75"/>
    <w:rsid w:val="005C0F1A"/>
    <w:rsid w:val="005C3768"/>
    <w:rsid w:val="005C6C3F"/>
    <w:rsid w:val="005D3E37"/>
    <w:rsid w:val="005E3293"/>
    <w:rsid w:val="005E5A0A"/>
    <w:rsid w:val="005F36D2"/>
    <w:rsid w:val="006052DC"/>
    <w:rsid w:val="00607FA3"/>
    <w:rsid w:val="00613635"/>
    <w:rsid w:val="0062093D"/>
    <w:rsid w:val="006337B1"/>
    <w:rsid w:val="00637ECF"/>
    <w:rsid w:val="00647B59"/>
    <w:rsid w:val="00652458"/>
    <w:rsid w:val="0066065E"/>
    <w:rsid w:val="00661F45"/>
    <w:rsid w:val="00682885"/>
    <w:rsid w:val="00690C7B"/>
    <w:rsid w:val="00693855"/>
    <w:rsid w:val="006A4B45"/>
    <w:rsid w:val="006D4724"/>
    <w:rsid w:val="006D4C7C"/>
    <w:rsid w:val="006D59FA"/>
    <w:rsid w:val="006E059C"/>
    <w:rsid w:val="006F5FA2"/>
    <w:rsid w:val="0070076C"/>
    <w:rsid w:val="00701983"/>
    <w:rsid w:val="00701BAE"/>
    <w:rsid w:val="00705BA1"/>
    <w:rsid w:val="00706096"/>
    <w:rsid w:val="00717D67"/>
    <w:rsid w:val="00721F04"/>
    <w:rsid w:val="00722232"/>
    <w:rsid w:val="00730E95"/>
    <w:rsid w:val="00740F8B"/>
    <w:rsid w:val="007426B9"/>
    <w:rsid w:val="007567CD"/>
    <w:rsid w:val="00757C30"/>
    <w:rsid w:val="00764342"/>
    <w:rsid w:val="00774362"/>
    <w:rsid w:val="00786598"/>
    <w:rsid w:val="007866F4"/>
    <w:rsid w:val="00790C74"/>
    <w:rsid w:val="00793D9E"/>
    <w:rsid w:val="007A04E8"/>
    <w:rsid w:val="007A205F"/>
    <w:rsid w:val="007B2292"/>
    <w:rsid w:val="007B2C34"/>
    <w:rsid w:val="007D34B5"/>
    <w:rsid w:val="007D3C08"/>
    <w:rsid w:val="007E4B30"/>
    <w:rsid w:val="007E4BBE"/>
    <w:rsid w:val="0080328D"/>
    <w:rsid w:val="00824CE3"/>
    <w:rsid w:val="00830086"/>
    <w:rsid w:val="00851625"/>
    <w:rsid w:val="00860DAD"/>
    <w:rsid w:val="0086288E"/>
    <w:rsid w:val="00863C0A"/>
    <w:rsid w:val="00865C4A"/>
    <w:rsid w:val="00873D24"/>
    <w:rsid w:val="0088777F"/>
    <w:rsid w:val="008A2B71"/>
    <w:rsid w:val="008A3120"/>
    <w:rsid w:val="008A4B97"/>
    <w:rsid w:val="008A4EA0"/>
    <w:rsid w:val="008B3CAD"/>
    <w:rsid w:val="008C5B8E"/>
    <w:rsid w:val="008C5DD5"/>
    <w:rsid w:val="008D41BE"/>
    <w:rsid w:val="008D4AC2"/>
    <w:rsid w:val="008D58D3"/>
    <w:rsid w:val="008E3BC9"/>
    <w:rsid w:val="00923064"/>
    <w:rsid w:val="00930FFD"/>
    <w:rsid w:val="00935960"/>
    <w:rsid w:val="00936D25"/>
    <w:rsid w:val="00941EA5"/>
    <w:rsid w:val="00943A49"/>
    <w:rsid w:val="0094444F"/>
    <w:rsid w:val="009477EE"/>
    <w:rsid w:val="00960749"/>
    <w:rsid w:val="009644BC"/>
    <w:rsid w:val="00964700"/>
    <w:rsid w:val="0096502F"/>
    <w:rsid w:val="00966C16"/>
    <w:rsid w:val="0098732F"/>
    <w:rsid w:val="00987345"/>
    <w:rsid w:val="009A045F"/>
    <w:rsid w:val="009A6A2B"/>
    <w:rsid w:val="009B298E"/>
    <w:rsid w:val="009B65FB"/>
    <w:rsid w:val="009C7E7C"/>
    <w:rsid w:val="009E4A97"/>
    <w:rsid w:val="009E5F57"/>
    <w:rsid w:val="009F2B83"/>
    <w:rsid w:val="00A00473"/>
    <w:rsid w:val="00A03C9B"/>
    <w:rsid w:val="00A07164"/>
    <w:rsid w:val="00A11BA4"/>
    <w:rsid w:val="00A21293"/>
    <w:rsid w:val="00A37105"/>
    <w:rsid w:val="00A606C3"/>
    <w:rsid w:val="00A65D76"/>
    <w:rsid w:val="00A7211A"/>
    <w:rsid w:val="00A778BE"/>
    <w:rsid w:val="00A8326A"/>
    <w:rsid w:val="00A83B09"/>
    <w:rsid w:val="00A84541"/>
    <w:rsid w:val="00AA1671"/>
    <w:rsid w:val="00AB58BA"/>
    <w:rsid w:val="00AB7ACD"/>
    <w:rsid w:val="00AE36A0"/>
    <w:rsid w:val="00B00294"/>
    <w:rsid w:val="00B117B6"/>
    <w:rsid w:val="00B151C7"/>
    <w:rsid w:val="00B170B0"/>
    <w:rsid w:val="00B2663A"/>
    <w:rsid w:val="00B2773A"/>
    <w:rsid w:val="00B33C73"/>
    <w:rsid w:val="00B3749C"/>
    <w:rsid w:val="00B54375"/>
    <w:rsid w:val="00B561BB"/>
    <w:rsid w:val="00B60D7A"/>
    <w:rsid w:val="00B64FD0"/>
    <w:rsid w:val="00BA5973"/>
    <w:rsid w:val="00BA5BD0"/>
    <w:rsid w:val="00BB1D82"/>
    <w:rsid w:val="00BB42A9"/>
    <w:rsid w:val="00BD51C5"/>
    <w:rsid w:val="00BF26E7"/>
    <w:rsid w:val="00BF7463"/>
    <w:rsid w:val="00C03304"/>
    <w:rsid w:val="00C15FF3"/>
    <w:rsid w:val="00C31AA5"/>
    <w:rsid w:val="00C36DFE"/>
    <w:rsid w:val="00C53FCA"/>
    <w:rsid w:val="00C76BAF"/>
    <w:rsid w:val="00C814B9"/>
    <w:rsid w:val="00CA6D15"/>
    <w:rsid w:val="00CD0605"/>
    <w:rsid w:val="00CD516F"/>
    <w:rsid w:val="00CF0FDB"/>
    <w:rsid w:val="00D119A7"/>
    <w:rsid w:val="00D25FBA"/>
    <w:rsid w:val="00D302EA"/>
    <w:rsid w:val="00D3102E"/>
    <w:rsid w:val="00D32B28"/>
    <w:rsid w:val="00D33262"/>
    <w:rsid w:val="00D33712"/>
    <w:rsid w:val="00D42954"/>
    <w:rsid w:val="00D554AD"/>
    <w:rsid w:val="00D55FC4"/>
    <w:rsid w:val="00D66AA4"/>
    <w:rsid w:val="00D66EAC"/>
    <w:rsid w:val="00D730DF"/>
    <w:rsid w:val="00D772F0"/>
    <w:rsid w:val="00D77BDC"/>
    <w:rsid w:val="00D77D36"/>
    <w:rsid w:val="00D84025"/>
    <w:rsid w:val="00DA0574"/>
    <w:rsid w:val="00DC29DC"/>
    <w:rsid w:val="00DC402B"/>
    <w:rsid w:val="00DD0D25"/>
    <w:rsid w:val="00DD4A4D"/>
    <w:rsid w:val="00DE0932"/>
    <w:rsid w:val="00E03A27"/>
    <w:rsid w:val="00E049F1"/>
    <w:rsid w:val="00E103DC"/>
    <w:rsid w:val="00E16E43"/>
    <w:rsid w:val="00E22965"/>
    <w:rsid w:val="00E30566"/>
    <w:rsid w:val="00E37A25"/>
    <w:rsid w:val="00E537FF"/>
    <w:rsid w:val="00E6160F"/>
    <w:rsid w:val="00E6539B"/>
    <w:rsid w:val="00E70A31"/>
    <w:rsid w:val="00E723A7"/>
    <w:rsid w:val="00EA2BEE"/>
    <w:rsid w:val="00EA3F38"/>
    <w:rsid w:val="00EA5AB6"/>
    <w:rsid w:val="00EB296A"/>
    <w:rsid w:val="00EB67BF"/>
    <w:rsid w:val="00EC7615"/>
    <w:rsid w:val="00ED16AA"/>
    <w:rsid w:val="00ED6B8D"/>
    <w:rsid w:val="00EE3D7B"/>
    <w:rsid w:val="00EF1723"/>
    <w:rsid w:val="00EF662E"/>
    <w:rsid w:val="00F10064"/>
    <w:rsid w:val="00F1030D"/>
    <w:rsid w:val="00F148F1"/>
    <w:rsid w:val="00F40114"/>
    <w:rsid w:val="00F64836"/>
    <w:rsid w:val="00F711A7"/>
    <w:rsid w:val="00FA3BBF"/>
    <w:rsid w:val="00FB015D"/>
    <w:rsid w:val="00FB1D78"/>
    <w:rsid w:val="00FB3C84"/>
    <w:rsid w:val="00FC41F8"/>
    <w:rsid w:val="00FC4D8F"/>
    <w:rsid w:val="00FD7AA3"/>
    <w:rsid w:val="00FE27A7"/>
    <w:rsid w:val="00FE743E"/>
    <w:rsid w:val="00FF1C40"/>
    <w:rsid w:val="00FF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D702AED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paragraph" w:customStyle="1" w:styleId="VolumeTitle0">
    <w:name w:val="VolumeTitle"/>
    <w:basedOn w:val="Normal"/>
    <w:next w:val="Normal"/>
    <w:rsid w:val="00552AF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4A6A8C"/>
  </w:style>
  <w:style w:type="paragraph" w:customStyle="1" w:styleId="ResNo0">
    <w:name w:val="Res.No"/>
    <w:basedOn w:val="VolumeTitle0"/>
    <w:rsid w:val="00E103DC"/>
  </w:style>
  <w:style w:type="paragraph" w:customStyle="1" w:styleId="ReasonBold">
    <w:name w:val="Reason + Bold"/>
    <w:basedOn w:val="Normal"/>
    <w:rsid w:val="006E059C"/>
    <w:rPr>
      <w:b/>
    </w:rPr>
  </w:style>
  <w:style w:type="character" w:customStyle="1" w:styleId="CallChar">
    <w:name w:val="Call Char"/>
    <w:link w:val="Call"/>
    <w:locked/>
    <w:rsid w:val="00E22965"/>
    <w:rPr>
      <w:rFonts w:ascii="Times New Roman" w:hAnsi="Times New Roman"/>
      <w:i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R16-WRC19-C-0011!A24-A8!MSW-F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88594-CE60-4DF9-8F2C-D9854AC59A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063566B-6516-4484-8416-FE0C8137CF4A}">
  <ds:schemaRefs>
    <ds:schemaRef ds:uri="http://schemas.openxmlformats.org/package/2006/metadata/core-properties"/>
    <ds:schemaRef ds:uri="32a1a8c5-2265-4ebc-b7a0-2071e2c5c9bb"/>
    <ds:schemaRef ds:uri="http://purl.org/dc/terms/"/>
    <ds:schemaRef ds:uri="http://schemas.microsoft.com/office/2006/metadata/properties"/>
    <ds:schemaRef ds:uri="http://www.w3.org/XML/1998/namespace"/>
    <ds:schemaRef ds:uri="996b2e75-67fd-4955-a3b0-5ab9934cb50b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AA4525A-5EBB-4CCD-9EDC-E4C11A6F05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B5DC3F9-B6D3-4086-94E9-3D53A70B7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2029</Words>
  <Characters>11685</Characters>
  <Application>Microsoft Office Word</Application>
  <DocSecurity>0</DocSecurity>
  <Lines>200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R16-WRC19-C-0011!A24-A8!MSW-F</vt:lpstr>
    </vt:vector>
  </TitlesOfParts>
  <Manager>Secrétariat général - Pool</Manager>
  <Company>Union internationale des télécommunications (UIT)</Company>
  <LinksUpToDate>false</LinksUpToDate>
  <CharactersWithSpaces>13641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R16-WRC19-C-0011!A24-A8!MSW-F</dc:title>
  <dc:subject>Conférence mondiale des radiocommunications - 2019</dc:subject>
  <dc:creator>Documents Proposals Manager (DPM)</dc:creator>
  <cp:keywords>DPM_v2019.9.18.2_prod</cp:keywords>
  <dc:description/>
  <cp:lastModifiedBy>French1</cp:lastModifiedBy>
  <cp:revision>5</cp:revision>
  <cp:lastPrinted>2019-10-10T08:14:00Z</cp:lastPrinted>
  <dcterms:created xsi:type="dcterms:W3CDTF">2019-10-10T08:06:00Z</dcterms:created>
  <dcterms:modified xsi:type="dcterms:W3CDTF">2019-10-10T08:15:00Z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