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556ECF37" w14:textId="77777777">
        <w:trPr>
          <w:cantSplit/>
        </w:trPr>
        <w:tc>
          <w:tcPr>
            <w:tcW w:w="6911" w:type="dxa"/>
          </w:tcPr>
          <w:p w14:paraId="0557DA0E"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1654FCB1" w14:textId="77777777" w:rsidR="00A066F1" w:rsidRDefault="005F04D8" w:rsidP="003B2284">
            <w:pPr>
              <w:spacing w:before="0" w:line="240" w:lineRule="atLeast"/>
              <w:jc w:val="right"/>
            </w:pPr>
            <w:r>
              <w:rPr>
                <w:noProof/>
                <w:lang w:eastAsia="en-GB"/>
              </w:rPr>
              <w:drawing>
                <wp:inline distT="0" distB="0" distL="0" distR="0" wp14:anchorId="397E0CBB" wp14:editId="33BB3268">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026F0A0A" w14:textId="77777777">
        <w:trPr>
          <w:cantSplit/>
        </w:trPr>
        <w:tc>
          <w:tcPr>
            <w:tcW w:w="6911" w:type="dxa"/>
            <w:tcBorders>
              <w:bottom w:val="single" w:sz="12" w:space="0" w:color="auto"/>
            </w:tcBorders>
          </w:tcPr>
          <w:p w14:paraId="171064AC"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6AF2DF57" w14:textId="77777777" w:rsidR="00A066F1" w:rsidRPr="00617BE4" w:rsidRDefault="00A066F1" w:rsidP="00A066F1">
            <w:pPr>
              <w:spacing w:before="0" w:line="240" w:lineRule="atLeast"/>
              <w:rPr>
                <w:rFonts w:ascii="Verdana" w:hAnsi="Verdana"/>
                <w:szCs w:val="24"/>
              </w:rPr>
            </w:pPr>
          </w:p>
        </w:tc>
      </w:tr>
      <w:tr w:rsidR="00A066F1" w:rsidRPr="00C324A8" w14:paraId="497C8700" w14:textId="77777777">
        <w:trPr>
          <w:cantSplit/>
        </w:trPr>
        <w:tc>
          <w:tcPr>
            <w:tcW w:w="6911" w:type="dxa"/>
            <w:tcBorders>
              <w:top w:val="single" w:sz="12" w:space="0" w:color="auto"/>
            </w:tcBorders>
          </w:tcPr>
          <w:p w14:paraId="78E0D7CE"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64C3E030" w14:textId="77777777" w:rsidR="00A066F1" w:rsidRPr="00C324A8" w:rsidRDefault="00A066F1" w:rsidP="00A066F1">
            <w:pPr>
              <w:spacing w:before="0" w:line="240" w:lineRule="atLeast"/>
              <w:rPr>
                <w:rFonts w:ascii="Verdana" w:hAnsi="Verdana"/>
                <w:sz w:val="20"/>
              </w:rPr>
            </w:pPr>
          </w:p>
        </w:tc>
      </w:tr>
      <w:tr w:rsidR="00A066F1" w:rsidRPr="00C324A8" w14:paraId="7D3BB702" w14:textId="77777777">
        <w:trPr>
          <w:cantSplit/>
          <w:trHeight w:val="23"/>
        </w:trPr>
        <w:tc>
          <w:tcPr>
            <w:tcW w:w="6911" w:type="dxa"/>
            <w:shd w:val="clear" w:color="auto" w:fill="auto"/>
          </w:tcPr>
          <w:p w14:paraId="4953E49D"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32763E2B"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22 to</w:t>
            </w:r>
            <w:r>
              <w:rPr>
                <w:rFonts w:ascii="Verdana" w:hAnsi="Verdana"/>
                <w:b/>
                <w:sz w:val="20"/>
              </w:rPr>
              <w:br/>
              <w:t>Document 14</w:t>
            </w:r>
            <w:r w:rsidR="00A066F1" w:rsidRPr="00841216">
              <w:rPr>
                <w:rFonts w:ascii="Verdana" w:hAnsi="Verdana"/>
                <w:b/>
                <w:sz w:val="20"/>
              </w:rPr>
              <w:t>-</w:t>
            </w:r>
            <w:r w:rsidR="005E10C9" w:rsidRPr="00841216">
              <w:rPr>
                <w:rFonts w:ascii="Verdana" w:hAnsi="Verdana"/>
                <w:b/>
                <w:sz w:val="20"/>
              </w:rPr>
              <w:t>E</w:t>
            </w:r>
          </w:p>
        </w:tc>
      </w:tr>
      <w:tr w:rsidR="00A066F1" w:rsidRPr="00C324A8" w14:paraId="2406CB47" w14:textId="77777777">
        <w:trPr>
          <w:cantSplit/>
          <w:trHeight w:val="23"/>
        </w:trPr>
        <w:tc>
          <w:tcPr>
            <w:tcW w:w="6911" w:type="dxa"/>
            <w:shd w:val="clear" w:color="auto" w:fill="auto"/>
          </w:tcPr>
          <w:p w14:paraId="76E8BB30"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59621D31"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14:paraId="2D788DD2" w14:textId="77777777">
        <w:trPr>
          <w:cantSplit/>
          <w:trHeight w:val="23"/>
        </w:trPr>
        <w:tc>
          <w:tcPr>
            <w:tcW w:w="6911" w:type="dxa"/>
            <w:shd w:val="clear" w:color="auto" w:fill="auto"/>
          </w:tcPr>
          <w:p w14:paraId="33B11A8A"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2C53FF5E"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70CD340F" w14:textId="77777777" w:rsidTr="00025864">
        <w:trPr>
          <w:cantSplit/>
          <w:trHeight w:val="23"/>
        </w:trPr>
        <w:tc>
          <w:tcPr>
            <w:tcW w:w="10031" w:type="dxa"/>
            <w:gridSpan w:val="2"/>
            <w:shd w:val="clear" w:color="auto" w:fill="auto"/>
          </w:tcPr>
          <w:p w14:paraId="04E56E82" w14:textId="77777777" w:rsidR="00A066F1" w:rsidRPr="00C324A8" w:rsidRDefault="00A066F1" w:rsidP="00A066F1">
            <w:pPr>
              <w:tabs>
                <w:tab w:val="left" w:pos="993"/>
              </w:tabs>
              <w:spacing w:before="0"/>
              <w:rPr>
                <w:rFonts w:ascii="Verdana" w:hAnsi="Verdana"/>
                <w:b/>
                <w:sz w:val="20"/>
              </w:rPr>
            </w:pPr>
          </w:p>
        </w:tc>
      </w:tr>
      <w:tr w:rsidR="00E55816" w:rsidRPr="00C324A8" w14:paraId="0FAE0DDE" w14:textId="77777777" w:rsidTr="00025864">
        <w:trPr>
          <w:cantSplit/>
          <w:trHeight w:val="23"/>
        </w:trPr>
        <w:tc>
          <w:tcPr>
            <w:tcW w:w="10031" w:type="dxa"/>
            <w:gridSpan w:val="2"/>
            <w:shd w:val="clear" w:color="auto" w:fill="auto"/>
          </w:tcPr>
          <w:p w14:paraId="0B53248E" w14:textId="77777777" w:rsidR="00E55816" w:rsidRDefault="00884D60" w:rsidP="00E55816">
            <w:pPr>
              <w:pStyle w:val="Source"/>
            </w:pPr>
            <w:r>
              <w:t>Canada</w:t>
            </w:r>
          </w:p>
        </w:tc>
      </w:tr>
      <w:tr w:rsidR="00E55816" w:rsidRPr="00C324A8" w14:paraId="4F26922F" w14:textId="77777777" w:rsidTr="00025864">
        <w:trPr>
          <w:cantSplit/>
          <w:trHeight w:val="23"/>
        </w:trPr>
        <w:tc>
          <w:tcPr>
            <w:tcW w:w="10031" w:type="dxa"/>
            <w:gridSpan w:val="2"/>
            <w:shd w:val="clear" w:color="auto" w:fill="auto"/>
          </w:tcPr>
          <w:p w14:paraId="2356AC8E" w14:textId="77777777" w:rsidR="00E55816" w:rsidRDefault="007D5320" w:rsidP="00E55816">
            <w:pPr>
              <w:pStyle w:val="Title1"/>
            </w:pPr>
            <w:r>
              <w:t>Proposals for the work of the conference</w:t>
            </w:r>
          </w:p>
        </w:tc>
      </w:tr>
      <w:tr w:rsidR="00E55816" w:rsidRPr="00C324A8" w14:paraId="757094DA" w14:textId="77777777" w:rsidTr="00025864">
        <w:trPr>
          <w:cantSplit/>
          <w:trHeight w:val="23"/>
        </w:trPr>
        <w:tc>
          <w:tcPr>
            <w:tcW w:w="10031" w:type="dxa"/>
            <w:gridSpan w:val="2"/>
            <w:shd w:val="clear" w:color="auto" w:fill="auto"/>
          </w:tcPr>
          <w:p w14:paraId="15C303AC" w14:textId="77777777" w:rsidR="00E55816" w:rsidRDefault="00E55816" w:rsidP="00E55816">
            <w:pPr>
              <w:pStyle w:val="Title2"/>
            </w:pPr>
          </w:p>
        </w:tc>
      </w:tr>
      <w:tr w:rsidR="00A538A6" w:rsidRPr="00C324A8" w14:paraId="02137E7E" w14:textId="77777777" w:rsidTr="00025864">
        <w:trPr>
          <w:cantSplit/>
          <w:trHeight w:val="23"/>
        </w:trPr>
        <w:tc>
          <w:tcPr>
            <w:tcW w:w="10031" w:type="dxa"/>
            <w:gridSpan w:val="2"/>
            <w:shd w:val="clear" w:color="auto" w:fill="auto"/>
          </w:tcPr>
          <w:p w14:paraId="7B0B7850" w14:textId="77777777" w:rsidR="00A538A6" w:rsidRDefault="004B13CB" w:rsidP="004B13CB">
            <w:pPr>
              <w:pStyle w:val="Agendaitem"/>
            </w:pPr>
            <w:r>
              <w:t>Agenda item 9.2</w:t>
            </w:r>
          </w:p>
        </w:tc>
      </w:tr>
    </w:tbl>
    <w:bookmarkEnd w:id="5"/>
    <w:bookmarkEnd w:id="6"/>
    <w:p w14:paraId="40E84AC4" w14:textId="77777777" w:rsidR="005118F7" w:rsidRPr="00EC5386" w:rsidRDefault="00D75287"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2A891461" w14:textId="77777777" w:rsidR="005118F7" w:rsidRPr="00C22E98" w:rsidRDefault="00D75287" w:rsidP="006C1544">
      <w:r w:rsidRPr="00656311">
        <w:rPr>
          <w:lang w:val="en-US"/>
        </w:rPr>
        <w:t>9.2</w:t>
      </w:r>
      <w:r w:rsidRPr="00656311">
        <w:rPr>
          <w:lang w:val="en-US"/>
        </w:rPr>
        <w:tab/>
        <w:t>on any difficulties or inconsistencies encountered in the application of the Radio Regulations</w:t>
      </w:r>
      <w:r>
        <w:rPr>
          <w:rStyle w:val="FootnoteReference"/>
          <w:lang w:val="en-US"/>
        </w:rPr>
        <w:footnoteReference w:customMarkFollows="1" w:id="1"/>
        <w:t>*</w:t>
      </w:r>
      <w:r w:rsidRPr="00656311">
        <w:rPr>
          <w:lang w:val="en-US"/>
        </w:rPr>
        <w:t>; and</w:t>
      </w:r>
    </w:p>
    <w:p w14:paraId="059E8F8B" w14:textId="1E94D3D8" w:rsidR="00A44415" w:rsidRPr="00A44415" w:rsidRDefault="00A44415" w:rsidP="00A44415">
      <w:pPr>
        <w:rPr>
          <w:lang w:eastAsia="zh-CN"/>
        </w:rPr>
      </w:pPr>
      <w:r w:rsidRPr="00A44415">
        <w:rPr>
          <w:lang w:eastAsia="zh-CN"/>
        </w:rPr>
        <w:t>Canada acknowledges the efforts taken by the Radiocommunication Bureau to identify and provide in the Director’s Report to WRC-19 any errors, inconsistencies and out-of-date provisions encountered in the application of the Radio Regulations, as well as the Bureau’s proposed “correct text” and “possible corrective” or “course of action”.</w:t>
      </w:r>
    </w:p>
    <w:p w14:paraId="2EF57534" w14:textId="164CBDDE" w:rsidR="00A44415" w:rsidRPr="00A44415" w:rsidRDefault="00A44415" w:rsidP="00A44415">
      <w:pPr>
        <w:rPr>
          <w:lang w:eastAsia="zh-CN"/>
        </w:rPr>
      </w:pPr>
      <w:r w:rsidRPr="00A44415">
        <w:rPr>
          <w:lang w:eastAsia="zh-CN"/>
        </w:rPr>
        <w:t>Canada provides its proposals with respect to various sections contained in Document 4, Addendum</w:t>
      </w:r>
      <w:r w:rsidR="00232442">
        <w:rPr>
          <w:lang w:eastAsia="zh-CN"/>
        </w:rPr>
        <w:t> </w:t>
      </w:r>
      <w:r w:rsidRPr="00A44415">
        <w:rPr>
          <w:lang w:eastAsia="zh-CN"/>
        </w:rPr>
        <w:t>2. Note, in some cases, additional proposals or other measures with which to resolve a given error or inconsistency may be provided.</w:t>
      </w:r>
    </w:p>
    <w:p w14:paraId="199E1E17" w14:textId="77777777" w:rsidR="00A44415" w:rsidRDefault="00A44415">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1F515CC" w14:textId="77777777" w:rsidR="00CE643B" w:rsidRPr="008722F7" w:rsidRDefault="00D75287">
      <w:pPr>
        <w:pStyle w:val="Proposal"/>
      </w:pPr>
      <w:r>
        <w:lastRenderedPageBreak/>
        <w:tab/>
      </w:r>
      <w:r w:rsidRPr="008722F7">
        <w:t>CAN/14A22/1</w:t>
      </w:r>
    </w:p>
    <w:p w14:paraId="12520ADB" w14:textId="77777777" w:rsidR="00CE643B" w:rsidRPr="008722F7" w:rsidRDefault="00A44415" w:rsidP="00A44415">
      <w:r w:rsidRPr="008722F7">
        <w:t>Regarding Section 3.1.2.1 contained in Document 4, Addendum 2, Canada would support the development of a Rule of Procedure in order to establish appropriate coordination requirements for space-to-space links in the radionavigation-satellite service.</w:t>
      </w:r>
    </w:p>
    <w:p w14:paraId="70771B91" w14:textId="77777777" w:rsidR="00CE643B" w:rsidRPr="008722F7" w:rsidRDefault="00CE643B">
      <w:pPr>
        <w:pStyle w:val="Reasons"/>
      </w:pPr>
    </w:p>
    <w:p w14:paraId="246989BB" w14:textId="77777777" w:rsidR="00CE643B" w:rsidRPr="008722F7" w:rsidRDefault="00D75287">
      <w:pPr>
        <w:pStyle w:val="Proposal"/>
      </w:pPr>
      <w:r w:rsidRPr="008722F7">
        <w:tab/>
        <w:t>CAN/14A22/2</w:t>
      </w:r>
    </w:p>
    <w:p w14:paraId="7FD58EBD" w14:textId="47F12344" w:rsidR="00CE643B" w:rsidRPr="008722F7" w:rsidRDefault="00A44415" w:rsidP="00A44415">
      <w:r w:rsidRPr="008722F7">
        <w:t xml:space="preserve">Regarding Section 3.1.2.4 contained in Document 4, Addendum 2, Canada notes the Bureau’s observations regarding the requests for coordination for the use of the secondary allocation of the space research (Earth-to-space) service, which include parameters different from previously recorded for the service in the bands covered by Resolutions </w:t>
      </w:r>
      <w:r w:rsidRPr="008722F7">
        <w:rPr>
          <w:b/>
        </w:rPr>
        <w:t>163</w:t>
      </w:r>
      <w:r w:rsidR="004C3819" w:rsidRPr="008722F7">
        <w:rPr>
          <w:b/>
        </w:rPr>
        <w:t xml:space="preserve"> (WRC-15)</w:t>
      </w:r>
      <w:r w:rsidRPr="008722F7">
        <w:t xml:space="preserve"> and </w:t>
      </w:r>
      <w:r w:rsidRPr="008722F7">
        <w:rPr>
          <w:b/>
        </w:rPr>
        <w:t>164</w:t>
      </w:r>
      <w:r w:rsidR="004C3819" w:rsidRPr="008722F7">
        <w:rPr>
          <w:b/>
        </w:rPr>
        <w:t xml:space="preserve"> (WRC-15)</w:t>
      </w:r>
      <w:r w:rsidRPr="008722F7">
        <w:t>. Canada also shares the Bureau’s view that this evolution of the technical parameters of the space research service may have an impact on the sharing environment of the band 14.5-14.8 GHz, and that this situation requires further study within the ITU-R.</w:t>
      </w:r>
    </w:p>
    <w:p w14:paraId="3ED1F7A0" w14:textId="77777777" w:rsidR="00CE643B" w:rsidRPr="008722F7" w:rsidRDefault="00CE643B">
      <w:pPr>
        <w:pStyle w:val="Reasons"/>
      </w:pPr>
    </w:p>
    <w:p w14:paraId="18157E7C" w14:textId="77777777" w:rsidR="00CE643B" w:rsidRPr="008722F7" w:rsidRDefault="00D75287">
      <w:pPr>
        <w:pStyle w:val="Proposal"/>
      </w:pPr>
      <w:r w:rsidRPr="008722F7">
        <w:tab/>
        <w:t>CAN/14A22/3</w:t>
      </w:r>
    </w:p>
    <w:p w14:paraId="0BA207DC" w14:textId="77777777" w:rsidR="00CE643B" w:rsidRPr="008722F7" w:rsidRDefault="00A44415">
      <w:r w:rsidRPr="008722F7">
        <w:t>Regarding Section 3.1.3.2</w:t>
      </w:r>
      <w:r w:rsidRPr="008722F7">
        <w:rPr>
          <w:i/>
        </w:rPr>
        <w:t>bis</w:t>
      </w:r>
      <w:r w:rsidRPr="008722F7">
        <w:t xml:space="preserve"> contained in Document 4, Addendum 2, Canada supports the Bureau’s view that the Conference consider adding a note in No. </w:t>
      </w:r>
      <w:r w:rsidRPr="008722F7">
        <w:rPr>
          <w:b/>
        </w:rPr>
        <w:t>9.2</w:t>
      </w:r>
      <w:r w:rsidRPr="008722F7">
        <w:t xml:space="preserve"> </w:t>
      </w:r>
      <w:r w:rsidR="004C3819" w:rsidRPr="008722F7">
        <w:t xml:space="preserve">of the Radio Regulations (RR) </w:t>
      </w:r>
      <w:r w:rsidRPr="008722F7">
        <w:t xml:space="preserve">in order to indicate that, for networks using inter-satellite links of a geostationary space station communicating with a non-geostationary space station which are not subject to the coordination procedure under Section II of </w:t>
      </w:r>
      <w:r w:rsidR="004C3819" w:rsidRPr="008722F7">
        <w:t xml:space="preserve">RR </w:t>
      </w:r>
      <w:r w:rsidRPr="008722F7">
        <w:t xml:space="preserve">Article </w:t>
      </w:r>
      <w:r w:rsidRPr="008722F7">
        <w:rPr>
          <w:b/>
          <w:bCs/>
        </w:rPr>
        <w:t>9</w:t>
      </w:r>
      <w:r w:rsidRPr="008722F7">
        <w:t>, characteristics to be provided for advance publication in the BR IFIC will be the same as those listed for coordination of a geostationary-satellite network</w:t>
      </w:r>
      <w:r w:rsidR="001A38B0" w:rsidRPr="008722F7">
        <w:t>.</w:t>
      </w:r>
    </w:p>
    <w:p w14:paraId="621427DC" w14:textId="77777777" w:rsidR="00CE643B" w:rsidRPr="008722F7" w:rsidRDefault="00CE643B">
      <w:pPr>
        <w:pStyle w:val="Reasons"/>
      </w:pPr>
    </w:p>
    <w:p w14:paraId="3A4A11D1" w14:textId="77777777" w:rsidR="00CE643B" w:rsidRPr="008722F7" w:rsidRDefault="00D75287">
      <w:pPr>
        <w:pStyle w:val="Proposal"/>
      </w:pPr>
      <w:r w:rsidRPr="008722F7">
        <w:tab/>
        <w:t>CAN/14A22/4</w:t>
      </w:r>
    </w:p>
    <w:p w14:paraId="469A522C" w14:textId="77777777" w:rsidR="00CE643B" w:rsidRPr="008722F7" w:rsidRDefault="00A44415" w:rsidP="00A44415">
      <w:r w:rsidRPr="008722F7">
        <w:t xml:space="preserve">Regarding Section 3.1.4.2.2 contained in Document 4, Addendum 2, Canada supports the measures identified by the Bureau to ensure the transparency and accuracy regarding the status of coordination under RR No. </w:t>
      </w:r>
      <w:r w:rsidRPr="008722F7">
        <w:rPr>
          <w:b/>
        </w:rPr>
        <w:t>9.7</w:t>
      </w:r>
      <w:r w:rsidRPr="008722F7">
        <w:t xml:space="preserve"> with respect to satellite networks at notice level for examination under RR No. </w:t>
      </w:r>
      <w:r w:rsidRPr="008722F7">
        <w:rPr>
          <w:b/>
        </w:rPr>
        <w:t>11.32A</w:t>
      </w:r>
      <w:r w:rsidRPr="008722F7">
        <w:t>.</w:t>
      </w:r>
    </w:p>
    <w:p w14:paraId="294F3442" w14:textId="77777777" w:rsidR="00CE643B" w:rsidRPr="008722F7" w:rsidRDefault="00CE643B">
      <w:pPr>
        <w:pStyle w:val="Reasons"/>
      </w:pPr>
    </w:p>
    <w:p w14:paraId="5E948C62" w14:textId="77777777" w:rsidR="00CE643B" w:rsidRPr="008722F7" w:rsidRDefault="00D75287">
      <w:pPr>
        <w:pStyle w:val="Proposal"/>
      </w:pPr>
      <w:r w:rsidRPr="008722F7">
        <w:tab/>
        <w:t>CAN/14A22/5</w:t>
      </w:r>
    </w:p>
    <w:p w14:paraId="03DA8597" w14:textId="08E2CE49" w:rsidR="00CE643B" w:rsidRPr="008722F7" w:rsidRDefault="00A44415" w:rsidP="00A44415">
      <w:r w:rsidRPr="008722F7">
        <w:t xml:space="preserve">Regarding Section 3.1.4.3 contained in Document 4, Addendum 2, Canada supports option 2 as suggested by the Bureau: Automatic extension of the foreseen dates of bringing into use in the database to the end of the regulatory period established under </w:t>
      </w:r>
      <w:r w:rsidR="004C3819" w:rsidRPr="008722F7">
        <w:t xml:space="preserve">RR </w:t>
      </w:r>
      <w:r w:rsidRPr="008722F7">
        <w:t xml:space="preserve">No. </w:t>
      </w:r>
      <w:r w:rsidRPr="008722F7">
        <w:rPr>
          <w:b/>
        </w:rPr>
        <w:t>11.44</w:t>
      </w:r>
      <w:r w:rsidRPr="008722F7">
        <w:t xml:space="preserve"> if no confirmation had been received by the Bureau within 4 months from the foreseen date of bringing into use: no publication will be issued for this revision of the date of bringing into use, but this information will be visible on the BR website. This option does not require any change in the current Radio Regulations.</w:t>
      </w:r>
    </w:p>
    <w:p w14:paraId="71439A3D" w14:textId="77777777" w:rsidR="00CE643B" w:rsidRPr="008722F7" w:rsidRDefault="00CE643B">
      <w:pPr>
        <w:pStyle w:val="Reasons"/>
      </w:pPr>
    </w:p>
    <w:p w14:paraId="498112B1" w14:textId="77777777" w:rsidR="00CE643B" w:rsidRPr="008722F7" w:rsidRDefault="00D75287">
      <w:pPr>
        <w:pStyle w:val="Proposal"/>
      </w:pPr>
      <w:r w:rsidRPr="008722F7">
        <w:tab/>
        <w:t>CAN/14A22/6</w:t>
      </w:r>
    </w:p>
    <w:p w14:paraId="77B6E5F1" w14:textId="00106D30" w:rsidR="00CE643B" w:rsidRPr="008722F7" w:rsidRDefault="00A44415" w:rsidP="00A44415">
      <w:r w:rsidRPr="008722F7">
        <w:t xml:space="preserve">Regarding Section 3.1.5 contained in Document 4, Addendum 2, </w:t>
      </w:r>
      <w:r w:rsidRPr="008722F7">
        <w:rPr>
          <w:lang w:val="en-CA"/>
        </w:rPr>
        <w:t xml:space="preserve">Canada supports the proposed modifications to Annex 1 of Recommendation ITU-R M.585-7, furthermore Canada would support proposals to modify </w:t>
      </w:r>
      <w:r w:rsidR="004C3819" w:rsidRPr="008722F7">
        <w:rPr>
          <w:lang w:val="en-CA"/>
        </w:rPr>
        <w:t xml:space="preserve">RR </w:t>
      </w:r>
      <w:r w:rsidRPr="008722F7">
        <w:rPr>
          <w:lang w:val="en-CA"/>
        </w:rPr>
        <w:t xml:space="preserve">Nos. </w:t>
      </w:r>
      <w:r w:rsidRPr="008722F7">
        <w:rPr>
          <w:b/>
          <w:lang w:val="en-CA"/>
        </w:rPr>
        <w:t>19.36</w:t>
      </w:r>
      <w:r w:rsidRPr="008722F7">
        <w:rPr>
          <w:lang w:val="en-CA"/>
        </w:rPr>
        <w:t xml:space="preserve"> and </w:t>
      </w:r>
      <w:r w:rsidRPr="008722F7">
        <w:rPr>
          <w:b/>
          <w:lang w:val="en-CA"/>
        </w:rPr>
        <w:t>19.114</w:t>
      </w:r>
      <w:r w:rsidRPr="008722F7">
        <w:rPr>
          <w:lang w:val="en-CA"/>
        </w:rPr>
        <w:t xml:space="preserve"> as suggested by the Bureau.</w:t>
      </w:r>
    </w:p>
    <w:p w14:paraId="3EA03FFE" w14:textId="77777777" w:rsidR="00CE643B" w:rsidRPr="008722F7" w:rsidRDefault="00CE643B">
      <w:pPr>
        <w:pStyle w:val="Reasons"/>
      </w:pPr>
    </w:p>
    <w:p w14:paraId="24C3CD6A" w14:textId="77777777" w:rsidR="00CE643B" w:rsidRPr="008722F7" w:rsidRDefault="00D75287">
      <w:pPr>
        <w:pStyle w:val="Proposal"/>
      </w:pPr>
      <w:r w:rsidRPr="008722F7">
        <w:tab/>
        <w:t>CAN/14A22/7</w:t>
      </w:r>
    </w:p>
    <w:p w14:paraId="06AC22B2" w14:textId="1139736D" w:rsidR="00CE643B" w:rsidRPr="008722F7" w:rsidRDefault="00F46872" w:rsidP="00F46872">
      <w:r w:rsidRPr="008722F7">
        <w:t xml:space="preserve">Regarding Section 3.1.7.2 contained in Document 4, Addendum 2, Canada notes the Bureau’s findings and supports the suggestion to invite the ITU-R to study the appropriateness of the equations contained in </w:t>
      </w:r>
      <w:r w:rsidR="004C3819" w:rsidRPr="008722F7">
        <w:t xml:space="preserve">RR </w:t>
      </w:r>
      <w:r w:rsidRPr="008722F7">
        <w:t xml:space="preserve">No. </w:t>
      </w:r>
      <w:r w:rsidRPr="008722F7">
        <w:rPr>
          <w:b/>
          <w:bCs/>
        </w:rPr>
        <w:t>21.16.6</w:t>
      </w:r>
      <w:r w:rsidRPr="008722F7">
        <w:t xml:space="preserve"> for non-GSO satellite systems having more than 1 000 satellites.</w:t>
      </w:r>
    </w:p>
    <w:p w14:paraId="14BBA935" w14:textId="77777777" w:rsidR="00CE643B" w:rsidRPr="008722F7" w:rsidRDefault="00CE643B">
      <w:pPr>
        <w:pStyle w:val="Reasons"/>
      </w:pPr>
    </w:p>
    <w:p w14:paraId="7E5725F9" w14:textId="77777777" w:rsidR="00CE643B" w:rsidRPr="008722F7" w:rsidRDefault="00D75287">
      <w:pPr>
        <w:pStyle w:val="Proposal"/>
      </w:pPr>
      <w:r w:rsidRPr="008722F7">
        <w:tab/>
        <w:t>CAN/14A22/8</w:t>
      </w:r>
    </w:p>
    <w:p w14:paraId="7058CBD9" w14:textId="77777777" w:rsidR="00CE643B" w:rsidRPr="008722F7" w:rsidRDefault="00F46872" w:rsidP="00F46872">
      <w:r w:rsidRPr="008722F7">
        <w:t xml:space="preserve">Regarding Section 3.2.4.1 contained in Document 4, Addendum 2, Canada supports the Bureau’s proposal to revise the text of §§ 4.1.16/4.2.20 of both </w:t>
      </w:r>
      <w:r w:rsidR="004C3819" w:rsidRPr="008722F7">
        <w:t xml:space="preserve">RR </w:t>
      </w:r>
      <w:r w:rsidRPr="008722F7">
        <w:t xml:space="preserve">Appendix </w:t>
      </w:r>
      <w:r w:rsidRPr="008722F7">
        <w:rPr>
          <w:b/>
          <w:bCs/>
        </w:rPr>
        <w:t>30</w:t>
      </w:r>
      <w:r w:rsidRPr="008722F7">
        <w:t xml:space="preserve"> and Appendix </w:t>
      </w:r>
      <w:r w:rsidRPr="008722F7">
        <w:rPr>
          <w:b/>
          <w:bCs/>
        </w:rPr>
        <w:t>30A</w:t>
      </w:r>
      <w:r w:rsidRPr="008722F7">
        <w:t xml:space="preserve"> to make mandatory the efforts to achieve an agreement before any request to apply § 4.1.18.</w:t>
      </w:r>
    </w:p>
    <w:p w14:paraId="1991308E" w14:textId="77777777" w:rsidR="00CE643B" w:rsidRPr="008722F7" w:rsidRDefault="00CE643B">
      <w:pPr>
        <w:pStyle w:val="Reasons"/>
      </w:pPr>
    </w:p>
    <w:p w14:paraId="720080A3" w14:textId="77777777" w:rsidR="00CE643B" w:rsidRPr="008722F7" w:rsidRDefault="00D75287">
      <w:pPr>
        <w:pStyle w:val="Proposal"/>
      </w:pPr>
      <w:r w:rsidRPr="008722F7">
        <w:tab/>
        <w:t>CAN/14A22/9</w:t>
      </w:r>
    </w:p>
    <w:p w14:paraId="1853F13E" w14:textId="77777777" w:rsidR="00CE643B" w:rsidRPr="008722F7" w:rsidRDefault="00F46872">
      <w:r w:rsidRPr="008722F7">
        <w:t xml:space="preserve">Regarding Section 3.2.4.2 contained in Document 4, Addendum 2, Canada supports the Bureau’s proposal to add a footnote to </w:t>
      </w:r>
      <w:r w:rsidRPr="008722F7">
        <w:rPr>
          <w:bCs/>
        </w:rPr>
        <w:t xml:space="preserve">§§ 4.1.13 and 4.2.17 </w:t>
      </w:r>
      <w:r w:rsidRPr="008722F7">
        <w:t xml:space="preserve">in Article 4 of </w:t>
      </w:r>
      <w:r w:rsidR="004C3819" w:rsidRPr="008722F7">
        <w:t xml:space="preserve">RR </w:t>
      </w:r>
      <w:r w:rsidRPr="008722F7">
        <w:t xml:space="preserve">Appendices </w:t>
      </w:r>
      <w:r w:rsidRPr="008722F7">
        <w:rPr>
          <w:b/>
          <w:bCs/>
        </w:rPr>
        <w:t>30</w:t>
      </w:r>
      <w:r w:rsidRPr="008722F7">
        <w:t xml:space="preserve"> and </w:t>
      </w:r>
      <w:r w:rsidRPr="008722F7">
        <w:rPr>
          <w:b/>
          <w:bCs/>
        </w:rPr>
        <w:t xml:space="preserve">30A </w:t>
      </w:r>
      <w:r w:rsidRPr="008722F7">
        <w:rPr>
          <w:bCs/>
        </w:rPr>
        <w:t xml:space="preserve">in order to remind </w:t>
      </w:r>
      <w:r w:rsidRPr="008722F7">
        <w:t>the notifying Administration of the consequence in case the agreement obtained under this Article is not renewed.</w:t>
      </w:r>
    </w:p>
    <w:p w14:paraId="675A8D18" w14:textId="77777777" w:rsidR="00CE643B" w:rsidRPr="008722F7" w:rsidRDefault="00CE643B">
      <w:pPr>
        <w:pStyle w:val="Reasons"/>
      </w:pPr>
    </w:p>
    <w:p w14:paraId="17E3CD0E" w14:textId="77777777" w:rsidR="00CE643B" w:rsidRPr="008722F7" w:rsidRDefault="00D75287">
      <w:pPr>
        <w:pStyle w:val="Proposal"/>
      </w:pPr>
      <w:r w:rsidRPr="008722F7">
        <w:tab/>
        <w:t>CAN/14A22/10</w:t>
      </w:r>
    </w:p>
    <w:p w14:paraId="193E44D1" w14:textId="77777777" w:rsidR="00CE643B" w:rsidRPr="008722F7" w:rsidRDefault="00F46872" w:rsidP="00F46872">
      <w:r w:rsidRPr="008722F7">
        <w:t xml:space="preserve">Regarding Section 3.2.4.6 contained in Document 4, Addendum 2, Canada supports the Bureau’s proposal to suppress the Rule of Procedure on RR No. </w:t>
      </w:r>
      <w:r w:rsidRPr="008722F7">
        <w:rPr>
          <w:b/>
        </w:rPr>
        <w:t>5.510</w:t>
      </w:r>
      <w:r w:rsidRPr="008722F7">
        <w:t xml:space="preserve"> and to reflect the sharing situation directly in the Radio Regulations, through the modifications proposed by the Bureau to</w:t>
      </w:r>
      <w:r w:rsidRPr="008722F7">
        <w:rPr>
          <w:bCs/>
        </w:rPr>
        <w:t xml:space="preserve"> </w:t>
      </w:r>
      <w:r w:rsidR="00A06E31" w:rsidRPr="008722F7">
        <w:t xml:space="preserve">RR </w:t>
      </w:r>
      <w:r w:rsidRPr="008722F7">
        <w:rPr>
          <w:bCs/>
        </w:rPr>
        <w:t xml:space="preserve">Appendix </w:t>
      </w:r>
      <w:r w:rsidRPr="008722F7">
        <w:rPr>
          <w:b/>
          <w:bCs/>
        </w:rPr>
        <w:t>30A</w:t>
      </w:r>
      <w:r w:rsidRPr="008722F7">
        <w:rPr>
          <w:bCs/>
        </w:rPr>
        <w:t>.</w:t>
      </w:r>
    </w:p>
    <w:p w14:paraId="04E2B848" w14:textId="77777777" w:rsidR="00CE643B" w:rsidRPr="008722F7" w:rsidRDefault="00CE643B">
      <w:pPr>
        <w:pStyle w:val="Reasons"/>
      </w:pPr>
    </w:p>
    <w:p w14:paraId="08C45809" w14:textId="77777777" w:rsidR="00CE643B" w:rsidRPr="008722F7" w:rsidRDefault="00D75287">
      <w:pPr>
        <w:pStyle w:val="Proposal"/>
      </w:pPr>
      <w:r w:rsidRPr="008722F7">
        <w:tab/>
        <w:t>CAN/14A22/11</w:t>
      </w:r>
    </w:p>
    <w:p w14:paraId="6F71F562" w14:textId="03025091" w:rsidR="00CE643B" w:rsidRPr="008722F7" w:rsidRDefault="00F46872">
      <w:r w:rsidRPr="008722F7">
        <w:t xml:space="preserve">Section 3.2.4.7 contained in Document 4, Addendum 2 concerns the decision of WRC-15 on Rule of Procedure on § 2A.1.2 as it pertains to the criterion to be applied for coordination among assignments intended to provide the space operation functions and services not subject to a Plan in the 14.5-14.8 GHz. This coordination is effected using the provisions of RR No. </w:t>
      </w:r>
      <w:r w:rsidRPr="008722F7">
        <w:rPr>
          <w:b/>
          <w:bCs/>
        </w:rPr>
        <w:t>9.7</w:t>
      </w:r>
      <w:r w:rsidRPr="008722F7">
        <w:t xml:space="preserve">. Canada supports the Bureau’s proposal to reflect this decision directly in the RR, namely the modification to the relevant part of </w:t>
      </w:r>
      <w:r w:rsidR="002E7A31" w:rsidRPr="008722F7">
        <w:t xml:space="preserve">RR </w:t>
      </w:r>
      <w:r w:rsidRPr="008722F7">
        <w:t xml:space="preserve">Appendix </w:t>
      </w:r>
      <w:r w:rsidRPr="008722F7">
        <w:rPr>
          <w:b/>
        </w:rPr>
        <w:t>5</w:t>
      </w:r>
      <w:r w:rsidRPr="008722F7">
        <w:t>, and to subsequently suppress the corresponding Rule of Procedure.</w:t>
      </w:r>
    </w:p>
    <w:p w14:paraId="01DF9F93" w14:textId="77777777" w:rsidR="00CE643B" w:rsidRPr="008722F7" w:rsidRDefault="00CE643B">
      <w:pPr>
        <w:pStyle w:val="Reasons"/>
      </w:pPr>
    </w:p>
    <w:p w14:paraId="7AF97E53" w14:textId="77777777" w:rsidR="00CE643B" w:rsidRPr="008722F7" w:rsidRDefault="00D75287">
      <w:pPr>
        <w:pStyle w:val="Proposal"/>
      </w:pPr>
      <w:r w:rsidRPr="008722F7">
        <w:tab/>
        <w:t>CAN/14A22/12</w:t>
      </w:r>
    </w:p>
    <w:p w14:paraId="507031A3" w14:textId="0AD98533" w:rsidR="00CE643B" w:rsidRPr="008722F7" w:rsidRDefault="00F46872" w:rsidP="00F46872">
      <w:r w:rsidRPr="008722F7">
        <w:t xml:space="preserve">Section 3.2.4.8 contained in Document 4, Addendum 2 concerns Section 6 of Annex 1 to </w:t>
      </w:r>
      <w:r w:rsidR="004C3819" w:rsidRPr="008722F7">
        <w:t xml:space="preserve">RR </w:t>
      </w:r>
      <w:r w:rsidRPr="008722F7">
        <w:t xml:space="preserve">Appendix </w:t>
      </w:r>
      <w:r w:rsidRPr="008722F7">
        <w:rPr>
          <w:b/>
          <w:bCs/>
        </w:rPr>
        <w:t>30</w:t>
      </w:r>
      <w:r w:rsidRPr="008722F7">
        <w:t xml:space="preserve"> and the criteria to determine if an FSS administration is considered as being affected under § 4.1.1 e) or § 4.2.3 e) of Article 4 of the same Appendix by a new or modified assignment in the Regions 1 and 3 List, or a proposed modification to the Region 2 Plan, as appropriate. Canada supports the Bureau’s proposal to align the conditions in Section 6 with other Sections in Annex 1 to </w:t>
      </w:r>
      <w:r w:rsidR="004C3819" w:rsidRPr="008722F7">
        <w:t xml:space="preserve">RR </w:t>
      </w:r>
      <w:r w:rsidRPr="008722F7">
        <w:t xml:space="preserve">Appendix </w:t>
      </w:r>
      <w:r w:rsidRPr="008722F7">
        <w:rPr>
          <w:b/>
          <w:bCs/>
        </w:rPr>
        <w:t>30</w:t>
      </w:r>
      <w:r w:rsidRPr="008722F7">
        <w:rPr>
          <w:bCs/>
        </w:rPr>
        <w:t>, with the modifications as proposed by the Bureau</w:t>
      </w:r>
      <w:r w:rsidRPr="008722F7">
        <w:t>.</w:t>
      </w:r>
    </w:p>
    <w:p w14:paraId="7B2D11F4" w14:textId="77777777" w:rsidR="00CE643B" w:rsidRPr="008722F7" w:rsidRDefault="00CE643B">
      <w:pPr>
        <w:pStyle w:val="Reasons"/>
      </w:pPr>
    </w:p>
    <w:p w14:paraId="0B16B262" w14:textId="77777777" w:rsidR="00CE643B" w:rsidRPr="008722F7" w:rsidRDefault="00D75287">
      <w:pPr>
        <w:pStyle w:val="Proposal"/>
      </w:pPr>
      <w:r w:rsidRPr="008722F7">
        <w:tab/>
        <w:t>CAN/14A22/13</w:t>
      </w:r>
    </w:p>
    <w:p w14:paraId="00C60D15" w14:textId="55D7A3AF" w:rsidR="00CE643B" w:rsidRPr="008722F7" w:rsidRDefault="00F46872" w:rsidP="00F46872">
      <w:r w:rsidRPr="008722F7">
        <w:t xml:space="preserve">Section 3.2.4.9 contained in Document 4, Addendum 2 concerns the issue relating to the use of power density for the calculation of ΔT/T under § 2 of Annex 4 to </w:t>
      </w:r>
      <w:r w:rsidR="004C3819" w:rsidRPr="008722F7">
        <w:t xml:space="preserve">RR </w:t>
      </w:r>
      <w:r w:rsidRPr="008722F7">
        <w:t xml:space="preserve">Appendix </w:t>
      </w:r>
      <w:r w:rsidRPr="008722F7">
        <w:rPr>
          <w:b/>
          <w:bCs/>
        </w:rPr>
        <w:t>30A</w:t>
      </w:r>
      <w:r w:rsidRPr="008722F7">
        <w:t>. Canada supports the Bureau’s proposal, and the WRC-15 decision, to use the maximum power densities per hertz averaged over the worst 1 MHz instead of power densities per hertz averaged over the necessary bandwidth of the feeder-link carriers in the Δ</w:t>
      </w:r>
      <w:r w:rsidRPr="008722F7">
        <w:rPr>
          <w:i/>
          <w:iCs/>
        </w:rPr>
        <w:t>T</w:t>
      </w:r>
      <w:r w:rsidRPr="008722F7">
        <w:t>/</w:t>
      </w:r>
      <w:r w:rsidRPr="008722F7">
        <w:rPr>
          <w:i/>
          <w:iCs/>
        </w:rPr>
        <w:t>T</w:t>
      </w:r>
      <w:r w:rsidRPr="008722F7">
        <w:t xml:space="preserve"> calculation specified in Section 2 of Annex 4 to </w:t>
      </w:r>
      <w:r w:rsidR="004C3819" w:rsidRPr="008722F7">
        <w:t xml:space="preserve">RR </w:t>
      </w:r>
      <w:r w:rsidRPr="008722F7">
        <w:t>Appendix </w:t>
      </w:r>
      <w:r w:rsidRPr="008722F7">
        <w:rPr>
          <w:b/>
          <w:bCs/>
        </w:rPr>
        <w:t>30A</w:t>
      </w:r>
      <w:r w:rsidRPr="008722F7">
        <w:t>.</w:t>
      </w:r>
    </w:p>
    <w:p w14:paraId="48F089F0" w14:textId="77777777" w:rsidR="00CE643B" w:rsidRPr="008722F7" w:rsidRDefault="00CE643B">
      <w:pPr>
        <w:pStyle w:val="Reasons"/>
      </w:pPr>
    </w:p>
    <w:p w14:paraId="4EE89594" w14:textId="77777777" w:rsidR="00CE643B" w:rsidRPr="008722F7" w:rsidRDefault="00D75287">
      <w:pPr>
        <w:pStyle w:val="Proposal"/>
      </w:pPr>
      <w:r w:rsidRPr="008722F7">
        <w:tab/>
        <w:t>CAN/14A22/14</w:t>
      </w:r>
    </w:p>
    <w:p w14:paraId="4BBF2874" w14:textId="77777777" w:rsidR="00CE643B" w:rsidRPr="008722F7" w:rsidRDefault="00F46872" w:rsidP="00F46872">
      <w:r w:rsidRPr="008722F7">
        <w:t xml:space="preserve">Regarding Section 3.2.4.10 contained in Document 4, Addendum 2, Canada supports the Bureau’s proposal, as previously confirmed by WRC-03, to add a footnote to Article 2A of </w:t>
      </w:r>
      <w:r w:rsidR="004C3819" w:rsidRPr="008722F7">
        <w:t xml:space="preserve">RR </w:t>
      </w:r>
      <w:r w:rsidRPr="008722F7">
        <w:t>Appendices </w:t>
      </w:r>
      <w:r w:rsidRPr="008722F7">
        <w:rPr>
          <w:b/>
          <w:bCs/>
        </w:rPr>
        <w:t>30</w:t>
      </w:r>
      <w:r w:rsidRPr="008722F7">
        <w:t xml:space="preserve"> and </w:t>
      </w:r>
      <w:r w:rsidRPr="008722F7">
        <w:rPr>
          <w:b/>
          <w:bCs/>
        </w:rPr>
        <w:t>30A</w:t>
      </w:r>
      <w:r w:rsidRPr="008722F7">
        <w:t xml:space="preserve"> to indicate that Article 2A submissions are not subject to Resolution </w:t>
      </w:r>
      <w:r w:rsidRPr="008722F7">
        <w:rPr>
          <w:b/>
        </w:rPr>
        <w:t xml:space="preserve">49 </w:t>
      </w:r>
      <w:r w:rsidRPr="008722F7">
        <w:rPr>
          <w:b/>
          <w:bCs/>
        </w:rPr>
        <w:t>(Rev.WRC-15)</w:t>
      </w:r>
      <w:r w:rsidRPr="008722F7">
        <w:t>.</w:t>
      </w:r>
    </w:p>
    <w:p w14:paraId="7F7FD43C" w14:textId="77777777" w:rsidR="00CE643B" w:rsidRPr="008722F7" w:rsidRDefault="00CE643B">
      <w:pPr>
        <w:pStyle w:val="Reasons"/>
      </w:pPr>
    </w:p>
    <w:p w14:paraId="65FE09CA" w14:textId="77777777" w:rsidR="00CE643B" w:rsidRPr="008722F7" w:rsidRDefault="00D75287">
      <w:pPr>
        <w:pStyle w:val="Proposal"/>
      </w:pPr>
      <w:r w:rsidRPr="008722F7">
        <w:tab/>
        <w:t>CAN/14A22/15</w:t>
      </w:r>
    </w:p>
    <w:p w14:paraId="5DCA7E4C" w14:textId="1C1CCC21" w:rsidR="00CE643B" w:rsidRPr="008722F7" w:rsidRDefault="00F46872" w:rsidP="00F46872">
      <w:r w:rsidRPr="008722F7">
        <w:t xml:space="preserve">As noted in Section 3.2.5.1 in Document 4, Addendum 2, in accordance with § 6.1 of </w:t>
      </w:r>
      <w:r w:rsidR="004C3819" w:rsidRPr="008722F7">
        <w:t xml:space="preserve">RR </w:t>
      </w:r>
      <w:r w:rsidRPr="008722F7">
        <w:t>Appendix</w:t>
      </w:r>
      <w:r w:rsidR="00464BAD">
        <w:t> </w:t>
      </w:r>
      <w:r w:rsidRPr="008722F7">
        <w:rPr>
          <w:b/>
        </w:rPr>
        <w:t>30B</w:t>
      </w:r>
      <w:r w:rsidRPr="008722F7">
        <w:t xml:space="preserve">, when an administration intends to convert an allotment into an assignment or to introduce an additional system or modify the characteristics of assignments in the List that have been brought into use, it shall, not earlier than eight years and not later than two years before the planned date of bringing the assignment into use, send to the Bureau the information specified in </w:t>
      </w:r>
      <w:r w:rsidR="004C3819" w:rsidRPr="008722F7">
        <w:t xml:space="preserve">RR </w:t>
      </w:r>
      <w:r w:rsidRPr="008722F7">
        <w:t xml:space="preserve">Appendix </w:t>
      </w:r>
      <w:r w:rsidRPr="008722F7">
        <w:rPr>
          <w:b/>
        </w:rPr>
        <w:t>4</w:t>
      </w:r>
      <w:r w:rsidRPr="008722F7">
        <w:t xml:space="preserve">. However the actual or foreseen date of bringing into use of the frequency assignment is submitted in </w:t>
      </w:r>
      <w:r w:rsidR="003502F7" w:rsidRPr="008722F7">
        <w:t xml:space="preserve">the </w:t>
      </w:r>
      <w:r w:rsidRPr="008722F7">
        <w:t xml:space="preserve">notification under Article 8 of </w:t>
      </w:r>
      <w:r w:rsidR="004C3819" w:rsidRPr="008722F7">
        <w:t xml:space="preserve">RR </w:t>
      </w:r>
      <w:r w:rsidRPr="008722F7">
        <w:t xml:space="preserve">Appendix </w:t>
      </w:r>
      <w:r w:rsidRPr="008722F7">
        <w:rPr>
          <w:b/>
        </w:rPr>
        <w:t>30B</w:t>
      </w:r>
      <w:r w:rsidRPr="008722F7">
        <w:t xml:space="preserve"> only, as indicated in item A.2.a of Annex 2 of </w:t>
      </w:r>
      <w:r w:rsidR="004C3819" w:rsidRPr="008722F7">
        <w:t xml:space="preserve">RR </w:t>
      </w:r>
      <w:r w:rsidRPr="008722F7">
        <w:t xml:space="preserve">Appendix </w:t>
      </w:r>
      <w:r w:rsidRPr="008722F7">
        <w:rPr>
          <w:b/>
        </w:rPr>
        <w:t>4</w:t>
      </w:r>
      <w:r w:rsidRPr="008722F7">
        <w:t xml:space="preserve">. Therefore, it is not possible for the Bureau to examine the date of bringing into use when a submission is received under § 6.1 of </w:t>
      </w:r>
      <w:r w:rsidR="004C3819" w:rsidRPr="008722F7">
        <w:t xml:space="preserve">RR </w:t>
      </w:r>
      <w:r w:rsidRPr="008722F7">
        <w:t xml:space="preserve">Appendix </w:t>
      </w:r>
      <w:r w:rsidRPr="008722F7">
        <w:rPr>
          <w:b/>
        </w:rPr>
        <w:t>30B</w:t>
      </w:r>
      <w:r w:rsidRPr="008722F7">
        <w:t>.</w:t>
      </w:r>
    </w:p>
    <w:p w14:paraId="3C5C0360" w14:textId="77777777" w:rsidR="00F46872" w:rsidRPr="008722F7" w:rsidRDefault="00F46872" w:rsidP="00F46872">
      <w:pPr>
        <w:rPr>
          <w:sz w:val="22"/>
          <w:lang w:val="en-CA"/>
        </w:rPr>
      </w:pPr>
      <w:r w:rsidRPr="008722F7">
        <w:t xml:space="preserve">Canada believes that there are two solutions that could be considered to address this issue: </w:t>
      </w:r>
    </w:p>
    <w:p w14:paraId="30FA4494" w14:textId="4AA9DFB8" w:rsidR="00F46872" w:rsidRPr="008722F7" w:rsidRDefault="00F46872" w:rsidP="0037143E">
      <w:pPr>
        <w:pStyle w:val="enumlev1"/>
      </w:pPr>
      <w:r w:rsidRPr="008722F7">
        <w:t>1)</w:t>
      </w:r>
      <w:r w:rsidR="0037143E">
        <w:tab/>
      </w:r>
      <w:r w:rsidRPr="008722F7">
        <w:t xml:space="preserve">to proceed as suggested by the Bureau (i.e., </w:t>
      </w:r>
      <w:r w:rsidRPr="008722F7">
        <w:rPr>
          <w:iCs/>
        </w:rPr>
        <w:t>deleting</w:t>
      </w:r>
      <w:r w:rsidRPr="008722F7">
        <w:rPr>
          <w:i/>
          <w:iCs/>
        </w:rPr>
        <w:t xml:space="preserve"> “and not later than two years</w:t>
      </w:r>
      <w:r w:rsidRPr="000503E7">
        <w:rPr>
          <w:i/>
          <w:iCs/>
        </w:rPr>
        <w:t>”</w:t>
      </w:r>
      <w:r w:rsidRPr="008722F7">
        <w:t xml:space="preserve">), or </w:t>
      </w:r>
    </w:p>
    <w:p w14:paraId="0C25BF48" w14:textId="628E01FF" w:rsidR="00F46872" w:rsidRPr="008722F7" w:rsidRDefault="00F46872" w:rsidP="0037143E">
      <w:pPr>
        <w:pStyle w:val="enumlev1"/>
      </w:pPr>
      <w:r w:rsidRPr="008722F7">
        <w:t>2)</w:t>
      </w:r>
      <w:r w:rsidR="0037143E">
        <w:tab/>
      </w:r>
      <w:r w:rsidRPr="008722F7">
        <w:t xml:space="preserve">to adopt wording for § 6.1 of </w:t>
      </w:r>
      <w:r w:rsidR="004C3819" w:rsidRPr="008722F7">
        <w:t xml:space="preserve">RR </w:t>
      </w:r>
      <w:r w:rsidRPr="008722F7">
        <w:t xml:space="preserve">Appendix </w:t>
      </w:r>
      <w:r w:rsidRPr="008722F7">
        <w:rPr>
          <w:b/>
        </w:rPr>
        <w:t>30B</w:t>
      </w:r>
      <w:r w:rsidRPr="008722F7">
        <w:t xml:space="preserve"> similar to RR No. </w:t>
      </w:r>
      <w:r w:rsidRPr="008722F7">
        <w:rPr>
          <w:b/>
          <w:bCs/>
        </w:rPr>
        <w:t>9.1</w:t>
      </w:r>
      <w:r w:rsidRPr="008722F7">
        <w:t xml:space="preserve">, i.e. insert </w:t>
      </w:r>
      <w:r w:rsidR="001C0557">
        <w:t>“</w:t>
      </w:r>
      <w:r w:rsidRPr="008722F7">
        <w:rPr>
          <w:i/>
          <w:iCs/>
        </w:rPr>
        <w:t>preferably</w:t>
      </w:r>
      <w:r w:rsidR="0037143E">
        <w:t>”</w:t>
      </w:r>
      <w:r w:rsidRPr="008722F7">
        <w:t xml:space="preserve"> before </w:t>
      </w:r>
      <w:r w:rsidR="0037143E">
        <w:t>“</w:t>
      </w:r>
      <w:r w:rsidRPr="008722F7">
        <w:rPr>
          <w:i/>
          <w:iCs/>
        </w:rPr>
        <w:t>not later</w:t>
      </w:r>
      <w:r w:rsidRPr="008722F7">
        <w:t xml:space="preserve"> </w:t>
      </w:r>
      <w:r w:rsidRPr="008722F7">
        <w:rPr>
          <w:i/>
          <w:iCs/>
        </w:rPr>
        <w:t>than two years before the planned date of bringing the assignment into use...</w:t>
      </w:r>
      <w:r w:rsidRPr="008722F7">
        <w:t>”</w:t>
      </w:r>
    </w:p>
    <w:p w14:paraId="1F27D4A5" w14:textId="77777777" w:rsidR="00F46872" w:rsidRPr="008722F7" w:rsidRDefault="00F46872" w:rsidP="00F46872">
      <w:r w:rsidRPr="008722F7">
        <w:t xml:space="preserve">Canada also notes that in item A2a of </w:t>
      </w:r>
      <w:r w:rsidR="004C3819" w:rsidRPr="008722F7">
        <w:t xml:space="preserve">RR </w:t>
      </w:r>
      <w:r w:rsidRPr="008722F7">
        <w:t xml:space="preserve">Appendix </w:t>
      </w:r>
      <w:r w:rsidRPr="008722F7">
        <w:rPr>
          <w:b/>
        </w:rPr>
        <w:t>4</w:t>
      </w:r>
      <w:r w:rsidRPr="008722F7">
        <w:t xml:space="preserve"> the word “foreseen” is used instead of “planned”. The Conference may consider aligning the wording “foreseen” vs. “planned” in all the relevant provisions.</w:t>
      </w:r>
    </w:p>
    <w:p w14:paraId="56158D37" w14:textId="77777777" w:rsidR="00CE643B" w:rsidRPr="008722F7" w:rsidRDefault="00CE643B">
      <w:pPr>
        <w:pStyle w:val="Reasons"/>
      </w:pPr>
    </w:p>
    <w:p w14:paraId="13D75791" w14:textId="77777777" w:rsidR="00CE643B" w:rsidRPr="008722F7" w:rsidRDefault="00D75287">
      <w:pPr>
        <w:pStyle w:val="Proposal"/>
      </w:pPr>
      <w:r w:rsidRPr="008722F7">
        <w:tab/>
        <w:t>CAN/14A22/16</w:t>
      </w:r>
    </w:p>
    <w:p w14:paraId="47470E52" w14:textId="08FB941A" w:rsidR="00CE643B" w:rsidRDefault="0056129B" w:rsidP="00B3750B">
      <w:r w:rsidRPr="008722F7">
        <w:t xml:space="preserve">Regarding Section 3.2.5.2 contained in Document 4, Addendum 2, Canada supports the Bureau’s proposal to add a footnote to § 6.16 of </w:t>
      </w:r>
      <w:r w:rsidR="004C3819" w:rsidRPr="008722F7">
        <w:t xml:space="preserve">RR </w:t>
      </w:r>
      <w:r w:rsidRPr="008722F7">
        <w:t>Appendix</w:t>
      </w:r>
      <w:r w:rsidRPr="008722F7">
        <w:rPr>
          <w:b/>
          <w:bCs/>
        </w:rPr>
        <w:t xml:space="preserve"> 30B </w:t>
      </w:r>
      <w:r w:rsidRPr="008722F7">
        <w:t>to allow the administration responsible for the assignment to move the downlink test points from the excluded territory to a new location within the remaining part of the service area.</w:t>
      </w:r>
    </w:p>
    <w:p w14:paraId="366D5953" w14:textId="77777777" w:rsidR="00B372EE" w:rsidRPr="008722F7" w:rsidRDefault="00B372EE" w:rsidP="00B372EE">
      <w:pPr>
        <w:pStyle w:val="Reasons"/>
      </w:pPr>
    </w:p>
    <w:p w14:paraId="0BFD45EB" w14:textId="77777777" w:rsidR="00CE643B" w:rsidRPr="008722F7" w:rsidRDefault="00D75287">
      <w:pPr>
        <w:pStyle w:val="Proposal"/>
      </w:pPr>
      <w:r w:rsidRPr="008722F7">
        <w:tab/>
        <w:t>CAN/14A22/17</w:t>
      </w:r>
    </w:p>
    <w:p w14:paraId="0E7011F4" w14:textId="77777777" w:rsidR="00CE643B" w:rsidRPr="008722F7" w:rsidRDefault="0056129B" w:rsidP="00B3750B">
      <w:r w:rsidRPr="008722F7">
        <w:t xml:space="preserve">Regarding Section 3.2.5.3 contained in Document 4, Addendum 2, Canada supports the Bureau’s proposal to remove the two-month limit for publication of notification under Article 8 of </w:t>
      </w:r>
      <w:r w:rsidR="004C3819" w:rsidRPr="008722F7">
        <w:t xml:space="preserve">RR </w:t>
      </w:r>
      <w:r w:rsidRPr="008722F7">
        <w:t xml:space="preserve">Appendix </w:t>
      </w:r>
      <w:r w:rsidRPr="008722F7">
        <w:rPr>
          <w:b/>
          <w:bCs/>
        </w:rPr>
        <w:t>30B</w:t>
      </w:r>
      <w:r w:rsidRPr="008722F7">
        <w:rPr>
          <w:bCs/>
        </w:rPr>
        <w:t xml:space="preserve">, and the corresponding proposed </w:t>
      </w:r>
      <w:r w:rsidRPr="008722F7">
        <w:t xml:space="preserve">modification to § 8.5 of </w:t>
      </w:r>
      <w:r w:rsidR="004C3819" w:rsidRPr="008722F7">
        <w:t xml:space="preserve">RR </w:t>
      </w:r>
      <w:r w:rsidRPr="008722F7">
        <w:t xml:space="preserve">Appendix </w:t>
      </w:r>
      <w:r w:rsidRPr="008722F7">
        <w:rPr>
          <w:b/>
          <w:bCs/>
        </w:rPr>
        <w:t>30B.</w:t>
      </w:r>
    </w:p>
    <w:p w14:paraId="4743A41C" w14:textId="77777777" w:rsidR="00B372EE" w:rsidRDefault="00B372EE" w:rsidP="00B372EE">
      <w:pPr>
        <w:pStyle w:val="Reasons"/>
      </w:pPr>
    </w:p>
    <w:p w14:paraId="7C6D7F59" w14:textId="6481165C" w:rsidR="00CE643B" w:rsidRPr="008722F7" w:rsidRDefault="00D75287">
      <w:pPr>
        <w:pStyle w:val="Proposal"/>
      </w:pPr>
      <w:r w:rsidRPr="008722F7">
        <w:tab/>
        <w:t>CAN/14A22/18</w:t>
      </w:r>
    </w:p>
    <w:p w14:paraId="0FBB8500" w14:textId="624325DB" w:rsidR="0056129B" w:rsidRPr="008722F7" w:rsidRDefault="0056129B" w:rsidP="0056129B">
      <w:pPr>
        <w:rPr>
          <w:b/>
          <w:bCs/>
        </w:rPr>
      </w:pPr>
      <w:r w:rsidRPr="008722F7">
        <w:t xml:space="preserve">Regarding Section 3.2.5.6 contained in Document 4, Addendum 2, Canada supports the Bureau’s proposal </w:t>
      </w:r>
      <w:r w:rsidRPr="008722F7">
        <w:rPr>
          <w:bCs/>
        </w:rPr>
        <w:t xml:space="preserve">that only grid points that are located on land and inside the service area should be considered in addition to test-points in application of paragraph 2.2 of Annex 4 to </w:t>
      </w:r>
      <w:r w:rsidR="004C3819" w:rsidRPr="008722F7">
        <w:rPr>
          <w:bCs/>
        </w:rPr>
        <w:t xml:space="preserve">RR </w:t>
      </w:r>
      <w:r w:rsidRPr="008722F7">
        <w:rPr>
          <w:bCs/>
        </w:rPr>
        <w:t>Appendix</w:t>
      </w:r>
      <w:r w:rsidR="00464BAD">
        <w:rPr>
          <w:bCs/>
        </w:rPr>
        <w:t> </w:t>
      </w:r>
      <w:r w:rsidRPr="008722F7">
        <w:rPr>
          <w:b/>
          <w:bCs/>
        </w:rPr>
        <w:t>30B</w:t>
      </w:r>
      <w:r w:rsidR="00BC36AE" w:rsidRPr="008722F7">
        <w:rPr>
          <w:b/>
          <w:bCs/>
        </w:rPr>
        <w:t>.</w:t>
      </w:r>
    </w:p>
    <w:p w14:paraId="27EA1AA8" w14:textId="77777777" w:rsidR="00CE643B" w:rsidRPr="008722F7" w:rsidRDefault="00CE643B">
      <w:pPr>
        <w:pStyle w:val="Reasons"/>
      </w:pPr>
    </w:p>
    <w:p w14:paraId="5B0D67B6" w14:textId="77777777" w:rsidR="00CE643B" w:rsidRPr="008722F7" w:rsidRDefault="00D75287">
      <w:pPr>
        <w:pStyle w:val="Proposal"/>
      </w:pPr>
      <w:r w:rsidRPr="008722F7">
        <w:tab/>
        <w:t>CAN/14A22/19</w:t>
      </w:r>
    </w:p>
    <w:p w14:paraId="2C50924D" w14:textId="77777777" w:rsidR="00404C07" w:rsidRPr="008722F7" w:rsidRDefault="00404C07" w:rsidP="00404C07">
      <w:r w:rsidRPr="008722F7">
        <w:t xml:space="preserve">Regarding Section 3.2.5.7 contained in Document 4, Addendum 2, Canada supports the Bureau’s proposal to modify item a) of § 6.19 of </w:t>
      </w:r>
      <w:r w:rsidR="004C3819" w:rsidRPr="008722F7">
        <w:t xml:space="preserve">RR </w:t>
      </w:r>
      <w:r w:rsidRPr="008722F7">
        <w:t xml:space="preserve">Appendix </w:t>
      </w:r>
      <w:r w:rsidRPr="008722F7">
        <w:rPr>
          <w:b/>
          <w:bCs/>
        </w:rPr>
        <w:t>30B,</w:t>
      </w:r>
      <w:r w:rsidRPr="008722F7">
        <w:rPr>
          <w:bCs/>
        </w:rPr>
        <w:t xml:space="preserve"> thus</w:t>
      </w:r>
      <w:r w:rsidRPr="008722F7">
        <w:rPr>
          <w:b/>
          <w:bCs/>
        </w:rPr>
        <w:t xml:space="preserve"> </w:t>
      </w:r>
      <w:r w:rsidRPr="008722F7">
        <w:rPr>
          <w:bCs/>
        </w:rPr>
        <w:t xml:space="preserve">confirming the understanding that the </w:t>
      </w:r>
      <w:r w:rsidRPr="008722F7">
        <w:t>notifying administration has to obtain the agreements of all the administrations whose territories are included in the intended service area of an assignment in order to include it in the List.</w:t>
      </w:r>
    </w:p>
    <w:p w14:paraId="2A095E01" w14:textId="77777777" w:rsidR="00CE643B" w:rsidRPr="008722F7" w:rsidRDefault="00CE643B">
      <w:pPr>
        <w:pStyle w:val="Reasons"/>
      </w:pPr>
    </w:p>
    <w:p w14:paraId="44681186" w14:textId="77777777" w:rsidR="00CE643B" w:rsidRPr="008722F7" w:rsidRDefault="00D75287">
      <w:pPr>
        <w:pStyle w:val="Proposal"/>
      </w:pPr>
      <w:r w:rsidRPr="008722F7">
        <w:tab/>
        <w:t>CAN/14A22/20</w:t>
      </w:r>
    </w:p>
    <w:p w14:paraId="67750E41" w14:textId="77777777" w:rsidR="00747D34" w:rsidRPr="008722F7" w:rsidRDefault="00747D34" w:rsidP="00CA2EB0">
      <w:pPr>
        <w:rPr>
          <w:rFonts w:eastAsia="MS Mincho"/>
          <w:lang w:val="en-CA" w:eastAsia="ja-JP"/>
        </w:rPr>
      </w:pPr>
      <w:r w:rsidRPr="008722F7">
        <w:t xml:space="preserve">Regarding Section 3.2.5.8 contained in Document 4, Addendum 2, </w:t>
      </w:r>
      <w:r w:rsidRPr="008722F7">
        <w:rPr>
          <w:rFonts w:eastAsia="MS Mincho"/>
          <w:lang w:val="en-CA" w:eastAsia="ja-JP"/>
        </w:rPr>
        <w:t xml:space="preserve">Canada supports the Bureau’s proposal regarding the modifications to the text of </w:t>
      </w:r>
      <w:r w:rsidRPr="008722F7">
        <w:rPr>
          <w:rFonts w:eastAsia="MS Mincho"/>
          <w:lang w:eastAsia="ja-JP"/>
        </w:rPr>
        <w:t xml:space="preserve">§ 6.21 of </w:t>
      </w:r>
      <w:r w:rsidR="004C3819" w:rsidRPr="008722F7">
        <w:rPr>
          <w:rFonts w:eastAsia="MS Mincho"/>
          <w:lang w:eastAsia="ja-JP"/>
        </w:rPr>
        <w:t xml:space="preserve">RR </w:t>
      </w:r>
      <w:r w:rsidRPr="008722F7">
        <w:rPr>
          <w:rFonts w:eastAsia="MS Mincho"/>
          <w:lang w:eastAsia="ja-JP"/>
        </w:rPr>
        <w:t xml:space="preserve">Appendix </w:t>
      </w:r>
      <w:r w:rsidRPr="008722F7">
        <w:rPr>
          <w:rFonts w:eastAsia="MS Mincho"/>
          <w:b/>
          <w:lang w:eastAsia="ja-JP"/>
        </w:rPr>
        <w:t>30B</w:t>
      </w:r>
      <w:r w:rsidRPr="008722F7">
        <w:rPr>
          <w:rFonts w:eastAsia="MS Mincho"/>
          <w:lang w:eastAsia="ja-JP"/>
        </w:rPr>
        <w:t xml:space="preserve"> in order to eliminate any ambiguity.</w:t>
      </w:r>
    </w:p>
    <w:p w14:paraId="10B0C5E2" w14:textId="77777777" w:rsidR="00CE643B" w:rsidRPr="008722F7" w:rsidRDefault="00CE643B">
      <w:pPr>
        <w:pStyle w:val="Reasons"/>
        <w:rPr>
          <w:lang w:val="en-CA"/>
        </w:rPr>
      </w:pPr>
    </w:p>
    <w:p w14:paraId="68A422A6" w14:textId="77777777" w:rsidR="00CE643B" w:rsidRPr="008722F7" w:rsidRDefault="00D75287">
      <w:pPr>
        <w:pStyle w:val="Proposal"/>
      </w:pPr>
      <w:r w:rsidRPr="008722F7">
        <w:tab/>
        <w:t>CAN/14A22/21</w:t>
      </w:r>
    </w:p>
    <w:p w14:paraId="7BD2394E" w14:textId="1948E242" w:rsidR="00747D34" w:rsidRPr="008722F7" w:rsidRDefault="00747D34" w:rsidP="00747D34">
      <w:pPr>
        <w:rPr>
          <w:szCs w:val="24"/>
        </w:rPr>
      </w:pPr>
      <w:r w:rsidRPr="008722F7">
        <w:rPr>
          <w:szCs w:val="24"/>
        </w:rPr>
        <w:t xml:space="preserve">Regarding Section 3.3.1.4 contained in Document 4, Addendum 2, </w:t>
      </w:r>
      <w:r w:rsidRPr="008722F7">
        <w:rPr>
          <w:bCs/>
          <w:szCs w:val="24"/>
        </w:rPr>
        <w:t xml:space="preserve">Canada believes that further review is required in the next ITU-R study cycle before any potential changes are proposed to Resolution </w:t>
      </w:r>
      <w:r w:rsidRPr="008722F7">
        <w:rPr>
          <w:b/>
          <w:bCs/>
          <w:szCs w:val="24"/>
        </w:rPr>
        <w:t xml:space="preserve">49 (Rev.WRC-15) </w:t>
      </w:r>
      <w:r w:rsidRPr="008722F7">
        <w:rPr>
          <w:bCs/>
          <w:szCs w:val="24"/>
        </w:rPr>
        <w:t>or to any provisions of the Radio Regulations. This matter could be identified as a new issue under agenda item 7 for WRC-23.</w:t>
      </w:r>
    </w:p>
    <w:p w14:paraId="4AED60F8" w14:textId="77777777" w:rsidR="00CE643B" w:rsidRPr="008722F7" w:rsidRDefault="00CE643B">
      <w:pPr>
        <w:pStyle w:val="Reasons"/>
      </w:pPr>
    </w:p>
    <w:p w14:paraId="0FADD8D9" w14:textId="77777777" w:rsidR="00CE643B" w:rsidRPr="008722F7" w:rsidRDefault="00D75287">
      <w:pPr>
        <w:pStyle w:val="Proposal"/>
      </w:pPr>
      <w:r w:rsidRPr="008722F7">
        <w:tab/>
        <w:t>CAN/14A22/22</w:t>
      </w:r>
    </w:p>
    <w:p w14:paraId="1B64ACA4" w14:textId="77777777" w:rsidR="00747D34" w:rsidRPr="008722F7" w:rsidRDefault="00747D34" w:rsidP="000503E7">
      <w:r w:rsidRPr="008722F7">
        <w:t>Regarding Section 3.3.2 contained in Document 4, Addendum 2, Canada supports the Bureau’s proposal to modify</w:t>
      </w:r>
      <w:r w:rsidRPr="008722F7">
        <w:rPr>
          <w:i/>
        </w:rPr>
        <w:t xml:space="preserve"> resolves</w:t>
      </w:r>
      <w:r w:rsidRPr="008722F7">
        <w:t xml:space="preserve"> 6 of Resolution </w:t>
      </w:r>
      <w:r w:rsidRPr="008722F7">
        <w:rPr>
          <w:b/>
        </w:rPr>
        <w:t xml:space="preserve">55 </w:t>
      </w:r>
      <w:r w:rsidRPr="008722F7">
        <w:rPr>
          <w:b/>
          <w:bCs/>
        </w:rPr>
        <w:t>(Rev.WRC-15)</w:t>
      </w:r>
      <w:r w:rsidRPr="008722F7">
        <w:t xml:space="preserve">, by the suppression of the last phrase </w:t>
      </w:r>
      <w:r w:rsidRPr="008722F7">
        <w:rPr>
          <w:rFonts w:eastAsia="SimSun"/>
        </w:rPr>
        <w:t>“submission of graphics in paper form, however, continues to be accepted”</w:t>
      </w:r>
      <w:r w:rsidRPr="008722F7">
        <w:t>.</w:t>
      </w:r>
    </w:p>
    <w:p w14:paraId="003FBEB6" w14:textId="77777777" w:rsidR="00CE643B" w:rsidRPr="008722F7" w:rsidRDefault="00CE643B">
      <w:pPr>
        <w:pStyle w:val="Reasons"/>
      </w:pPr>
    </w:p>
    <w:p w14:paraId="28840943" w14:textId="77777777" w:rsidR="00CE643B" w:rsidRPr="008722F7" w:rsidRDefault="00D75287">
      <w:pPr>
        <w:pStyle w:val="Proposal"/>
      </w:pPr>
      <w:r w:rsidRPr="008722F7">
        <w:tab/>
        <w:t>CAN/14A22/23</w:t>
      </w:r>
    </w:p>
    <w:p w14:paraId="6C640B35" w14:textId="77777777" w:rsidR="00747D34" w:rsidRPr="008722F7" w:rsidRDefault="00747D34" w:rsidP="00B372EE">
      <w:pPr>
        <w:rPr>
          <w:b/>
        </w:rPr>
      </w:pPr>
      <w:r w:rsidRPr="008722F7">
        <w:t>Regarding Section 3.4.1 contained in Document 4, Addendum 2, Canada supports instructing the Bureau to simulate the examination of RR No. </w:t>
      </w:r>
      <w:r w:rsidRPr="008722F7">
        <w:rPr>
          <w:b/>
          <w:bCs/>
        </w:rPr>
        <w:t>9.21</w:t>
      </w:r>
      <w:r w:rsidRPr="008722F7">
        <w:t xml:space="preserve"> notices in the non-planned bands using digital elevation models (DEM) and report the results to the Radio Regulations Board. The Board could subsequently decide, through the relevant Rules of Procedure, to use terrain data in the RR No. </w:t>
      </w:r>
      <w:r w:rsidRPr="008722F7">
        <w:rPr>
          <w:b/>
          <w:bCs/>
        </w:rPr>
        <w:t>9.21</w:t>
      </w:r>
      <w:r w:rsidRPr="008722F7">
        <w:t xml:space="preserve"> examinations, and to report to the next WRC.</w:t>
      </w:r>
    </w:p>
    <w:p w14:paraId="550EDD80" w14:textId="77777777" w:rsidR="00CE643B" w:rsidRPr="008722F7" w:rsidRDefault="00CE643B">
      <w:pPr>
        <w:pStyle w:val="Reasons"/>
      </w:pPr>
    </w:p>
    <w:p w14:paraId="36544B0C" w14:textId="77777777" w:rsidR="00CE643B" w:rsidRPr="008722F7" w:rsidRDefault="00D75287">
      <w:pPr>
        <w:pStyle w:val="Proposal"/>
      </w:pPr>
      <w:r w:rsidRPr="008722F7">
        <w:tab/>
        <w:t>CAN/14A22/24</w:t>
      </w:r>
    </w:p>
    <w:p w14:paraId="5ACFD324" w14:textId="77777777" w:rsidR="00CE643B" w:rsidRDefault="00747D34" w:rsidP="00744D48">
      <w:r w:rsidRPr="008722F7">
        <w:t>Regarding Section 3.4.3 contained in Document 4, Addendum 2, Canada supports the Conference inviting the ITU-R to review these parameters in the next study cycle and to provide any necessary guidance to the Bureau.</w:t>
      </w:r>
    </w:p>
    <w:p w14:paraId="71E3E65D" w14:textId="77777777" w:rsidR="00747D34" w:rsidRDefault="00747D34" w:rsidP="00747D34">
      <w:pPr>
        <w:pStyle w:val="Reasons"/>
      </w:pPr>
    </w:p>
    <w:p w14:paraId="12986E44" w14:textId="77777777" w:rsidR="006A20B7" w:rsidRDefault="006A20B7">
      <w:pPr>
        <w:jc w:val="center"/>
      </w:pPr>
      <w:bookmarkStart w:id="7" w:name="_GoBack"/>
      <w:bookmarkEnd w:id="7"/>
      <w:r>
        <w:t>______________</w:t>
      </w:r>
    </w:p>
    <w:sectPr w:rsidR="006A20B7">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D0801" w14:textId="77777777" w:rsidR="00D41F8F" w:rsidRDefault="00D41F8F">
      <w:r>
        <w:separator/>
      </w:r>
    </w:p>
  </w:endnote>
  <w:endnote w:type="continuationSeparator" w:id="0">
    <w:p w14:paraId="5216BF42" w14:textId="77777777" w:rsidR="00D41F8F" w:rsidRDefault="00D41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2BBA8" w14:textId="77777777" w:rsidR="00E45D05" w:rsidRDefault="00E45D05">
    <w:pPr>
      <w:framePr w:wrap="around" w:vAnchor="text" w:hAnchor="margin" w:xAlign="right" w:y="1"/>
    </w:pPr>
    <w:r>
      <w:fldChar w:fldCharType="begin"/>
    </w:r>
    <w:r>
      <w:instrText xml:space="preserve">PAGE  </w:instrText>
    </w:r>
    <w:r>
      <w:fldChar w:fldCharType="end"/>
    </w:r>
  </w:p>
  <w:p w14:paraId="03B5F786" w14:textId="3F2B219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22A0E">
      <w:rPr>
        <w:noProof/>
        <w:lang w:val="en-US"/>
      </w:rPr>
      <w:t>P:\ENG\ITU-R\CONF-R\CMR19\000\014ADD22E.docx</w:t>
    </w:r>
    <w:r>
      <w:fldChar w:fldCharType="end"/>
    </w:r>
    <w:r w:rsidRPr="0041348E">
      <w:rPr>
        <w:lang w:val="en-US"/>
      </w:rPr>
      <w:tab/>
    </w:r>
    <w:r>
      <w:fldChar w:fldCharType="begin"/>
    </w:r>
    <w:r>
      <w:instrText xml:space="preserve"> SAVEDATE \@ DD.MM.YY </w:instrText>
    </w:r>
    <w:r>
      <w:fldChar w:fldCharType="separate"/>
    </w:r>
    <w:r w:rsidR="00122A0E">
      <w:rPr>
        <w:noProof/>
      </w:rPr>
      <w:t>18.10.19</w:t>
    </w:r>
    <w:r>
      <w:fldChar w:fldCharType="end"/>
    </w:r>
    <w:r w:rsidRPr="0041348E">
      <w:rPr>
        <w:lang w:val="en-US"/>
      </w:rPr>
      <w:tab/>
    </w:r>
    <w:r>
      <w:fldChar w:fldCharType="begin"/>
    </w:r>
    <w:r>
      <w:instrText xml:space="preserve"> PRINTDATE \@ DD.MM.YY </w:instrText>
    </w:r>
    <w:r>
      <w:fldChar w:fldCharType="separate"/>
    </w:r>
    <w:r w:rsidR="00122A0E">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6558F" w14:textId="3C185DD7" w:rsidR="00E45D05" w:rsidRDefault="00E45D05" w:rsidP="009B1EA1">
    <w:pPr>
      <w:pStyle w:val="Footer"/>
    </w:pPr>
    <w:r>
      <w:fldChar w:fldCharType="begin"/>
    </w:r>
    <w:r w:rsidRPr="0041348E">
      <w:rPr>
        <w:lang w:val="en-US"/>
      </w:rPr>
      <w:instrText xml:space="preserve"> FILENAME \p  \* MERGEFORMAT </w:instrText>
    </w:r>
    <w:r>
      <w:fldChar w:fldCharType="separate"/>
    </w:r>
    <w:r w:rsidR="00122A0E">
      <w:rPr>
        <w:lang w:val="en-US"/>
      </w:rPr>
      <w:t>P:\ENG\ITU-R\CONF-R\CMR19\000\014ADD22E.docx</w:t>
    </w:r>
    <w:r>
      <w:fldChar w:fldCharType="end"/>
    </w:r>
    <w:r w:rsidR="008006AB">
      <w:t xml:space="preserve"> (</w:t>
    </w:r>
    <w:r w:rsidR="008006AB" w:rsidRPr="008006AB">
      <w:t>462251</w:t>
    </w:r>
    <w:r w:rsidR="008006AB">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424C0" w14:textId="37C3DFE6"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122A0E">
      <w:rPr>
        <w:lang w:val="en-US"/>
      </w:rPr>
      <w:t>P:\ENG\ITU-R\CONF-R\CMR19\000\014ADD22E.docx</w:t>
    </w:r>
    <w:r>
      <w:fldChar w:fldCharType="end"/>
    </w:r>
    <w:r w:rsidR="008006AB">
      <w:t xml:space="preserve"> (</w:t>
    </w:r>
    <w:r w:rsidR="008006AB" w:rsidRPr="008006AB">
      <w:t>462251</w:t>
    </w:r>
    <w:r w:rsidR="008006AB">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99CC5" w14:textId="77777777" w:rsidR="00D41F8F" w:rsidRDefault="00D41F8F">
      <w:r>
        <w:rPr>
          <w:b/>
        </w:rPr>
        <w:t>_______________</w:t>
      </w:r>
    </w:p>
  </w:footnote>
  <w:footnote w:type="continuationSeparator" w:id="0">
    <w:p w14:paraId="0F76ED20" w14:textId="77777777" w:rsidR="00D41F8F" w:rsidRDefault="00D41F8F">
      <w:r>
        <w:continuationSeparator/>
      </w:r>
    </w:p>
  </w:footnote>
  <w:footnote w:id="1">
    <w:p w14:paraId="4BC3C829" w14:textId="77777777" w:rsidR="006C1544" w:rsidRPr="006C1544" w:rsidRDefault="00D75287">
      <w:pPr>
        <w:pStyle w:val="FootnoteText"/>
        <w:rPr>
          <w:lang w:val="en-US"/>
        </w:rPr>
      </w:pPr>
      <w:r>
        <w:rPr>
          <w:rStyle w:val="FootnoteReference"/>
        </w:rPr>
        <w:t>*</w:t>
      </w:r>
      <w:r>
        <w:t xml:space="preserve"> </w:t>
      </w:r>
      <w:r>
        <w:rPr>
          <w:lang w:val="en-US"/>
        </w:rPr>
        <w:tab/>
      </w:r>
      <w:r w:rsidRPr="00C22E98">
        <w:t>This agenda item is strictly limited to the Report of the Director on any difficulties or inconsistencies encountered in the application of the Radio Regulations and the comments from administrations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73CEF" w14:textId="77777777" w:rsidR="00E45D05" w:rsidRDefault="00A066F1" w:rsidP="00187BD9">
    <w:pPr>
      <w:pStyle w:val="Header"/>
    </w:pPr>
    <w:r>
      <w:fldChar w:fldCharType="begin"/>
    </w:r>
    <w:r>
      <w:instrText xml:space="preserve"> PAGE  \* MERGEFORMAT </w:instrText>
    </w:r>
    <w:r>
      <w:fldChar w:fldCharType="separate"/>
    </w:r>
    <w:r w:rsidR="008722F7">
      <w:rPr>
        <w:noProof/>
      </w:rPr>
      <w:t>5</w:t>
    </w:r>
    <w:r>
      <w:fldChar w:fldCharType="end"/>
    </w:r>
  </w:p>
  <w:p w14:paraId="31A94B48" w14:textId="77777777" w:rsidR="00A066F1" w:rsidRPr="00A066F1" w:rsidRDefault="00187BD9" w:rsidP="00241FA2">
    <w:pPr>
      <w:pStyle w:val="Header"/>
    </w:pPr>
    <w:r>
      <w:t>CMR1</w:t>
    </w:r>
    <w:r w:rsidR="00202756">
      <w:t>9</w:t>
    </w:r>
    <w:r w:rsidR="00A066F1">
      <w:t>/</w:t>
    </w:r>
    <w:bookmarkStart w:id="8" w:name="OLE_LINK1"/>
    <w:bookmarkStart w:id="9" w:name="OLE_LINK2"/>
    <w:bookmarkStart w:id="10" w:name="OLE_LINK3"/>
    <w:r w:rsidR="00EB55C6">
      <w:t>14(Add.22)</w:t>
    </w:r>
    <w:bookmarkEnd w:id="8"/>
    <w:bookmarkEnd w:id="9"/>
    <w:bookmarkEnd w:id="10"/>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84"/>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03E7"/>
    <w:rsid w:val="00051E39"/>
    <w:rsid w:val="000705F2"/>
    <w:rsid w:val="00077239"/>
    <w:rsid w:val="0007795D"/>
    <w:rsid w:val="00086491"/>
    <w:rsid w:val="00091346"/>
    <w:rsid w:val="0009706C"/>
    <w:rsid w:val="000D154B"/>
    <w:rsid w:val="000D2DAF"/>
    <w:rsid w:val="000E463E"/>
    <w:rsid w:val="000F73FF"/>
    <w:rsid w:val="00114CF7"/>
    <w:rsid w:val="00116C7A"/>
    <w:rsid w:val="00122A0E"/>
    <w:rsid w:val="00123B68"/>
    <w:rsid w:val="00126F2E"/>
    <w:rsid w:val="00146F6F"/>
    <w:rsid w:val="00187BD9"/>
    <w:rsid w:val="00190B55"/>
    <w:rsid w:val="001A38B0"/>
    <w:rsid w:val="001C0557"/>
    <w:rsid w:val="001C3B5F"/>
    <w:rsid w:val="001D058F"/>
    <w:rsid w:val="002009EA"/>
    <w:rsid w:val="00202756"/>
    <w:rsid w:val="00202CA0"/>
    <w:rsid w:val="00216B6D"/>
    <w:rsid w:val="00232442"/>
    <w:rsid w:val="00241FA2"/>
    <w:rsid w:val="00271316"/>
    <w:rsid w:val="002B349C"/>
    <w:rsid w:val="002D58BE"/>
    <w:rsid w:val="002E7A31"/>
    <w:rsid w:val="002F4747"/>
    <w:rsid w:val="00302605"/>
    <w:rsid w:val="003502F7"/>
    <w:rsid w:val="00361B37"/>
    <w:rsid w:val="0037143E"/>
    <w:rsid w:val="00377BD3"/>
    <w:rsid w:val="00384088"/>
    <w:rsid w:val="003852CE"/>
    <w:rsid w:val="0038563A"/>
    <w:rsid w:val="0039169B"/>
    <w:rsid w:val="003A5F36"/>
    <w:rsid w:val="003A7F8C"/>
    <w:rsid w:val="003B2284"/>
    <w:rsid w:val="003B532E"/>
    <w:rsid w:val="003D0F8B"/>
    <w:rsid w:val="003E0DB6"/>
    <w:rsid w:val="00404C07"/>
    <w:rsid w:val="0041348E"/>
    <w:rsid w:val="00420873"/>
    <w:rsid w:val="00464BAD"/>
    <w:rsid w:val="00492075"/>
    <w:rsid w:val="004969AD"/>
    <w:rsid w:val="004A26C4"/>
    <w:rsid w:val="004B13CB"/>
    <w:rsid w:val="004C3819"/>
    <w:rsid w:val="004D26EA"/>
    <w:rsid w:val="004D2BFB"/>
    <w:rsid w:val="004D5D5C"/>
    <w:rsid w:val="004F3DC0"/>
    <w:rsid w:val="0050139F"/>
    <w:rsid w:val="00524A8C"/>
    <w:rsid w:val="0055140B"/>
    <w:rsid w:val="0056129B"/>
    <w:rsid w:val="00583F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20B7"/>
    <w:rsid w:val="006A6E9B"/>
    <w:rsid w:val="006B7C2A"/>
    <w:rsid w:val="006C23DA"/>
    <w:rsid w:val="006E3D45"/>
    <w:rsid w:val="0070607A"/>
    <w:rsid w:val="007149F9"/>
    <w:rsid w:val="00733A30"/>
    <w:rsid w:val="00744D48"/>
    <w:rsid w:val="00745AEE"/>
    <w:rsid w:val="00747D34"/>
    <w:rsid w:val="00750F10"/>
    <w:rsid w:val="007742CA"/>
    <w:rsid w:val="00790D70"/>
    <w:rsid w:val="007A6F1F"/>
    <w:rsid w:val="007D5320"/>
    <w:rsid w:val="008006AB"/>
    <w:rsid w:val="00800972"/>
    <w:rsid w:val="00804475"/>
    <w:rsid w:val="00811633"/>
    <w:rsid w:val="00814037"/>
    <w:rsid w:val="00841216"/>
    <w:rsid w:val="00842AF0"/>
    <w:rsid w:val="00847A07"/>
    <w:rsid w:val="0086171E"/>
    <w:rsid w:val="008722F7"/>
    <w:rsid w:val="00872FC8"/>
    <w:rsid w:val="008845D0"/>
    <w:rsid w:val="00884D60"/>
    <w:rsid w:val="008B43F2"/>
    <w:rsid w:val="008B6CFF"/>
    <w:rsid w:val="009274B4"/>
    <w:rsid w:val="0093043B"/>
    <w:rsid w:val="00934EA2"/>
    <w:rsid w:val="00944A5C"/>
    <w:rsid w:val="00952A66"/>
    <w:rsid w:val="009B1EA1"/>
    <w:rsid w:val="009B7C9A"/>
    <w:rsid w:val="009C56E5"/>
    <w:rsid w:val="009C7716"/>
    <w:rsid w:val="009E5FC8"/>
    <w:rsid w:val="009E687A"/>
    <w:rsid w:val="009F236F"/>
    <w:rsid w:val="00A066F1"/>
    <w:rsid w:val="00A06E31"/>
    <w:rsid w:val="00A141AF"/>
    <w:rsid w:val="00A16D29"/>
    <w:rsid w:val="00A30305"/>
    <w:rsid w:val="00A31D2D"/>
    <w:rsid w:val="00A44415"/>
    <w:rsid w:val="00A4600A"/>
    <w:rsid w:val="00A538A6"/>
    <w:rsid w:val="00A54C25"/>
    <w:rsid w:val="00A710E7"/>
    <w:rsid w:val="00A7372E"/>
    <w:rsid w:val="00A93B85"/>
    <w:rsid w:val="00AA0B18"/>
    <w:rsid w:val="00AA3C65"/>
    <w:rsid w:val="00AA666F"/>
    <w:rsid w:val="00AD7914"/>
    <w:rsid w:val="00AE514B"/>
    <w:rsid w:val="00B372EE"/>
    <w:rsid w:val="00B3750B"/>
    <w:rsid w:val="00B40888"/>
    <w:rsid w:val="00B639E9"/>
    <w:rsid w:val="00B817CD"/>
    <w:rsid w:val="00B81A7D"/>
    <w:rsid w:val="00B94AD0"/>
    <w:rsid w:val="00BB3A95"/>
    <w:rsid w:val="00BC36A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2EB0"/>
    <w:rsid w:val="00CA3DFC"/>
    <w:rsid w:val="00CB44E5"/>
    <w:rsid w:val="00CC247A"/>
    <w:rsid w:val="00CE388F"/>
    <w:rsid w:val="00CE5E47"/>
    <w:rsid w:val="00CE643B"/>
    <w:rsid w:val="00CF020F"/>
    <w:rsid w:val="00CF2B5B"/>
    <w:rsid w:val="00D14CE0"/>
    <w:rsid w:val="00D268B3"/>
    <w:rsid w:val="00D41F8F"/>
    <w:rsid w:val="00D52FD6"/>
    <w:rsid w:val="00D54009"/>
    <w:rsid w:val="00D5651D"/>
    <w:rsid w:val="00D57A34"/>
    <w:rsid w:val="00D74898"/>
    <w:rsid w:val="00D75287"/>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46872"/>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ED9D76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R16-WRC19-C-0014!A22!MSW-E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BD5F6665-BFA3-481E-B86E-E294B9642049}">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3AE239-7535-43C1-80F7-9EB32FD3D32A}">
  <ds:schemaRefs>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996b2e75-67fd-4955-a3b0-5ab9934cb50b"/>
    <ds:schemaRef ds:uri="32a1a8c5-2265-4ebc-b7a0-2071e2c5c9bb"/>
    <ds:schemaRef ds:uri="http://purl.org/dc/dcmitype/"/>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2A4BFB94-E0D2-4336-B648-E85454F88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1786</Words>
  <Characters>9441</Characters>
  <Application>Microsoft Office Word</Application>
  <DocSecurity>0</DocSecurity>
  <Lines>198</Lines>
  <Paragraphs>65</Paragraphs>
  <ScaleCrop>false</ScaleCrop>
  <HeadingPairs>
    <vt:vector size="2" baseType="variant">
      <vt:variant>
        <vt:lpstr>Title</vt:lpstr>
      </vt:variant>
      <vt:variant>
        <vt:i4>1</vt:i4>
      </vt:variant>
    </vt:vector>
  </HeadingPairs>
  <TitlesOfParts>
    <vt:vector size="1" baseType="lpstr">
      <vt:lpstr>R16-WRC19-C-0014!A22!MSW-E</vt:lpstr>
    </vt:vector>
  </TitlesOfParts>
  <Manager>General Secretariat - Pool</Manager>
  <Company>International Telecommunication Union (ITU)</Company>
  <LinksUpToDate>false</LinksUpToDate>
  <CharactersWithSpaces>11189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R16-WRC19-C-0014!A22!MSW-E</dc:title>
  <dc:subject>World Radiocommunication Conference - 2019</dc:subject>
  <dc:creator>Documents Proposals Manager (DPM)</dc:creator>
  <cp:keywords>DPM_v2019.10.8.1_prod</cp:keywords>
  <dc:description>Uploaded on 2015.07.06</dc:description>
  <cp:lastModifiedBy>English</cp:lastModifiedBy>
  <cp:revision>11</cp:revision>
  <cp:lastPrinted>2019-10-18T15:51:00Z</cp:lastPrinted>
  <dcterms:created xsi:type="dcterms:W3CDTF">2019-10-16T10:10:00Z</dcterms:created>
  <dcterms:modified xsi:type="dcterms:W3CDTF">2019-10-18T15:51:00Z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