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B3AFA" w14:paraId="340834CF" w14:textId="77777777" w:rsidTr="0050008E">
        <w:trPr>
          <w:cantSplit/>
        </w:trPr>
        <w:tc>
          <w:tcPr>
            <w:tcW w:w="6911" w:type="dxa"/>
          </w:tcPr>
          <w:p w14:paraId="04B8CBBF" w14:textId="77777777" w:rsidR="00BB1D82" w:rsidRPr="004B3AFA" w:rsidRDefault="00851625" w:rsidP="00B526B9">
            <w:pPr>
              <w:spacing w:before="400" w:after="48"/>
              <w:rPr>
                <w:rFonts w:ascii="Verdana" w:hAnsi="Verdana"/>
                <w:b/>
                <w:bCs/>
                <w:sz w:val="20"/>
              </w:rPr>
            </w:pPr>
            <w:r w:rsidRPr="004B3AFA">
              <w:rPr>
                <w:rFonts w:ascii="Verdana" w:hAnsi="Verdana"/>
                <w:b/>
                <w:bCs/>
                <w:sz w:val="20"/>
              </w:rPr>
              <w:t>Conférence mondiale des radiocommunications (CMR-1</w:t>
            </w:r>
            <w:r w:rsidR="00FD7AA3" w:rsidRPr="004B3AFA">
              <w:rPr>
                <w:rFonts w:ascii="Verdana" w:hAnsi="Verdana"/>
                <w:b/>
                <w:bCs/>
                <w:sz w:val="20"/>
              </w:rPr>
              <w:t>9</w:t>
            </w:r>
            <w:r w:rsidRPr="004B3AFA">
              <w:rPr>
                <w:rFonts w:ascii="Verdana" w:hAnsi="Verdana"/>
                <w:b/>
                <w:bCs/>
                <w:sz w:val="20"/>
              </w:rPr>
              <w:t>)</w:t>
            </w:r>
            <w:r w:rsidRPr="004B3AFA">
              <w:rPr>
                <w:rFonts w:ascii="Verdana" w:hAnsi="Verdana"/>
                <w:b/>
                <w:bCs/>
                <w:sz w:val="20"/>
              </w:rPr>
              <w:br/>
            </w:r>
            <w:r w:rsidR="00063A1F" w:rsidRPr="004B3AFA">
              <w:rPr>
                <w:rFonts w:ascii="Verdana" w:hAnsi="Verdana"/>
                <w:b/>
                <w:bCs/>
                <w:sz w:val="18"/>
                <w:szCs w:val="18"/>
              </w:rPr>
              <w:t xml:space="preserve">Charm el-Cheikh, </w:t>
            </w:r>
            <w:r w:rsidR="00081366" w:rsidRPr="004B3AFA">
              <w:rPr>
                <w:rFonts w:ascii="Verdana" w:hAnsi="Verdana"/>
                <w:b/>
                <w:bCs/>
                <w:sz w:val="18"/>
                <w:szCs w:val="18"/>
              </w:rPr>
              <w:t>É</w:t>
            </w:r>
            <w:r w:rsidR="00063A1F" w:rsidRPr="004B3AFA">
              <w:rPr>
                <w:rFonts w:ascii="Verdana" w:hAnsi="Verdana"/>
                <w:b/>
                <w:bCs/>
                <w:sz w:val="18"/>
                <w:szCs w:val="18"/>
              </w:rPr>
              <w:t>gypte</w:t>
            </w:r>
            <w:r w:rsidRPr="004B3AFA">
              <w:rPr>
                <w:rFonts w:ascii="Verdana" w:hAnsi="Verdana"/>
                <w:b/>
                <w:bCs/>
                <w:sz w:val="18"/>
                <w:szCs w:val="18"/>
              </w:rPr>
              <w:t>,</w:t>
            </w:r>
            <w:r w:rsidR="00E537FF" w:rsidRPr="004B3AFA">
              <w:rPr>
                <w:rFonts w:ascii="Verdana" w:hAnsi="Verdana"/>
                <w:b/>
                <w:bCs/>
                <w:sz w:val="18"/>
                <w:szCs w:val="18"/>
              </w:rPr>
              <w:t xml:space="preserve"> </w:t>
            </w:r>
            <w:r w:rsidRPr="004B3AFA">
              <w:rPr>
                <w:rFonts w:ascii="Verdana" w:hAnsi="Verdana"/>
                <w:b/>
                <w:bCs/>
                <w:sz w:val="18"/>
                <w:szCs w:val="18"/>
              </w:rPr>
              <w:t>2</w:t>
            </w:r>
            <w:r w:rsidR="00FD7AA3" w:rsidRPr="004B3AFA">
              <w:rPr>
                <w:rFonts w:ascii="Verdana" w:hAnsi="Verdana"/>
                <w:b/>
                <w:bCs/>
                <w:sz w:val="18"/>
                <w:szCs w:val="18"/>
              </w:rPr>
              <w:t xml:space="preserve">8 octobre </w:t>
            </w:r>
            <w:r w:rsidR="00F10064" w:rsidRPr="004B3AFA">
              <w:rPr>
                <w:rFonts w:ascii="Verdana" w:hAnsi="Verdana"/>
                <w:b/>
                <w:bCs/>
                <w:sz w:val="18"/>
                <w:szCs w:val="18"/>
              </w:rPr>
              <w:t>–</w:t>
            </w:r>
            <w:r w:rsidR="00FD7AA3" w:rsidRPr="004B3AFA">
              <w:rPr>
                <w:rFonts w:ascii="Verdana" w:hAnsi="Verdana"/>
                <w:b/>
                <w:bCs/>
                <w:sz w:val="18"/>
                <w:szCs w:val="18"/>
              </w:rPr>
              <w:t xml:space="preserve"> </w:t>
            </w:r>
            <w:r w:rsidRPr="004B3AFA">
              <w:rPr>
                <w:rFonts w:ascii="Verdana" w:hAnsi="Verdana"/>
                <w:b/>
                <w:bCs/>
                <w:sz w:val="18"/>
                <w:szCs w:val="18"/>
              </w:rPr>
              <w:t>2</w:t>
            </w:r>
            <w:r w:rsidR="00FD7AA3" w:rsidRPr="004B3AFA">
              <w:rPr>
                <w:rFonts w:ascii="Verdana" w:hAnsi="Verdana"/>
                <w:b/>
                <w:bCs/>
                <w:sz w:val="18"/>
                <w:szCs w:val="18"/>
              </w:rPr>
              <w:t>2</w:t>
            </w:r>
            <w:r w:rsidRPr="004B3AFA">
              <w:rPr>
                <w:rFonts w:ascii="Verdana" w:hAnsi="Verdana"/>
                <w:b/>
                <w:bCs/>
                <w:sz w:val="18"/>
                <w:szCs w:val="18"/>
              </w:rPr>
              <w:t xml:space="preserve"> novembre 201</w:t>
            </w:r>
            <w:r w:rsidR="00FD7AA3" w:rsidRPr="004B3AFA">
              <w:rPr>
                <w:rFonts w:ascii="Verdana" w:hAnsi="Verdana"/>
                <w:b/>
                <w:bCs/>
                <w:sz w:val="18"/>
                <w:szCs w:val="18"/>
              </w:rPr>
              <w:t>9</w:t>
            </w:r>
          </w:p>
        </w:tc>
        <w:tc>
          <w:tcPr>
            <w:tcW w:w="3120" w:type="dxa"/>
          </w:tcPr>
          <w:p w14:paraId="406D1695" w14:textId="77777777" w:rsidR="00BB1D82" w:rsidRPr="004B3AFA" w:rsidRDefault="000A55AE" w:rsidP="00B526B9">
            <w:pPr>
              <w:spacing w:before="0"/>
              <w:jc w:val="right"/>
            </w:pPr>
            <w:bookmarkStart w:id="0" w:name="ditulogo"/>
            <w:bookmarkEnd w:id="0"/>
            <w:r w:rsidRPr="004B3AFA">
              <w:rPr>
                <w:rFonts w:ascii="Verdana" w:hAnsi="Verdana"/>
                <w:b/>
                <w:bCs/>
                <w:noProof/>
                <w:lang w:eastAsia="zh-CN"/>
              </w:rPr>
              <w:drawing>
                <wp:inline distT="0" distB="0" distL="0" distR="0" wp14:anchorId="42E9A8EB" wp14:editId="19020AC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B3AFA" w14:paraId="1F44CF5F" w14:textId="77777777" w:rsidTr="0050008E">
        <w:trPr>
          <w:cantSplit/>
        </w:trPr>
        <w:tc>
          <w:tcPr>
            <w:tcW w:w="6911" w:type="dxa"/>
            <w:tcBorders>
              <w:bottom w:val="single" w:sz="12" w:space="0" w:color="auto"/>
            </w:tcBorders>
          </w:tcPr>
          <w:p w14:paraId="39DECB81" w14:textId="77777777" w:rsidR="00BB1D82" w:rsidRPr="004B3AFA" w:rsidRDefault="00BB1D82" w:rsidP="00B526B9">
            <w:pPr>
              <w:spacing w:before="0" w:after="48"/>
              <w:rPr>
                <w:b/>
                <w:smallCaps/>
                <w:szCs w:val="24"/>
              </w:rPr>
            </w:pPr>
            <w:bookmarkStart w:id="1" w:name="dhead"/>
          </w:p>
        </w:tc>
        <w:tc>
          <w:tcPr>
            <w:tcW w:w="3120" w:type="dxa"/>
            <w:tcBorders>
              <w:bottom w:val="single" w:sz="12" w:space="0" w:color="auto"/>
            </w:tcBorders>
          </w:tcPr>
          <w:p w14:paraId="3331F9B1" w14:textId="77777777" w:rsidR="00BB1D82" w:rsidRPr="004B3AFA" w:rsidRDefault="00BB1D82" w:rsidP="00B526B9">
            <w:pPr>
              <w:spacing w:before="0"/>
              <w:rPr>
                <w:rFonts w:ascii="Verdana" w:hAnsi="Verdana"/>
                <w:szCs w:val="24"/>
              </w:rPr>
            </w:pPr>
          </w:p>
        </w:tc>
      </w:tr>
      <w:tr w:rsidR="00BB1D82" w:rsidRPr="004B3AFA" w14:paraId="17C165B1" w14:textId="77777777" w:rsidTr="00BB1D82">
        <w:trPr>
          <w:cantSplit/>
        </w:trPr>
        <w:tc>
          <w:tcPr>
            <w:tcW w:w="6911" w:type="dxa"/>
            <w:tcBorders>
              <w:top w:val="single" w:sz="12" w:space="0" w:color="auto"/>
            </w:tcBorders>
          </w:tcPr>
          <w:p w14:paraId="2DD441B6" w14:textId="77777777" w:rsidR="00BB1D82" w:rsidRPr="004B3AFA" w:rsidRDefault="00BB1D82" w:rsidP="00B526B9">
            <w:pPr>
              <w:spacing w:before="0" w:after="48"/>
              <w:rPr>
                <w:rFonts w:ascii="Verdana" w:hAnsi="Verdana"/>
                <w:b/>
                <w:smallCaps/>
                <w:sz w:val="20"/>
              </w:rPr>
            </w:pPr>
          </w:p>
        </w:tc>
        <w:tc>
          <w:tcPr>
            <w:tcW w:w="3120" w:type="dxa"/>
            <w:tcBorders>
              <w:top w:val="single" w:sz="12" w:space="0" w:color="auto"/>
            </w:tcBorders>
          </w:tcPr>
          <w:p w14:paraId="42E9A08F" w14:textId="77777777" w:rsidR="00BB1D82" w:rsidRPr="004B3AFA" w:rsidRDefault="00BB1D82" w:rsidP="00B526B9">
            <w:pPr>
              <w:spacing w:before="0"/>
              <w:rPr>
                <w:rFonts w:ascii="Verdana" w:hAnsi="Verdana"/>
                <w:sz w:val="20"/>
              </w:rPr>
            </w:pPr>
          </w:p>
        </w:tc>
      </w:tr>
      <w:tr w:rsidR="00BB1D82" w:rsidRPr="004B3AFA" w14:paraId="0D2F4CF2" w14:textId="77777777" w:rsidTr="00BB1D82">
        <w:trPr>
          <w:cantSplit/>
        </w:trPr>
        <w:tc>
          <w:tcPr>
            <w:tcW w:w="6911" w:type="dxa"/>
          </w:tcPr>
          <w:p w14:paraId="716705AC" w14:textId="77777777" w:rsidR="00BB1D82" w:rsidRPr="004B3AFA" w:rsidRDefault="006D4724" w:rsidP="00B526B9">
            <w:pPr>
              <w:spacing w:before="0"/>
              <w:rPr>
                <w:rFonts w:ascii="Verdana" w:hAnsi="Verdana"/>
                <w:b/>
                <w:sz w:val="20"/>
              </w:rPr>
            </w:pPr>
            <w:r w:rsidRPr="004B3AFA">
              <w:rPr>
                <w:rFonts w:ascii="Verdana" w:hAnsi="Verdana"/>
                <w:b/>
                <w:sz w:val="20"/>
              </w:rPr>
              <w:t>SÉANCE PLÉNIÈRE</w:t>
            </w:r>
          </w:p>
        </w:tc>
        <w:tc>
          <w:tcPr>
            <w:tcW w:w="3120" w:type="dxa"/>
          </w:tcPr>
          <w:p w14:paraId="1851978A" w14:textId="77777777" w:rsidR="00BB1D82" w:rsidRPr="004B3AFA" w:rsidRDefault="006D4724" w:rsidP="00B526B9">
            <w:pPr>
              <w:spacing w:before="0"/>
              <w:rPr>
                <w:rFonts w:ascii="Verdana" w:hAnsi="Verdana"/>
                <w:sz w:val="20"/>
              </w:rPr>
            </w:pPr>
            <w:r w:rsidRPr="004B3AFA">
              <w:rPr>
                <w:rFonts w:ascii="Verdana" w:hAnsi="Verdana"/>
                <w:b/>
                <w:sz w:val="20"/>
              </w:rPr>
              <w:t>Addendum 22 au</w:t>
            </w:r>
            <w:r w:rsidRPr="004B3AFA">
              <w:rPr>
                <w:rFonts w:ascii="Verdana" w:hAnsi="Verdana"/>
                <w:b/>
                <w:sz w:val="20"/>
              </w:rPr>
              <w:br/>
              <w:t>Document 14</w:t>
            </w:r>
            <w:r w:rsidR="00BB1D82" w:rsidRPr="004B3AFA">
              <w:rPr>
                <w:rFonts w:ascii="Verdana" w:hAnsi="Verdana"/>
                <w:b/>
                <w:sz w:val="20"/>
              </w:rPr>
              <w:t>-</w:t>
            </w:r>
            <w:r w:rsidRPr="004B3AFA">
              <w:rPr>
                <w:rFonts w:ascii="Verdana" w:hAnsi="Verdana"/>
                <w:b/>
                <w:sz w:val="20"/>
              </w:rPr>
              <w:t>F</w:t>
            </w:r>
          </w:p>
        </w:tc>
      </w:tr>
      <w:bookmarkEnd w:id="1"/>
      <w:tr w:rsidR="00690C7B" w:rsidRPr="004B3AFA" w14:paraId="130396DA" w14:textId="77777777" w:rsidTr="00BB1D82">
        <w:trPr>
          <w:cantSplit/>
        </w:trPr>
        <w:tc>
          <w:tcPr>
            <w:tcW w:w="6911" w:type="dxa"/>
          </w:tcPr>
          <w:p w14:paraId="6AA7A226" w14:textId="77777777" w:rsidR="00690C7B" w:rsidRPr="004B3AFA" w:rsidRDefault="00690C7B" w:rsidP="00B526B9">
            <w:pPr>
              <w:spacing w:before="0"/>
              <w:rPr>
                <w:rFonts w:ascii="Verdana" w:hAnsi="Verdana"/>
                <w:b/>
                <w:sz w:val="20"/>
              </w:rPr>
            </w:pPr>
          </w:p>
        </w:tc>
        <w:tc>
          <w:tcPr>
            <w:tcW w:w="3120" w:type="dxa"/>
          </w:tcPr>
          <w:p w14:paraId="3C047B86" w14:textId="77777777" w:rsidR="00690C7B" w:rsidRPr="004B3AFA" w:rsidRDefault="00690C7B" w:rsidP="00B526B9">
            <w:pPr>
              <w:spacing w:before="0"/>
              <w:rPr>
                <w:rFonts w:ascii="Verdana" w:hAnsi="Verdana"/>
                <w:b/>
                <w:sz w:val="20"/>
              </w:rPr>
            </w:pPr>
            <w:r w:rsidRPr="004B3AFA">
              <w:rPr>
                <w:rFonts w:ascii="Verdana" w:hAnsi="Verdana"/>
                <w:b/>
                <w:sz w:val="20"/>
              </w:rPr>
              <w:t>7 octobre 2019</w:t>
            </w:r>
          </w:p>
        </w:tc>
      </w:tr>
      <w:tr w:rsidR="00690C7B" w:rsidRPr="004B3AFA" w14:paraId="73665526" w14:textId="77777777" w:rsidTr="00BB1D82">
        <w:trPr>
          <w:cantSplit/>
        </w:trPr>
        <w:tc>
          <w:tcPr>
            <w:tcW w:w="6911" w:type="dxa"/>
          </w:tcPr>
          <w:p w14:paraId="0BBEF480" w14:textId="77777777" w:rsidR="00690C7B" w:rsidRPr="004B3AFA" w:rsidRDefault="00690C7B" w:rsidP="00B526B9">
            <w:pPr>
              <w:spacing w:before="0" w:after="48"/>
              <w:rPr>
                <w:rFonts w:ascii="Verdana" w:hAnsi="Verdana"/>
                <w:b/>
                <w:smallCaps/>
                <w:sz w:val="20"/>
              </w:rPr>
            </w:pPr>
          </w:p>
        </w:tc>
        <w:tc>
          <w:tcPr>
            <w:tcW w:w="3120" w:type="dxa"/>
          </w:tcPr>
          <w:p w14:paraId="37B69B08" w14:textId="77777777" w:rsidR="00690C7B" w:rsidRPr="004B3AFA" w:rsidRDefault="00690C7B" w:rsidP="00B526B9">
            <w:pPr>
              <w:spacing w:before="0"/>
              <w:rPr>
                <w:rFonts w:ascii="Verdana" w:hAnsi="Verdana"/>
                <w:b/>
                <w:sz w:val="20"/>
              </w:rPr>
            </w:pPr>
            <w:r w:rsidRPr="004B3AFA">
              <w:rPr>
                <w:rFonts w:ascii="Verdana" w:hAnsi="Verdana"/>
                <w:b/>
                <w:sz w:val="20"/>
              </w:rPr>
              <w:t>Original: anglais</w:t>
            </w:r>
          </w:p>
        </w:tc>
      </w:tr>
      <w:tr w:rsidR="00690C7B" w:rsidRPr="004B3AFA" w14:paraId="493B329C" w14:textId="77777777" w:rsidTr="00C11970">
        <w:trPr>
          <w:cantSplit/>
        </w:trPr>
        <w:tc>
          <w:tcPr>
            <w:tcW w:w="10031" w:type="dxa"/>
            <w:gridSpan w:val="2"/>
          </w:tcPr>
          <w:p w14:paraId="37DD8B71" w14:textId="77777777" w:rsidR="00690C7B" w:rsidRPr="004B3AFA" w:rsidRDefault="00690C7B" w:rsidP="00B526B9">
            <w:pPr>
              <w:spacing w:before="0"/>
              <w:rPr>
                <w:rFonts w:ascii="Verdana" w:hAnsi="Verdana"/>
                <w:b/>
                <w:sz w:val="20"/>
              </w:rPr>
            </w:pPr>
          </w:p>
        </w:tc>
      </w:tr>
      <w:tr w:rsidR="00690C7B" w:rsidRPr="004B3AFA" w14:paraId="5A71D9F1" w14:textId="77777777" w:rsidTr="0050008E">
        <w:trPr>
          <w:cantSplit/>
        </w:trPr>
        <w:tc>
          <w:tcPr>
            <w:tcW w:w="10031" w:type="dxa"/>
            <w:gridSpan w:val="2"/>
          </w:tcPr>
          <w:p w14:paraId="7F116C3A" w14:textId="77777777" w:rsidR="00690C7B" w:rsidRPr="004B3AFA" w:rsidRDefault="00690C7B" w:rsidP="00B526B9">
            <w:pPr>
              <w:pStyle w:val="Source"/>
            </w:pPr>
            <w:bookmarkStart w:id="2" w:name="dsource" w:colFirst="0" w:colLast="0"/>
            <w:r w:rsidRPr="004B3AFA">
              <w:t>Canada</w:t>
            </w:r>
          </w:p>
        </w:tc>
      </w:tr>
      <w:tr w:rsidR="00690C7B" w:rsidRPr="004B3AFA" w14:paraId="37BAAEEA" w14:textId="77777777" w:rsidTr="0050008E">
        <w:trPr>
          <w:cantSplit/>
        </w:trPr>
        <w:tc>
          <w:tcPr>
            <w:tcW w:w="10031" w:type="dxa"/>
            <w:gridSpan w:val="2"/>
          </w:tcPr>
          <w:p w14:paraId="5CC2C98B" w14:textId="77777777" w:rsidR="00690C7B" w:rsidRPr="004B3AFA" w:rsidRDefault="00690C7B" w:rsidP="00B526B9">
            <w:pPr>
              <w:pStyle w:val="Title1"/>
            </w:pPr>
            <w:bookmarkStart w:id="3" w:name="dtitle1" w:colFirst="0" w:colLast="0"/>
            <w:bookmarkEnd w:id="2"/>
            <w:r w:rsidRPr="004B3AFA">
              <w:t>Propositions pour les travaux de la conférence</w:t>
            </w:r>
          </w:p>
        </w:tc>
      </w:tr>
      <w:tr w:rsidR="00690C7B" w:rsidRPr="004B3AFA" w14:paraId="7EC171D8" w14:textId="77777777" w:rsidTr="0050008E">
        <w:trPr>
          <w:cantSplit/>
        </w:trPr>
        <w:tc>
          <w:tcPr>
            <w:tcW w:w="10031" w:type="dxa"/>
            <w:gridSpan w:val="2"/>
          </w:tcPr>
          <w:p w14:paraId="0FD5238C" w14:textId="77777777" w:rsidR="00690C7B" w:rsidRPr="004B3AFA" w:rsidRDefault="00690C7B" w:rsidP="00B526B9">
            <w:pPr>
              <w:pStyle w:val="Title2"/>
            </w:pPr>
            <w:bookmarkStart w:id="4" w:name="dtitle2" w:colFirst="0" w:colLast="0"/>
            <w:bookmarkEnd w:id="3"/>
          </w:p>
        </w:tc>
      </w:tr>
      <w:tr w:rsidR="00690C7B" w:rsidRPr="004B3AFA" w14:paraId="5C96AF36" w14:textId="77777777" w:rsidTr="0050008E">
        <w:trPr>
          <w:cantSplit/>
        </w:trPr>
        <w:tc>
          <w:tcPr>
            <w:tcW w:w="10031" w:type="dxa"/>
            <w:gridSpan w:val="2"/>
          </w:tcPr>
          <w:p w14:paraId="5E397051" w14:textId="77777777" w:rsidR="00690C7B" w:rsidRPr="004B3AFA" w:rsidRDefault="00690C7B" w:rsidP="00B526B9">
            <w:pPr>
              <w:pStyle w:val="Agendaitem"/>
              <w:rPr>
                <w:lang w:val="fr-FR"/>
              </w:rPr>
            </w:pPr>
            <w:bookmarkStart w:id="5" w:name="dtitle3" w:colFirst="0" w:colLast="0"/>
            <w:bookmarkEnd w:id="4"/>
            <w:r w:rsidRPr="004B3AFA">
              <w:rPr>
                <w:lang w:val="fr-FR"/>
              </w:rPr>
              <w:t>Point 9.2 de l'ordre du jour</w:t>
            </w:r>
          </w:p>
        </w:tc>
      </w:tr>
    </w:tbl>
    <w:bookmarkEnd w:id="5"/>
    <w:p w14:paraId="1BCC9804" w14:textId="77777777" w:rsidR="001C0E40" w:rsidRPr="004B3AFA" w:rsidRDefault="003D662F" w:rsidP="00367780">
      <w:pPr>
        <w:pStyle w:val="Normalaftertitle"/>
      </w:pPr>
      <w:r w:rsidRPr="004B3AFA">
        <w:t>9</w:t>
      </w:r>
      <w:r w:rsidRPr="004B3AFA">
        <w:tab/>
        <w:t>examiner et approuver le rapport du Directeur du Bureau des radiocommunications, conformément à l'article 7 de la Convention:</w:t>
      </w:r>
    </w:p>
    <w:p w14:paraId="12F08C6D" w14:textId="77777777" w:rsidR="001C0E40" w:rsidRPr="004B3AFA" w:rsidRDefault="003D662F" w:rsidP="00B526B9">
      <w:r w:rsidRPr="004B3AFA">
        <w:t>9.2</w:t>
      </w:r>
      <w:r w:rsidRPr="004B3AFA">
        <w:tab/>
        <w:t>sur les difficultés rencontrées ou les incohérences constatées dans l'application du Règlement des radiocommunications</w:t>
      </w:r>
      <w:r w:rsidRPr="004B3AFA">
        <w:rPr>
          <w:rStyle w:val="FootnoteReference"/>
        </w:rPr>
        <w:footnoteReference w:customMarkFollows="1" w:id="1"/>
        <w:t>*</w:t>
      </w:r>
      <w:r w:rsidRPr="004B3AFA">
        <w:t>; et</w:t>
      </w:r>
    </w:p>
    <w:p w14:paraId="4BA754E5" w14:textId="3B175050" w:rsidR="00056E8D" w:rsidRPr="004B3AFA" w:rsidRDefault="00056E8D" w:rsidP="00B526B9">
      <w:r w:rsidRPr="004B3AFA">
        <w:t>Le Canada reconna</w:t>
      </w:r>
      <w:r w:rsidR="00367780">
        <w:t>î</w:t>
      </w:r>
      <w:r w:rsidRPr="004B3AFA">
        <w:t>t les efforts déployés par le Bureau des radiocommunications pour identifier toute erreur, incohérence, ou disposition obsolète rencontrée dans l</w:t>
      </w:r>
      <w:r w:rsidR="00C06EF0" w:rsidRPr="004B3AFA">
        <w:t>'</w:t>
      </w:r>
      <w:r w:rsidRPr="004B3AFA">
        <w:t xml:space="preserve">application du Règlement des radiocommunications, et </w:t>
      </w:r>
      <w:r w:rsidR="00FF323D" w:rsidRPr="004B3AFA">
        <w:t xml:space="preserve">pour </w:t>
      </w:r>
      <w:r w:rsidRPr="004B3AFA">
        <w:t>les indiquer dans le Rapport du Directeur à la CMR-</w:t>
      </w:r>
      <w:r w:rsidR="00627F43" w:rsidRPr="004B3AFA">
        <w:t>19</w:t>
      </w:r>
      <w:r w:rsidRPr="004B3AFA">
        <w:t>, ainsi que le «texte correct», les «mesures correctives possibles» ou encore les «mesures possibles»</w:t>
      </w:r>
      <w:r w:rsidR="00163318" w:rsidRPr="004B3AFA">
        <w:t xml:space="preserve"> proposés par le Bureau</w:t>
      </w:r>
      <w:r w:rsidRPr="004B3AFA">
        <w:t>.</w:t>
      </w:r>
    </w:p>
    <w:p w14:paraId="372B9047" w14:textId="0870EB07" w:rsidR="00056E8D" w:rsidRDefault="00056E8D" w:rsidP="00B526B9">
      <w:r w:rsidRPr="004B3AFA">
        <w:t>Le Canada soumet ses propositions concernant les diverses parties de l</w:t>
      </w:r>
      <w:r w:rsidR="00C06EF0" w:rsidRPr="004B3AFA">
        <w:t>'</w:t>
      </w:r>
      <w:r w:rsidRPr="004B3AFA">
        <w:t>Addendum 2 au Document 4. Il convient de noter que, dans certains cas, des propositions additionnelles ou d</w:t>
      </w:r>
      <w:r w:rsidR="00C06EF0" w:rsidRPr="004B3AFA">
        <w:t>'</w:t>
      </w:r>
      <w:r w:rsidRPr="004B3AFA">
        <w:t>autres mesures visant à corriger une erreur ou incohérence donnée pourront être fournies.</w:t>
      </w:r>
    </w:p>
    <w:p w14:paraId="6EF51679" w14:textId="77777777" w:rsidR="00367780" w:rsidRPr="004B3AFA" w:rsidRDefault="00367780" w:rsidP="00B526B9"/>
    <w:p w14:paraId="2DE3FECF" w14:textId="77777777" w:rsidR="0015203F" w:rsidRPr="004B3AFA" w:rsidRDefault="0015203F" w:rsidP="00B526B9">
      <w:pPr>
        <w:tabs>
          <w:tab w:val="clear" w:pos="1134"/>
          <w:tab w:val="clear" w:pos="1871"/>
          <w:tab w:val="clear" w:pos="2268"/>
        </w:tabs>
        <w:overflowPunct/>
        <w:autoSpaceDE/>
        <w:autoSpaceDN/>
        <w:adjustRightInd/>
        <w:spacing w:before="0"/>
        <w:textAlignment w:val="auto"/>
      </w:pPr>
      <w:r w:rsidRPr="004B3AFA">
        <w:br w:type="page"/>
      </w:r>
    </w:p>
    <w:p w14:paraId="1EB31887" w14:textId="77777777" w:rsidR="00B56390" w:rsidRPr="004B3AFA" w:rsidRDefault="003D662F" w:rsidP="00B526B9">
      <w:pPr>
        <w:pStyle w:val="Proposal"/>
      </w:pPr>
      <w:r w:rsidRPr="004B3AFA">
        <w:lastRenderedPageBreak/>
        <w:tab/>
        <w:t>CAN/14A22/1</w:t>
      </w:r>
    </w:p>
    <w:p w14:paraId="2A2204A8" w14:textId="0E907144" w:rsidR="000202B8" w:rsidRPr="004B3AFA" w:rsidRDefault="000202B8" w:rsidP="00B526B9">
      <w:r w:rsidRPr="004B3AFA">
        <w:t>En ce qui concerne le § 3.1.2.1</w:t>
      </w:r>
      <w:r w:rsidR="00B27CC4" w:rsidRPr="004B3AFA">
        <w:t xml:space="preserve"> de l</w:t>
      </w:r>
      <w:r w:rsidR="00C06EF0" w:rsidRPr="004B3AFA">
        <w:t>'</w:t>
      </w:r>
      <w:r w:rsidR="00B27CC4" w:rsidRPr="004B3AFA">
        <w:t xml:space="preserve">Addendum 2 </w:t>
      </w:r>
      <w:r w:rsidR="00435789" w:rsidRPr="004B3AFA">
        <w:t>a</w:t>
      </w:r>
      <w:r w:rsidRPr="004B3AFA">
        <w:t>u Document 4</w:t>
      </w:r>
      <w:r w:rsidR="00B27CC4" w:rsidRPr="004B3AFA">
        <w:t xml:space="preserve">, </w:t>
      </w:r>
      <w:r w:rsidRPr="004B3AFA">
        <w:t>le Canada est favorable à l'élaboration d'une Règle de procédure visant à définir les critères de coordination appropriés pour les liaisons espace</w:t>
      </w:r>
      <w:r w:rsidR="00367780">
        <w:t>-</w:t>
      </w:r>
      <w:r w:rsidRPr="004B3AFA">
        <w:t>espace dans le service de radionavigation par satellite.</w:t>
      </w:r>
    </w:p>
    <w:p w14:paraId="175BEFFD" w14:textId="77777777" w:rsidR="00B56390" w:rsidRPr="004B3AFA" w:rsidRDefault="00B56390" w:rsidP="00B526B9">
      <w:pPr>
        <w:pStyle w:val="Reasons"/>
      </w:pPr>
    </w:p>
    <w:p w14:paraId="3D1272EF" w14:textId="77777777" w:rsidR="00B56390" w:rsidRPr="004B3AFA" w:rsidRDefault="003D662F" w:rsidP="00B526B9">
      <w:pPr>
        <w:pStyle w:val="Proposal"/>
      </w:pPr>
      <w:r w:rsidRPr="004B3AFA">
        <w:tab/>
        <w:t>CAN/14A22/2</w:t>
      </w:r>
    </w:p>
    <w:p w14:paraId="07D0133E" w14:textId="0EA13C68" w:rsidR="00B56390" w:rsidRPr="004B3AFA" w:rsidRDefault="00681D74" w:rsidP="00B526B9">
      <w:r w:rsidRPr="004B3AFA">
        <w:t xml:space="preserve">S'agissant du § 3.1.2.4 de l'Addendum </w:t>
      </w:r>
      <w:r w:rsidR="00B27CC4" w:rsidRPr="004B3AFA">
        <w:t xml:space="preserve">2 </w:t>
      </w:r>
      <w:r w:rsidR="00FC5000" w:rsidRPr="004B3AFA">
        <w:t>au</w:t>
      </w:r>
      <w:r w:rsidRPr="004B3AFA">
        <w:t xml:space="preserve"> Document </w:t>
      </w:r>
      <w:r w:rsidR="00B27CC4" w:rsidRPr="004B3AFA">
        <w:t>4</w:t>
      </w:r>
      <w:r w:rsidRPr="004B3AFA">
        <w:t xml:space="preserve">, le Canada prend note des observations formulées par le Bureau concernant les demandes de coordination relatives à l'utilisation de l'attribution à titre secondaire au service de recherche spatiale (Terre vers espace), qui comprennent des paramètres différents de ceux précédemment enregistrés pour le service dans les bandes visées dans les Résolutions </w:t>
      </w:r>
      <w:r w:rsidRPr="004B3AFA">
        <w:rPr>
          <w:b/>
        </w:rPr>
        <w:t>163 (CMR-15)</w:t>
      </w:r>
      <w:r w:rsidRPr="004B3AFA">
        <w:t xml:space="preserve"> et </w:t>
      </w:r>
      <w:r w:rsidRPr="004B3AFA">
        <w:rPr>
          <w:b/>
        </w:rPr>
        <w:t>164 (CMR-15)</w:t>
      </w:r>
      <w:r w:rsidRPr="004B3AFA">
        <w:t xml:space="preserve">. Le Canada partage également l'avis du Bureau, </w:t>
      </w:r>
      <w:r w:rsidR="008C2134" w:rsidRPr="004B3AFA">
        <w:t>qui estime que</w:t>
      </w:r>
      <w:r w:rsidRPr="004B3AFA">
        <w:t xml:space="preserve"> cette évolution des paramètres techniques du service de recherche spatiale pourrait avoir des incidences sur l'environnement de partage de la bande 14,5-14,8 GHz et</w:t>
      </w:r>
      <w:r w:rsidR="008C2134" w:rsidRPr="004B3AFA">
        <w:t xml:space="preserve"> que</w:t>
      </w:r>
      <w:r w:rsidRPr="004B3AFA">
        <w:t xml:space="preserve"> cette situation appelle un complément d'étude au sein de l'UIT-R</w:t>
      </w:r>
      <w:r w:rsidR="008C25C8" w:rsidRPr="004B3AFA">
        <w:t>.</w:t>
      </w:r>
    </w:p>
    <w:p w14:paraId="547EF1E3" w14:textId="77777777" w:rsidR="00B56390" w:rsidRPr="004B3AFA" w:rsidRDefault="00B56390" w:rsidP="00B526B9">
      <w:pPr>
        <w:pStyle w:val="Reasons"/>
      </w:pPr>
    </w:p>
    <w:p w14:paraId="25126C6E" w14:textId="77777777" w:rsidR="00B56390" w:rsidRPr="004B3AFA" w:rsidRDefault="003D662F" w:rsidP="00B526B9">
      <w:pPr>
        <w:pStyle w:val="Proposal"/>
      </w:pPr>
      <w:r w:rsidRPr="004B3AFA">
        <w:tab/>
        <w:t>CAN/14A22/3</w:t>
      </w:r>
    </w:p>
    <w:p w14:paraId="4ED67F11" w14:textId="728C1B70" w:rsidR="00B56390" w:rsidRPr="004B3AFA" w:rsidRDefault="00441456" w:rsidP="00B526B9">
      <w:r w:rsidRPr="004B3AFA">
        <w:t>À</w:t>
      </w:r>
      <w:r w:rsidR="00B27CC4" w:rsidRPr="004B3AFA">
        <w:t xml:space="preserve"> propos du § 3.1.3.2</w:t>
      </w:r>
      <w:r w:rsidR="00B27CC4" w:rsidRPr="00367780">
        <w:rPr>
          <w:i/>
          <w:iCs/>
        </w:rPr>
        <w:t>bis</w:t>
      </w:r>
      <w:r w:rsidRPr="004B3AFA">
        <w:t xml:space="preserve"> de l'Addendum 2 au Document</w:t>
      </w:r>
      <w:r w:rsidR="00CA0EC2" w:rsidRPr="004B3AFA">
        <w:t> 4</w:t>
      </w:r>
      <w:r w:rsidR="00B27CC4" w:rsidRPr="004B3AFA">
        <w:t xml:space="preserve">, le Canada souscrit aux vues du Bureau selon lesquelles la Conférence devrait envisager d'ajouter </w:t>
      </w:r>
      <w:r w:rsidR="008C25C8" w:rsidRPr="004B3AFA">
        <w:t xml:space="preserve">une note relative au numéro </w:t>
      </w:r>
      <w:r w:rsidR="008C25C8" w:rsidRPr="004B3AFA">
        <w:rPr>
          <w:b/>
        </w:rPr>
        <w:t>9.2</w:t>
      </w:r>
      <w:r w:rsidR="00B27CC4" w:rsidRPr="004B3AFA">
        <w:rPr>
          <w:b/>
        </w:rPr>
        <w:t xml:space="preserve"> </w:t>
      </w:r>
      <w:r w:rsidR="00B27CC4" w:rsidRPr="004B3AFA">
        <w:t>du Règlement des radiocommunications (RR)</w:t>
      </w:r>
      <w:r w:rsidR="00B27CC4" w:rsidRPr="004B3AFA">
        <w:rPr>
          <w:b/>
        </w:rPr>
        <w:t>,</w:t>
      </w:r>
      <w:r w:rsidR="00B27CC4" w:rsidRPr="004B3AFA">
        <w:t xml:space="preserve"> </w:t>
      </w:r>
      <w:r w:rsidR="008C25C8" w:rsidRPr="004B3AFA">
        <w:t xml:space="preserve">afin d'indiquer que, pour les réseaux utilisant </w:t>
      </w:r>
      <w:r w:rsidR="00B1708E" w:rsidRPr="004B3AFA">
        <w:t>d</w:t>
      </w:r>
      <w:r w:rsidR="008C25C8" w:rsidRPr="004B3AFA">
        <w:t xml:space="preserve">es liaisons inter-satellites d'une station spatiale géostationnaire communiquant avec une station spatiale non géostationnaire qui ne sont pas assujetties à la procédure de coordination prévue dans la Section II de l'Article </w:t>
      </w:r>
      <w:r w:rsidR="008C25C8" w:rsidRPr="004B3AFA">
        <w:rPr>
          <w:b/>
          <w:bCs/>
        </w:rPr>
        <w:t>9</w:t>
      </w:r>
      <w:r w:rsidR="008C25C8" w:rsidRPr="004B3AFA">
        <w:t xml:space="preserve"> du RR, les caractéristiques à fournir en vue de la publication anticipée dans la Circulaire BR IFIC s</w:t>
      </w:r>
      <w:r w:rsidR="00B27CC4" w:rsidRPr="004B3AFA">
        <w:t>er</w:t>
      </w:r>
      <w:r w:rsidR="008C25C8" w:rsidRPr="004B3AFA">
        <w:t>ont identiques à celles énumérées pour la procédure de coordination d'un réseau à satellite géostationnaire.</w:t>
      </w:r>
    </w:p>
    <w:p w14:paraId="15D5977B" w14:textId="77777777" w:rsidR="00B56390" w:rsidRPr="004B3AFA" w:rsidRDefault="00B56390" w:rsidP="00B526B9">
      <w:pPr>
        <w:pStyle w:val="Reasons"/>
      </w:pPr>
    </w:p>
    <w:p w14:paraId="3E20F72A" w14:textId="77777777" w:rsidR="00B56390" w:rsidRPr="004B3AFA" w:rsidRDefault="003D662F" w:rsidP="00B526B9">
      <w:pPr>
        <w:pStyle w:val="Proposal"/>
      </w:pPr>
      <w:r w:rsidRPr="004B3AFA">
        <w:tab/>
        <w:t>CAN/14A22/4</w:t>
      </w:r>
    </w:p>
    <w:p w14:paraId="06887DBF" w14:textId="66F91747" w:rsidR="002C7A1A" w:rsidRPr="004B3AFA" w:rsidRDefault="002C7A1A" w:rsidP="00B526B9">
      <w:r w:rsidRPr="004B3AFA">
        <w:t xml:space="preserve">Pour ce qui est du § 3.1.4.2.2 de l'Addendum 2 </w:t>
      </w:r>
      <w:r w:rsidR="007C6870" w:rsidRPr="004B3AFA">
        <w:t>a</w:t>
      </w:r>
      <w:r w:rsidRPr="004B3AFA">
        <w:t xml:space="preserve">u Document 4, le Canada appuie les mesures </w:t>
      </w:r>
      <w:r w:rsidR="007C6870" w:rsidRPr="004B3AFA">
        <w:t>déterminées</w:t>
      </w:r>
      <w:r w:rsidRPr="004B3AFA">
        <w:t xml:space="preserve"> par le Bureau pour garantir la transparence et la précision concernant le statut de la coordination conformément au numéro </w:t>
      </w:r>
      <w:r w:rsidRPr="004B3AFA">
        <w:rPr>
          <w:b/>
        </w:rPr>
        <w:t>9.7</w:t>
      </w:r>
      <w:r w:rsidRPr="004B3AFA">
        <w:t xml:space="preserve"> du RR, vis-à-vis des réseaux à satellite au niveau des fiches de notification aux fins de l'examen au titre du numéro </w:t>
      </w:r>
      <w:r w:rsidRPr="004B3AFA">
        <w:rPr>
          <w:b/>
        </w:rPr>
        <w:t>11.32A</w:t>
      </w:r>
      <w:r w:rsidRPr="004B3AFA">
        <w:t xml:space="preserve"> du RR.</w:t>
      </w:r>
    </w:p>
    <w:p w14:paraId="31387FD0" w14:textId="77777777" w:rsidR="00B56390" w:rsidRPr="004B3AFA" w:rsidRDefault="00B56390" w:rsidP="00B526B9">
      <w:pPr>
        <w:pStyle w:val="Reasons"/>
      </w:pPr>
    </w:p>
    <w:p w14:paraId="5F8C252E" w14:textId="77777777" w:rsidR="00B56390" w:rsidRPr="004B3AFA" w:rsidRDefault="003D662F" w:rsidP="00B526B9">
      <w:pPr>
        <w:pStyle w:val="Proposal"/>
      </w:pPr>
      <w:r w:rsidRPr="004B3AFA">
        <w:tab/>
        <w:t>CAN/14A22/5</w:t>
      </w:r>
    </w:p>
    <w:p w14:paraId="1E7B2EA7" w14:textId="325A1953" w:rsidR="00B56390" w:rsidRPr="004B3AFA" w:rsidRDefault="00781BDE" w:rsidP="00B526B9">
      <w:r w:rsidRPr="004B3AFA">
        <w:t xml:space="preserve">S'agissant du § 3.1.4.3 de l'Addendum 2 </w:t>
      </w:r>
      <w:r w:rsidR="00EE4D46" w:rsidRPr="004B3AFA">
        <w:t>a</w:t>
      </w:r>
      <w:r w:rsidRPr="004B3AFA">
        <w:t>u Document 4, le Canada est favorable à l'option 2 suggérées par le Bureau:</w:t>
      </w:r>
      <w:r w:rsidR="003D4A97" w:rsidRPr="004B3AFA">
        <w:t xml:space="preserve"> </w:t>
      </w:r>
      <w:r w:rsidR="00AF1995" w:rsidRPr="004B3AFA">
        <w:t>r</w:t>
      </w:r>
      <w:r w:rsidRPr="004B3AFA">
        <w:t xml:space="preserve">emplacement automatique des dates prévues de mise en service dans la base de données par la date de fin du délai réglementaire prévu au numéro </w:t>
      </w:r>
      <w:r w:rsidRPr="004B3AFA">
        <w:rPr>
          <w:b/>
          <w:bCs/>
        </w:rPr>
        <w:t>11.44</w:t>
      </w:r>
      <w:r w:rsidRPr="004B3AFA">
        <w:t xml:space="preserve"> si le Bureau n'a pas reçu de confirmation dans les 4 mois qui suivent la date prévue de mise en service: la modification de la date de mise en service ne fera pas l'objet d'une publication, mais l'information sera mise en ligne sur le site web du BR.</w:t>
      </w:r>
      <w:r w:rsidR="003714C4" w:rsidRPr="004B3AFA">
        <w:t xml:space="preserve"> </w:t>
      </w:r>
      <w:r w:rsidR="00A24351" w:rsidRPr="004B3AFA">
        <w:t xml:space="preserve">Cette option </w:t>
      </w:r>
      <w:r w:rsidRPr="004B3AFA">
        <w:t>ne nécessite</w:t>
      </w:r>
      <w:r w:rsidR="00A24351" w:rsidRPr="004B3AFA">
        <w:t xml:space="preserve"> pas de modification du Règlement des radiocommunications en vigueur.</w:t>
      </w:r>
    </w:p>
    <w:p w14:paraId="76B98772" w14:textId="77777777" w:rsidR="00B56390" w:rsidRPr="004B3AFA" w:rsidRDefault="00B56390" w:rsidP="00B526B9">
      <w:pPr>
        <w:pStyle w:val="Reasons"/>
      </w:pPr>
    </w:p>
    <w:p w14:paraId="468E04E5" w14:textId="77777777" w:rsidR="00B56390" w:rsidRPr="004B3AFA" w:rsidRDefault="003D662F" w:rsidP="00B526B9">
      <w:pPr>
        <w:pStyle w:val="Proposal"/>
      </w:pPr>
      <w:r w:rsidRPr="004B3AFA">
        <w:lastRenderedPageBreak/>
        <w:tab/>
        <w:t>CAN/14A22/6</w:t>
      </w:r>
    </w:p>
    <w:p w14:paraId="533C824F" w14:textId="292A095E" w:rsidR="00D37C96" w:rsidRPr="004B3AFA" w:rsidRDefault="00D37C96" w:rsidP="001F1E24">
      <w:r w:rsidRPr="004B3AFA">
        <w:t xml:space="preserve">En ce qui concerne le § 3.1.5 de l'Addendum 2 </w:t>
      </w:r>
      <w:r w:rsidR="00661366" w:rsidRPr="004B3AFA">
        <w:t>a</w:t>
      </w:r>
      <w:r w:rsidRPr="004B3AFA">
        <w:t>u Document 4, le Canada est favorable aux modifications qu'il est proposé d'apporter à l'Annexe 1 de la Recommandation UIT</w:t>
      </w:r>
      <w:r w:rsidR="00BF5DF6" w:rsidRPr="004B3AFA">
        <w:noBreakHyphen/>
      </w:r>
      <w:r w:rsidRPr="004B3AFA">
        <w:t>R</w:t>
      </w:r>
      <w:r w:rsidR="00BF5DF6" w:rsidRPr="004B3AFA">
        <w:t> M.585</w:t>
      </w:r>
      <w:r w:rsidR="0006762D">
        <w:noBreakHyphen/>
      </w:r>
      <w:r w:rsidR="00BF5DF6" w:rsidRPr="004B3AFA">
        <w:t>7</w:t>
      </w:r>
      <w:r w:rsidRPr="004B3AFA">
        <w:t xml:space="preserve">. De plus, le Canada appuie les propositions visant à modifier les numéros </w:t>
      </w:r>
      <w:r w:rsidRPr="004B3AFA">
        <w:rPr>
          <w:b/>
        </w:rPr>
        <w:t>19.36</w:t>
      </w:r>
      <w:r w:rsidRPr="004B3AFA">
        <w:t xml:space="preserve"> et </w:t>
      </w:r>
      <w:r w:rsidRPr="004B3AFA">
        <w:rPr>
          <w:b/>
        </w:rPr>
        <w:t>19.114</w:t>
      </w:r>
      <w:r w:rsidRPr="004B3AFA">
        <w:t xml:space="preserve"> du RR, suivant les suggestions faites par le Bureau.</w:t>
      </w:r>
    </w:p>
    <w:p w14:paraId="33A0A341" w14:textId="77777777" w:rsidR="00B56390" w:rsidRPr="004B3AFA" w:rsidRDefault="00B56390" w:rsidP="00B526B9">
      <w:pPr>
        <w:pStyle w:val="Reasons"/>
      </w:pPr>
    </w:p>
    <w:p w14:paraId="34A3CD8E" w14:textId="77777777" w:rsidR="00B56390" w:rsidRPr="004B3AFA" w:rsidRDefault="003D662F" w:rsidP="00B526B9">
      <w:pPr>
        <w:pStyle w:val="Proposal"/>
      </w:pPr>
      <w:r w:rsidRPr="004B3AFA">
        <w:tab/>
        <w:t>CAN/14A22/7</w:t>
      </w:r>
    </w:p>
    <w:p w14:paraId="0B118B5E" w14:textId="59354EDA" w:rsidR="00B56390" w:rsidRPr="004B3AFA" w:rsidRDefault="00613A9A" w:rsidP="001F1E24">
      <w:pPr>
        <w:rPr>
          <w:color w:val="000000"/>
        </w:rPr>
      </w:pPr>
      <w:r w:rsidRPr="004B3AFA">
        <w:t xml:space="preserve">S'agissant du § </w:t>
      </w:r>
      <w:r w:rsidR="00CC40A5" w:rsidRPr="004B3AFA">
        <w:t xml:space="preserve">3.1.7.2 </w:t>
      </w:r>
      <w:r w:rsidRPr="004B3AFA">
        <w:t xml:space="preserve">de l'Addendum 2 </w:t>
      </w:r>
      <w:r w:rsidR="00862C4E" w:rsidRPr="004B3AFA">
        <w:t>a</w:t>
      </w:r>
      <w:r w:rsidRPr="004B3AFA">
        <w:t xml:space="preserve">u Document 4, le Canada prend note des conclusions formulées par le Bureau et appuie la suggestion visant à </w:t>
      </w:r>
      <w:r w:rsidRPr="004B3AFA">
        <w:rPr>
          <w:color w:val="000000"/>
        </w:rPr>
        <w:t>inviter l</w:t>
      </w:r>
      <w:r w:rsidR="00C06EF0" w:rsidRPr="004B3AFA">
        <w:rPr>
          <w:color w:val="000000"/>
        </w:rPr>
        <w:t>'</w:t>
      </w:r>
      <w:r w:rsidRPr="004B3AFA">
        <w:rPr>
          <w:color w:val="000000"/>
        </w:rPr>
        <w:t xml:space="preserve">UIT-R à étudier si les équations figurant au numéro </w:t>
      </w:r>
      <w:r w:rsidRPr="004B3AFA">
        <w:rPr>
          <w:b/>
          <w:bCs/>
          <w:color w:val="000000"/>
        </w:rPr>
        <w:t>21.16.6</w:t>
      </w:r>
      <w:r w:rsidRPr="004B3AFA">
        <w:rPr>
          <w:color w:val="000000"/>
        </w:rPr>
        <w:t xml:space="preserve"> </w:t>
      </w:r>
      <w:r w:rsidR="00DE6413" w:rsidRPr="004B3AFA">
        <w:rPr>
          <w:color w:val="000000"/>
        </w:rPr>
        <w:t xml:space="preserve">du RR </w:t>
      </w:r>
      <w:r w:rsidRPr="004B3AFA">
        <w:rPr>
          <w:color w:val="000000"/>
        </w:rPr>
        <w:t>sont adaptées aux systèmes à satellites non OSG comprenant plus de 1 000 satellites.</w:t>
      </w:r>
    </w:p>
    <w:p w14:paraId="3781EE6E" w14:textId="77777777" w:rsidR="002D2BB1" w:rsidRPr="004B3AFA" w:rsidRDefault="002D2BB1" w:rsidP="00B526B9">
      <w:pPr>
        <w:pStyle w:val="Reasons"/>
      </w:pPr>
    </w:p>
    <w:p w14:paraId="48B3216F" w14:textId="77777777" w:rsidR="00B56390" w:rsidRPr="004B3AFA" w:rsidRDefault="003D662F" w:rsidP="00B526B9">
      <w:pPr>
        <w:pStyle w:val="Proposal"/>
      </w:pPr>
      <w:r w:rsidRPr="004B3AFA">
        <w:tab/>
        <w:t>CAN/14A22/8</w:t>
      </w:r>
    </w:p>
    <w:p w14:paraId="1B166EFA" w14:textId="24012093" w:rsidR="00B56390" w:rsidRPr="004B3AFA" w:rsidRDefault="00B819C5" w:rsidP="001F1E24">
      <w:r w:rsidRPr="004B3AFA">
        <w:t xml:space="preserve">Concernant le </w:t>
      </w:r>
      <w:r w:rsidR="0076714B" w:rsidRPr="004B3AFA">
        <w:t xml:space="preserve">3.2.4.1 </w:t>
      </w:r>
      <w:r w:rsidRPr="004B3AFA">
        <w:t xml:space="preserve">de l'Addendum 2 </w:t>
      </w:r>
      <w:r w:rsidR="00AA1DBE" w:rsidRPr="004B3AFA">
        <w:t>a</w:t>
      </w:r>
      <w:r w:rsidRPr="004B3AFA">
        <w:t>u Document 4, le Canada souscrit à la proposition d</w:t>
      </w:r>
      <w:r w:rsidR="00E47038" w:rsidRPr="004B3AFA">
        <w:t>u</w:t>
      </w:r>
      <w:r w:rsidR="0076714B" w:rsidRPr="004B3AFA">
        <w:t xml:space="preserve"> Bureau</w:t>
      </w:r>
      <w:r w:rsidRPr="004B3AFA">
        <w:t xml:space="preserve"> visant à </w:t>
      </w:r>
      <w:r w:rsidRPr="004B3AFA">
        <w:rPr>
          <w:color w:val="000000"/>
        </w:rPr>
        <w:t xml:space="preserve">revoir le texte des </w:t>
      </w:r>
      <w:r w:rsidRPr="004B3AFA">
        <w:t xml:space="preserve">§§ 4.1.16/4.2.20 des Appendices </w:t>
      </w:r>
      <w:r w:rsidRPr="004B3AFA">
        <w:rPr>
          <w:b/>
          <w:bCs/>
        </w:rPr>
        <w:t>30</w:t>
      </w:r>
      <w:r w:rsidRPr="004B3AFA">
        <w:t xml:space="preserve"> et </w:t>
      </w:r>
      <w:r w:rsidRPr="004B3AFA">
        <w:rPr>
          <w:b/>
          <w:bCs/>
        </w:rPr>
        <w:t>30A</w:t>
      </w:r>
      <w:r w:rsidRPr="004B3AFA">
        <w:t xml:space="preserve"> </w:t>
      </w:r>
      <w:r w:rsidR="00763CCA" w:rsidRPr="004B3AFA">
        <w:t>du RR</w:t>
      </w:r>
      <w:r w:rsidRPr="004B3AFA">
        <w:t xml:space="preserve">, </w:t>
      </w:r>
      <w:r w:rsidRPr="004B3AFA">
        <w:rPr>
          <w:color w:val="000000"/>
        </w:rPr>
        <w:t>afin de rendre obligatoires les efforts déployés en vue de parvenir à un accord avant qu'une demande d'application du § 4.1.18 soit formulée.</w:t>
      </w:r>
    </w:p>
    <w:p w14:paraId="46AC2385" w14:textId="77777777" w:rsidR="00B56390" w:rsidRPr="004B3AFA" w:rsidRDefault="00B56390" w:rsidP="00B526B9">
      <w:pPr>
        <w:pStyle w:val="Reasons"/>
      </w:pPr>
    </w:p>
    <w:p w14:paraId="54DB6FB8" w14:textId="77777777" w:rsidR="00B56390" w:rsidRPr="004B3AFA" w:rsidRDefault="003D662F" w:rsidP="00B526B9">
      <w:pPr>
        <w:pStyle w:val="Proposal"/>
      </w:pPr>
      <w:r w:rsidRPr="004B3AFA">
        <w:tab/>
        <w:t>CAN/14A22/9</w:t>
      </w:r>
    </w:p>
    <w:p w14:paraId="0159CDD9" w14:textId="3287B624" w:rsidR="00B56390" w:rsidRPr="004B3AFA" w:rsidRDefault="00DC5C28" w:rsidP="00B526B9">
      <w:r w:rsidRPr="004B3AFA">
        <w:t>À</w:t>
      </w:r>
      <w:r w:rsidR="00B819C5" w:rsidRPr="004B3AFA">
        <w:t xml:space="preserve"> propos du § 3.2.4.2 de l'Addendum 2 </w:t>
      </w:r>
      <w:r w:rsidR="00C06EF0" w:rsidRPr="004B3AFA">
        <w:t>a</w:t>
      </w:r>
      <w:r w:rsidR="00B819C5" w:rsidRPr="004B3AFA">
        <w:t xml:space="preserve">u Document 4, le Canada </w:t>
      </w:r>
      <w:r w:rsidR="00E47038" w:rsidRPr="004B3AFA">
        <w:t>appuie la proposition du Bureau visant à</w:t>
      </w:r>
      <w:r w:rsidR="00B819C5" w:rsidRPr="004B3AFA">
        <w:t xml:space="preserve"> </w:t>
      </w:r>
      <w:r w:rsidR="00E47038" w:rsidRPr="004B3AFA">
        <w:t>ajouter une</w:t>
      </w:r>
      <w:r w:rsidR="00E47038" w:rsidRPr="004B3AFA">
        <w:rPr>
          <w:color w:val="000000"/>
        </w:rPr>
        <w:t xml:space="preserve"> note relative aux § 4.1.13 et 4.2.17 dans l'Article 4 des Appendices </w:t>
      </w:r>
      <w:r w:rsidR="00E47038" w:rsidRPr="004B3AFA">
        <w:rPr>
          <w:b/>
          <w:bCs/>
          <w:color w:val="000000"/>
        </w:rPr>
        <w:t>30</w:t>
      </w:r>
      <w:r w:rsidR="00E47038" w:rsidRPr="004B3AFA">
        <w:rPr>
          <w:color w:val="000000"/>
        </w:rPr>
        <w:t xml:space="preserve"> et </w:t>
      </w:r>
      <w:r w:rsidR="00E47038" w:rsidRPr="004B3AFA">
        <w:rPr>
          <w:b/>
          <w:bCs/>
          <w:color w:val="000000"/>
        </w:rPr>
        <w:t>30A</w:t>
      </w:r>
      <w:r w:rsidR="00B96779" w:rsidRPr="004B3AFA">
        <w:rPr>
          <w:b/>
          <w:bCs/>
          <w:color w:val="000000"/>
        </w:rPr>
        <w:t xml:space="preserve"> </w:t>
      </w:r>
      <w:r w:rsidR="00B96779" w:rsidRPr="004B3AFA">
        <w:rPr>
          <w:color w:val="000000"/>
        </w:rPr>
        <w:t>du RR</w:t>
      </w:r>
      <w:r w:rsidR="00E47038" w:rsidRPr="004B3AFA">
        <w:rPr>
          <w:color w:val="000000"/>
        </w:rPr>
        <w:t>, afin de rappeler à l'administration notificatrice les conséquences si l'accord obtenu au titre de cet Article n'est pas renouvelé.</w:t>
      </w:r>
    </w:p>
    <w:p w14:paraId="6D3AB5CD" w14:textId="77777777" w:rsidR="00B56390" w:rsidRPr="004B3AFA" w:rsidRDefault="00B56390" w:rsidP="00B526B9">
      <w:pPr>
        <w:pStyle w:val="Reasons"/>
      </w:pPr>
    </w:p>
    <w:p w14:paraId="005D6D9E" w14:textId="77777777" w:rsidR="00B56390" w:rsidRPr="004B3AFA" w:rsidRDefault="003D662F" w:rsidP="00B526B9">
      <w:pPr>
        <w:pStyle w:val="Proposal"/>
      </w:pPr>
      <w:r w:rsidRPr="004B3AFA">
        <w:tab/>
        <w:t>CAN/14A22/10</w:t>
      </w:r>
    </w:p>
    <w:p w14:paraId="1E4081B9" w14:textId="35C6AB1A" w:rsidR="001B2BDB" w:rsidRPr="004B3AFA" w:rsidRDefault="001B2BDB" w:rsidP="001F1E24">
      <w:r w:rsidRPr="004B3AFA">
        <w:t>Pour ce qui est</w:t>
      </w:r>
      <w:r w:rsidR="00B819C5" w:rsidRPr="004B3AFA">
        <w:t xml:space="preserve"> </w:t>
      </w:r>
      <w:r w:rsidRPr="004B3AFA">
        <w:t xml:space="preserve">du § 3.2.4.6 de l'Addendum 2 </w:t>
      </w:r>
      <w:r w:rsidR="00B96779" w:rsidRPr="004B3AFA">
        <w:t>a</w:t>
      </w:r>
      <w:r w:rsidRPr="004B3AFA">
        <w:t>u Document 4, le Canada</w:t>
      </w:r>
      <w:r w:rsidR="00B819C5" w:rsidRPr="004B3AFA">
        <w:t xml:space="preserve"> </w:t>
      </w:r>
      <w:r w:rsidRPr="004B3AFA">
        <w:t xml:space="preserve">appuie la proposition du Bureau visant à </w:t>
      </w:r>
      <w:r w:rsidRPr="004B3AFA">
        <w:rPr>
          <w:color w:val="000000"/>
        </w:rPr>
        <w:t xml:space="preserve">supprimer la Règle de procédure relative au numéro </w:t>
      </w:r>
      <w:r w:rsidR="0076714B" w:rsidRPr="004B3AFA">
        <w:rPr>
          <w:b/>
        </w:rPr>
        <w:t>5.510</w:t>
      </w:r>
      <w:r w:rsidR="00B96779" w:rsidRPr="004B3AFA">
        <w:rPr>
          <w:bCs/>
        </w:rPr>
        <w:t xml:space="preserve"> du RR</w:t>
      </w:r>
      <w:r w:rsidRPr="004B3AFA">
        <w:rPr>
          <w:bCs/>
        </w:rPr>
        <w:t xml:space="preserve"> </w:t>
      </w:r>
      <w:r w:rsidRPr="004B3AFA">
        <w:t xml:space="preserve">et à </w:t>
      </w:r>
      <w:r w:rsidRPr="004B3AFA">
        <w:rPr>
          <w:color w:val="000000"/>
        </w:rPr>
        <w:t>faire état de la situation de partage directement dans le Règlement des radiocommunications</w:t>
      </w:r>
      <w:r w:rsidR="0039389F" w:rsidRPr="004B3AFA">
        <w:rPr>
          <w:color w:val="000000"/>
        </w:rPr>
        <w:t xml:space="preserve">, </w:t>
      </w:r>
      <w:r w:rsidRPr="004B3AFA">
        <w:t xml:space="preserve">dans le cadre des modifications que le Bureau propose d'apporter à l'Appendice </w:t>
      </w:r>
      <w:r w:rsidRPr="004B3AFA">
        <w:rPr>
          <w:b/>
          <w:bCs/>
        </w:rPr>
        <w:t>30A</w:t>
      </w:r>
      <w:r w:rsidRPr="004B3AFA">
        <w:rPr>
          <w:bCs/>
        </w:rPr>
        <w:t xml:space="preserve"> </w:t>
      </w:r>
      <w:r w:rsidRPr="004B3AFA">
        <w:t>du RR.</w:t>
      </w:r>
    </w:p>
    <w:p w14:paraId="1B42F3E2" w14:textId="6183F450" w:rsidR="00B56390" w:rsidRPr="004B3AFA" w:rsidRDefault="00B56390" w:rsidP="00B526B9">
      <w:pPr>
        <w:pStyle w:val="Reasons"/>
      </w:pPr>
    </w:p>
    <w:p w14:paraId="080414E3" w14:textId="77777777" w:rsidR="00B56390" w:rsidRPr="004B3AFA" w:rsidRDefault="003D662F" w:rsidP="00B526B9">
      <w:pPr>
        <w:pStyle w:val="Proposal"/>
      </w:pPr>
      <w:r w:rsidRPr="004B3AFA">
        <w:tab/>
        <w:t>CAN/14A22/11</w:t>
      </w:r>
    </w:p>
    <w:p w14:paraId="4BEC17BD" w14:textId="18860C09" w:rsidR="008235F7" w:rsidRPr="004B3AFA" w:rsidRDefault="008235F7" w:rsidP="00B526B9">
      <w:r w:rsidRPr="004B3AFA">
        <w:t xml:space="preserve">Le § 3.2.4.7 de l'Addendum 2 </w:t>
      </w:r>
      <w:r w:rsidR="003C2413" w:rsidRPr="004B3AFA">
        <w:t>a</w:t>
      </w:r>
      <w:r w:rsidRPr="004B3AFA">
        <w:t xml:space="preserve">u Document 4 traite </w:t>
      </w:r>
      <w:r w:rsidR="0076714B" w:rsidRPr="004B3AFA">
        <w:t xml:space="preserve">de la décision de la CMR-15 concernant </w:t>
      </w:r>
      <w:r w:rsidRPr="004B3AFA">
        <w:t xml:space="preserve">la Règle de procédure relative au paragraphe 2A.1.2, s'agissant du critère à appliquer </w:t>
      </w:r>
      <w:r w:rsidR="0076714B" w:rsidRPr="004B3AFA">
        <w:t xml:space="preserve">pour la coordination entre les assignations destinées à assurer les fonctions d'exploitation spatiale et les services ne relevant pas d'un Plan dans la bande 14,5-14,8 GHz. Cette coordination </w:t>
      </w:r>
      <w:r w:rsidRPr="004B3AFA">
        <w:t>est</w:t>
      </w:r>
      <w:r w:rsidR="0076714B" w:rsidRPr="004B3AFA">
        <w:t xml:space="preserve"> effectuée conformément aux dispositions du numéro </w:t>
      </w:r>
      <w:r w:rsidR="0076714B" w:rsidRPr="004B3AFA">
        <w:rPr>
          <w:b/>
          <w:bCs/>
        </w:rPr>
        <w:t>9.7</w:t>
      </w:r>
      <w:r w:rsidR="0076714B" w:rsidRPr="004B3AFA">
        <w:t xml:space="preserve"> du </w:t>
      </w:r>
      <w:r w:rsidRPr="004B3AFA">
        <w:t xml:space="preserve">RR. Le Canada appuie la proposition du Bureau visant à faire état de cette décision directement dans le RR, </w:t>
      </w:r>
      <w:r w:rsidR="00B91977" w:rsidRPr="004B3AFA">
        <w:t xml:space="preserve">en </w:t>
      </w:r>
      <w:r w:rsidRPr="004B3AFA">
        <w:t>modifi</w:t>
      </w:r>
      <w:r w:rsidR="00B91977" w:rsidRPr="004B3AFA">
        <w:t>ant</w:t>
      </w:r>
      <w:r w:rsidRPr="004B3AFA">
        <w:t xml:space="preserve"> la partie pertinent</w:t>
      </w:r>
      <w:r w:rsidR="00B91977" w:rsidRPr="004B3AFA">
        <w:t>e</w:t>
      </w:r>
      <w:r w:rsidRPr="004B3AFA">
        <w:t xml:space="preserve"> de l'Appendice </w:t>
      </w:r>
      <w:r w:rsidRPr="004B3AFA">
        <w:rPr>
          <w:b/>
          <w:bCs/>
        </w:rPr>
        <w:t>5</w:t>
      </w:r>
      <w:r w:rsidRPr="004B3AFA">
        <w:t xml:space="preserve"> du RR et, par la suite, </w:t>
      </w:r>
      <w:r w:rsidR="00B91977" w:rsidRPr="004B3AFA">
        <w:t xml:space="preserve">en </w:t>
      </w:r>
      <w:r w:rsidRPr="004B3AFA">
        <w:t>supprim</w:t>
      </w:r>
      <w:r w:rsidR="00B91977" w:rsidRPr="004B3AFA">
        <w:t>ant</w:t>
      </w:r>
      <w:r w:rsidRPr="004B3AFA">
        <w:t xml:space="preserve"> la Règle de procédure correspondante</w:t>
      </w:r>
      <w:r w:rsidR="00B419C5" w:rsidRPr="004B3AFA">
        <w:t>.</w:t>
      </w:r>
    </w:p>
    <w:p w14:paraId="231A6BEF" w14:textId="77777777" w:rsidR="00B56390" w:rsidRPr="004B3AFA" w:rsidRDefault="00B56390" w:rsidP="00B526B9">
      <w:pPr>
        <w:pStyle w:val="Reasons"/>
      </w:pPr>
    </w:p>
    <w:p w14:paraId="47AB71B0" w14:textId="77777777" w:rsidR="00B56390" w:rsidRPr="004B3AFA" w:rsidRDefault="003D662F" w:rsidP="00B526B9">
      <w:pPr>
        <w:pStyle w:val="Proposal"/>
      </w:pPr>
      <w:r w:rsidRPr="004B3AFA">
        <w:lastRenderedPageBreak/>
        <w:tab/>
        <w:t>CAN/14A22/12</w:t>
      </w:r>
    </w:p>
    <w:p w14:paraId="173539D1" w14:textId="66F625DD" w:rsidR="00B56390" w:rsidRPr="004B3AFA" w:rsidRDefault="008235F7" w:rsidP="00B526B9">
      <w:r w:rsidRPr="004B3AFA">
        <w:t xml:space="preserve">Le § 3.2.4.8 de l'Addendum 2 </w:t>
      </w:r>
      <w:r w:rsidR="009F7331" w:rsidRPr="004B3AFA">
        <w:t>a</w:t>
      </w:r>
      <w:r w:rsidRPr="004B3AFA">
        <w:t>u Document 4 traite de l</w:t>
      </w:r>
      <w:r w:rsidR="00DC7002" w:rsidRPr="004B3AFA">
        <w:t xml:space="preserve">a Section 6 </w:t>
      </w:r>
      <w:r w:rsidR="00DC7002" w:rsidRPr="004B3AFA">
        <w:rPr>
          <w:bCs/>
        </w:rPr>
        <w:t>de l'Annexe 1 de l'Appendice</w:t>
      </w:r>
      <w:r w:rsidR="00DC7002" w:rsidRPr="004B3AFA">
        <w:rPr>
          <w:b/>
        </w:rPr>
        <w:t xml:space="preserve"> 30</w:t>
      </w:r>
      <w:r w:rsidR="00DC7002" w:rsidRPr="004B3AFA">
        <w:rPr>
          <w:bCs/>
        </w:rPr>
        <w:t xml:space="preserve"> du RR</w:t>
      </w:r>
      <w:r w:rsidR="00DC7002" w:rsidRPr="004B3AFA">
        <w:t xml:space="preserve"> </w:t>
      </w:r>
      <w:r w:rsidRPr="004B3AFA">
        <w:t>et</w:t>
      </w:r>
      <w:r w:rsidR="00DC7002" w:rsidRPr="004B3AFA">
        <w:t xml:space="preserve"> </w:t>
      </w:r>
      <w:r w:rsidR="009F7331" w:rsidRPr="004B3AFA">
        <w:t>d</w:t>
      </w:r>
      <w:r w:rsidR="00DC7002" w:rsidRPr="004B3AFA">
        <w:t xml:space="preserve">es critères permettant de déterminer si une administration dont relève le SFS est considérée comme affectée au sens du § 4.1.1 </w:t>
      </w:r>
      <w:r w:rsidR="00DC7002" w:rsidRPr="004B3AFA">
        <w:rPr>
          <w:i/>
          <w:iCs/>
        </w:rPr>
        <w:t>e)</w:t>
      </w:r>
      <w:r w:rsidR="00DC7002" w:rsidRPr="004B3AFA">
        <w:t xml:space="preserve"> ou du § 4.2.3 </w:t>
      </w:r>
      <w:r w:rsidR="00DC7002" w:rsidRPr="004B3AFA">
        <w:rPr>
          <w:i/>
          <w:iCs/>
        </w:rPr>
        <w:t>e)</w:t>
      </w:r>
      <w:r w:rsidR="00DC7002" w:rsidRPr="004B3AFA">
        <w:t xml:space="preserve"> de l'Article 4 dudit Appendice par une assignation nouvelle ou modifiée figurant dans la Liste pour les Régions 1 et 3</w:t>
      </w:r>
      <w:r w:rsidR="009F7331" w:rsidRPr="004B3AFA">
        <w:t>,</w:t>
      </w:r>
      <w:r w:rsidR="00DC7002" w:rsidRPr="004B3AFA">
        <w:t xml:space="preserve"> ou par un projet de modification du Plan pour la Région 2, selon le cas. </w:t>
      </w:r>
      <w:r w:rsidR="00D67B7B" w:rsidRPr="004B3AFA">
        <w:t>Le Canada appuie la proposition du Bureau visant à</w:t>
      </w:r>
      <w:r w:rsidR="00DC7002" w:rsidRPr="004B3AFA">
        <w:t xml:space="preserve"> </w:t>
      </w:r>
      <w:r w:rsidR="00D67B7B" w:rsidRPr="004B3AFA">
        <w:rPr>
          <w:color w:val="000000"/>
        </w:rPr>
        <w:t xml:space="preserve">aligner les conditions indiquées dans la Section 6 sur les autres Sections de l'Annexe 1 de l'Appendice </w:t>
      </w:r>
      <w:r w:rsidR="00D67B7B" w:rsidRPr="004B3AFA">
        <w:rPr>
          <w:b/>
          <w:bCs/>
          <w:color w:val="000000"/>
        </w:rPr>
        <w:t>30</w:t>
      </w:r>
      <w:r w:rsidR="00D67B7B" w:rsidRPr="004B3AFA">
        <w:rPr>
          <w:color w:val="000000"/>
        </w:rPr>
        <w:t xml:space="preserve"> du RR, compte tenu des modifications proposées par le </w:t>
      </w:r>
      <w:r w:rsidR="00DC7002" w:rsidRPr="004B3AFA">
        <w:rPr>
          <w:bCs/>
        </w:rPr>
        <w:t>Bureau</w:t>
      </w:r>
      <w:r w:rsidR="00DC7002" w:rsidRPr="004B3AFA">
        <w:t>.</w:t>
      </w:r>
    </w:p>
    <w:p w14:paraId="6FF7C856" w14:textId="77777777" w:rsidR="00B56390" w:rsidRPr="004B3AFA" w:rsidRDefault="00B56390" w:rsidP="00B526B9">
      <w:pPr>
        <w:pStyle w:val="Reasons"/>
      </w:pPr>
    </w:p>
    <w:p w14:paraId="0FCD7B0A" w14:textId="77777777" w:rsidR="00B56390" w:rsidRPr="004B3AFA" w:rsidRDefault="003D662F" w:rsidP="00B526B9">
      <w:pPr>
        <w:pStyle w:val="Proposal"/>
      </w:pPr>
      <w:r w:rsidRPr="004B3AFA">
        <w:tab/>
        <w:t>CAN/14A22/13</w:t>
      </w:r>
    </w:p>
    <w:p w14:paraId="58F5E268" w14:textId="0C176B3A" w:rsidR="00B56390" w:rsidRPr="004B3AFA" w:rsidRDefault="00543E7E" w:rsidP="001F1E24">
      <w:r w:rsidRPr="004B3AFA">
        <w:t xml:space="preserve">Le § 3.2.4.9 de l'Addendum 2 </w:t>
      </w:r>
      <w:r w:rsidR="00D610B6" w:rsidRPr="004B3AFA">
        <w:t>a</w:t>
      </w:r>
      <w:r w:rsidRPr="004B3AFA">
        <w:t>u Document 4 traite de la question</w:t>
      </w:r>
      <w:r w:rsidR="00870FA3" w:rsidRPr="004B3AFA">
        <w:t xml:space="preserve"> </w:t>
      </w:r>
      <w:r w:rsidRPr="004B3AFA">
        <w:t xml:space="preserve">de l'utilisation de la densité de puissance pour le calcul du rapport ΔT/T conformément au § 2 de l'Annexe 4 de l'Appendice </w:t>
      </w:r>
      <w:r w:rsidRPr="004B3AFA">
        <w:rPr>
          <w:b/>
          <w:bCs/>
        </w:rPr>
        <w:t>30A</w:t>
      </w:r>
      <w:r w:rsidRPr="004B3AFA">
        <w:t xml:space="preserve"> du RR. Le Canada est favorable à la proposition du Bureau et à la décision de la CMR-15 visant à</w:t>
      </w:r>
      <w:r w:rsidR="00624E7E" w:rsidRPr="004B3AFA">
        <w:t xml:space="preserve"> </w:t>
      </w:r>
      <w:r w:rsidRPr="004B3AFA">
        <w:t xml:space="preserve">utiliser la valeur moyenne des densités de puissance maximales par hertz, dans la bande de 1 MHz la plus défavorable, en lieu et place de la valeur moyenne des densités de puissance par hertz sur la largeur de bande nécessaire des porteuses de la liaison de connexion pour le calcul du rapport ΔT/T conformément à la Section 2 de l'Annexe 4 de l'Appendice </w:t>
      </w:r>
      <w:r w:rsidRPr="004B3AFA">
        <w:rPr>
          <w:b/>
          <w:bCs/>
        </w:rPr>
        <w:t>30A</w:t>
      </w:r>
      <w:r w:rsidRPr="004B3AFA">
        <w:t xml:space="preserve"> du RR.</w:t>
      </w:r>
    </w:p>
    <w:p w14:paraId="6BFB9D53" w14:textId="77777777" w:rsidR="00B56390" w:rsidRPr="004B3AFA" w:rsidRDefault="00B56390" w:rsidP="00B526B9">
      <w:pPr>
        <w:pStyle w:val="Reasons"/>
      </w:pPr>
    </w:p>
    <w:p w14:paraId="2ECF686C" w14:textId="77777777" w:rsidR="00B56390" w:rsidRPr="004B3AFA" w:rsidRDefault="003D662F" w:rsidP="00B526B9">
      <w:pPr>
        <w:pStyle w:val="Proposal"/>
      </w:pPr>
      <w:r w:rsidRPr="004B3AFA">
        <w:tab/>
        <w:t>CAN/14A22/14</w:t>
      </w:r>
    </w:p>
    <w:p w14:paraId="65E5C708" w14:textId="12CF821E" w:rsidR="00B56390" w:rsidRPr="004B3AFA" w:rsidRDefault="007D0BFD" w:rsidP="001F1E24">
      <w:r w:rsidRPr="004B3AFA">
        <w:t xml:space="preserve">Pour ce qui est du § 3.2.4.10 de l'Addendum 2 </w:t>
      </w:r>
      <w:r w:rsidR="00DE5E62" w:rsidRPr="004B3AFA">
        <w:t>a</w:t>
      </w:r>
      <w:r w:rsidRPr="004B3AFA">
        <w:t xml:space="preserve">u Document 4, le Canada est favorable à la proposition du Bureau, telle que confirmée précédemment par la CMR-03, visant à </w:t>
      </w:r>
      <w:r w:rsidRPr="004B3AFA">
        <w:rPr>
          <w:color w:val="000000"/>
        </w:rPr>
        <w:t xml:space="preserve">ajouter une note dans l'Article 2A des Appendices </w:t>
      </w:r>
      <w:r w:rsidRPr="004B3AFA">
        <w:rPr>
          <w:b/>
          <w:bCs/>
          <w:color w:val="000000"/>
        </w:rPr>
        <w:t>30</w:t>
      </w:r>
      <w:r w:rsidRPr="004B3AFA">
        <w:rPr>
          <w:color w:val="000000"/>
        </w:rPr>
        <w:t xml:space="preserve"> et </w:t>
      </w:r>
      <w:r w:rsidRPr="004B3AFA">
        <w:rPr>
          <w:b/>
          <w:bCs/>
          <w:color w:val="000000"/>
        </w:rPr>
        <w:t>30A</w:t>
      </w:r>
      <w:r w:rsidRPr="004B3AFA">
        <w:rPr>
          <w:color w:val="000000"/>
        </w:rPr>
        <w:t xml:space="preserve"> du RR pour indiquer que les soumissions au titre de l'Article 2A ne sont pas assujetties à la Résolution </w:t>
      </w:r>
      <w:r w:rsidRPr="004B3AFA">
        <w:rPr>
          <w:b/>
          <w:bCs/>
          <w:color w:val="000000"/>
        </w:rPr>
        <w:t>49</w:t>
      </w:r>
      <w:r w:rsidRPr="004B3AFA">
        <w:rPr>
          <w:color w:val="000000"/>
        </w:rPr>
        <w:t xml:space="preserve"> </w:t>
      </w:r>
      <w:r w:rsidRPr="004B3AFA">
        <w:rPr>
          <w:b/>
          <w:bCs/>
          <w:color w:val="000000"/>
        </w:rPr>
        <w:t>(Rév.CMR-15)</w:t>
      </w:r>
      <w:r w:rsidR="005608BE" w:rsidRPr="004B3AFA">
        <w:rPr>
          <w:color w:val="000000"/>
        </w:rPr>
        <w:t>.</w:t>
      </w:r>
    </w:p>
    <w:p w14:paraId="3B1168E8" w14:textId="77777777" w:rsidR="00B56390" w:rsidRPr="004B3AFA" w:rsidRDefault="00B56390" w:rsidP="00B526B9">
      <w:pPr>
        <w:pStyle w:val="Reasons"/>
      </w:pPr>
    </w:p>
    <w:p w14:paraId="25F24E72" w14:textId="77777777" w:rsidR="00B56390" w:rsidRPr="004B3AFA" w:rsidRDefault="003D662F" w:rsidP="00B526B9">
      <w:pPr>
        <w:pStyle w:val="Proposal"/>
      </w:pPr>
      <w:r w:rsidRPr="004B3AFA">
        <w:tab/>
        <w:t>CAN/14A22/15</w:t>
      </w:r>
    </w:p>
    <w:p w14:paraId="5BB82DCD" w14:textId="5D21A7F9" w:rsidR="00B56390" w:rsidRPr="004B3AFA" w:rsidRDefault="00DB2B19" w:rsidP="00AB607E">
      <w:r w:rsidRPr="004B3AFA">
        <w:t xml:space="preserve">Comme indiqué au § 3.2.5.1 de l'Addendum 2 </w:t>
      </w:r>
      <w:r w:rsidR="00DE5E62" w:rsidRPr="004B3AFA">
        <w:t>a</w:t>
      </w:r>
      <w:r w:rsidRPr="004B3AFA">
        <w:t>u Document 4, c</w:t>
      </w:r>
      <w:r w:rsidR="00CF1F11" w:rsidRPr="004B3AFA">
        <w:t xml:space="preserve">onformément au § 6.1 de l'Appendice </w:t>
      </w:r>
      <w:r w:rsidR="00CF1F11" w:rsidRPr="004B3AFA">
        <w:rPr>
          <w:b/>
          <w:bCs/>
        </w:rPr>
        <w:t>30B</w:t>
      </w:r>
      <w:r w:rsidR="00CF1F11" w:rsidRPr="004B3AFA">
        <w:t xml:space="preserve"> du RR, lorsqu'une administration se propose de convertir un allotissement en assignation ou d'introduire un système additionnel ou de modifier les caractéristiques d'assignations figurant dans la Liste qui ont été mises en service, elle envoie au Bureau, au plus tôt huit ans et au plus tard deux ans avant la date prévue de mise en service de l'assignation, les renseignements indiqués dans l'Appendice </w:t>
      </w:r>
      <w:r w:rsidR="00CF1F11" w:rsidRPr="004B3AFA">
        <w:rPr>
          <w:b/>
          <w:bCs/>
        </w:rPr>
        <w:t>4</w:t>
      </w:r>
      <w:r w:rsidR="00CF1F11" w:rsidRPr="004B3AFA">
        <w:t xml:space="preserve"> du RR. Toutefois, la date effective ou prévue de mise en service de l'assignation de fréquence est soumise dans la notification au titre de l'Article 8 de l'</w:t>
      </w:r>
      <w:r w:rsidRPr="004B3AFA">
        <w:t>A</w:t>
      </w:r>
      <w:r w:rsidR="00CF1F11" w:rsidRPr="004B3AFA">
        <w:t xml:space="preserve">ppendice </w:t>
      </w:r>
      <w:r w:rsidR="00CF1F11" w:rsidRPr="004B3AFA">
        <w:rPr>
          <w:b/>
          <w:bCs/>
        </w:rPr>
        <w:t>30B</w:t>
      </w:r>
      <w:r w:rsidR="00CF1F11" w:rsidRPr="004B3AFA">
        <w:t xml:space="preserve"> du RR seulement, comme indiqué dans l'élément </w:t>
      </w:r>
      <w:r w:rsidRPr="004B3AFA">
        <w:t xml:space="preserve">de données </w:t>
      </w:r>
      <w:r w:rsidR="00CF1F11" w:rsidRPr="004B3AFA">
        <w:t xml:space="preserve">A.2.a de l'Annexe 2 de l'Appendice </w:t>
      </w:r>
      <w:r w:rsidR="00CF1F11" w:rsidRPr="004B3AFA">
        <w:rPr>
          <w:b/>
          <w:bCs/>
        </w:rPr>
        <w:t>4</w:t>
      </w:r>
      <w:r w:rsidR="00CF1F11" w:rsidRPr="004B3AFA">
        <w:t xml:space="preserve"> du RR. En conséquence, il n'est pas possible pour le Bureau d'examiner la date de mise en service lorsqu'une soumission est reçue au titre du § 6.1 de l'Appendice </w:t>
      </w:r>
      <w:r w:rsidR="00CF1F11" w:rsidRPr="004B3AFA">
        <w:rPr>
          <w:b/>
          <w:bCs/>
        </w:rPr>
        <w:t>30B</w:t>
      </w:r>
      <w:r w:rsidR="00CF1F11" w:rsidRPr="004B3AFA">
        <w:t xml:space="preserve"> du RR.</w:t>
      </w:r>
    </w:p>
    <w:p w14:paraId="6FBA6737" w14:textId="02DD9A76" w:rsidR="00DB2B19" w:rsidRPr="004B3AFA" w:rsidRDefault="00DB2B19" w:rsidP="00AB607E">
      <w:r w:rsidRPr="004B3AFA">
        <w:t>De l'avis du Canada, deux solutions pourraient être envisagées pour traiter cette question:</w:t>
      </w:r>
    </w:p>
    <w:p w14:paraId="5D16A270" w14:textId="52B6C3C3" w:rsidR="00DB2B19" w:rsidRPr="004B3AFA" w:rsidRDefault="00DB2B19" w:rsidP="00367780">
      <w:pPr>
        <w:pStyle w:val="enumlev1"/>
      </w:pPr>
      <w:r w:rsidRPr="004B3AFA">
        <w:t>1)</w:t>
      </w:r>
      <w:r w:rsidR="00944238" w:rsidRPr="004B3AFA">
        <w:tab/>
      </w:r>
      <w:r w:rsidRPr="004B3AFA">
        <w:t xml:space="preserve">procéder suivant les suggestions faites par le Bureau (c'est-à-dire supprimer l'expression «et au plus tard deux ans»), </w:t>
      </w:r>
      <w:proofErr w:type="gramStart"/>
      <w:r w:rsidRPr="004B3AFA">
        <w:t>ou</w:t>
      </w:r>
      <w:proofErr w:type="gramEnd"/>
    </w:p>
    <w:p w14:paraId="153E849A" w14:textId="3D6DBCB7" w:rsidR="00CB3E9B" w:rsidRPr="004B3AFA" w:rsidRDefault="00CB3E9B" w:rsidP="00367780">
      <w:pPr>
        <w:pStyle w:val="enumlev1"/>
      </w:pPr>
      <w:r w:rsidRPr="004B3AFA">
        <w:t>2)</w:t>
      </w:r>
      <w:r w:rsidR="00944238" w:rsidRPr="004B3AFA">
        <w:tab/>
      </w:r>
      <w:r w:rsidR="00080CAC" w:rsidRPr="004B3AFA">
        <w:t xml:space="preserve">adopter pour le § 6.1 de l'Appendice </w:t>
      </w:r>
      <w:r w:rsidR="00080CAC" w:rsidRPr="004B3AFA">
        <w:rPr>
          <w:b/>
          <w:bCs/>
        </w:rPr>
        <w:t>30B</w:t>
      </w:r>
      <w:r w:rsidR="00080CAC" w:rsidRPr="004B3AFA">
        <w:t xml:space="preserve"> du RR un libellé analogue à celui du numéro</w:t>
      </w:r>
      <w:r w:rsidR="00367780">
        <w:t> </w:t>
      </w:r>
      <w:r w:rsidR="00080CAC" w:rsidRPr="004B3AFA">
        <w:rPr>
          <w:b/>
          <w:bCs/>
        </w:rPr>
        <w:t>9.1</w:t>
      </w:r>
      <w:r w:rsidR="00080CAC" w:rsidRPr="004B3AFA">
        <w:t xml:space="preserve"> du RR, c'est-à-dire insérer les termes «</w:t>
      </w:r>
      <w:r w:rsidR="00080CAC" w:rsidRPr="004B3AFA">
        <w:rPr>
          <w:i/>
          <w:iCs/>
        </w:rPr>
        <w:t>de préférence</w:t>
      </w:r>
      <w:r w:rsidR="00080CAC" w:rsidRPr="004B3AFA">
        <w:t xml:space="preserve">» avant </w:t>
      </w:r>
      <w:r w:rsidR="00122F42" w:rsidRPr="004B3AFA">
        <w:t xml:space="preserve">le membre de phrase </w:t>
      </w:r>
      <w:r w:rsidR="00080CAC" w:rsidRPr="004B3AFA">
        <w:rPr>
          <w:color w:val="000000"/>
        </w:rPr>
        <w:t>«</w:t>
      </w:r>
      <w:r w:rsidR="00DB2B19" w:rsidRPr="004B3AFA">
        <w:rPr>
          <w:i/>
          <w:iCs/>
          <w:color w:val="000000"/>
        </w:rPr>
        <w:t xml:space="preserve">au plus tard deux ans avant la date prévue de mise en service </w:t>
      </w:r>
      <w:r w:rsidR="00246090" w:rsidRPr="004B3AFA">
        <w:rPr>
          <w:i/>
          <w:iCs/>
          <w:color w:val="000000"/>
        </w:rPr>
        <w:t>et au plus tard deux ans avant la date prévue de mise en service</w:t>
      </w:r>
      <w:r w:rsidR="00080CAC" w:rsidRPr="004B3AFA">
        <w:rPr>
          <w:i/>
          <w:iCs/>
          <w:color w:val="000000"/>
        </w:rPr>
        <w:t>…</w:t>
      </w:r>
      <w:r w:rsidR="00080CAC" w:rsidRPr="004B3AFA">
        <w:rPr>
          <w:color w:val="000000"/>
        </w:rPr>
        <w:t>»</w:t>
      </w:r>
      <w:r w:rsidR="00C05394" w:rsidRPr="004B3AFA">
        <w:rPr>
          <w:color w:val="000000"/>
        </w:rPr>
        <w:t>.</w:t>
      </w:r>
    </w:p>
    <w:p w14:paraId="1CB5DF3A" w14:textId="05581218" w:rsidR="006101AC" w:rsidRPr="004B3AFA" w:rsidRDefault="00A04434" w:rsidP="00AB607E">
      <w:r w:rsidRPr="004B3AFA">
        <w:lastRenderedPageBreak/>
        <w:t xml:space="preserve">En outre, le Canada note que dans la version anglaise de l'élément de données A2a de l'Appendice </w:t>
      </w:r>
      <w:r w:rsidRPr="004B3AFA">
        <w:rPr>
          <w:b/>
          <w:bCs/>
        </w:rPr>
        <w:t>4</w:t>
      </w:r>
      <w:r w:rsidRPr="004B3AFA">
        <w:t xml:space="preserve"> du RR, le mot </w:t>
      </w:r>
      <w:r w:rsidR="005C178C" w:rsidRPr="004B3AFA">
        <w:t>«</w:t>
      </w:r>
      <w:r w:rsidRPr="004B3AFA">
        <w:t>foreseen</w:t>
      </w:r>
      <w:r w:rsidR="005C178C" w:rsidRPr="004B3AFA">
        <w:t>»</w:t>
      </w:r>
      <w:r w:rsidRPr="004B3AFA">
        <w:t xml:space="preserve"> est utilisé en lieu et place de </w:t>
      </w:r>
      <w:r w:rsidR="005C178C" w:rsidRPr="004B3AFA">
        <w:t>«</w:t>
      </w:r>
      <w:r w:rsidRPr="004B3AFA">
        <w:t>planned</w:t>
      </w:r>
      <w:r w:rsidR="005C178C" w:rsidRPr="004B3AFA">
        <w:t>»</w:t>
      </w:r>
      <w:r w:rsidRPr="004B3AFA">
        <w:t xml:space="preserve">. La </w:t>
      </w:r>
      <w:r w:rsidR="00575A60" w:rsidRPr="004B3AFA">
        <w:t>C</w:t>
      </w:r>
      <w:r w:rsidRPr="004B3AFA">
        <w:t>onférence voudra peut-être envisager de remplacer le mot</w:t>
      </w:r>
      <w:r w:rsidR="005C178C" w:rsidRPr="004B3AFA">
        <w:t xml:space="preserve"> «</w:t>
      </w:r>
      <w:r w:rsidRPr="004B3AFA">
        <w:t>foreseen</w:t>
      </w:r>
      <w:r w:rsidR="005C178C" w:rsidRPr="004B3AFA">
        <w:t>»</w:t>
      </w:r>
      <w:r w:rsidRPr="004B3AFA">
        <w:t xml:space="preserve"> par le </w:t>
      </w:r>
      <w:r w:rsidR="005C178C" w:rsidRPr="004B3AFA">
        <w:t>«</w:t>
      </w:r>
      <w:r w:rsidRPr="004B3AFA">
        <w:t>planned</w:t>
      </w:r>
      <w:r w:rsidR="005C178C" w:rsidRPr="004B3AFA">
        <w:t>»</w:t>
      </w:r>
      <w:r w:rsidRPr="004B3AFA">
        <w:t xml:space="preserve"> dans toutes les dispositions pertinentes.</w:t>
      </w:r>
    </w:p>
    <w:p w14:paraId="1EBAD812" w14:textId="77777777" w:rsidR="00527DDA" w:rsidRPr="004B3AFA" w:rsidRDefault="00527DDA" w:rsidP="00B526B9">
      <w:pPr>
        <w:pStyle w:val="Reasons"/>
      </w:pPr>
    </w:p>
    <w:p w14:paraId="010B7223" w14:textId="77777777" w:rsidR="00B56390" w:rsidRPr="004B3AFA" w:rsidRDefault="003D662F" w:rsidP="00B526B9">
      <w:pPr>
        <w:pStyle w:val="Proposal"/>
      </w:pPr>
      <w:r w:rsidRPr="004B3AFA">
        <w:tab/>
        <w:t>CAN/14A22/16</w:t>
      </w:r>
    </w:p>
    <w:p w14:paraId="2F264E68" w14:textId="5E7C0EFA" w:rsidR="00B56390" w:rsidRPr="004B3AFA" w:rsidRDefault="0094675C" w:rsidP="00B526B9">
      <w:r w:rsidRPr="004B3AFA">
        <w:t xml:space="preserve">Pour ce qui est du § 3.2.5.2 de l'Addendum 2 </w:t>
      </w:r>
      <w:r w:rsidR="008D7494" w:rsidRPr="004B3AFA">
        <w:t>a</w:t>
      </w:r>
      <w:r w:rsidRPr="004B3AFA">
        <w:t xml:space="preserve">u Document 4, le Canada est favorable à la proposition du Bureau </w:t>
      </w:r>
      <w:r w:rsidR="006F712E" w:rsidRPr="004B3AFA">
        <w:t xml:space="preserve">visant à </w:t>
      </w:r>
      <w:r w:rsidR="006F712E" w:rsidRPr="004B3AFA">
        <w:rPr>
          <w:color w:val="000000"/>
        </w:rPr>
        <w:t xml:space="preserve">ajouter une note relative au § 6.16 de l'Appendice </w:t>
      </w:r>
      <w:r w:rsidR="006F712E" w:rsidRPr="004B3AFA">
        <w:rPr>
          <w:b/>
          <w:bCs/>
          <w:color w:val="000000"/>
        </w:rPr>
        <w:t>30B</w:t>
      </w:r>
      <w:r w:rsidR="006F712E" w:rsidRPr="004B3AFA">
        <w:rPr>
          <w:color w:val="000000"/>
        </w:rPr>
        <w:t xml:space="preserve"> du RR, pour permettre à</w:t>
      </w:r>
      <w:r w:rsidR="00246090" w:rsidRPr="004B3AFA">
        <w:t xml:space="preserve"> </w:t>
      </w:r>
      <w:r w:rsidR="006F712E" w:rsidRPr="004B3AFA">
        <w:rPr>
          <w:color w:val="000000"/>
        </w:rPr>
        <w:t>l</w:t>
      </w:r>
      <w:r w:rsidRPr="004B3AFA">
        <w:rPr>
          <w:color w:val="000000"/>
        </w:rPr>
        <w:t xml:space="preserve">'administration responsable de l'assignation </w:t>
      </w:r>
      <w:r w:rsidR="006F712E" w:rsidRPr="004B3AFA">
        <w:rPr>
          <w:color w:val="000000"/>
        </w:rPr>
        <w:t>de</w:t>
      </w:r>
      <w:r w:rsidRPr="004B3AFA">
        <w:rPr>
          <w:color w:val="000000"/>
        </w:rPr>
        <w:t xml:space="preserve"> déplace</w:t>
      </w:r>
      <w:r w:rsidR="006F712E" w:rsidRPr="004B3AFA">
        <w:rPr>
          <w:color w:val="000000"/>
        </w:rPr>
        <w:t>r</w:t>
      </w:r>
      <w:r w:rsidRPr="004B3AFA">
        <w:rPr>
          <w:color w:val="000000"/>
        </w:rPr>
        <w:t xml:space="preserve"> </w:t>
      </w:r>
      <w:r w:rsidR="006F712E" w:rsidRPr="004B3AFA">
        <w:rPr>
          <w:color w:val="000000"/>
        </w:rPr>
        <w:t>l</w:t>
      </w:r>
      <w:r w:rsidRPr="004B3AFA">
        <w:rPr>
          <w:color w:val="000000"/>
        </w:rPr>
        <w:t>es points de mesure en liaison descendante du territoire exclu vers un nouvel emplacement situé à l'intérieur de la partie restante de la zone de service.</w:t>
      </w:r>
    </w:p>
    <w:p w14:paraId="6B9AAD44" w14:textId="77777777" w:rsidR="00B56390" w:rsidRPr="004B3AFA" w:rsidRDefault="00B56390" w:rsidP="00B526B9">
      <w:pPr>
        <w:pStyle w:val="Reasons"/>
      </w:pPr>
    </w:p>
    <w:p w14:paraId="27F60BF8" w14:textId="77777777" w:rsidR="00B56390" w:rsidRPr="004B3AFA" w:rsidRDefault="003D662F" w:rsidP="00B526B9">
      <w:pPr>
        <w:pStyle w:val="Proposal"/>
      </w:pPr>
      <w:r w:rsidRPr="004B3AFA">
        <w:tab/>
        <w:t>CAN/14A22/17</w:t>
      </w:r>
    </w:p>
    <w:p w14:paraId="2535E783" w14:textId="1308945F" w:rsidR="00B56390" w:rsidRPr="004B3AFA" w:rsidRDefault="006948F1" w:rsidP="004D7C38">
      <w:r w:rsidRPr="004B3AFA">
        <w:t>S</w:t>
      </w:r>
      <w:r w:rsidR="00C06EF0" w:rsidRPr="004B3AFA">
        <w:t>'</w:t>
      </w:r>
      <w:r w:rsidRPr="004B3AFA">
        <w:t xml:space="preserve">agissant du § 3.2.5.3 de l'Addendum 2 </w:t>
      </w:r>
      <w:r w:rsidR="00D003B0" w:rsidRPr="004B3AFA">
        <w:t>a</w:t>
      </w:r>
      <w:r w:rsidRPr="004B3AFA">
        <w:t xml:space="preserve">u Document 4, le Canada appuie la proposition du Bureau visant à supprimer le délai de deux mois prévu pour la publication de la notification au titre de l'Article 8 de l'Appendice </w:t>
      </w:r>
      <w:r w:rsidRPr="004B3AFA">
        <w:rPr>
          <w:b/>
          <w:bCs/>
        </w:rPr>
        <w:t xml:space="preserve">30B </w:t>
      </w:r>
      <w:r w:rsidRPr="004B3AFA">
        <w:t>du RR et la modification correspondante qu</w:t>
      </w:r>
      <w:r w:rsidR="00C06EF0" w:rsidRPr="004B3AFA">
        <w:t>'</w:t>
      </w:r>
      <w:r w:rsidRPr="004B3AFA">
        <w:t>il est proposé d</w:t>
      </w:r>
      <w:r w:rsidR="00C06EF0" w:rsidRPr="004B3AFA">
        <w:t>'</w:t>
      </w:r>
      <w:r w:rsidRPr="004B3AFA">
        <w:t xml:space="preserve">apporter au § 8.5 de l'Appendice </w:t>
      </w:r>
      <w:r w:rsidRPr="004B3AFA">
        <w:rPr>
          <w:b/>
          <w:bCs/>
        </w:rPr>
        <w:t>30B</w:t>
      </w:r>
      <w:r w:rsidRPr="004B3AFA">
        <w:t xml:space="preserve"> du RR</w:t>
      </w:r>
      <w:r w:rsidR="00D41800" w:rsidRPr="004B3AFA">
        <w:t>.</w:t>
      </w:r>
    </w:p>
    <w:p w14:paraId="1FFF4BD5" w14:textId="77777777" w:rsidR="00B56390" w:rsidRPr="004B3AFA" w:rsidRDefault="00B56390" w:rsidP="00B526B9">
      <w:pPr>
        <w:pStyle w:val="Reasons"/>
      </w:pPr>
    </w:p>
    <w:p w14:paraId="200CE98C" w14:textId="77777777" w:rsidR="00B56390" w:rsidRPr="004B3AFA" w:rsidRDefault="003D662F" w:rsidP="00B526B9">
      <w:pPr>
        <w:pStyle w:val="Proposal"/>
      </w:pPr>
      <w:r w:rsidRPr="004B3AFA">
        <w:tab/>
        <w:t>CAN/14A22/18</w:t>
      </w:r>
    </w:p>
    <w:p w14:paraId="2A68580F" w14:textId="2C70F2F8" w:rsidR="00B56390" w:rsidRPr="004B3AFA" w:rsidRDefault="006948F1" w:rsidP="00B526B9">
      <w:r w:rsidRPr="004B3AFA">
        <w:t>S</w:t>
      </w:r>
      <w:r w:rsidR="00C06EF0" w:rsidRPr="004B3AFA">
        <w:t>'</w:t>
      </w:r>
      <w:r w:rsidRPr="004B3AFA">
        <w:t xml:space="preserve">agissant du § 3.2.5.6 de l'Addendum 2 </w:t>
      </w:r>
      <w:r w:rsidR="00471C66" w:rsidRPr="004B3AFA">
        <w:t>a</w:t>
      </w:r>
      <w:r w:rsidRPr="004B3AFA">
        <w:t>u Document 4, le Canada appuie la proposition du Bureau</w:t>
      </w:r>
      <w:r w:rsidR="00CC3FB8" w:rsidRPr="004B3AFA">
        <w:t>, selon laquelle</w:t>
      </w:r>
      <w:r w:rsidRPr="004B3AFA">
        <w:t xml:space="preserve"> </w:t>
      </w:r>
      <w:r w:rsidR="00246090" w:rsidRPr="004B3AFA">
        <w:t>seuls les points de la grille situés sur terre et à l</w:t>
      </w:r>
      <w:r w:rsidR="00C06EF0" w:rsidRPr="004B3AFA">
        <w:t>'</w:t>
      </w:r>
      <w:r w:rsidR="00246090" w:rsidRPr="004B3AFA">
        <w:t xml:space="preserve">intérieur de la zone de service </w:t>
      </w:r>
      <w:r w:rsidR="00CC3FB8" w:rsidRPr="004B3AFA">
        <w:t>devraient être</w:t>
      </w:r>
      <w:r w:rsidR="00246090" w:rsidRPr="004B3AFA">
        <w:t xml:space="preserve"> pris en compte en plus des points de mesure en application du paragraphe 2.2</w:t>
      </w:r>
      <w:r w:rsidR="0070392C" w:rsidRPr="004B3AFA">
        <w:t xml:space="preserve"> </w:t>
      </w:r>
      <w:r w:rsidR="00246090" w:rsidRPr="004B3AFA">
        <w:t>de l</w:t>
      </w:r>
      <w:r w:rsidR="00C06EF0" w:rsidRPr="004B3AFA">
        <w:t>'</w:t>
      </w:r>
      <w:r w:rsidR="00246090" w:rsidRPr="004B3AFA">
        <w:t xml:space="preserve">Annexe 4 de l'Appendice </w:t>
      </w:r>
      <w:r w:rsidR="00246090" w:rsidRPr="004B3AFA">
        <w:rPr>
          <w:b/>
          <w:bCs/>
        </w:rPr>
        <w:t>30B</w:t>
      </w:r>
      <w:r w:rsidR="00246090" w:rsidRPr="004B3AFA">
        <w:t>.</w:t>
      </w:r>
    </w:p>
    <w:p w14:paraId="0006F3C5" w14:textId="77777777" w:rsidR="00B56390" w:rsidRPr="004B3AFA" w:rsidRDefault="00B56390" w:rsidP="00B526B9">
      <w:pPr>
        <w:pStyle w:val="Reasons"/>
      </w:pPr>
    </w:p>
    <w:p w14:paraId="25C28883" w14:textId="77777777" w:rsidR="00B56390" w:rsidRPr="004B3AFA" w:rsidRDefault="003D662F" w:rsidP="00B526B9">
      <w:pPr>
        <w:pStyle w:val="Proposal"/>
      </w:pPr>
      <w:r w:rsidRPr="004B3AFA">
        <w:tab/>
        <w:t>CAN/14A22/19</w:t>
      </w:r>
    </w:p>
    <w:p w14:paraId="32FBC90E" w14:textId="3A826566" w:rsidR="00B56390" w:rsidRPr="004B3AFA" w:rsidRDefault="00CC3FB8" w:rsidP="00B526B9">
      <w:r w:rsidRPr="004B3AFA">
        <w:t xml:space="preserve">Concernant le § 3.2.5.7 de l'Addendum 2 </w:t>
      </w:r>
      <w:r w:rsidR="00023BF5" w:rsidRPr="004B3AFA">
        <w:t>a</w:t>
      </w:r>
      <w:r w:rsidRPr="004B3AFA">
        <w:t>u Document 4, le Canada appuie la proposition du Bureau</w:t>
      </w:r>
      <w:r w:rsidR="0047646A" w:rsidRPr="004B3AFA">
        <w:t xml:space="preserve"> </w:t>
      </w:r>
      <w:r w:rsidRPr="004B3AFA">
        <w:t>visant à</w:t>
      </w:r>
      <w:r w:rsidR="00246090" w:rsidRPr="004B3AFA">
        <w:t xml:space="preserve"> </w:t>
      </w:r>
      <w:r w:rsidRPr="004B3AFA">
        <w:rPr>
          <w:color w:val="000000"/>
        </w:rPr>
        <w:t xml:space="preserve">modifier le point a) du § 6.19 de l'Appendice </w:t>
      </w:r>
      <w:r w:rsidRPr="004B3AFA">
        <w:rPr>
          <w:b/>
          <w:bCs/>
          <w:color w:val="000000"/>
        </w:rPr>
        <w:t>30B</w:t>
      </w:r>
      <w:r w:rsidRPr="004B3AFA">
        <w:rPr>
          <w:color w:val="000000"/>
        </w:rPr>
        <w:t xml:space="preserve"> du RR</w:t>
      </w:r>
      <w:r w:rsidR="00246090" w:rsidRPr="004B3AFA">
        <w:rPr>
          <w:b/>
          <w:bCs/>
        </w:rPr>
        <w:t>,</w:t>
      </w:r>
      <w:r w:rsidR="00246090" w:rsidRPr="004B3AFA">
        <w:rPr>
          <w:bCs/>
        </w:rPr>
        <w:t xml:space="preserve"> </w:t>
      </w:r>
      <w:r w:rsidRPr="004B3AFA">
        <w:rPr>
          <w:bCs/>
        </w:rPr>
        <w:t>confirmant ainsi l</w:t>
      </w:r>
      <w:r w:rsidR="00C06EF0" w:rsidRPr="004B3AFA">
        <w:rPr>
          <w:bCs/>
        </w:rPr>
        <w:t>'</w:t>
      </w:r>
      <w:r w:rsidRPr="004B3AFA">
        <w:rPr>
          <w:bCs/>
        </w:rPr>
        <w:t xml:space="preserve">interprétation selon laquelle </w:t>
      </w:r>
      <w:r w:rsidRPr="004B3AFA">
        <w:rPr>
          <w:color w:val="000000"/>
        </w:rPr>
        <w:t>l'administration notificatrice doit obtenir l'accord de toutes les administrations dont le territoire est inclus dans la zone de service voulue d'une assignation, afin de l'inclure dans la Liste.</w:t>
      </w:r>
    </w:p>
    <w:p w14:paraId="005CFFCC" w14:textId="77777777" w:rsidR="00B56390" w:rsidRPr="004B3AFA" w:rsidRDefault="00B56390" w:rsidP="00B526B9">
      <w:pPr>
        <w:pStyle w:val="Reasons"/>
      </w:pPr>
    </w:p>
    <w:p w14:paraId="0ACDE332" w14:textId="77777777" w:rsidR="00B56390" w:rsidRPr="004B3AFA" w:rsidRDefault="003D662F" w:rsidP="00B526B9">
      <w:pPr>
        <w:pStyle w:val="Proposal"/>
      </w:pPr>
      <w:r w:rsidRPr="004B3AFA">
        <w:tab/>
        <w:t>CAN/14A22/20</w:t>
      </w:r>
    </w:p>
    <w:p w14:paraId="17919D7B" w14:textId="30351793" w:rsidR="00B56390" w:rsidRPr="004B3AFA" w:rsidRDefault="004A3AFF" w:rsidP="00B526B9">
      <w:r w:rsidRPr="004B3AFA">
        <w:t xml:space="preserve">Pour ce qui est du § 3.2.5.8 de l'Addendum 2 </w:t>
      </w:r>
      <w:r w:rsidR="00DA38C2" w:rsidRPr="004B3AFA">
        <w:t>a</w:t>
      </w:r>
      <w:r w:rsidRPr="004B3AFA">
        <w:t>u Document 4, le Canada appuie la proposition du Bureau concernant les</w:t>
      </w:r>
      <w:r w:rsidRPr="004B3AFA">
        <w:rPr>
          <w:color w:val="000000"/>
        </w:rPr>
        <w:t xml:space="preserve"> modifications</w:t>
      </w:r>
      <w:r w:rsidRPr="004B3AFA">
        <w:t xml:space="preserve"> </w:t>
      </w:r>
      <w:r w:rsidRPr="004B3AFA">
        <w:rPr>
          <w:color w:val="000000"/>
        </w:rPr>
        <w:t xml:space="preserve">apportées au texte du § 6.21 de </w:t>
      </w:r>
      <w:r w:rsidRPr="004B3AFA">
        <w:rPr>
          <w:bCs/>
        </w:rPr>
        <w:t>l</w:t>
      </w:r>
      <w:r w:rsidR="00C06EF0" w:rsidRPr="004B3AFA">
        <w:rPr>
          <w:bCs/>
        </w:rPr>
        <w:t>'</w:t>
      </w:r>
      <w:r w:rsidRPr="004B3AFA">
        <w:rPr>
          <w:bCs/>
        </w:rPr>
        <w:t xml:space="preserve">Appendice </w:t>
      </w:r>
      <w:r w:rsidRPr="004B3AFA">
        <w:rPr>
          <w:b/>
          <w:bCs/>
        </w:rPr>
        <w:t>30B</w:t>
      </w:r>
      <w:r w:rsidRPr="004B3AFA">
        <w:rPr>
          <w:bCs/>
        </w:rPr>
        <w:t xml:space="preserve"> du RR </w:t>
      </w:r>
      <w:r w:rsidRPr="004B3AFA">
        <w:rPr>
          <w:color w:val="000000"/>
        </w:rPr>
        <w:t>pour supprimer toute ambigüité.</w:t>
      </w:r>
    </w:p>
    <w:p w14:paraId="48532EE5" w14:textId="77777777" w:rsidR="00B56390" w:rsidRPr="004B3AFA" w:rsidRDefault="00B56390" w:rsidP="00B526B9">
      <w:pPr>
        <w:pStyle w:val="Reasons"/>
      </w:pPr>
    </w:p>
    <w:p w14:paraId="3A3AF320" w14:textId="77777777" w:rsidR="00B56390" w:rsidRPr="004B3AFA" w:rsidRDefault="003D662F" w:rsidP="00B526B9">
      <w:pPr>
        <w:pStyle w:val="Proposal"/>
      </w:pPr>
      <w:r w:rsidRPr="004B3AFA">
        <w:tab/>
        <w:t>CAN/14A22/21</w:t>
      </w:r>
    </w:p>
    <w:p w14:paraId="028DF263" w14:textId="240850AB" w:rsidR="00B56390" w:rsidRPr="004B3AFA" w:rsidRDefault="00A10389" w:rsidP="00B526B9">
      <w:r w:rsidRPr="004B3AFA">
        <w:t>En</w:t>
      </w:r>
      <w:r w:rsidR="00FA30B6" w:rsidRPr="004B3AFA">
        <w:t xml:space="preserve"> </w:t>
      </w:r>
      <w:r w:rsidRPr="004B3AFA">
        <w:t xml:space="preserve">ce qui concerne le § 3.3.1.4 de l'Addendum 2 </w:t>
      </w:r>
      <w:r w:rsidR="00290207" w:rsidRPr="004B3AFA">
        <w:t>a</w:t>
      </w:r>
      <w:r w:rsidRPr="004B3AFA">
        <w:t>u Document 4, le Canada considère qu</w:t>
      </w:r>
      <w:r w:rsidR="00C06EF0" w:rsidRPr="004B3AFA">
        <w:t>'</w:t>
      </w:r>
      <w:r w:rsidRPr="004B3AFA">
        <w:t xml:space="preserve">un </w:t>
      </w:r>
      <w:r w:rsidR="00290207" w:rsidRPr="004B3AFA">
        <w:t>complément</w:t>
      </w:r>
      <w:r w:rsidRPr="004B3AFA">
        <w:t xml:space="preserve"> d</w:t>
      </w:r>
      <w:r w:rsidR="00C06EF0" w:rsidRPr="004B3AFA">
        <w:t>'</w:t>
      </w:r>
      <w:r w:rsidRPr="004B3AFA">
        <w:t xml:space="preserve">étude est </w:t>
      </w:r>
      <w:r w:rsidR="00290207" w:rsidRPr="004B3AFA">
        <w:t>nécessaire</w:t>
      </w:r>
      <w:r w:rsidRPr="004B3AFA">
        <w:t xml:space="preserve"> avant </w:t>
      </w:r>
      <w:r w:rsidR="001B3D51" w:rsidRPr="004B3AFA">
        <w:t>de</w:t>
      </w:r>
      <w:r w:rsidRPr="004B3AFA">
        <w:t xml:space="preserve"> propos</w:t>
      </w:r>
      <w:r w:rsidR="001B3D51" w:rsidRPr="004B3AFA">
        <w:t xml:space="preserve">er </w:t>
      </w:r>
      <w:r w:rsidRPr="004B3AFA">
        <w:t>d</w:t>
      </w:r>
      <w:r w:rsidR="00C06EF0" w:rsidRPr="004B3AFA">
        <w:t>'</w:t>
      </w:r>
      <w:r w:rsidRPr="004B3AFA">
        <w:t xml:space="preserve">apporter des modifications éventuelles </w:t>
      </w:r>
      <w:r w:rsidRPr="004B3AFA">
        <w:rPr>
          <w:bCs/>
        </w:rPr>
        <w:t xml:space="preserve">à la </w:t>
      </w:r>
      <w:r w:rsidR="00246090" w:rsidRPr="004B3AFA">
        <w:rPr>
          <w:bCs/>
        </w:rPr>
        <w:t>R</w:t>
      </w:r>
      <w:r w:rsidRPr="004B3AFA">
        <w:rPr>
          <w:bCs/>
        </w:rPr>
        <w:t>é</w:t>
      </w:r>
      <w:r w:rsidR="00246090" w:rsidRPr="004B3AFA">
        <w:rPr>
          <w:bCs/>
        </w:rPr>
        <w:t xml:space="preserve">solution </w:t>
      </w:r>
      <w:r w:rsidR="00246090" w:rsidRPr="004B3AFA">
        <w:rPr>
          <w:b/>
          <w:bCs/>
        </w:rPr>
        <w:t>49 (R</w:t>
      </w:r>
      <w:r w:rsidR="00925E32" w:rsidRPr="004B3AFA">
        <w:rPr>
          <w:b/>
          <w:bCs/>
        </w:rPr>
        <w:t>é</w:t>
      </w:r>
      <w:r w:rsidR="00246090" w:rsidRPr="004B3AFA">
        <w:rPr>
          <w:b/>
          <w:bCs/>
        </w:rPr>
        <w:t>v.</w:t>
      </w:r>
      <w:r w:rsidRPr="004B3AFA">
        <w:rPr>
          <w:b/>
          <w:bCs/>
        </w:rPr>
        <w:t>CMR</w:t>
      </w:r>
      <w:r w:rsidR="00246090" w:rsidRPr="004B3AFA">
        <w:rPr>
          <w:b/>
          <w:bCs/>
        </w:rPr>
        <w:t xml:space="preserve">-15) </w:t>
      </w:r>
      <w:r w:rsidRPr="004B3AFA">
        <w:t xml:space="preserve">ou à des dispositions du Règlement des radiocommunications. Ce </w:t>
      </w:r>
      <w:r w:rsidR="006B4E43" w:rsidRPr="004B3AFA">
        <w:lastRenderedPageBreak/>
        <w:t>point</w:t>
      </w:r>
      <w:r w:rsidRPr="004B3AFA">
        <w:t xml:space="preserve"> pourrait faire l</w:t>
      </w:r>
      <w:r w:rsidR="00C06EF0" w:rsidRPr="004B3AFA">
        <w:t>'</w:t>
      </w:r>
      <w:r w:rsidRPr="004B3AFA">
        <w:t>objet</w:t>
      </w:r>
      <w:r w:rsidRPr="004B3AFA">
        <w:rPr>
          <w:bCs/>
        </w:rPr>
        <w:t xml:space="preserve"> d</w:t>
      </w:r>
      <w:r w:rsidR="00C06EF0" w:rsidRPr="004B3AFA">
        <w:rPr>
          <w:color w:val="000000"/>
        </w:rPr>
        <w:t>'</w:t>
      </w:r>
      <w:r w:rsidRPr="004B3AFA">
        <w:rPr>
          <w:color w:val="000000"/>
        </w:rPr>
        <w:t xml:space="preserve">une nouvelle </w:t>
      </w:r>
      <w:r w:rsidR="00892E82" w:rsidRPr="004B3AFA">
        <w:rPr>
          <w:color w:val="000000"/>
        </w:rPr>
        <w:t xml:space="preserve">question </w:t>
      </w:r>
      <w:r w:rsidRPr="004B3AFA">
        <w:rPr>
          <w:color w:val="000000"/>
        </w:rPr>
        <w:t>au titre du point 7 de l'ordre du jour de la CMR</w:t>
      </w:r>
      <w:r w:rsidR="0083479F" w:rsidRPr="004B3AFA">
        <w:rPr>
          <w:color w:val="000000"/>
        </w:rPr>
        <w:noBreakHyphen/>
      </w:r>
      <w:r w:rsidRPr="004B3AFA">
        <w:rPr>
          <w:color w:val="000000"/>
        </w:rPr>
        <w:t>23.</w:t>
      </w:r>
    </w:p>
    <w:p w14:paraId="1A9878B0" w14:textId="77777777" w:rsidR="00B56390" w:rsidRPr="004B3AFA" w:rsidRDefault="00B56390" w:rsidP="00B526B9">
      <w:pPr>
        <w:pStyle w:val="Reasons"/>
      </w:pPr>
    </w:p>
    <w:p w14:paraId="665ABEAC" w14:textId="77777777" w:rsidR="00B56390" w:rsidRPr="004B3AFA" w:rsidRDefault="003D662F" w:rsidP="00B526B9">
      <w:pPr>
        <w:pStyle w:val="Proposal"/>
      </w:pPr>
      <w:r w:rsidRPr="004B3AFA">
        <w:tab/>
        <w:t>CAN/14A22/22</w:t>
      </w:r>
    </w:p>
    <w:p w14:paraId="4251A8F2" w14:textId="2BA1E409" w:rsidR="00B56390" w:rsidRPr="004B3AFA" w:rsidRDefault="00FA30B6" w:rsidP="00B526B9">
      <w:r w:rsidRPr="004B3AFA">
        <w:t xml:space="preserve">Pour ce qui est du § 3.3.2 de l'Addendum 2 </w:t>
      </w:r>
      <w:r w:rsidR="001B6F2A" w:rsidRPr="004B3AFA">
        <w:t>au</w:t>
      </w:r>
      <w:r w:rsidRPr="004B3AFA">
        <w:t xml:space="preserve"> Document 4, le Canada appuie la proposition du Bureau visant à</w:t>
      </w:r>
      <w:r w:rsidRPr="004B3AFA">
        <w:rPr>
          <w:color w:val="000000"/>
        </w:rPr>
        <w:t xml:space="preserve"> modifier le point 6 du décide de la Résolution </w:t>
      </w:r>
      <w:r w:rsidRPr="004B3AFA">
        <w:rPr>
          <w:b/>
          <w:bCs/>
          <w:color w:val="000000"/>
        </w:rPr>
        <w:t>55 (Rév.CMR-15)</w:t>
      </w:r>
      <w:r w:rsidR="001B6F2A" w:rsidRPr="004B3AFA">
        <w:rPr>
          <w:color w:val="000000"/>
        </w:rPr>
        <w:t>,</w:t>
      </w:r>
      <w:r w:rsidRPr="004B3AFA">
        <w:rPr>
          <w:color w:val="000000"/>
        </w:rPr>
        <w:t xml:space="preserve"> en supprimant la dernière phrase</w:t>
      </w:r>
      <w:r w:rsidR="00CC050A" w:rsidRPr="004B3AFA">
        <w:rPr>
          <w:color w:val="000000"/>
        </w:rPr>
        <w:t xml:space="preserve"> libellée comme suit</w:t>
      </w:r>
      <w:r w:rsidR="003E5C1F" w:rsidRPr="004B3AFA">
        <w:rPr>
          <w:color w:val="000000"/>
        </w:rPr>
        <w:t xml:space="preserve">: </w:t>
      </w:r>
      <w:r w:rsidRPr="004B3AFA">
        <w:rPr>
          <w:color w:val="000000"/>
        </w:rPr>
        <w:t>«La soumission de graphiques sous forme papier continue cependant à être acceptée»</w:t>
      </w:r>
      <w:r w:rsidR="00F70537" w:rsidRPr="004B3AFA">
        <w:rPr>
          <w:color w:val="000000"/>
        </w:rPr>
        <w:t>.</w:t>
      </w:r>
    </w:p>
    <w:p w14:paraId="51CB2B4C" w14:textId="77777777" w:rsidR="00B56390" w:rsidRPr="004B3AFA" w:rsidRDefault="00B56390" w:rsidP="00B526B9">
      <w:pPr>
        <w:pStyle w:val="Reasons"/>
      </w:pPr>
    </w:p>
    <w:p w14:paraId="7A48E536" w14:textId="77777777" w:rsidR="00B56390" w:rsidRPr="004B3AFA" w:rsidRDefault="003D662F" w:rsidP="00B526B9">
      <w:pPr>
        <w:pStyle w:val="Proposal"/>
      </w:pPr>
      <w:r w:rsidRPr="004B3AFA">
        <w:tab/>
        <w:t>CAN/14A22/23</w:t>
      </w:r>
    </w:p>
    <w:p w14:paraId="598E4A51" w14:textId="460435BD" w:rsidR="00B56390" w:rsidRPr="004B3AFA" w:rsidRDefault="00FA30B6" w:rsidP="00B526B9">
      <w:r w:rsidRPr="004B3AFA">
        <w:t>Pour ce qui est du § 3.4.1.</w:t>
      </w:r>
      <w:r w:rsidR="0047646A" w:rsidRPr="004B3AFA">
        <w:t xml:space="preserve"> </w:t>
      </w:r>
      <w:r w:rsidRPr="004B3AFA">
        <w:t xml:space="preserve">de l'Addendum 2 </w:t>
      </w:r>
      <w:r w:rsidR="00212162" w:rsidRPr="004B3AFA">
        <w:t>a</w:t>
      </w:r>
      <w:r w:rsidRPr="004B3AFA">
        <w:t>u Document 4, le Canada est favorable à l</w:t>
      </w:r>
      <w:r w:rsidR="00C06EF0" w:rsidRPr="004B3AFA">
        <w:t>'</w:t>
      </w:r>
      <w:r w:rsidRPr="004B3AFA">
        <w:t xml:space="preserve">idée de </w:t>
      </w:r>
      <w:r w:rsidR="00782D44" w:rsidRPr="004B3AFA">
        <w:t xml:space="preserve">charger le Bureau de simuler l'examen des fiches de notification relevant du numéro </w:t>
      </w:r>
      <w:r w:rsidR="00782D44" w:rsidRPr="004B3AFA">
        <w:rPr>
          <w:b/>
          <w:bCs/>
        </w:rPr>
        <w:t xml:space="preserve">9.21 </w:t>
      </w:r>
      <w:r w:rsidR="00782D44" w:rsidRPr="004B3AFA">
        <w:t>du RR dans les bandes non planifiées, en utilisant des modèles d'élévation numérique (DEM), et de présenter les résultats au Comité du Règlemen</w:t>
      </w:r>
      <w:bookmarkStart w:id="6" w:name="_GoBack"/>
      <w:bookmarkEnd w:id="6"/>
      <w:r w:rsidR="00782D44" w:rsidRPr="004B3AFA">
        <w:t>t des radiocommunications. Le Comité pourrait décider par la suite, conformément aux Règles de procédure pertinentes, d'utiliser des données topographiques dans les examens au titre du numéro </w:t>
      </w:r>
      <w:r w:rsidR="00782D44" w:rsidRPr="004B3AFA">
        <w:rPr>
          <w:b/>
          <w:bCs/>
        </w:rPr>
        <w:t xml:space="preserve">9.21 </w:t>
      </w:r>
      <w:r w:rsidR="00782D44" w:rsidRPr="004B3AFA">
        <w:t>du RR et de présenter un rapport à la prochaine CMR.</w:t>
      </w:r>
    </w:p>
    <w:p w14:paraId="42C5EF73" w14:textId="77777777" w:rsidR="00B56390" w:rsidRPr="004B3AFA" w:rsidRDefault="00B56390" w:rsidP="00B526B9">
      <w:pPr>
        <w:pStyle w:val="Reasons"/>
      </w:pPr>
    </w:p>
    <w:p w14:paraId="3E7FE971" w14:textId="77777777" w:rsidR="00B56390" w:rsidRPr="004B3AFA" w:rsidRDefault="003D662F" w:rsidP="00B526B9">
      <w:pPr>
        <w:pStyle w:val="Proposal"/>
      </w:pPr>
      <w:r w:rsidRPr="004B3AFA">
        <w:tab/>
        <w:t>CAN/14A22/24</w:t>
      </w:r>
    </w:p>
    <w:p w14:paraId="4C2B65A6" w14:textId="75528E1F" w:rsidR="00B56390" w:rsidRPr="004B3AFA" w:rsidRDefault="00FA30B6" w:rsidP="00B526B9">
      <w:r w:rsidRPr="004B3AFA">
        <w:t>Pour ce qui est du</w:t>
      </w:r>
      <w:r w:rsidR="0047646A" w:rsidRPr="004B3AFA">
        <w:t xml:space="preserve"> </w:t>
      </w:r>
      <w:r w:rsidRPr="004B3AFA">
        <w:t>§</w:t>
      </w:r>
      <w:r w:rsidR="0047646A" w:rsidRPr="004B3AFA">
        <w:t xml:space="preserve"> </w:t>
      </w:r>
      <w:r w:rsidRPr="004B3AFA">
        <w:t>3.4.3</w:t>
      </w:r>
      <w:r w:rsidR="0047646A" w:rsidRPr="004B3AFA">
        <w:t xml:space="preserve"> </w:t>
      </w:r>
      <w:r w:rsidRPr="004B3AFA">
        <w:t>de l'Addendum 2</w:t>
      </w:r>
      <w:r w:rsidR="0047646A" w:rsidRPr="004B3AFA">
        <w:t xml:space="preserve"> </w:t>
      </w:r>
      <w:r w:rsidR="00212162" w:rsidRPr="004B3AFA">
        <w:t>a</w:t>
      </w:r>
      <w:r w:rsidRPr="004B3AFA">
        <w:t>u Document 4, le Canada</w:t>
      </w:r>
      <w:r w:rsidR="0047646A" w:rsidRPr="004B3AFA">
        <w:t xml:space="preserve"> </w:t>
      </w:r>
      <w:r w:rsidR="00212162" w:rsidRPr="004B3AFA">
        <w:t>souscrit à l'idée de demander à</w:t>
      </w:r>
      <w:r w:rsidRPr="004B3AFA">
        <w:t xml:space="preserve"> la Conférence </w:t>
      </w:r>
      <w:r w:rsidR="000F6559" w:rsidRPr="004B3AFA">
        <w:t>d'</w:t>
      </w:r>
      <w:r w:rsidRPr="004B3AFA">
        <w:t>invite</w:t>
      </w:r>
      <w:r w:rsidR="000F6559" w:rsidRPr="004B3AFA">
        <w:t>r</w:t>
      </w:r>
      <w:r w:rsidRPr="004B3AFA">
        <w:t xml:space="preserve"> l'UIT</w:t>
      </w:r>
      <w:r w:rsidR="00367780">
        <w:t>-</w:t>
      </w:r>
      <w:r w:rsidRPr="004B3AFA">
        <w:t>R à examiner ces paramètres</w:t>
      </w:r>
      <w:r w:rsidR="0047646A" w:rsidRPr="004B3AFA">
        <w:t xml:space="preserve"> </w:t>
      </w:r>
      <w:r w:rsidRPr="004B3AFA">
        <w:t>au cours du prochain cycle d'études et à fournir les indications nécessaires au Bureau.</w:t>
      </w:r>
    </w:p>
    <w:p w14:paraId="37E763BA" w14:textId="69894949" w:rsidR="00B56390" w:rsidRPr="004B3AFA" w:rsidRDefault="00B56390" w:rsidP="00B526B9">
      <w:pPr>
        <w:pStyle w:val="Reasons"/>
      </w:pPr>
    </w:p>
    <w:p w14:paraId="1CF210FD" w14:textId="77777777" w:rsidR="001F7911" w:rsidRPr="004B3AFA" w:rsidRDefault="001F7911" w:rsidP="00B526B9">
      <w:pPr>
        <w:jc w:val="center"/>
      </w:pPr>
      <w:r w:rsidRPr="004B3AFA">
        <w:t>______________</w:t>
      </w:r>
    </w:p>
    <w:sectPr w:rsidR="001F7911" w:rsidRPr="004B3AFA">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80B6" w14:textId="77777777" w:rsidR="0070076C" w:rsidRDefault="0070076C">
      <w:r>
        <w:separator/>
      </w:r>
    </w:p>
  </w:endnote>
  <w:endnote w:type="continuationSeparator" w:id="0">
    <w:p w14:paraId="5D5EF06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8B4D" w14:textId="788B0F3F" w:rsidR="00936D25" w:rsidRDefault="00936D25">
    <w:pPr>
      <w:rPr>
        <w:lang w:val="en-US"/>
      </w:rPr>
    </w:pPr>
    <w:r>
      <w:fldChar w:fldCharType="begin"/>
    </w:r>
    <w:r>
      <w:rPr>
        <w:lang w:val="en-US"/>
      </w:rPr>
      <w:instrText xml:space="preserve"> FILENAME \p  \* MERGEFORMAT </w:instrText>
    </w:r>
    <w:r>
      <w:fldChar w:fldCharType="separate"/>
    </w:r>
    <w:r w:rsidR="00A57870">
      <w:rPr>
        <w:noProof/>
        <w:lang w:val="en-US"/>
      </w:rPr>
      <w:t>P:\FRA\ITU-R\CONF-R\CMR19\000\014ADD22F.docx</w:t>
    </w:r>
    <w:r>
      <w:fldChar w:fldCharType="end"/>
    </w:r>
    <w:r>
      <w:rPr>
        <w:lang w:val="en-US"/>
      </w:rPr>
      <w:tab/>
    </w:r>
    <w:r>
      <w:fldChar w:fldCharType="begin"/>
    </w:r>
    <w:r>
      <w:instrText xml:space="preserve"> SAVEDATE \@ DD.MM.YY </w:instrText>
    </w:r>
    <w:r>
      <w:fldChar w:fldCharType="separate"/>
    </w:r>
    <w:r w:rsidR="00A57870">
      <w:rPr>
        <w:noProof/>
      </w:rPr>
      <w:t>21.10.19</w:t>
    </w:r>
    <w:r>
      <w:fldChar w:fldCharType="end"/>
    </w:r>
    <w:r>
      <w:rPr>
        <w:lang w:val="en-US"/>
      </w:rPr>
      <w:tab/>
    </w:r>
    <w:r>
      <w:fldChar w:fldCharType="begin"/>
    </w:r>
    <w:r>
      <w:instrText xml:space="preserve"> PRINTDATE \@ DD.MM.YY </w:instrText>
    </w:r>
    <w:r>
      <w:fldChar w:fldCharType="separate"/>
    </w:r>
    <w:r w:rsidR="00A57870">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26ED" w14:textId="4758F6DD" w:rsidR="00936D25" w:rsidRPr="00B81F6D" w:rsidRDefault="00936D25" w:rsidP="007B2C34">
    <w:pPr>
      <w:pStyle w:val="Footer"/>
      <w:rPr>
        <w:lang w:val="en-GB"/>
      </w:rPr>
    </w:pPr>
    <w:r>
      <w:fldChar w:fldCharType="begin"/>
    </w:r>
    <w:r>
      <w:rPr>
        <w:lang w:val="en-US"/>
      </w:rPr>
      <w:instrText xml:space="preserve"> FILENAME \p  \* MERGEFORMAT </w:instrText>
    </w:r>
    <w:r>
      <w:fldChar w:fldCharType="separate"/>
    </w:r>
    <w:r w:rsidR="00A57870">
      <w:rPr>
        <w:lang w:val="en-US"/>
      </w:rPr>
      <w:t>P:\FRA\ITU-R\CONF-R\CMR19\000\014ADD22F.docx</w:t>
    </w:r>
    <w:r>
      <w:fldChar w:fldCharType="end"/>
    </w:r>
    <w:r w:rsidR="00B81F6D" w:rsidRPr="00B81F6D">
      <w:rPr>
        <w:lang w:val="en-GB"/>
      </w:rPr>
      <w:t xml:space="preserve"> </w:t>
    </w:r>
    <w:r w:rsidR="00B81F6D">
      <w:rPr>
        <w:lang w:val="en-GB"/>
      </w:rPr>
      <w:t>(462251)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B795" w14:textId="0A2B79E1" w:rsidR="00936D25" w:rsidRPr="00B81F6D" w:rsidRDefault="00936D25" w:rsidP="001A11F6">
    <w:pPr>
      <w:pStyle w:val="Footer"/>
      <w:rPr>
        <w:lang w:val="en-GB"/>
      </w:rPr>
    </w:pPr>
    <w:r>
      <w:fldChar w:fldCharType="begin"/>
    </w:r>
    <w:r>
      <w:rPr>
        <w:lang w:val="en-US"/>
      </w:rPr>
      <w:instrText xml:space="preserve"> FILENAME \p  \* MERGEFORMAT </w:instrText>
    </w:r>
    <w:r>
      <w:fldChar w:fldCharType="separate"/>
    </w:r>
    <w:r w:rsidR="00A57870">
      <w:rPr>
        <w:lang w:val="en-US"/>
      </w:rPr>
      <w:t>P:\FRA\ITU-R\CONF-R\CMR19\000\014ADD22F.docx</w:t>
    </w:r>
    <w:r>
      <w:fldChar w:fldCharType="end"/>
    </w:r>
    <w:r w:rsidR="00B81F6D" w:rsidRPr="00B81F6D">
      <w:rPr>
        <w:lang w:val="en-GB"/>
      </w:rPr>
      <w:t xml:space="preserve"> </w:t>
    </w:r>
    <w:r w:rsidR="00B81F6D">
      <w:rPr>
        <w:lang w:val="en-GB"/>
      </w:rPr>
      <w:t>(462251)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6160" w14:textId="77777777" w:rsidR="0070076C" w:rsidRDefault="0070076C">
      <w:r>
        <w:rPr>
          <w:b/>
        </w:rPr>
        <w:t>_______________</w:t>
      </w:r>
    </w:p>
  </w:footnote>
  <w:footnote w:type="continuationSeparator" w:id="0">
    <w:p w14:paraId="35AD3F92" w14:textId="77777777" w:rsidR="0070076C" w:rsidRDefault="0070076C">
      <w:r>
        <w:continuationSeparator/>
      </w:r>
    </w:p>
  </w:footnote>
  <w:footnote w:id="1">
    <w:p w14:paraId="49EF4E8D" w14:textId="77777777" w:rsidR="00997EA5" w:rsidRPr="00B456A5" w:rsidRDefault="003D662F"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C9C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958BED" w14:textId="77777777" w:rsidR="004F1F8E" w:rsidRDefault="004F1F8E" w:rsidP="00FD7AA3">
    <w:pPr>
      <w:pStyle w:val="Header"/>
    </w:pPr>
    <w:r>
      <w:t>CMR1</w:t>
    </w:r>
    <w:r w:rsidR="00FD7AA3">
      <w:t>9</w:t>
    </w:r>
    <w:r>
      <w:t>/</w:t>
    </w:r>
    <w:r w:rsidR="006A4B45">
      <w:t>14(Add.22)-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02B8"/>
    <w:rsid w:val="00023BF5"/>
    <w:rsid w:val="0003522F"/>
    <w:rsid w:val="00056E8D"/>
    <w:rsid w:val="00063A1F"/>
    <w:rsid w:val="0006762D"/>
    <w:rsid w:val="00080CAC"/>
    <w:rsid w:val="00080E2C"/>
    <w:rsid w:val="00081366"/>
    <w:rsid w:val="000863B3"/>
    <w:rsid w:val="00097D56"/>
    <w:rsid w:val="000A4755"/>
    <w:rsid w:val="000A55AE"/>
    <w:rsid w:val="000B2E0C"/>
    <w:rsid w:val="000B3D0C"/>
    <w:rsid w:val="000E0ACD"/>
    <w:rsid w:val="000F6559"/>
    <w:rsid w:val="001167B9"/>
    <w:rsid w:val="00122F42"/>
    <w:rsid w:val="001267A0"/>
    <w:rsid w:val="001469A9"/>
    <w:rsid w:val="0015203F"/>
    <w:rsid w:val="00160C64"/>
    <w:rsid w:val="00163318"/>
    <w:rsid w:val="0018169B"/>
    <w:rsid w:val="00184ED8"/>
    <w:rsid w:val="0019352B"/>
    <w:rsid w:val="00194AF5"/>
    <w:rsid w:val="001960D0"/>
    <w:rsid w:val="001A11F6"/>
    <w:rsid w:val="001B2BDB"/>
    <w:rsid w:val="001B3D51"/>
    <w:rsid w:val="001B6F2A"/>
    <w:rsid w:val="001F17E8"/>
    <w:rsid w:val="001F1E24"/>
    <w:rsid w:val="001F7911"/>
    <w:rsid w:val="00204306"/>
    <w:rsid w:val="00212162"/>
    <w:rsid w:val="002278F5"/>
    <w:rsid w:val="00232FD2"/>
    <w:rsid w:val="00246090"/>
    <w:rsid w:val="0026554E"/>
    <w:rsid w:val="00290207"/>
    <w:rsid w:val="00297685"/>
    <w:rsid w:val="002A4622"/>
    <w:rsid w:val="002A6F8F"/>
    <w:rsid w:val="002B17E5"/>
    <w:rsid w:val="002C0EBF"/>
    <w:rsid w:val="002C28A4"/>
    <w:rsid w:val="002C7A1A"/>
    <w:rsid w:val="002D2BB1"/>
    <w:rsid w:val="002D7E0A"/>
    <w:rsid w:val="00315AFE"/>
    <w:rsid w:val="00347A42"/>
    <w:rsid w:val="003606A6"/>
    <w:rsid w:val="0036650C"/>
    <w:rsid w:val="00367780"/>
    <w:rsid w:val="003714C4"/>
    <w:rsid w:val="0039389F"/>
    <w:rsid w:val="00393ACD"/>
    <w:rsid w:val="003A583E"/>
    <w:rsid w:val="003C2413"/>
    <w:rsid w:val="003D4A97"/>
    <w:rsid w:val="003D662F"/>
    <w:rsid w:val="003E112B"/>
    <w:rsid w:val="003E1D1C"/>
    <w:rsid w:val="003E5C1F"/>
    <w:rsid w:val="003E7B05"/>
    <w:rsid w:val="003F3719"/>
    <w:rsid w:val="003F6F2D"/>
    <w:rsid w:val="00433A5E"/>
    <w:rsid w:val="00435789"/>
    <w:rsid w:val="00441456"/>
    <w:rsid w:val="0044408D"/>
    <w:rsid w:val="00466211"/>
    <w:rsid w:val="00471C66"/>
    <w:rsid w:val="0047646A"/>
    <w:rsid w:val="004821EB"/>
    <w:rsid w:val="00483196"/>
    <w:rsid w:val="004834A9"/>
    <w:rsid w:val="004A3AFF"/>
    <w:rsid w:val="004B08F7"/>
    <w:rsid w:val="004B3AFA"/>
    <w:rsid w:val="004D01FC"/>
    <w:rsid w:val="004D7C38"/>
    <w:rsid w:val="004E28C3"/>
    <w:rsid w:val="004F132D"/>
    <w:rsid w:val="004F1F8E"/>
    <w:rsid w:val="00512A32"/>
    <w:rsid w:val="00516D7C"/>
    <w:rsid w:val="00527DDA"/>
    <w:rsid w:val="005343DA"/>
    <w:rsid w:val="00534BEB"/>
    <w:rsid w:val="0053735A"/>
    <w:rsid w:val="00543E7E"/>
    <w:rsid w:val="00560874"/>
    <w:rsid w:val="005608BE"/>
    <w:rsid w:val="00575A60"/>
    <w:rsid w:val="00586CF2"/>
    <w:rsid w:val="005934A0"/>
    <w:rsid w:val="005A7C75"/>
    <w:rsid w:val="005C178C"/>
    <w:rsid w:val="005C3768"/>
    <w:rsid w:val="005C6C3F"/>
    <w:rsid w:val="006101AC"/>
    <w:rsid w:val="00613635"/>
    <w:rsid w:val="00613A9A"/>
    <w:rsid w:val="0062093D"/>
    <w:rsid w:val="00624E7E"/>
    <w:rsid w:val="00627F43"/>
    <w:rsid w:val="00637ECF"/>
    <w:rsid w:val="00647B59"/>
    <w:rsid w:val="00661366"/>
    <w:rsid w:val="00681D74"/>
    <w:rsid w:val="00690C7B"/>
    <w:rsid w:val="006948F1"/>
    <w:rsid w:val="006A4B45"/>
    <w:rsid w:val="006B4E43"/>
    <w:rsid w:val="006D4724"/>
    <w:rsid w:val="006D508D"/>
    <w:rsid w:val="006F5FA2"/>
    <w:rsid w:val="006F712E"/>
    <w:rsid w:val="0070076C"/>
    <w:rsid w:val="00701BAE"/>
    <w:rsid w:val="0070392C"/>
    <w:rsid w:val="00721F04"/>
    <w:rsid w:val="00730E95"/>
    <w:rsid w:val="00741916"/>
    <w:rsid w:val="007426B9"/>
    <w:rsid w:val="00763CCA"/>
    <w:rsid w:val="00764342"/>
    <w:rsid w:val="0076714B"/>
    <w:rsid w:val="00774362"/>
    <w:rsid w:val="00781BDE"/>
    <w:rsid w:val="00782D44"/>
    <w:rsid w:val="00786598"/>
    <w:rsid w:val="00790C74"/>
    <w:rsid w:val="007A04E8"/>
    <w:rsid w:val="007B2C34"/>
    <w:rsid w:val="007C1BEA"/>
    <w:rsid w:val="007C58FD"/>
    <w:rsid w:val="007C6870"/>
    <w:rsid w:val="007D0BFD"/>
    <w:rsid w:val="008235F7"/>
    <w:rsid w:val="00830086"/>
    <w:rsid w:val="0083479F"/>
    <w:rsid w:val="00851625"/>
    <w:rsid w:val="00862C4E"/>
    <w:rsid w:val="00863C0A"/>
    <w:rsid w:val="00870FA3"/>
    <w:rsid w:val="00892E82"/>
    <w:rsid w:val="008A3120"/>
    <w:rsid w:val="008A4B97"/>
    <w:rsid w:val="008C2134"/>
    <w:rsid w:val="008C25C8"/>
    <w:rsid w:val="008C5B8E"/>
    <w:rsid w:val="008C5DD5"/>
    <w:rsid w:val="008D41BE"/>
    <w:rsid w:val="008D58D3"/>
    <w:rsid w:val="008D7494"/>
    <w:rsid w:val="008E3BC9"/>
    <w:rsid w:val="00923064"/>
    <w:rsid w:val="00925E32"/>
    <w:rsid w:val="00930FFD"/>
    <w:rsid w:val="00936D25"/>
    <w:rsid w:val="00941EA5"/>
    <w:rsid w:val="00944238"/>
    <w:rsid w:val="0094675C"/>
    <w:rsid w:val="00964700"/>
    <w:rsid w:val="00966C16"/>
    <w:rsid w:val="0098732F"/>
    <w:rsid w:val="00992C58"/>
    <w:rsid w:val="009A045F"/>
    <w:rsid w:val="009A6A2B"/>
    <w:rsid w:val="009C7E7C"/>
    <w:rsid w:val="009F447F"/>
    <w:rsid w:val="009F7331"/>
    <w:rsid w:val="00A00473"/>
    <w:rsid w:val="00A03C9B"/>
    <w:rsid w:val="00A04434"/>
    <w:rsid w:val="00A10389"/>
    <w:rsid w:val="00A24351"/>
    <w:rsid w:val="00A37105"/>
    <w:rsid w:val="00A57870"/>
    <w:rsid w:val="00A606C3"/>
    <w:rsid w:val="00A83B09"/>
    <w:rsid w:val="00A84541"/>
    <w:rsid w:val="00A85D94"/>
    <w:rsid w:val="00AA1DBE"/>
    <w:rsid w:val="00AA69AE"/>
    <w:rsid w:val="00AB607E"/>
    <w:rsid w:val="00AB7F7D"/>
    <w:rsid w:val="00AE09D9"/>
    <w:rsid w:val="00AE36A0"/>
    <w:rsid w:val="00AE58F4"/>
    <w:rsid w:val="00AF1995"/>
    <w:rsid w:val="00AF45EE"/>
    <w:rsid w:val="00B00294"/>
    <w:rsid w:val="00B0066B"/>
    <w:rsid w:val="00B13B06"/>
    <w:rsid w:val="00B1708E"/>
    <w:rsid w:val="00B27CC4"/>
    <w:rsid w:val="00B3749C"/>
    <w:rsid w:val="00B419C5"/>
    <w:rsid w:val="00B526B9"/>
    <w:rsid w:val="00B56390"/>
    <w:rsid w:val="00B64FD0"/>
    <w:rsid w:val="00B819C5"/>
    <w:rsid w:val="00B81F6D"/>
    <w:rsid w:val="00B91977"/>
    <w:rsid w:val="00B96779"/>
    <w:rsid w:val="00BA5BD0"/>
    <w:rsid w:val="00BB1D82"/>
    <w:rsid w:val="00BD51C5"/>
    <w:rsid w:val="00BF26E7"/>
    <w:rsid w:val="00BF5DF6"/>
    <w:rsid w:val="00C05394"/>
    <w:rsid w:val="00C06EF0"/>
    <w:rsid w:val="00C53FCA"/>
    <w:rsid w:val="00C76BAF"/>
    <w:rsid w:val="00C814B9"/>
    <w:rsid w:val="00C9572F"/>
    <w:rsid w:val="00CA0EC2"/>
    <w:rsid w:val="00CB3E9B"/>
    <w:rsid w:val="00CC050A"/>
    <w:rsid w:val="00CC3FB8"/>
    <w:rsid w:val="00CC40A5"/>
    <w:rsid w:val="00CD516F"/>
    <w:rsid w:val="00CF1F11"/>
    <w:rsid w:val="00D003B0"/>
    <w:rsid w:val="00D119A7"/>
    <w:rsid w:val="00D25FBA"/>
    <w:rsid w:val="00D32B28"/>
    <w:rsid w:val="00D37C96"/>
    <w:rsid w:val="00D41800"/>
    <w:rsid w:val="00D42954"/>
    <w:rsid w:val="00D610B6"/>
    <w:rsid w:val="00D66EAC"/>
    <w:rsid w:val="00D67B7B"/>
    <w:rsid w:val="00D730DF"/>
    <w:rsid w:val="00D772F0"/>
    <w:rsid w:val="00D77A04"/>
    <w:rsid w:val="00D77BDC"/>
    <w:rsid w:val="00DA35AD"/>
    <w:rsid w:val="00DA38C2"/>
    <w:rsid w:val="00DB2B19"/>
    <w:rsid w:val="00DC0137"/>
    <w:rsid w:val="00DC402B"/>
    <w:rsid w:val="00DC5C28"/>
    <w:rsid w:val="00DC7002"/>
    <w:rsid w:val="00DE0932"/>
    <w:rsid w:val="00DE5E62"/>
    <w:rsid w:val="00DE6413"/>
    <w:rsid w:val="00E03A27"/>
    <w:rsid w:val="00E049F1"/>
    <w:rsid w:val="00E303C4"/>
    <w:rsid w:val="00E37A25"/>
    <w:rsid w:val="00E47038"/>
    <w:rsid w:val="00E537FF"/>
    <w:rsid w:val="00E6390F"/>
    <w:rsid w:val="00E6539B"/>
    <w:rsid w:val="00E70A31"/>
    <w:rsid w:val="00E723A7"/>
    <w:rsid w:val="00EA3F38"/>
    <w:rsid w:val="00EA5AB6"/>
    <w:rsid w:val="00EB058F"/>
    <w:rsid w:val="00EC7615"/>
    <w:rsid w:val="00ED16AA"/>
    <w:rsid w:val="00ED3A0A"/>
    <w:rsid w:val="00ED6B8D"/>
    <w:rsid w:val="00EE3D7B"/>
    <w:rsid w:val="00EE4D46"/>
    <w:rsid w:val="00EF662E"/>
    <w:rsid w:val="00F10064"/>
    <w:rsid w:val="00F148F1"/>
    <w:rsid w:val="00F27DB9"/>
    <w:rsid w:val="00F42814"/>
    <w:rsid w:val="00F47DB2"/>
    <w:rsid w:val="00F70537"/>
    <w:rsid w:val="00F711A7"/>
    <w:rsid w:val="00FA30B6"/>
    <w:rsid w:val="00FA3BBF"/>
    <w:rsid w:val="00FC41F8"/>
    <w:rsid w:val="00FC5000"/>
    <w:rsid w:val="00FD7AA3"/>
    <w:rsid w:val="00FF1C40"/>
    <w:rsid w:val="00FF263F"/>
    <w:rsid w:val="00FF32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56E7C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dpstylefootnotereference">
    <w:name w:val="dpstylefootnotereference"/>
    <w:basedOn w:val="DefaultParagraphFont"/>
    <w:rsid w:val="0024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058F616-3042-4B7A-B3E5-42425F3B7542}">
  <ds:schemaRefs>
    <ds:schemaRef ds:uri="http://schemas.microsoft.com/sharepoint/v3/contenttype/forms"/>
  </ds:schemaRefs>
</ds:datastoreItem>
</file>

<file path=customXml/itemProps3.xml><?xml version="1.0" encoding="utf-8"?>
<ds:datastoreItem xmlns:ds="http://schemas.openxmlformats.org/officeDocument/2006/customXml" ds:itemID="{AE71E471-7E35-447A-83C4-27F22985415F}">
  <ds:schemaRefs>
    <ds:schemaRef ds:uri="http://purl.org/dc/terms/"/>
    <ds:schemaRef ds:uri="32a1a8c5-2265-4ebc-b7a0-2071e2c5c9bb"/>
    <ds:schemaRef ds:uri="http://schemas.microsoft.com/office/2006/documentManagement/types"/>
    <ds:schemaRef ds:uri="http://purl.org/dc/elements/1.1/"/>
    <ds:schemaRef ds:uri="996b2e75-67fd-4955-a3b0-5ab9934cb50b"/>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96A0DFE-FACE-47DF-B86B-BAE1B84D9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2164</Words>
  <Characters>11002</Characters>
  <Application>Microsoft Office Word</Application>
  <DocSecurity>0</DocSecurity>
  <Lines>217</Lines>
  <Paragraphs>65</Paragraphs>
  <ScaleCrop>false</ScaleCrop>
  <HeadingPairs>
    <vt:vector size="2" baseType="variant">
      <vt:variant>
        <vt:lpstr>Title</vt:lpstr>
      </vt:variant>
      <vt:variant>
        <vt:i4>1</vt:i4>
      </vt:variant>
    </vt:vector>
  </HeadingPairs>
  <TitlesOfParts>
    <vt:vector size="1" baseType="lpstr">
      <vt:lpstr>R16-WRC19-C-0014!A22!MSW-F</vt:lpstr>
    </vt:vector>
  </TitlesOfParts>
  <Manager>Secrétariat général - Pool</Manager>
  <Company>Union internationale des télécommunications (UIT)</Company>
  <LinksUpToDate>false</LinksUpToDate>
  <CharactersWithSpaces>13126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R16-WRC19-C-0014!A22!MSW-F</dc:title>
  <dc:subject>Conférence mondiale des radiocommunications - 2019</dc:subject>
  <dc:creator>Documents Proposals Manager (DPM)</dc:creator>
  <cp:keywords>DPM_v2019.10.14.1_prod</cp:keywords>
  <dc:description/>
  <cp:lastModifiedBy>Royer, Veronique</cp:lastModifiedBy>
  <cp:revision>101</cp:revision>
  <cp:lastPrinted>2019-10-21T21:27:00Z</cp:lastPrinted>
  <dcterms:created xsi:type="dcterms:W3CDTF">2019-10-21T15:02:00Z</dcterms:created>
  <dcterms:modified xsi:type="dcterms:W3CDTF">2019-10-21T21:27:00Z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