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5A71E0" w14:paraId="35E515C2" w14:textId="77777777" w:rsidTr="0050008E">
        <w:trPr>
          <w:cantSplit/>
        </w:trPr>
        <w:tc>
          <w:tcPr>
            <w:tcW w:w="6911" w:type="dxa"/>
          </w:tcPr>
          <w:p w14:paraId="33675DD7" w14:textId="77777777" w:rsidR="0090121B" w:rsidRPr="005A71E0" w:rsidRDefault="005D46FB" w:rsidP="004A4AC8">
            <w:pPr>
              <w:spacing w:before="400" w:after="48"/>
              <w:rPr>
                <w:rFonts w:ascii="Verdana" w:hAnsi="Verdana"/>
                <w:position w:val="6"/>
              </w:rPr>
            </w:pPr>
            <w:r w:rsidRPr="005A71E0">
              <w:rPr>
                <w:rFonts w:ascii="Verdana" w:hAnsi="Verdana" w:cs="Times"/>
                <w:b/>
                <w:position w:val="6"/>
                <w:sz w:val="20"/>
              </w:rPr>
              <w:t>Conferencia Mundial de Radiocomunicaciones (CMR-1</w:t>
            </w:r>
            <w:r w:rsidR="00C44E9E" w:rsidRPr="005A71E0">
              <w:rPr>
                <w:rFonts w:ascii="Verdana" w:hAnsi="Verdana" w:cs="Times"/>
                <w:b/>
                <w:position w:val="6"/>
                <w:sz w:val="20"/>
              </w:rPr>
              <w:t>9</w:t>
            </w:r>
            <w:r w:rsidRPr="005A71E0">
              <w:rPr>
                <w:rFonts w:ascii="Verdana" w:hAnsi="Verdana" w:cs="Times"/>
                <w:b/>
                <w:position w:val="6"/>
                <w:sz w:val="20"/>
              </w:rPr>
              <w:t>)</w:t>
            </w:r>
            <w:r w:rsidRPr="005A71E0">
              <w:rPr>
                <w:rFonts w:ascii="Verdana" w:hAnsi="Verdana" w:cs="Times"/>
                <w:b/>
                <w:position w:val="6"/>
                <w:sz w:val="20"/>
              </w:rPr>
              <w:br/>
            </w:r>
            <w:r w:rsidR="006124AD" w:rsidRPr="005A71E0">
              <w:rPr>
                <w:rFonts w:ascii="Verdana" w:hAnsi="Verdana"/>
                <w:b/>
                <w:bCs/>
                <w:position w:val="6"/>
                <w:sz w:val="17"/>
                <w:szCs w:val="17"/>
              </w:rPr>
              <w:t>Sharm el-Sheikh (Egipto)</w:t>
            </w:r>
            <w:r w:rsidRPr="005A71E0">
              <w:rPr>
                <w:rFonts w:ascii="Verdana" w:hAnsi="Verdana"/>
                <w:b/>
                <w:bCs/>
                <w:position w:val="6"/>
                <w:sz w:val="17"/>
                <w:szCs w:val="17"/>
              </w:rPr>
              <w:t>, 2</w:t>
            </w:r>
            <w:r w:rsidR="00C44E9E" w:rsidRPr="005A71E0">
              <w:rPr>
                <w:rFonts w:ascii="Verdana" w:hAnsi="Verdana"/>
                <w:b/>
                <w:bCs/>
                <w:position w:val="6"/>
                <w:sz w:val="17"/>
                <w:szCs w:val="17"/>
              </w:rPr>
              <w:t xml:space="preserve">8 de octubre </w:t>
            </w:r>
            <w:r w:rsidR="00DE1C31" w:rsidRPr="005A71E0">
              <w:rPr>
                <w:rFonts w:ascii="Verdana" w:hAnsi="Verdana"/>
                <w:b/>
                <w:bCs/>
                <w:position w:val="6"/>
                <w:sz w:val="17"/>
                <w:szCs w:val="17"/>
              </w:rPr>
              <w:t>–</w:t>
            </w:r>
            <w:r w:rsidR="00C44E9E" w:rsidRPr="005A71E0">
              <w:rPr>
                <w:rFonts w:ascii="Verdana" w:hAnsi="Verdana"/>
                <w:b/>
                <w:bCs/>
                <w:position w:val="6"/>
                <w:sz w:val="17"/>
                <w:szCs w:val="17"/>
              </w:rPr>
              <w:t xml:space="preserve"> </w:t>
            </w:r>
            <w:r w:rsidRPr="005A71E0">
              <w:rPr>
                <w:rFonts w:ascii="Verdana" w:hAnsi="Verdana"/>
                <w:b/>
                <w:bCs/>
                <w:position w:val="6"/>
                <w:sz w:val="17"/>
                <w:szCs w:val="17"/>
              </w:rPr>
              <w:t>2</w:t>
            </w:r>
            <w:r w:rsidR="00C44E9E" w:rsidRPr="005A71E0">
              <w:rPr>
                <w:rFonts w:ascii="Verdana" w:hAnsi="Verdana"/>
                <w:b/>
                <w:bCs/>
                <w:position w:val="6"/>
                <w:sz w:val="17"/>
                <w:szCs w:val="17"/>
              </w:rPr>
              <w:t>2</w:t>
            </w:r>
            <w:r w:rsidRPr="005A71E0">
              <w:rPr>
                <w:rFonts w:ascii="Verdana" w:hAnsi="Verdana"/>
                <w:b/>
                <w:bCs/>
                <w:position w:val="6"/>
                <w:sz w:val="17"/>
                <w:szCs w:val="17"/>
              </w:rPr>
              <w:t xml:space="preserve"> de noviembre de 201</w:t>
            </w:r>
            <w:r w:rsidR="00C44E9E" w:rsidRPr="005A71E0">
              <w:rPr>
                <w:rFonts w:ascii="Verdana" w:hAnsi="Verdana"/>
                <w:b/>
                <w:bCs/>
                <w:position w:val="6"/>
                <w:sz w:val="17"/>
                <w:szCs w:val="17"/>
              </w:rPr>
              <w:t>9</w:t>
            </w:r>
          </w:p>
        </w:tc>
        <w:tc>
          <w:tcPr>
            <w:tcW w:w="3120" w:type="dxa"/>
          </w:tcPr>
          <w:p w14:paraId="1F87C033" w14:textId="77777777" w:rsidR="0090121B" w:rsidRPr="005A71E0" w:rsidRDefault="00DA71A3" w:rsidP="004A4AC8">
            <w:pPr>
              <w:spacing w:before="0"/>
              <w:jc w:val="right"/>
            </w:pPr>
            <w:bookmarkStart w:id="0" w:name="ditulogo"/>
            <w:bookmarkEnd w:id="0"/>
            <w:r w:rsidRPr="005A71E0">
              <w:rPr>
                <w:rFonts w:ascii="Verdana" w:hAnsi="Verdana"/>
                <w:b/>
                <w:bCs/>
                <w:noProof/>
                <w:szCs w:val="24"/>
                <w:lang w:eastAsia="zh-CN"/>
              </w:rPr>
              <w:drawing>
                <wp:inline distT="0" distB="0" distL="0" distR="0" wp14:anchorId="27EFD293" wp14:editId="366E0CD2">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5A71E0" w14:paraId="50491589" w14:textId="77777777" w:rsidTr="0050008E">
        <w:trPr>
          <w:cantSplit/>
        </w:trPr>
        <w:tc>
          <w:tcPr>
            <w:tcW w:w="6911" w:type="dxa"/>
            <w:tcBorders>
              <w:bottom w:val="single" w:sz="12" w:space="0" w:color="auto"/>
            </w:tcBorders>
          </w:tcPr>
          <w:p w14:paraId="308073EB" w14:textId="77777777" w:rsidR="0090121B" w:rsidRPr="005A71E0" w:rsidRDefault="0090121B" w:rsidP="004A4AC8">
            <w:pPr>
              <w:spacing w:before="0" w:after="48"/>
              <w:rPr>
                <w:b/>
                <w:smallCaps/>
                <w:szCs w:val="24"/>
              </w:rPr>
            </w:pPr>
            <w:bookmarkStart w:id="1" w:name="dhead"/>
          </w:p>
        </w:tc>
        <w:tc>
          <w:tcPr>
            <w:tcW w:w="3120" w:type="dxa"/>
            <w:tcBorders>
              <w:bottom w:val="single" w:sz="12" w:space="0" w:color="auto"/>
            </w:tcBorders>
          </w:tcPr>
          <w:p w14:paraId="4AEBB9F0" w14:textId="77777777" w:rsidR="0090121B" w:rsidRPr="005A71E0" w:rsidRDefault="0090121B" w:rsidP="004A4AC8">
            <w:pPr>
              <w:spacing w:before="0"/>
              <w:rPr>
                <w:rFonts w:ascii="Verdana" w:hAnsi="Verdana"/>
                <w:szCs w:val="24"/>
              </w:rPr>
            </w:pPr>
          </w:p>
        </w:tc>
      </w:tr>
      <w:tr w:rsidR="0090121B" w:rsidRPr="005A71E0" w14:paraId="6AC9ABB5" w14:textId="77777777" w:rsidTr="0090121B">
        <w:trPr>
          <w:cantSplit/>
        </w:trPr>
        <w:tc>
          <w:tcPr>
            <w:tcW w:w="6911" w:type="dxa"/>
            <w:tcBorders>
              <w:top w:val="single" w:sz="12" w:space="0" w:color="auto"/>
            </w:tcBorders>
          </w:tcPr>
          <w:p w14:paraId="1ECC1172" w14:textId="77777777" w:rsidR="0090121B" w:rsidRPr="005A71E0" w:rsidRDefault="0090121B" w:rsidP="004A4AC8">
            <w:pPr>
              <w:spacing w:before="0" w:after="48"/>
              <w:rPr>
                <w:rFonts w:ascii="Verdana" w:hAnsi="Verdana"/>
                <w:b/>
                <w:smallCaps/>
                <w:sz w:val="20"/>
              </w:rPr>
            </w:pPr>
          </w:p>
        </w:tc>
        <w:tc>
          <w:tcPr>
            <w:tcW w:w="3120" w:type="dxa"/>
            <w:tcBorders>
              <w:top w:val="single" w:sz="12" w:space="0" w:color="auto"/>
            </w:tcBorders>
          </w:tcPr>
          <w:p w14:paraId="15C612BD" w14:textId="77777777" w:rsidR="0090121B" w:rsidRPr="005A71E0" w:rsidRDefault="0090121B" w:rsidP="004A4AC8">
            <w:pPr>
              <w:spacing w:before="0"/>
              <w:rPr>
                <w:rFonts w:ascii="Verdana" w:hAnsi="Verdana"/>
                <w:sz w:val="20"/>
              </w:rPr>
            </w:pPr>
          </w:p>
        </w:tc>
      </w:tr>
      <w:tr w:rsidR="0090121B" w:rsidRPr="005A71E0" w14:paraId="134A6EA5" w14:textId="77777777" w:rsidTr="0090121B">
        <w:trPr>
          <w:cantSplit/>
        </w:trPr>
        <w:tc>
          <w:tcPr>
            <w:tcW w:w="6911" w:type="dxa"/>
          </w:tcPr>
          <w:p w14:paraId="55CD30CB" w14:textId="77777777" w:rsidR="0090121B" w:rsidRPr="00604F75" w:rsidRDefault="001E7D42" w:rsidP="004A4AC8">
            <w:pPr>
              <w:pStyle w:val="Committee"/>
              <w:framePr w:hSpace="0" w:wrap="auto" w:hAnchor="text" w:yAlign="inline"/>
              <w:spacing w:line="240" w:lineRule="auto"/>
              <w:rPr>
                <w:szCs w:val="20"/>
                <w:lang w:val="es-ES_tradnl"/>
              </w:rPr>
            </w:pPr>
            <w:r w:rsidRPr="00604F75">
              <w:rPr>
                <w:szCs w:val="20"/>
                <w:lang w:val="es-ES_tradnl"/>
              </w:rPr>
              <w:t>SESIÓN PLENARIA</w:t>
            </w:r>
          </w:p>
        </w:tc>
        <w:tc>
          <w:tcPr>
            <w:tcW w:w="3120" w:type="dxa"/>
          </w:tcPr>
          <w:p w14:paraId="3BD5C745" w14:textId="77777777" w:rsidR="0090121B" w:rsidRPr="00604F75" w:rsidRDefault="00AE658F" w:rsidP="004A4AC8">
            <w:pPr>
              <w:spacing w:before="0"/>
              <w:rPr>
                <w:rFonts w:ascii="Verdana" w:hAnsi="Verdana"/>
                <w:sz w:val="20"/>
              </w:rPr>
            </w:pPr>
            <w:r w:rsidRPr="00604F75">
              <w:rPr>
                <w:rFonts w:ascii="Verdana" w:hAnsi="Verdana"/>
                <w:b/>
                <w:sz w:val="20"/>
              </w:rPr>
              <w:t>Addéndum 22 al</w:t>
            </w:r>
            <w:r w:rsidRPr="00604F75">
              <w:rPr>
                <w:rFonts w:ascii="Verdana" w:hAnsi="Verdana"/>
                <w:b/>
                <w:sz w:val="20"/>
              </w:rPr>
              <w:br/>
              <w:t>Documento 14</w:t>
            </w:r>
            <w:r w:rsidR="0090121B" w:rsidRPr="00604F75">
              <w:rPr>
                <w:rFonts w:ascii="Verdana" w:hAnsi="Verdana"/>
                <w:b/>
                <w:sz w:val="20"/>
              </w:rPr>
              <w:t>-</w:t>
            </w:r>
            <w:r w:rsidRPr="00604F75">
              <w:rPr>
                <w:rFonts w:ascii="Verdana" w:hAnsi="Verdana"/>
                <w:b/>
                <w:sz w:val="20"/>
              </w:rPr>
              <w:t>S</w:t>
            </w:r>
          </w:p>
        </w:tc>
      </w:tr>
      <w:bookmarkEnd w:id="1"/>
      <w:tr w:rsidR="000A5B9A" w:rsidRPr="005A71E0" w14:paraId="1FE3733E" w14:textId="77777777" w:rsidTr="0090121B">
        <w:trPr>
          <w:cantSplit/>
        </w:trPr>
        <w:tc>
          <w:tcPr>
            <w:tcW w:w="6911" w:type="dxa"/>
          </w:tcPr>
          <w:p w14:paraId="29837BD8" w14:textId="77777777" w:rsidR="000A5B9A" w:rsidRPr="00604F75" w:rsidRDefault="000A5B9A" w:rsidP="004A4AC8">
            <w:pPr>
              <w:spacing w:before="0" w:after="48"/>
              <w:rPr>
                <w:rFonts w:ascii="Verdana" w:hAnsi="Verdana"/>
                <w:b/>
                <w:smallCaps/>
                <w:sz w:val="20"/>
              </w:rPr>
            </w:pPr>
          </w:p>
        </w:tc>
        <w:tc>
          <w:tcPr>
            <w:tcW w:w="3120" w:type="dxa"/>
          </w:tcPr>
          <w:p w14:paraId="3432E762" w14:textId="77777777" w:rsidR="000A5B9A" w:rsidRPr="00604F75" w:rsidRDefault="000A5B9A" w:rsidP="004A4AC8">
            <w:pPr>
              <w:spacing w:before="0"/>
              <w:rPr>
                <w:rFonts w:ascii="Verdana" w:hAnsi="Verdana"/>
                <w:b/>
                <w:sz w:val="20"/>
              </w:rPr>
            </w:pPr>
            <w:r w:rsidRPr="00604F75">
              <w:rPr>
                <w:rFonts w:ascii="Verdana" w:hAnsi="Verdana"/>
                <w:b/>
                <w:sz w:val="20"/>
              </w:rPr>
              <w:t>7 de octubre de 2019</w:t>
            </w:r>
          </w:p>
        </w:tc>
      </w:tr>
      <w:tr w:rsidR="000A5B9A" w:rsidRPr="005A71E0" w14:paraId="38F4C6A3" w14:textId="77777777" w:rsidTr="0090121B">
        <w:trPr>
          <w:cantSplit/>
        </w:trPr>
        <w:tc>
          <w:tcPr>
            <w:tcW w:w="6911" w:type="dxa"/>
          </w:tcPr>
          <w:p w14:paraId="73C8E6CA" w14:textId="77777777" w:rsidR="000A5B9A" w:rsidRPr="00604F75" w:rsidRDefault="000A5B9A" w:rsidP="004A4AC8">
            <w:pPr>
              <w:spacing w:before="0" w:after="48"/>
              <w:rPr>
                <w:rFonts w:ascii="Verdana" w:hAnsi="Verdana"/>
                <w:b/>
                <w:smallCaps/>
                <w:sz w:val="20"/>
              </w:rPr>
            </w:pPr>
          </w:p>
        </w:tc>
        <w:tc>
          <w:tcPr>
            <w:tcW w:w="3120" w:type="dxa"/>
          </w:tcPr>
          <w:p w14:paraId="7D4AC858" w14:textId="77777777" w:rsidR="000A5B9A" w:rsidRPr="00604F75" w:rsidRDefault="000A5B9A" w:rsidP="004A4AC8">
            <w:pPr>
              <w:spacing w:before="0"/>
              <w:rPr>
                <w:rFonts w:ascii="Verdana" w:hAnsi="Verdana"/>
                <w:b/>
                <w:sz w:val="20"/>
              </w:rPr>
            </w:pPr>
            <w:r w:rsidRPr="00604F75">
              <w:rPr>
                <w:rFonts w:ascii="Verdana" w:hAnsi="Verdana"/>
                <w:b/>
                <w:sz w:val="20"/>
              </w:rPr>
              <w:t>Original: inglés</w:t>
            </w:r>
          </w:p>
        </w:tc>
      </w:tr>
      <w:tr w:rsidR="000A5B9A" w:rsidRPr="005A71E0" w14:paraId="2A24D8E1" w14:textId="77777777" w:rsidTr="006744FC">
        <w:trPr>
          <w:cantSplit/>
        </w:trPr>
        <w:tc>
          <w:tcPr>
            <w:tcW w:w="10031" w:type="dxa"/>
            <w:gridSpan w:val="2"/>
          </w:tcPr>
          <w:p w14:paraId="21753FFF" w14:textId="77777777" w:rsidR="000A5B9A" w:rsidRPr="005A71E0" w:rsidRDefault="000A5B9A" w:rsidP="004A4AC8">
            <w:pPr>
              <w:spacing w:before="0"/>
              <w:rPr>
                <w:rFonts w:ascii="Verdana" w:hAnsi="Verdana"/>
                <w:b/>
                <w:sz w:val="18"/>
                <w:szCs w:val="22"/>
              </w:rPr>
            </w:pPr>
          </w:p>
        </w:tc>
      </w:tr>
      <w:tr w:rsidR="000A5B9A" w:rsidRPr="005A71E0" w14:paraId="52F9F27A" w14:textId="77777777" w:rsidTr="0050008E">
        <w:trPr>
          <w:cantSplit/>
        </w:trPr>
        <w:tc>
          <w:tcPr>
            <w:tcW w:w="10031" w:type="dxa"/>
            <w:gridSpan w:val="2"/>
          </w:tcPr>
          <w:p w14:paraId="62A0EEE7" w14:textId="77777777" w:rsidR="000A5B9A" w:rsidRPr="005A71E0" w:rsidRDefault="000A5B9A" w:rsidP="004A4AC8">
            <w:pPr>
              <w:pStyle w:val="Source"/>
            </w:pPr>
            <w:bookmarkStart w:id="2" w:name="dsource" w:colFirst="0" w:colLast="0"/>
            <w:r w:rsidRPr="005A71E0">
              <w:t>Canadá</w:t>
            </w:r>
          </w:p>
        </w:tc>
      </w:tr>
      <w:tr w:rsidR="000A5B9A" w:rsidRPr="005A71E0" w14:paraId="51AA834E" w14:textId="77777777" w:rsidTr="0050008E">
        <w:trPr>
          <w:cantSplit/>
        </w:trPr>
        <w:tc>
          <w:tcPr>
            <w:tcW w:w="10031" w:type="dxa"/>
            <w:gridSpan w:val="2"/>
          </w:tcPr>
          <w:p w14:paraId="59D81500" w14:textId="77777777" w:rsidR="000A5B9A" w:rsidRPr="005A71E0" w:rsidRDefault="000A5B9A" w:rsidP="004A4AC8">
            <w:pPr>
              <w:pStyle w:val="Title1"/>
            </w:pPr>
            <w:bookmarkStart w:id="3" w:name="dtitle1" w:colFirst="0" w:colLast="0"/>
            <w:bookmarkEnd w:id="2"/>
            <w:r w:rsidRPr="005A71E0">
              <w:t>Propuestas para los trabajos de la Conferencia</w:t>
            </w:r>
          </w:p>
        </w:tc>
      </w:tr>
      <w:tr w:rsidR="000A5B9A" w:rsidRPr="005A71E0" w14:paraId="57DD7854" w14:textId="77777777" w:rsidTr="0050008E">
        <w:trPr>
          <w:cantSplit/>
        </w:trPr>
        <w:tc>
          <w:tcPr>
            <w:tcW w:w="10031" w:type="dxa"/>
            <w:gridSpan w:val="2"/>
          </w:tcPr>
          <w:p w14:paraId="157C2D2B" w14:textId="77777777" w:rsidR="000A5B9A" w:rsidRPr="005A71E0" w:rsidRDefault="000A5B9A" w:rsidP="004A4AC8">
            <w:pPr>
              <w:pStyle w:val="Title2"/>
            </w:pPr>
            <w:bookmarkStart w:id="4" w:name="dtitle2" w:colFirst="0" w:colLast="0"/>
            <w:bookmarkEnd w:id="3"/>
          </w:p>
        </w:tc>
      </w:tr>
      <w:tr w:rsidR="000A5B9A" w:rsidRPr="005A71E0" w14:paraId="3F4E29EC" w14:textId="77777777" w:rsidTr="0050008E">
        <w:trPr>
          <w:cantSplit/>
        </w:trPr>
        <w:tc>
          <w:tcPr>
            <w:tcW w:w="10031" w:type="dxa"/>
            <w:gridSpan w:val="2"/>
          </w:tcPr>
          <w:p w14:paraId="665E00B6" w14:textId="77777777" w:rsidR="000A5B9A" w:rsidRPr="005A71E0" w:rsidRDefault="000A5B9A" w:rsidP="004A4AC8">
            <w:pPr>
              <w:pStyle w:val="Agendaitem"/>
            </w:pPr>
            <w:bookmarkStart w:id="5" w:name="dtitle3" w:colFirst="0" w:colLast="0"/>
            <w:bookmarkEnd w:id="4"/>
            <w:r w:rsidRPr="005A71E0">
              <w:t>Punto 9.2 del orden del día</w:t>
            </w:r>
          </w:p>
        </w:tc>
      </w:tr>
    </w:tbl>
    <w:bookmarkEnd w:id="5"/>
    <w:p w14:paraId="34AB1A7A" w14:textId="2C74A0E6" w:rsidR="001C0E40" w:rsidRPr="005A71E0" w:rsidRDefault="004F3651" w:rsidP="004A4AC8">
      <w:r w:rsidRPr="005A71E0">
        <w:t>9</w:t>
      </w:r>
      <w:r w:rsidRPr="005A71E0">
        <w:tab/>
        <w:t>examinar y aprobar el Informe del Director de la Oficina de Radiocomunicaciones, de conformidad con el Artículo</w:t>
      </w:r>
      <w:r w:rsidR="005A71E0">
        <w:t> </w:t>
      </w:r>
      <w:r w:rsidRPr="005A71E0">
        <w:t>7 del Convenio:</w:t>
      </w:r>
    </w:p>
    <w:p w14:paraId="232388B3" w14:textId="77777777" w:rsidR="001C0E40" w:rsidRPr="005A71E0" w:rsidRDefault="004F3651" w:rsidP="004A4AC8">
      <w:r w:rsidRPr="005A71E0">
        <w:t>9.2</w:t>
      </w:r>
      <w:r w:rsidRPr="005A71E0">
        <w:tab/>
        <w:t>sobre las dificultades o incoherencias observadas en la aplicación del Reglamento de Radiocomunicaciones</w:t>
      </w:r>
      <w:r w:rsidRPr="005A71E0">
        <w:rPr>
          <w:position w:val="6"/>
          <w:sz w:val="18"/>
        </w:rPr>
        <w:footnoteReference w:customMarkFollows="1" w:id="1"/>
        <w:t>*</w:t>
      </w:r>
      <w:r w:rsidRPr="005A71E0">
        <w:t>; y</w:t>
      </w:r>
    </w:p>
    <w:p w14:paraId="770D5AB7" w14:textId="413CD749" w:rsidR="00B564BE" w:rsidRPr="005A71E0" w:rsidRDefault="00B564BE" w:rsidP="004A4AC8">
      <w:r w:rsidRPr="005A71E0">
        <w:t>Canadá reconoce los esfuerzos invertidos por la Oficina de Radiocomunicaciones para identificar y consignar en el Informe del Director a la CMR-1</w:t>
      </w:r>
      <w:r w:rsidR="006804FD" w:rsidRPr="005A71E0">
        <w:t>9</w:t>
      </w:r>
      <w:r w:rsidRPr="005A71E0">
        <w:t xml:space="preserve"> todos los errores, incoherencias o disposiciones obsoletas observados en la aplicación del Reglamento de Radiocomunicaciones, además de los «textos correctos», «posibles correcciones» o «medidas» propuestos por la Oficina.</w:t>
      </w:r>
    </w:p>
    <w:p w14:paraId="565E238D" w14:textId="7475FD68" w:rsidR="00B564BE" w:rsidRPr="005A71E0" w:rsidRDefault="00B564BE" w:rsidP="004A4AC8">
      <w:r w:rsidRPr="005A71E0">
        <w:t>Canadá presenta sus propuestas en relación con varias secciones del Addéndum</w:t>
      </w:r>
      <w:r w:rsidR="00BB1B0B">
        <w:t> </w:t>
      </w:r>
      <w:r w:rsidRPr="005A71E0">
        <w:t>2 al Documento</w:t>
      </w:r>
      <w:r w:rsidR="00BB1B0B">
        <w:t> </w:t>
      </w:r>
      <w:r w:rsidRPr="005A71E0">
        <w:t>4. Téngase en cuenta que, en algunos casos, pueden presentarse propuestas o medidas adicionales para resolver un determinado error o incoherencia.</w:t>
      </w:r>
    </w:p>
    <w:p w14:paraId="253FEE5B" w14:textId="1B0056C4" w:rsidR="00363A65" w:rsidRPr="005A71E0" w:rsidRDefault="00363A65" w:rsidP="004A4AC8"/>
    <w:p w14:paraId="20A7DCCC" w14:textId="77777777" w:rsidR="008750A8" w:rsidRPr="005A71E0" w:rsidRDefault="008750A8" w:rsidP="004A4AC8">
      <w:pPr>
        <w:tabs>
          <w:tab w:val="clear" w:pos="1134"/>
          <w:tab w:val="clear" w:pos="1871"/>
          <w:tab w:val="clear" w:pos="2268"/>
        </w:tabs>
        <w:overflowPunct/>
        <w:autoSpaceDE/>
        <w:autoSpaceDN/>
        <w:adjustRightInd/>
        <w:spacing w:before="0"/>
        <w:textAlignment w:val="auto"/>
      </w:pPr>
      <w:r w:rsidRPr="005A71E0">
        <w:br w:type="page"/>
      </w:r>
    </w:p>
    <w:p w14:paraId="62CE3960" w14:textId="77777777" w:rsidR="00392B76" w:rsidRPr="005A71E0" w:rsidRDefault="004F3651" w:rsidP="004A4AC8">
      <w:pPr>
        <w:pStyle w:val="Proposal"/>
      </w:pPr>
      <w:r w:rsidRPr="005A71E0">
        <w:lastRenderedPageBreak/>
        <w:tab/>
        <w:t>CAN/14A22/1</w:t>
      </w:r>
    </w:p>
    <w:p w14:paraId="4BFD4E65" w14:textId="17C26D67" w:rsidR="007E2E00" w:rsidRPr="005A71E0" w:rsidRDefault="00E670C7" w:rsidP="004A4AC8">
      <w:r w:rsidRPr="005A71E0">
        <w:t>Con respecto a la sección</w:t>
      </w:r>
      <w:r w:rsidR="007E2E00" w:rsidRPr="005A71E0">
        <w:t xml:space="preserve"> 3.1.2.1 </w:t>
      </w:r>
      <w:r w:rsidRPr="005A71E0">
        <w:t>del Addéndum 2 al Documento 4</w:t>
      </w:r>
      <w:r w:rsidR="007E2E00" w:rsidRPr="005A71E0">
        <w:t xml:space="preserve">, </w:t>
      </w:r>
      <w:r w:rsidRPr="005A71E0">
        <w:t>Canadá</w:t>
      </w:r>
      <w:r w:rsidR="007E2E00" w:rsidRPr="005A71E0">
        <w:t xml:space="preserve"> </w:t>
      </w:r>
      <w:r w:rsidRPr="005A71E0">
        <w:t xml:space="preserve">apoyaría la elaboración de una </w:t>
      </w:r>
      <w:r w:rsidR="002D2AAE" w:rsidRPr="005A71E0">
        <w:t>R</w:t>
      </w:r>
      <w:r w:rsidRPr="005A71E0">
        <w:t xml:space="preserve">egla de </w:t>
      </w:r>
      <w:r w:rsidR="002D2AAE" w:rsidRPr="005A71E0">
        <w:t>P</w:t>
      </w:r>
      <w:r w:rsidRPr="005A71E0">
        <w:t xml:space="preserve">rocedimiento </w:t>
      </w:r>
      <w:r w:rsidR="002D2AAE" w:rsidRPr="005A71E0">
        <w:t>con el objeto</w:t>
      </w:r>
      <w:r w:rsidRPr="005A71E0">
        <w:t xml:space="preserve"> de establecer los requisitos de coordinación oportunos para los enlaces espacio-espacio en el servicio de radionavegación por satélite.</w:t>
      </w:r>
    </w:p>
    <w:p w14:paraId="5DDA3E46" w14:textId="77777777" w:rsidR="00392B76" w:rsidRPr="005A71E0" w:rsidRDefault="00392B76" w:rsidP="004A4AC8">
      <w:pPr>
        <w:pStyle w:val="Reasons"/>
      </w:pPr>
    </w:p>
    <w:p w14:paraId="1893F89F" w14:textId="77777777" w:rsidR="00392B76" w:rsidRPr="005A71E0" w:rsidRDefault="004F3651" w:rsidP="004A4AC8">
      <w:pPr>
        <w:pStyle w:val="Proposal"/>
      </w:pPr>
      <w:r w:rsidRPr="005A71E0">
        <w:tab/>
        <w:t>CAN/14A22/2</w:t>
      </w:r>
    </w:p>
    <w:p w14:paraId="7FB5A288" w14:textId="00A3EC5E" w:rsidR="00392B76" w:rsidRPr="005A71E0" w:rsidRDefault="000669EC" w:rsidP="004A4AC8">
      <w:r w:rsidRPr="005A71E0">
        <w:t>Por lo que se refiere a la sección</w:t>
      </w:r>
      <w:r w:rsidR="007E2E00" w:rsidRPr="005A71E0">
        <w:t xml:space="preserve"> 3.1.2.4 </w:t>
      </w:r>
      <w:r w:rsidRPr="005A71E0">
        <w:t>del Addéndum</w:t>
      </w:r>
      <w:r w:rsidR="004A4AC8" w:rsidRPr="005A71E0">
        <w:t> </w:t>
      </w:r>
      <w:r w:rsidRPr="005A71E0">
        <w:t>2 al Documento</w:t>
      </w:r>
      <w:r w:rsidR="004A4AC8" w:rsidRPr="005A71E0">
        <w:t> </w:t>
      </w:r>
      <w:r w:rsidRPr="005A71E0">
        <w:t xml:space="preserve">4, </w:t>
      </w:r>
      <w:r w:rsidR="00F450BD" w:rsidRPr="005A71E0">
        <w:t>Canadá</w:t>
      </w:r>
      <w:r w:rsidRPr="005A71E0">
        <w:t xml:space="preserve"> toma nota de las observaciones de la Oficina sobre las peticiones de coordinación para la utilización</w:t>
      </w:r>
      <w:r w:rsidR="007E2E00" w:rsidRPr="005A71E0">
        <w:t xml:space="preserve"> </w:t>
      </w:r>
      <w:r w:rsidRPr="005A71E0">
        <w:t xml:space="preserve">de la atribución secundaria al servicio de investigación espacial (Tierra-espacio) con parámetros distintos de los anteriormente registrados para este servicio en las bandas </w:t>
      </w:r>
      <w:r w:rsidR="001428F8" w:rsidRPr="005A71E0">
        <w:t>que son objeto de</w:t>
      </w:r>
      <w:r w:rsidRPr="005A71E0">
        <w:t xml:space="preserve"> las Resoluciones </w:t>
      </w:r>
      <w:r w:rsidR="001428F8" w:rsidRPr="005A71E0">
        <w:rPr>
          <w:b/>
          <w:bCs/>
        </w:rPr>
        <w:t>163</w:t>
      </w:r>
      <w:r w:rsidR="004A4AC8" w:rsidRPr="005A71E0">
        <w:rPr>
          <w:b/>
          <w:bCs/>
        </w:rPr>
        <w:t xml:space="preserve"> </w:t>
      </w:r>
      <w:r w:rsidR="001428F8" w:rsidRPr="005A71E0">
        <w:rPr>
          <w:b/>
          <w:bCs/>
        </w:rPr>
        <w:t>(CMR-15)</w:t>
      </w:r>
      <w:r w:rsidR="001428F8" w:rsidRPr="005A71E0">
        <w:t xml:space="preserve"> y </w:t>
      </w:r>
      <w:r w:rsidR="001428F8" w:rsidRPr="005A71E0">
        <w:rPr>
          <w:b/>
          <w:bCs/>
        </w:rPr>
        <w:t>164 (CMR-15)</w:t>
      </w:r>
      <w:r w:rsidR="001428F8" w:rsidRPr="005A71E0">
        <w:t>. Canadá comparte también la opinión de la Oficina de que esta evolución de los parámetros técnicos del servicio de investigación esp</w:t>
      </w:r>
      <w:r w:rsidR="00BB1B0B">
        <w:t>a</w:t>
      </w:r>
      <w:r w:rsidR="001428F8" w:rsidRPr="005A71E0">
        <w:t>cial puede afectar al entorno de compartición de la banda 14,5-14,8</w:t>
      </w:r>
      <w:r w:rsidR="004A4AC8" w:rsidRPr="005A71E0">
        <w:t> </w:t>
      </w:r>
      <w:r w:rsidR="001428F8" w:rsidRPr="005A71E0">
        <w:t>GHz, y de que esta situación debe ser estudiada más detenidamente en el UIT-R.</w:t>
      </w:r>
    </w:p>
    <w:p w14:paraId="76293324" w14:textId="77777777" w:rsidR="00392B76" w:rsidRPr="005A71E0" w:rsidRDefault="00392B76" w:rsidP="004A4AC8">
      <w:pPr>
        <w:pStyle w:val="Reasons"/>
      </w:pPr>
    </w:p>
    <w:p w14:paraId="259BD01C" w14:textId="77777777" w:rsidR="00392B76" w:rsidRPr="005A71E0" w:rsidRDefault="004F3651" w:rsidP="004A4AC8">
      <w:pPr>
        <w:pStyle w:val="Proposal"/>
      </w:pPr>
      <w:r w:rsidRPr="005A71E0">
        <w:tab/>
        <w:t>CAN/14A22/3</w:t>
      </w:r>
    </w:p>
    <w:p w14:paraId="658B8887" w14:textId="34CF2B0C" w:rsidR="00392B76" w:rsidRPr="005A71E0" w:rsidRDefault="001428F8" w:rsidP="004A4AC8">
      <w:r w:rsidRPr="005A71E0">
        <w:t>En relación con la sección 3.1.3.2</w:t>
      </w:r>
      <w:r w:rsidRPr="005A71E0">
        <w:rPr>
          <w:i/>
          <w:iCs/>
        </w:rPr>
        <w:t>bis</w:t>
      </w:r>
      <w:r w:rsidRPr="005A71E0">
        <w:t xml:space="preserve"> del Addéndum</w:t>
      </w:r>
      <w:r w:rsidR="004A4AC8" w:rsidRPr="005A71E0">
        <w:t> </w:t>
      </w:r>
      <w:r w:rsidRPr="005A71E0">
        <w:t>2 al Documento</w:t>
      </w:r>
      <w:r w:rsidR="004A4AC8" w:rsidRPr="005A71E0">
        <w:t> </w:t>
      </w:r>
      <w:r w:rsidRPr="005A71E0">
        <w:t>4,</w:t>
      </w:r>
      <w:r w:rsidR="007E2E00" w:rsidRPr="005A71E0">
        <w:t xml:space="preserve"> </w:t>
      </w:r>
      <w:r w:rsidR="00F450BD" w:rsidRPr="005A71E0">
        <w:t>Canadá</w:t>
      </w:r>
      <w:r w:rsidRPr="005A71E0">
        <w:t xml:space="preserve"> apoya la </w:t>
      </w:r>
      <w:r w:rsidR="004C0648" w:rsidRPr="005A71E0">
        <w:t>propuesta</w:t>
      </w:r>
      <w:r w:rsidRPr="005A71E0">
        <w:t xml:space="preserve"> de la Oficina de que l</w:t>
      </w:r>
      <w:r w:rsidR="007E2E00" w:rsidRPr="005A71E0">
        <w:t xml:space="preserve">a Conferencia </w:t>
      </w:r>
      <w:r w:rsidR="004C0648" w:rsidRPr="005A71E0">
        <w:t>estudie</w:t>
      </w:r>
      <w:r w:rsidRPr="005A71E0">
        <w:t xml:space="preserve"> la posibilidad de</w:t>
      </w:r>
      <w:r w:rsidR="007E2E00" w:rsidRPr="005A71E0">
        <w:t xml:space="preserve"> añadir al número</w:t>
      </w:r>
      <w:r w:rsidR="004A4AC8" w:rsidRPr="005A71E0">
        <w:t> </w:t>
      </w:r>
      <w:r w:rsidR="007E2E00" w:rsidRPr="005A71E0">
        <w:rPr>
          <w:b/>
          <w:bCs/>
        </w:rPr>
        <w:t>9.2</w:t>
      </w:r>
      <w:r w:rsidR="007E2E00" w:rsidRPr="005A71E0">
        <w:t xml:space="preserve"> </w:t>
      </w:r>
      <w:r w:rsidRPr="005A71E0">
        <w:t xml:space="preserve">del Reglamento de Radiocomunicaciones (RR) </w:t>
      </w:r>
      <w:r w:rsidR="007E2E00" w:rsidRPr="005A71E0">
        <w:t>una nota que indique que, para redes de satélites geoestacionarios con enlaces entre satélites que operan con estaciones espaciales no geoestacionarias no sujetas al procedimiento de coordinación de la Sección II del Artículo</w:t>
      </w:r>
      <w:r w:rsidR="004A4AC8" w:rsidRPr="005A71E0">
        <w:t> </w:t>
      </w:r>
      <w:r w:rsidR="007E2E00" w:rsidRPr="005A71E0">
        <w:rPr>
          <w:b/>
          <w:bCs/>
        </w:rPr>
        <w:t>9</w:t>
      </w:r>
      <w:r w:rsidR="007E2E00" w:rsidRPr="005A71E0">
        <w:t>, las características que se habrán de comunicar para la publicación anticipada en la BR IFIC serán las mismas que para la coordinación de redes de satélites geoestacionarios.</w:t>
      </w:r>
    </w:p>
    <w:p w14:paraId="35019263" w14:textId="77777777" w:rsidR="00392B76" w:rsidRPr="005A71E0" w:rsidRDefault="00392B76" w:rsidP="004A4AC8">
      <w:pPr>
        <w:pStyle w:val="Reasons"/>
      </w:pPr>
    </w:p>
    <w:p w14:paraId="1859B6A9" w14:textId="77777777" w:rsidR="00392B76" w:rsidRPr="005A71E0" w:rsidRDefault="004F3651" w:rsidP="004A4AC8">
      <w:pPr>
        <w:pStyle w:val="Proposal"/>
      </w:pPr>
      <w:r w:rsidRPr="005A71E0">
        <w:tab/>
        <w:t>CAN/14A22/4</w:t>
      </w:r>
    </w:p>
    <w:p w14:paraId="44C12AF1" w14:textId="42F4EF04" w:rsidR="00392B76" w:rsidRPr="005A71E0" w:rsidRDefault="004C0648" w:rsidP="004A4AC8">
      <w:r w:rsidRPr="005A71E0">
        <w:t>En</w:t>
      </w:r>
      <w:r w:rsidR="001428F8" w:rsidRPr="005A71E0">
        <w:t xml:space="preserve"> la sección</w:t>
      </w:r>
      <w:r w:rsidR="004A4AC8" w:rsidRPr="005A71E0">
        <w:t> </w:t>
      </w:r>
      <w:r w:rsidR="007E2E00" w:rsidRPr="005A71E0">
        <w:t>3.1.4.2.2</w:t>
      </w:r>
      <w:r w:rsidR="001428F8" w:rsidRPr="005A71E0">
        <w:t xml:space="preserve"> del Addéndum</w:t>
      </w:r>
      <w:r w:rsidR="004A4AC8" w:rsidRPr="005A71E0">
        <w:t> </w:t>
      </w:r>
      <w:r w:rsidR="001428F8" w:rsidRPr="005A71E0">
        <w:t>2 al Documento 4</w:t>
      </w:r>
      <w:r w:rsidR="007E2E00" w:rsidRPr="005A71E0">
        <w:t xml:space="preserve">, </w:t>
      </w:r>
      <w:r w:rsidR="00F450BD" w:rsidRPr="005A71E0">
        <w:t>Canadá</w:t>
      </w:r>
      <w:r w:rsidR="007E2E00" w:rsidRPr="005A71E0">
        <w:t xml:space="preserve"> </w:t>
      </w:r>
      <w:r w:rsidR="001428F8" w:rsidRPr="005A71E0">
        <w:t xml:space="preserve">apoya las medidas identificadas por la Oficina </w:t>
      </w:r>
      <w:r w:rsidR="008F04E4" w:rsidRPr="005A71E0">
        <w:t>para velar por la transparencia y exactitud en cuanto al</w:t>
      </w:r>
      <w:r w:rsidR="007E2E00" w:rsidRPr="005A71E0">
        <w:t xml:space="preserve"> </w:t>
      </w:r>
      <w:r w:rsidR="008F04E4" w:rsidRPr="005A71E0">
        <w:t>estado de coordinación con arreglo al número</w:t>
      </w:r>
      <w:r w:rsidR="004A4AC8" w:rsidRPr="005A71E0">
        <w:t> </w:t>
      </w:r>
      <w:r w:rsidR="008F04E4" w:rsidRPr="005A71E0">
        <w:rPr>
          <w:b/>
          <w:bCs/>
        </w:rPr>
        <w:t>9.7</w:t>
      </w:r>
      <w:r w:rsidR="008F04E4" w:rsidRPr="005A71E0">
        <w:t xml:space="preserve"> del RR con respecto a las redes de satélite a nivel de notificación para su examen con arreglo al número</w:t>
      </w:r>
      <w:r w:rsidR="004A4AC8" w:rsidRPr="005A71E0">
        <w:t> </w:t>
      </w:r>
      <w:r w:rsidR="008F04E4" w:rsidRPr="005A71E0">
        <w:rPr>
          <w:b/>
          <w:bCs/>
        </w:rPr>
        <w:t>11.32A</w:t>
      </w:r>
      <w:r w:rsidR="008F04E4" w:rsidRPr="005A71E0">
        <w:t xml:space="preserve"> del RR</w:t>
      </w:r>
      <w:r w:rsidR="007E2E00" w:rsidRPr="005A71E0">
        <w:t>.</w:t>
      </w:r>
    </w:p>
    <w:p w14:paraId="41992635" w14:textId="77777777" w:rsidR="00392B76" w:rsidRPr="005A71E0" w:rsidRDefault="00392B76" w:rsidP="004A4AC8">
      <w:pPr>
        <w:pStyle w:val="Reasons"/>
      </w:pPr>
    </w:p>
    <w:p w14:paraId="2B5BA41C" w14:textId="77777777" w:rsidR="00392B76" w:rsidRPr="005A71E0" w:rsidRDefault="004F3651" w:rsidP="004A4AC8">
      <w:pPr>
        <w:pStyle w:val="Proposal"/>
      </w:pPr>
      <w:r w:rsidRPr="005A71E0">
        <w:tab/>
        <w:t>CAN/14A22/5</w:t>
      </w:r>
    </w:p>
    <w:p w14:paraId="041D46A6" w14:textId="2D85CE26" w:rsidR="00392B76" w:rsidRPr="005A71E0" w:rsidRDefault="008F04E4" w:rsidP="004A4AC8">
      <w:r w:rsidRPr="005A71E0">
        <w:t>Con respecto a la sección</w:t>
      </w:r>
      <w:r w:rsidR="004A4AC8" w:rsidRPr="005A71E0">
        <w:t> </w:t>
      </w:r>
      <w:r w:rsidR="007E2E00" w:rsidRPr="005A71E0">
        <w:t xml:space="preserve">3.1.4.3 </w:t>
      </w:r>
      <w:r w:rsidRPr="005A71E0">
        <w:t>del Addéndum</w:t>
      </w:r>
      <w:r w:rsidR="004A4AC8" w:rsidRPr="005A71E0">
        <w:t> </w:t>
      </w:r>
      <w:r w:rsidRPr="005A71E0">
        <w:t>2 al Documento</w:t>
      </w:r>
      <w:r w:rsidR="004A4AC8" w:rsidRPr="005A71E0">
        <w:t> </w:t>
      </w:r>
      <w:r w:rsidRPr="005A71E0">
        <w:t xml:space="preserve">4, </w:t>
      </w:r>
      <w:r w:rsidR="00F450BD" w:rsidRPr="005A71E0">
        <w:t>Canadá</w:t>
      </w:r>
      <w:r w:rsidRPr="005A71E0">
        <w:t xml:space="preserve"> apoya la opción</w:t>
      </w:r>
      <w:r w:rsidR="004A4AC8" w:rsidRPr="005A71E0">
        <w:t> </w:t>
      </w:r>
      <w:r w:rsidR="007E2E00" w:rsidRPr="005A71E0">
        <w:t>2</w:t>
      </w:r>
      <w:r w:rsidRPr="005A71E0">
        <w:t xml:space="preserve"> que sugiere la Oficina, a saber, la prórroga automática de las fechas de puesta en servicio previstas en la base de datos hasta el final del periodo reglamentario determinado en el número</w:t>
      </w:r>
      <w:r w:rsidR="004A4AC8" w:rsidRPr="005A71E0">
        <w:t> </w:t>
      </w:r>
      <w:r w:rsidRPr="005A71E0">
        <w:rPr>
          <w:b/>
          <w:bCs/>
        </w:rPr>
        <w:t>11.44</w:t>
      </w:r>
      <w:r w:rsidRPr="005A71E0">
        <w:t xml:space="preserve"> </w:t>
      </w:r>
      <w:r w:rsidR="00E2431D">
        <w:t xml:space="preserve">del RR </w:t>
      </w:r>
      <w:r w:rsidRPr="005A71E0">
        <w:t>si la Oficina no recibe confirmación durante los cuatro meses anteriores a la fecha prevista de puesta en servicio: no se publicará esta revisión de la fecha de puesta en servicio, pero la información podrá consultarse en el sitio web de la BR. Esta opción no exige modificación alguna del Reglamento de Radiocomunicaciones.</w:t>
      </w:r>
    </w:p>
    <w:p w14:paraId="0C2AB18B" w14:textId="77777777" w:rsidR="004A4AC8" w:rsidRPr="005A71E0" w:rsidRDefault="004A4AC8" w:rsidP="004A4AC8">
      <w:pPr>
        <w:pStyle w:val="Reasons"/>
      </w:pPr>
    </w:p>
    <w:p w14:paraId="722C06DF" w14:textId="77777777" w:rsidR="00392B76" w:rsidRPr="005A71E0" w:rsidRDefault="004F3651" w:rsidP="004A4AC8">
      <w:pPr>
        <w:pStyle w:val="Proposal"/>
      </w:pPr>
      <w:r w:rsidRPr="005A71E0">
        <w:lastRenderedPageBreak/>
        <w:tab/>
        <w:t>CAN/14A22/6</w:t>
      </w:r>
    </w:p>
    <w:p w14:paraId="1E109E89" w14:textId="4C28C6BA" w:rsidR="00392B76" w:rsidRPr="005A71E0" w:rsidRDefault="00A6026B" w:rsidP="004A4AC8">
      <w:r w:rsidRPr="005A71E0">
        <w:t>En cuanto a la sección</w:t>
      </w:r>
      <w:r w:rsidR="004A4AC8" w:rsidRPr="005A71E0">
        <w:t> </w:t>
      </w:r>
      <w:r w:rsidR="0007328A" w:rsidRPr="005A71E0">
        <w:t xml:space="preserve">3.1.5 </w:t>
      </w:r>
      <w:r w:rsidRPr="005A71E0">
        <w:t>del Addéndum</w:t>
      </w:r>
      <w:r w:rsidR="004A4AC8" w:rsidRPr="005A71E0">
        <w:t> </w:t>
      </w:r>
      <w:r w:rsidRPr="005A71E0">
        <w:t>2 al Documento</w:t>
      </w:r>
      <w:r w:rsidR="004A4AC8" w:rsidRPr="005A71E0">
        <w:t> </w:t>
      </w:r>
      <w:r w:rsidRPr="005A71E0">
        <w:t xml:space="preserve">4, </w:t>
      </w:r>
      <w:r w:rsidR="00F450BD" w:rsidRPr="005A71E0">
        <w:t>Canadá</w:t>
      </w:r>
      <w:r w:rsidRPr="005A71E0">
        <w:t xml:space="preserve"> apoya las propuestas de modificación del Anexo</w:t>
      </w:r>
      <w:r w:rsidR="004A4AC8" w:rsidRPr="005A71E0">
        <w:t> </w:t>
      </w:r>
      <w:r w:rsidRPr="005A71E0">
        <w:t>1 de la Recomendación</w:t>
      </w:r>
      <w:r w:rsidR="0007328A" w:rsidRPr="005A71E0">
        <w:t xml:space="preserve"> </w:t>
      </w:r>
      <w:r w:rsidRPr="005A71E0">
        <w:t>UIT</w:t>
      </w:r>
      <w:r w:rsidR="0007328A" w:rsidRPr="005A71E0">
        <w:t>-R</w:t>
      </w:r>
      <w:r w:rsidR="005D33F2" w:rsidRPr="005A71E0">
        <w:t> </w:t>
      </w:r>
      <w:r w:rsidR="0007328A" w:rsidRPr="005A71E0">
        <w:t>M.585-7</w:t>
      </w:r>
      <w:r w:rsidR="000E53CF" w:rsidRPr="005A71E0">
        <w:t xml:space="preserve">. Además, </w:t>
      </w:r>
      <w:r w:rsidR="00F450BD" w:rsidRPr="005A71E0">
        <w:t>Canadá</w:t>
      </w:r>
      <w:r w:rsidR="000E53CF" w:rsidRPr="005A71E0">
        <w:t xml:space="preserve"> apoyaría las propuestas de modificación de los números</w:t>
      </w:r>
      <w:r w:rsidR="004A4AC8" w:rsidRPr="005A71E0">
        <w:t> </w:t>
      </w:r>
      <w:r w:rsidR="0007328A" w:rsidRPr="005A71E0">
        <w:rPr>
          <w:b/>
        </w:rPr>
        <w:t>19.36</w:t>
      </w:r>
      <w:r w:rsidR="0007328A" w:rsidRPr="005A71E0">
        <w:t xml:space="preserve"> </w:t>
      </w:r>
      <w:r w:rsidR="000E53CF" w:rsidRPr="005A71E0">
        <w:t>y</w:t>
      </w:r>
      <w:r w:rsidR="004A4AC8" w:rsidRPr="005A71E0">
        <w:t> </w:t>
      </w:r>
      <w:r w:rsidR="0007328A" w:rsidRPr="005A71E0">
        <w:rPr>
          <w:b/>
        </w:rPr>
        <w:t>19.114</w:t>
      </w:r>
      <w:r w:rsidR="0007328A" w:rsidRPr="005A71E0">
        <w:t xml:space="preserve"> </w:t>
      </w:r>
      <w:r w:rsidR="000E53CF" w:rsidRPr="005A71E0">
        <w:t>del RR, tal como sugiere la Oficina</w:t>
      </w:r>
      <w:r w:rsidR="0007328A" w:rsidRPr="005A71E0">
        <w:t>.</w:t>
      </w:r>
    </w:p>
    <w:p w14:paraId="7E9EBB9E" w14:textId="77777777" w:rsidR="00392B76" w:rsidRPr="005A71E0" w:rsidRDefault="00392B76" w:rsidP="004A4AC8">
      <w:pPr>
        <w:pStyle w:val="Reasons"/>
      </w:pPr>
    </w:p>
    <w:p w14:paraId="2A90920A" w14:textId="77777777" w:rsidR="00392B76" w:rsidRPr="005A71E0" w:rsidRDefault="004F3651" w:rsidP="004A4AC8">
      <w:pPr>
        <w:pStyle w:val="Proposal"/>
      </w:pPr>
      <w:r w:rsidRPr="005A71E0">
        <w:tab/>
        <w:t>CAN/14A22/7</w:t>
      </w:r>
    </w:p>
    <w:p w14:paraId="073F4401" w14:textId="59A5DC03" w:rsidR="00392B76" w:rsidRPr="005A71E0" w:rsidRDefault="0030419A" w:rsidP="004A4AC8">
      <w:r w:rsidRPr="005A71E0">
        <w:t>En la sección</w:t>
      </w:r>
      <w:r w:rsidR="005D33F2" w:rsidRPr="005A71E0">
        <w:t> </w:t>
      </w:r>
      <w:r w:rsidR="0007328A" w:rsidRPr="005A71E0">
        <w:t xml:space="preserve">3.1.7.2 </w:t>
      </w:r>
      <w:r w:rsidRPr="005A71E0">
        <w:t>del Addéndum</w:t>
      </w:r>
      <w:r w:rsidR="005D33F2" w:rsidRPr="005A71E0">
        <w:t> </w:t>
      </w:r>
      <w:r w:rsidRPr="005A71E0">
        <w:t>2 al Documento</w:t>
      </w:r>
      <w:r w:rsidR="005D33F2" w:rsidRPr="005A71E0">
        <w:t> </w:t>
      </w:r>
      <w:r w:rsidRPr="005A71E0">
        <w:t xml:space="preserve">4, </w:t>
      </w:r>
      <w:r w:rsidR="00F450BD" w:rsidRPr="005A71E0">
        <w:t>Canadá</w:t>
      </w:r>
      <w:r w:rsidRPr="005A71E0">
        <w:t xml:space="preserve"> toma nota de las conclusiones de la Oficina y apoya la sugerencia de invitar al UIT-R a estudiar la adecuación de las ecuaciones del número</w:t>
      </w:r>
      <w:r w:rsidR="005D33F2" w:rsidRPr="005A71E0">
        <w:t> </w:t>
      </w:r>
      <w:r w:rsidRPr="005A71E0">
        <w:rPr>
          <w:b/>
          <w:bCs/>
        </w:rPr>
        <w:t>21.16.6</w:t>
      </w:r>
      <w:r w:rsidRPr="005A71E0">
        <w:t xml:space="preserve"> del RR para sistemas de satélites no OSG con más de</w:t>
      </w:r>
      <w:r w:rsidR="005D33F2" w:rsidRPr="005A71E0">
        <w:t xml:space="preserve"> </w:t>
      </w:r>
      <w:r w:rsidRPr="005A71E0">
        <w:t>1 000 satélites.</w:t>
      </w:r>
    </w:p>
    <w:p w14:paraId="2120A0F3" w14:textId="77777777" w:rsidR="00392B76" w:rsidRPr="005A71E0" w:rsidRDefault="00392B76" w:rsidP="004A4AC8">
      <w:pPr>
        <w:pStyle w:val="Reasons"/>
      </w:pPr>
    </w:p>
    <w:p w14:paraId="7BCB41CC" w14:textId="77777777" w:rsidR="00392B76" w:rsidRPr="005A71E0" w:rsidRDefault="004F3651" w:rsidP="004A4AC8">
      <w:pPr>
        <w:pStyle w:val="Proposal"/>
      </w:pPr>
      <w:r w:rsidRPr="005A71E0">
        <w:tab/>
        <w:t>CAN/14A22/8</w:t>
      </w:r>
    </w:p>
    <w:p w14:paraId="3FA81FCD" w14:textId="50579DD3" w:rsidR="00392B76" w:rsidRPr="005A71E0" w:rsidRDefault="004C0648" w:rsidP="004A4AC8">
      <w:r w:rsidRPr="005A71E0">
        <w:t>En lo que concierne</w:t>
      </w:r>
      <w:r w:rsidR="003F16E3" w:rsidRPr="005A71E0">
        <w:t xml:space="preserve"> a la sección</w:t>
      </w:r>
      <w:r w:rsidR="005D33F2" w:rsidRPr="005A71E0">
        <w:t> </w:t>
      </w:r>
      <w:r w:rsidR="0007328A" w:rsidRPr="005A71E0">
        <w:t xml:space="preserve">3.2.4.1 </w:t>
      </w:r>
      <w:r w:rsidR="003F16E3" w:rsidRPr="005A71E0">
        <w:t>del Addéndum</w:t>
      </w:r>
      <w:r w:rsidR="005D33F2" w:rsidRPr="005A71E0">
        <w:t> </w:t>
      </w:r>
      <w:r w:rsidR="003F16E3" w:rsidRPr="005A71E0">
        <w:t>2 al Documento</w:t>
      </w:r>
      <w:r w:rsidR="005D33F2" w:rsidRPr="005A71E0">
        <w:t> </w:t>
      </w:r>
      <w:r w:rsidR="003F16E3" w:rsidRPr="005A71E0">
        <w:t xml:space="preserve">4, </w:t>
      </w:r>
      <w:r w:rsidR="00F450BD" w:rsidRPr="005A71E0">
        <w:t>Canadá</w:t>
      </w:r>
      <w:r w:rsidR="003F16E3" w:rsidRPr="005A71E0">
        <w:t xml:space="preserve"> apoya la propuesta de la Oficina de revisar el texto del</w:t>
      </w:r>
      <w:r w:rsidR="0007328A" w:rsidRPr="005A71E0">
        <w:t xml:space="preserve"> §§</w:t>
      </w:r>
      <w:r w:rsidR="005D33F2" w:rsidRPr="005A71E0">
        <w:t> </w:t>
      </w:r>
      <w:r w:rsidR="0007328A" w:rsidRPr="005A71E0">
        <w:t xml:space="preserve">4.1.16/4.2.20 </w:t>
      </w:r>
      <w:r w:rsidR="003F16E3" w:rsidRPr="005A71E0">
        <w:t>de los Apéndices</w:t>
      </w:r>
      <w:r w:rsidR="005D33F2" w:rsidRPr="005A71E0">
        <w:t> </w:t>
      </w:r>
      <w:r w:rsidR="0007328A" w:rsidRPr="005A71E0">
        <w:rPr>
          <w:b/>
          <w:bCs/>
        </w:rPr>
        <w:t>30</w:t>
      </w:r>
      <w:r w:rsidR="0007328A" w:rsidRPr="005A71E0">
        <w:t xml:space="preserve"> </w:t>
      </w:r>
      <w:r w:rsidR="003F16E3" w:rsidRPr="005A71E0">
        <w:t>y</w:t>
      </w:r>
      <w:r w:rsidR="005D33F2" w:rsidRPr="005A71E0">
        <w:t> </w:t>
      </w:r>
      <w:r w:rsidR="0007328A" w:rsidRPr="005A71E0">
        <w:rPr>
          <w:b/>
          <w:bCs/>
        </w:rPr>
        <w:t>30A</w:t>
      </w:r>
      <w:r w:rsidR="0007328A" w:rsidRPr="005A71E0">
        <w:t xml:space="preserve"> </w:t>
      </w:r>
      <w:r w:rsidR="003F16E3" w:rsidRPr="005A71E0">
        <w:t xml:space="preserve">del RR para convertir en obligatorios los esfuerzos para llegar a un acuerdo antes de solicitar la aplicación del </w:t>
      </w:r>
      <w:r w:rsidR="0007328A" w:rsidRPr="005A71E0">
        <w:t>§</w:t>
      </w:r>
      <w:r w:rsidR="005D33F2" w:rsidRPr="005A71E0">
        <w:t> </w:t>
      </w:r>
      <w:r w:rsidR="0007328A" w:rsidRPr="005A71E0">
        <w:t>4.1.18.</w:t>
      </w:r>
    </w:p>
    <w:p w14:paraId="2FD8DC82" w14:textId="77777777" w:rsidR="00392B76" w:rsidRPr="005A71E0" w:rsidRDefault="00392B76" w:rsidP="004A4AC8">
      <w:pPr>
        <w:pStyle w:val="Reasons"/>
      </w:pPr>
    </w:p>
    <w:p w14:paraId="2D902352" w14:textId="77777777" w:rsidR="00392B76" w:rsidRPr="005A71E0" w:rsidRDefault="004F3651" w:rsidP="004A4AC8">
      <w:pPr>
        <w:pStyle w:val="Proposal"/>
      </w:pPr>
      <w:r w:rsidRPr="005A71E0">
        <w:tab/>
        <w:t>CAN/14A22/9</w:t>
      </w:r>
    </w:p>
    <w:p w14:paraId="0DA7CE32" w14:textId="710C6CC5" w:rsidR="00392B76" w:rsidRPr="005A71E0" w:rsidRDefault="004C0648" w:rsidP="004A4AC8">
      <w:r w:rsidRPr="005A71E0">
        <w:t>Con respecto a</w:t>
      </w:r>
      <w:r w:rsidR="003F16E3" w:rsidRPr="005A71E0">
        <w:t xml:space="preserve"> la sección</w:t>
      </w:r>
      <w:r w:rsidR="005D33F2" w:rsidRPr="005A71E0">
        <w:t> </w:t>
      </w:r>
      <w:r w:rsidR="0007328A" w:rsidRPr="005A71E0">
        <w:t xml:space="preserve">3.2.4.2 </w:t>
      </w:r>
      <w:r w:rsidR="003F16E3" w:rsidRPr="005A71E0">
        <w:t>del Addéndum</w:t>
      </w:r>
      <w:r w:rsidR="005D33F2" w:rsidRPr="005A71E0">
        <w:t xml:space="preserve"> </w:t>
      </w:r>
      <w:r w:rsidR="003F16E3" w:rsidRPr="005A71E0">
        <w:t>2 al Documento</w:t>
      </w:r>
      <w:r w:rsidR="005D33F2" w:rsidRPr="005A71E0">
        <w:t> </w:t>
      </w:r>
      <w:r w:rsidR="003F16E3" w:rsidRPr="005A71E0">
        <w:t xml:space="preserve">4, </w:t>
      </w:r>
      <w:r w:rsidR="00F450BD" w:rsidRPr="005A71E0">
        <w:t>Canadá</w:t>
      </w:r>
      <w:r w:rsidR="003F16E3" w:rsidRPr="005A71E0">
        <w:t xml:space="preserve"> apoya la propuesta de la Oficina de añadir una nota al</w:t>
      </w:r>
      <w:r w:rsidR="0007328A" w:rsidRPr="005A71E0">
        <w:t xml:space="preserve"> </w:t>
      </w:r>
      <w:r w:rsidR="0007328A" w:rsidRPr="005A71E0">
        <w:rPr>
          <w:bCs/>
        </w:rPr>
        <w:t>§§</w:t>
      </w:r>
      <w:r w:rsidR="005D33F2" w:rsidRPr="005A71E0">
        <w:rPr>
          <w:bCs/>
        </w:rPr>
        <w:t> </w:t>
      </w:r>
      <w:r w:rsidR="0007328A" w:rsidRPr="005A71E0">
        <w:rPr>
          <w:bCs/>
        </w:rPr>
        <w:t xml:space="preserve">4.1.13 </w:t>
      </w:r>
      <w:r w:rsidR="003F16E3" w:rsidRPr="005A71E0">
        <w:rPr>
          <w:bCs/>
        </w:rPr>
        <w:t>y al §§</w:t>
      </w:r>
      <w:r w:rsidR="005D33F2" w:rsidRPr="005A71E0">
        <w:rPr>
          <w:bCs/>
        </w:rPr>
        <w:t> </w:t>
      </w:r>
      <w:r w:rsidR="0007328A" w:rsidRPr="005A71E0">
        <w:rPr>
          <w:bCs/>
        </w:rPr>
        <w:t xml:space="preserve">4.2.17 </w:t>
      </w:r>
      <w:r w:rsidR="003F16E3" w:rsidRPr="005A71E0">
        <w:t xml:space="preserve">del </w:t>
      </w:r>
      <w:r w:rsidR="005A71E0">
        <w:t>Artículo</w:t>
      </w:r>
      <w:r w:rsidR="005D33F2" w:rsidRPr="005A71E0">
        <w:t> </w:t>
      </w:r>
      <w:r w:rsidR="0007328A" w:rsidRPr="005A71E0">
        <w:rPr>
          <w:b/>
          <w:bCs/>
        </w:rPr>
        <w:t>4</w:t>
      </w:r>
      <w:r w:rsidR="0007328A" w:rsidRPr="005A71E0">
        <w:t xml:space="preserve"> </w:t>
      </w:r>
      <w:r w:rsidR="003F16E3" w:rsidRPr="005A71E0">
        <w:t>de los Apéndices</w:t>
      </w:r>
      <w:r w:rsidR="005D33F2" w:rsidRPr="005A71E0">
        <w:t> </w:t>
      </w:r>
      <w:r w:rsidR="0007328A" w:rsidRPr="005A71E0">
        <w:rPr>
          <w:b/>
          <w:bCs/>
        </w:rPr>
        <w:t>30</w:t>
      </w:r>
      <w:r w:rsidR="0007328A" w:rsidRPr="005A71E0">
        <w:t xml:space="preserve"> </w:t>
      </w:r>
      <w:r w:rsidR="003F16E3" w:rsidRPr="005A71E0">
        <w:t>y</w:t>
      </w:r>
      <w:r w:rsidR="005D33F2" w:rsidRPr="005A71E0">
        <w:t> </w:t>
      </w:r>
      <w:r w:rsidR="0007328A" w:rsidRPr="005A71E0">
        <w:rPr>
          <w:b/>
          <w:bCs/>
        </w:rPr>
        <w:t xml:space="preserve">30A </w:t>
      </w:r>
      <w:r w:rsidR="003F16E3" w:rsidRPr="005A71E0">
        <w:t>del</w:t>
      </w:r>
      <w:r w:rsidR="003F16E3" w:rsidRPr="005A71E0">
        <w:rPr>
          <w:b/>
          <w:bCs/>
        </w:rPr>
        <w:t xml:space="preserve"> </w:t>
      </w:r>
      <w:r w:rsidR="003F16E3" w:rsidRPr="005A71E0">
        <w:t>RR a</w:t>
      </w:r>
      <w:r w:rsidR="003F16E3" w:rsidRPr="005A71E0">
        <w:rPr>
          <w:bCs/>
        </w:rPr>
        <w:t xml:space="preserve"> fin de advertir a la administración notificante de las consecuencias en caso de que no se renueve el acuerdo alcanzado en el marco de este </w:t>
      </w:r>
      <w:r w:rsidR="00BB1B0B">
        <w:rPr>
          <w:bCs/>
        </w:rPr>
        <w:t>A</w:t>
      </w:r>
      <w:r w:rsidR="003F16E3" w:rsidRPr="005A71E0">
        <w:rPr>
          <w:bCs/>
        </w:rPr>
        <w:t>rtículo.</w:t>
      </w:r>
    </w:p>
    <w:p w14:paraId="799DF9A0" w14:textId="77777777" w:rsidR="00392B76" w:rsidRPr="005A71E0" w:rsidRDefault="00392B76" w:rsidP="004A4AC8">
      <w:pPr>
        <w:pStyle w:val="Reasons"/>
      </w:pPr>
    </w:p>
    <w:p w14:paraId="3C7E686F" w14:textId="77777777" w:rsidR="00392B76" w:rsidRPr="005A71E0" w:rsidRDefault="004F3651" w:rsidP="004A4AC8">
      <w:pPr>
        <w:pStyle w:val="Proposal"/>
      </w:pPr>
      <w:r w:rsidRPr="005A71E0">
        <w:tab/>
        <w:t>CAN/14A22/10</w:t>
      </w:r>
    </w:p>
    <w:p w14:paraId="58794729" w14:textId="47D51E37" w:rsidR="00392B76" w:rsidRPr="005A71E0" w:rsidRDefault="00760D1D" w:rsidP="004A4AC8">
      <w:r w:rsidRPr="005A71E0">
        <w:t>En la</w:t>
      </w:r>
      <w:r w:rsidR="0007328A" w:rsidRPr="005A71E0">
        <w:t xml:space="preserve"> </w:t>
      </w:r>
      <w:r w:rsidRPr="005A71E0">
        <w:t>sección</w:t>
      </w:r>
      <w:r w:rsidR="005D33F2" w:rsidRPr="005A71E0">
        <w:t> </w:t>
      </w:r>
      <w:r w:rsidR="0007328A" w:rsidRPr="005A71E0">
        <w:t xml:space="preserve">3.2.4.6 </w:t>
      </w:r>
      <w:r w:rsidRPr="005A71E0">
        <w:t>del Addéndum</w:t>
      </w:r>
      <w:r w:rsidR="005D33F2" w:rsidRPr="005A71E0">
        <w:t> </w:t>
      </w:r>
      <w:r w:rsidRPr="005A71E0">
        <w:t>2 al Documento</w:t>
      </w:r>
      <w:r w:rsidR="005D33F2" w:rsidRPr="005A71E0">
        <w:t> </w:t>
      </w:r>
      <w:r w:rsidRPr="005A71E0">
        <w:t xml:space="preserve">4, </w:t>
      </w:r>
      <w:r w:rsidR="00F450BD" w:rsidRPr="005A71E0">
        <w:t>Canadá</w:t>
      </w:r>
      <w:r w:rsidRPr="005A71E0">
        <w:t xml:space="preserve"> apoya la propuesta de la Oficina de suprimir la Regla de Procedimiento sobre el número</w:t>
      </w:r>
      <w:r w:rsidR="005D33F2" w:rsidRPr="005A71E0">
        <w:t> </w:t>
      </w:r>
      <w:r w:rsidR="0007328A" w:rsidRPr="005A71E0">
        <w:rPr>
          <w:b/>
        </w:rPr>
        <w:t>5.510</w:t>
      </w:r>
      <w:r w:rsidR="0007328A" w:rsidRPr="005A71E0">
        <w:t xml:space="preserve"> </w:t>
      </w:r>
      <w:r w:rsidRPr="005A71E0">
        <w:t>del RR y de plasmar la situación de compartición directamente en el Reglamento de Radiocomunicaciones, mediante las modificaciones del Apéndice</w:t>
      </w:r>
      <w:r w:rsidR="005D33F2" w:rsidRPr="005A71E0">
        <w:t> </w:t>
      </w:r>
      <w:r w:rsidRPr="005A71E0">
        <w:rPr>
          <w:b/>
          <w:bCs/>
        </w:rPr>
        <w:t>30A</w:t>
      </w:r>
      <w:r w:rsidRPr="005A71E0">
        <w:t xml:space="preserve"> del RR propuestas por la Oficina</w:t>
      </w:r>
      <w:r w:rsidR="0007328A" w:rsidRPr="005A71E0">
        <w:rPr>
          <w:bCs/>
        </w:rPr>
        <w:t>.</w:t>
      </w:r>
    </w:p>
    <w:p w14:paraId="3FABCBC2" w14:textId="77777777" w:rsidR="00392B76" w:rsidRPr="005A71E0" w:rsidRDefault="00392B76" w:rsidP="004A4AC8">
      <w:pPr>
        <w:pStyle w:val="Reasons"/>
      </w:pPr>
    </w:p>
    <w:p w14:paraId="3CB49F7A" w14:textId="77777777" w:rsidR="00392B76" w:rsidRPr="005A71E0" w:rsidRDefault="004F3651" w:rsidP="004A4AC8">
      <w:pPr>
        <w:pStyle w:val="Proposal"/>
      </w:pPr>
      <w:r w:rsidRPr="005A71E0">
        <w:tab/>
        <w:t>CAN/14A22/11</w:t>
      </w:r>
    </w:p>
    <w:p w14:paraId="7856E887" w14:textId="0A98D060" w:rsidR="00392B76" w:rsidRPr="005A71E0" w:rsidRDefault="00760D1D" w:rsidP="004A4AC8">
      <w:r w:rsidRPr="005A71E0">
        <w:t>La sección</w:t>
      </w:r>
      <w:r w:rsidR="005D33F2" w:rsidRPr="005A71E0">
        <w:t> </w:t>
      </w:r>
      <w:r w:rsidRPr="005A71E0">
        <w:t>3.2.4.7 del Addéndum</w:t>
      </w:r>
      <w:r w:rsidR="005D33F2" w:rsidRPr="005A71E0">
        <w:t> </w:t>
      </w:r>
      <w:r w:rsidRPr="005A71E0">
        <w:t>2 al Documento</w:t>
      </w:r>
      <w:r w:rsidR="005D33F2" w:rsidRPr="005A71E0">
        <w:t> </w:t>
      </w:r>
      <w:r w:rsidRPr="005A71E0">
        <w:t>4 se refiere a la decisión de la CMR-15 respecto de la</w:t>
      </w:r>
      <w:r w:rsidR="0007328A" w:rsidRPr="005A71E0">
        <w:t xml:space="preserve"> </w:t>
      </w:r>
      <w:r w:rsidRPr="005A71E0">
        <w:t>R</w:t>
      </w:r>
      <w:r w:rsidR="0007328A" w:rsidRPr="005A71E0">
        <w:t>egla de Procedimiento relativa al §</w:t>
      </w:r>
      <w:r w:rsidR="005D33F2" w:rsidRPr="005A71E0">
        <w:t> </w:t>
      </w:r>
      <w:r w:rsidR="0007328A" w:rsidRPr="005A71E0">
        <w:t>2A.1.2 sobre los criterios que se han de aplicar para la coordinación entre asignaciones previstas para proporcionar los servicios y funciones de operaciones espaciales no sujetos al Plan en la banda 14,5-14,8</w:t>
      </w:r>
      <w:r w:rsidR="005D33F2" w:rsidRPr="005A71E0">
        <w:t> </w:t>
      </w:r>
      <w:r w:rsidR="0007328A" w:rsidRPr="005A71E0">
        <w:t>GHz. Esta coordinación se efectuará mediante la aplicación de las disposiciones del número</w:t>
      </w:r>
      <w:r w:rsidR="005D33F2" w:rsidRPr="005A71E0">
        <w:t> </w:t>
      </w:r>
      <w:r w:rsidR="0007328A" w:rsidRPr="005A71E0">
        <w:rPr>
          <w:b/>
          <w:bCs/>
        </w:rPr>
        <w:t>9.7</w:t>
      </w:r>
      <w:r w:rsidR="0007328A" w:rsidRPr="005A71E0">
        <w:t xml:space="preserve"> del RR. </w:t>
      </w:r>
      <w:r w:rsidRPr="005A71E0">
        <w:t xml:space="preserve">Canadá apoya la propuesta de la Oficina de </w:t>
      </w:r>
      <w:r w:rsidR="00720838" w:rsidRPr="005A71E0">
        <w:t>integrar</w:t>
      </w:r>
      <w:r w:rsidRPr="005A71E0">
        <w:t xml:space="preserve"> esta decisión directamente </w:t>
      </w:r>
      <w:r w:rsidR="00720838" w:rsidRPr="005A71E0">
        <w:t>en el RR, modificando a tal efecto la parte pertinente del Apéndice</w:t>
      </w:r>
      <w:r w:rsidR="005D33F2" w:rsidRPr="005A71E0">
        <w:t> </w:t>
      </w:r>
      <w:r w:rsidR="00720838" w:rsidRPr="005A71E0">
        <w:rPr>
          <w:b/>
        </w:rPr>
        <w:t>5</w:t>
      </w:r>
      <w:r w:rsidR="00720838" w:rsidRPr="005A71E0">
        <w:rPr>
          <w:bCs/>
        </w:rPr>
        <w:t xml:space="preserve"> del </w:t>
      </w:r>
      <w:r w:rsidR="00720838" w:rsidRPr="005A71E0">
        <w:t>RR, y posteriormente suprimir la Regla de Procedimiento correspondiente</w:t>
      </w:r>
      <w:r w:rsidR="0007328A" w:rsidRPr="005A71E0">
        <w:t>.</w:t>
      </w:r>
    </w:p>
    <w:p w14:paraId="392381BF" w14:textId="77777777" w:rsidR="00392B76" w:rsidRPr="005A71E0" w:rsidRDefault="00392B76" w:rsidP="004A4AC8">
      <w:pPr>
        <w:pStyle w:val="Reasons"/>
      </w:pPr>
    </w:p>
    <w:p w14:paraId="22355C39" w14:textId="77777777" w:rsidR="00392B76" w:rsidRPr="005A71E0" w:rsidRDefault="004F3651" w:rsidP="004A4AC8">
      <w:pPr>
        <w:pStyle w:val="Proposal"/>
      </w:pPr>
      <w:r w:rsidRPr="005A71E0">
        <w:lastRenderedPageBreak/>
        <w:tab/>
        <w:t>CAN/14A22/12</w:t>
      </w:r>
    </w:p>
    <w:p w14:paraId="741FB665" w14:textId="7D9F1DDF" w:rsidR="00392B76" w:rsidRPr="005A71E0" w:rsidRDefault="00433DF0" w:rsidP="004A4AC8">
      <w:r w:rsidRPr="005A71E0">
        <w:t xml:space="preserve"> </w:t>
      </w:r>
      <w:r w:rsidR="005344DF" w:rsidRPr="005A71E0">
        <w:t>La sección</w:t>
      </w:r>
      <w:r w:rsidR="005D33F2" w:rsidRPr="005A71E0">
        <w:t> </w:t>
      </w:r>
      <w:r w:rsidR="005344DF" w:rsidRPr="005A71E0">
        <w:t>3.2.4.8 del Addéndum</w:t>
      </w:r>
      <w:r w:rsidR="005D33F2" w:rsidRPr="005A71E0">
        <w:t> </w:t>
      </w:r>
      <w:r w:rsidR="005344DF" w:rsidRPr="005A71E0">
        <w:t>2 al Documento</w:t>
      </w:r>
      <w:r w:rsidR="005D33F2" w:rsidRPr="005A71E0">
        <w:t> </w:t>
      </w:r>
      <w:r w:rsidR="005344DF" w:rsidRPr="005A71E0">
        <w:t>4 se refiere a l</w:t>
      </w:r>
      <w:r w:rsidRPr="005A71E0">
        <w:t>a sección</w:t>
      </w:r>
      <w:r w:rsidR="005D33F2" w:rsidRPr="005A71E0">
        <w:t> </w:t>
      </w:r>
      <w:r w:rsidRPr="005A71E0">
        <w:t>6 del Anexo</w:t>
      </w:r>
      <w:r w:rsidR="005D33F2" w:rsidRPr="005A71E0">
        <w:t> </w:t>
      </w:r>
      <w:r w:rsidRPr="005A71E0">
        <w:t>1 al Apéndice</w:t>
      </w:r>
      <w:r w:rsidR="005A71E0" w:rsidRPr="005A71E0">
        <w:t> </w:t>
      </w:r>
      <w:r w:rsidRPr="005A71E0">
        <w:rPr>
          <w:b/>
          <w:bCs/>
        </w:rPr>
        <w:t xml:space="preserve">30 </w:t>
      </w:r>
      <w:r w:rsidRPr="005A71E0">
        <w:t xml:space="preserve">del RR </w:t>
      </w:r>
      <w:r w:rsidR="005344DF" w:rsidRPr="005A71E0">
        <w:t xml:space="preserve">y a </w:t>
      </w:r>
      <w:r w:rsidRPr="005A71E0">
        <w:t>los criterios para determinar si una administración del SFS se considera afectada en virtud de los §</w:t>
      </w:r>
      <w:r w:rsidR="005D33F2" w:rsidRPr="005A71E0">
        <w:t> </w:t>
      </w:r>
      <w:r w:rsidRPr="005A71E0">
        <w:t xml:space="preserve">4.1.1 </w:t>
      </w:r>
      <w:r w:rsidRPr="005A71E0">
        <w:rPr>
          <w:i/>
          <w:iCs/>
        </w:rPr>
        <w:t>e)</w:t>
      </w:r>
      <w:r w:rsidRPr="005A71E0">
        <w:t xml:space="preserve"> o §</w:t>
      </w:r>
      <w:r w:rsidR="005D33F2" w:rsidRPr="005A71E0">
        <w:t> </w:t>
      </w:r>
      <w:r w:rsidRPr="005A71E0">
        <w:t xml:space="preserve">4.2.3 </w:t>
      </w:r>
      <w:r w:rsidRPr="005A71E0">
        <w:rPr>
          <w:i/>
          <w:iCs/>
        </w:rPr>
        <w:t>e)</w:t>
      </w:r>
      <w:r w:rsidRPr="005A71E0">
        <w:t xml:space="preserve"> del Artículo</w:t>
      </w:r>
      <w:r w:rsidR="005A71E0" w:rsidRPr="005A71E0">
        <w:t> </w:t>
      </w:r>
      <w:r w:rsidRPr="005A71E0">
        <w:rPr>
          <w:b/>
          <w:bCs/>
        </w:rPr>
        <w:t>4</w:t>
      </w:r>
      <w:r w:rsidRPr="005A71E0">
        <w:t xml:space="preserve"> de dicho Apéndice por la asignación nueva o modificada en la Lista de las Regiones</w:t>
      </w:r>
      <w:r w:rsidR="005A71E0" w:rsidRPr="005A71E0">
        <w:t> </w:t>
      </w:r>
      <w:r w:rsidRPr="005A71E0">
        <w:t>1 y</w:t>
      </w:r>
      <w:r w:rsidR="005A71E0" w:rsidRPr="005A71E0">
        <w:t> </w:t>
      </w:r>
      <w:r w:rsidRPr="005A71E0">
        <w:t>3 o por una modificación propuesta al Plan de la Región</w:t>
      </w:r>
      <w:r w:rsidR="005A71E0" w:rsidRPr="005A71E0">
        <w:t> </w:t>
      </w:r>
      <w:r w:rsidRPr="005A71E0">
        <w:t xml:space="preserve">2, según el caso. </w:t>
      </w:r>
      <w:r w:rsidR="005344DF" w:rsidRPr="005A71E0">
        <w:t>Canadá apoya la propuesta de la Oficina de armonizar las condiciones estipuladas en la sección</w:t>
      </w:r>
      <w:r w:rsidR="005A71E0">
        <w:t> </w:t>
      </w:r>
      <w:r w:rsidR="005344DF" w:rsidRPr="005A71E0">
        <w:t>6 con las demás secciones del Anexo</w:t>
      </w:r>
      <w:r w:rsidR="005A71E0" w:rsidRPr="005A71E0">
        <w:t> </w:t>
      </w:r>
      <w:r w:rsidR="005344DF" w:rsidRPr="005A71E0">
        <w:t>1 al Apéndice</w:t>
      </w:r>
      <w:r w:rsidR="005A71E0" w:rsidRPr="005A71E0">
        <w:t> </w:t>
      </w:r>
      <w:r w:rsidR="005344DF" w:rsidRPr="005A71E0">
        <w:rPr>
          <w:b/>
          <w:bCs/>
        </w:rPr>
        <w:t>30</w:t>
      </w:r>
      <w:r w:rsidR="005344DF" w:rsidRPr="005A71E0">
        <w:t xml:space="preserve"> del RR, incorporando las modificaciones propuestas por la Oficina.</w:t>
      </w:r>
    </w:p>
    <w:p w14:paraId="7FA529AA" w14:textId="77777777" w:rsidR="00392B76" w:rsidRPr="005A71E0" w:rsidRDefault="00392B76" w:rsidP="004A4AC8">
      <w:pPr>
        <w:pStyle w:val="Reasons"/>
      </w:pPr>
    </w:p>
    <w:p w14:paraId="7E3C4B07" w14:textId="77777777" w:rsidR="00392B76" w:rsidRPr="005A71E0" w:rsidRDefault="004F3651" w:rsidP="004A4AC8">
      <w:pPr>
        <w:pStyle w:val="Proposal"/>
      </w:pPr>
      <w:r w:rsidRPr="005A71E0">
        <w:tab/>
        <w:t>CAN/14A22/13</w:t>
      </w:r>
    </w:p>
    <w:p w14:paraId="6A173783" w14:textId="4458EFED" w:rsidR="00392B76" w:rsidRPr="005A71E0" w:rsidRDefault="005344DF" w:rsidP="004A4AC8">
      <w:r w:rsidRPr="005A71E0">
        <w:t>La sección</w:t>
      </w:r>
      <w:r w:rsidR="005A71E0" w:rsidRPr="005A71E0">
        <w:t> </w:t>
      </w:r>
      <w:r w:rsidR="00433DF0" w:rsidRPr="005A71E0">
        <w:t xml:space="preserve">3.2.4.9 </w:t>
      </w:r>
      <w:r w:rsidRPr="005A71E0">
        <w:t>del Addéndum</w:t>
      </w:r>
      <w:r w:rsidR="005A71E0" w:rsidRPr="005A71E0">
        <w:t> </w:t>
      </w:r>
      <w:r w:rsidRPr="005A71E0">
        <w:t>2 al Documento</w:t>
      </w:r>
      <w:r w:rsidR="005A71E0" w:rsidRPr="005A71E0">
        <w:t> </w:t>
      </w:r>
      <w:r w:rsidRPr="005A71E0">
        <w:t>4 aborda el problema relativo a la utilización de la densidad de potencia para el cálculo de ΔT/T con arreglo al §</w:t>
      </w:r>
      <w:r w:rsidR="005A71E0" w:rsidRPr="005A71E0">
        <w:t> </w:t>
      </w:r>
      <w:r w:rsidRPr="005A71E0">
        <w:t>2 del Anexo</w:t>
      </w:r>
      <w:r w:rsidR="005A71E0" w:rsidRPr="005A71E0">
        <w:t> </w:t>
      </w:r>
      <w:r w:rsidRPr="005A71E0">
        <w:t>4 al Apéndice</w:t>
      </w:r>
      <w:r w:rsidR="005A71E0" w:rsidRPr="005A71E0">
        <w:t> </w:t>
      </w:r>
      <w:r w:rsidRPr="005A71E0">
        <w:rPr>
          <w:b/>
          <w:bCs/>
        </w:rPr>
        <w:t>30A</w:t>
      </w:r>
      <w:r w:rsidRPr="005A71E0">
        <w:t xml:space="preserve"> del</w:t>
      </w:r>
      <w:r w:rsidR="005A71E0" w:rsidRPr="005A71E0">
        <w:t> </w:t>
      </w:r>
      <w:r w:rsidRPr="005A71E0">
        <w:t>RR. Canadá apoya la propuesta de la Oficina, y la decisión de la CMR</w:t>
      </w:r>
      <w:r w:rsidR="00433DF0" w:rsidRPr="005A71E0">
        <w:t>-15</w:t>
      </w:r>
      <w:r w:rsidRPr="005A71E0">
        <w:t xml:space="preserve">, de </w:t>
      </w:r>
      <w:r w:rsidR="007667C6" w:rsidRPr="005A71E0">
        <w:t>utilizar las densidades máximas de potencia por hercio promediadas a lo largo del 1</w:t>
      </w:r>
      <w:r w:rsidR="005A71E0" w:rsidRPr="005A71E0">
        <w:t> </w:t>
      </w:r>
      <w:r w:rsidR="007667C6" w:rsidRPr="005A71E0">
        <w:t xml:space="preserve">MHz más desfavorable en lugar de las densidades de potencia por hercio promediadas en el ancho de banda necesario de las portadoras del enlace de conexión para el cálculo de </w:t>
      </w:r>
      <w:r w:rsidR="007667C6" w:rsidRPr="00BB1B0B">
        <w:rPr>
          <w:i/>
          <w:iCs/>
        </w:rPr>
        <w:t>ΔT/T</w:t>
      </w:r>
      <w:r w:rsidR="007667C6" w:rsidRPr="005A71E0">
        <w:t xml:space="preserve"> especificado en la sección</w:t>
      </w:r>
      <w:r w:rsidR="005A71E0" w:rsidRPr="005A71E0">
        <w:t> </w:t>
      </w:r>
      <w:r w:rsidR="007667C6" w:rsidRPr="005A71E0">
        <w:t>2 del Anexo</w:t>
      </w:r>
      <w:r w:rsidR="005A71E0" w:rsidRPr="005A71E0">
        <w:t> </w:t>
      </w:r>
      <w:r w:rsidR="007667C6" w:rsidRPr="005A71E0">
        <w:t>4 al Apéndice</w:t>
      </w:r>
      <w:r w:rsidR="005A71E0" w:rsidRPr="005A71E0">
        <w:t> </w:t>
      </w:r>
      <w:r w:rsidR="007667C6" w:rsidRPr="005A71E0">
        <w:rPr>
          <w:b/>
          <w:bCs/>
        </w:rPr>
        <w:t>30A</w:t>
      </w:r>
      <w:r w:rsidR="007667C6" w:rsidRPr="005A71E0">
        <w:t xml:space="preserve"> del RR.</w:t>
      </w:r>
    </w:p>
    <w:p w14:paraId="17B9930E" w14:textId="77777777" w:rsidR="00392B76" w:rsidRPr="005A71E0" w:rsidRDefault="00392B76" w:rsidP="004A4AC8">
      <w:pPr>
        <w:pStyle w:val="Reasons"/>
      </w:pPr>
    </w:p>
    <w:p w14:paraId="454B3A3B" w14:textId="77777777" w:rsidR="00392B76" w:rsidRPr="005A71E0" w:rsidRDefault="004F3651" w:rsidP="004A4AC8">
      <w:pPr>
        <w:pStyle w:val="Proposal"/>
      </w:pPr>
      <w:r w:rsidRPr="005A71E0">
        <w:tab/>
        <w:t>CAN/14A22/14</w:t>
      </w:r>
    </w:p>
    <w:p w14:paraId="7205C179" w14:textId="35B3B2F6" w:rsidR="00392B76" w:rsidRPr="005A71E0" w:rsidRDefault="00EF4A97" w:rsidP="004A4AC8">
      <w:r w:rsidRPr="005A71E0">
        <w:t>Por lo que respecta a la sección</w:t>
      </w:r>
      <w:r w:rsidR="005A71E0" w:rsidRPr="005A71E0">
        <w:t> </w:t>
      </w:r>
      <w:r w:rsidR="00433DF0" w:rsidRPr="005A71E0">
        <w:t xml:space="preserve">3.2.4.10 </w:t>
      </w:r>
      <w:r w:rsidRPr="005A71E0">
        <w:t>del Addéndum</w:t>
      </w:r>
      <w:r w:rsidR="005A71E0" w:rsidRPr="005A71E0">
        <w:t> </w:t>
      </w:r>
      <w:r w:rsidRPr="005A71E0">
        <w:t>2 al Documento</w:t>
      </w:r>
      <w:r w:rsidR="005A71E0" w:rsidRPr="005A71E0">
        <w:t> </w:t>
      </w:r>
      <w:r w:rsidRPr="005A71E0">
        <w:t>4</w:t>
      </w:r>
      <w:r w:rsidR="00433DF0" w:rsidRPr="005A71E0">
        <w:t>,</w:t>
      </w:r>
      <w:r w:rsidRPr="005A71E0">
        <w:t xml:space="preserve"> </w:t>
      </w:r>
      <w:r w:rsidR="00F450BD" w:rsidRPr="005A71E0">
        <w:t>Canadá</w:t>
      </w:r>
      <w:r w:rsidR="00433DF0" w:rsidRPr="005A71E0">
        <w:t xml:space="preserve"> </w:t>
      </w:r>
      <w:r w:rsidRPr="005A71E0">
        <w:t>apoya la propuesta de la Oficina, previamente confirmada por la CMR</w:t>
      </w:r>
      <w:r w:rsidR="00433DF0" w:rsidRPr="005A71E0">
        <w:t xml:space="preserve">-03, </w:t>
      </w:r>
      <w:r w:rsidRPr="005A71E0">
        <w:t>de añadir una nota al Artículo</w:t>
      </w:r>
      <w:r w:rsidR="005A71E0" w:rsidRPr="005A71E0">
        <w:t> </w:t>
      </w:r>
      <w:r w:rsidRPr="005A71E0">
        <w:rPr>
          <w:b/>
          <w:bCs/>
        </w:rPr>
        <w:t>2A</w:t>
      </w:r>
      <w:r w:rsidRPr="005A71E0">
        <w:t xml:space="preserve"> de los Apéndices</w:t>
      </w:r>
      <w:r w:rsidR="005A71E0" w:rsidRPr="005A71E0">
        <w:t> </w:t>
      </w:r>
      <w:r w:rsidRPr="005A71E0">
        <w:rPr>
          <w:b/>
          <w:bCs/>
        </w:rPr>
        <w:t>30</w:t>
      </w:r>
      <w:r w:rsidRPr="005A71E0">
        <w:t xml:space="preserve"> y</w:t>
      </w:r>
      <w:r w:rsidR="005A71E0" w:rsidRPr="005A71E0">
        <w:t> </w:t>
      </w:r>
      <w:r w:rsidRPr="005A71E0">
        <w:rPr>
          <w:b/>
          <w:bCs/>
        </w:rPr>
        <w:t>30A</w:t>
      </w:r>
      <w:r w:rsidRPr="005A71E0">
        <w:t xml:space="preserve"> del RR para indicar que las notificaciones con arreglo al Artículo</w:t>
      </w:r>
      <w:r w:rsidR="005A71E0" w:rsidRPr="005A71E0">
        <w:t> </w:t>
      </w:r>
      <w:r w:rsidRPr="005A71E0">
        <w:rPr>
          <w:b/>
          <w:bCs/>
        </w:rPr>
        <w:t>2A</w:t>
      </w:r>
      <w:r w:rsidRPr="005A71E0">
        <w:t xml:space="preserve"> no están sujetas a la Resolución</w:t>
      </w:r>
      <w:r w:rsidR="005A71E0" w:rsidRPr="005A71E0">
        <w:t> </w:t>
      </w:r>
      <w:r w:rsidRPr="005A71E0">
        <w:rPr>
          <w:b/>
          <w:bCs/>
        </w:rPr>
        <w:t>49 (Rev.</w:t>
      </w:r>
      <w:r w:rsidR="00BB1B0B">
        <w:rPr>
          <w:b/>
          <w:bCs/>
        </w:rPr>
        <w:t> </w:t>
      </w:r>
      <w:r w:rsidRPr="005A71E0">
        <w:rPr>
          <w:b/>
          <w:bCs/>
        </w:rPr>
        <w:t>CMR-15)</w:t>
      </w:r>
      <w:r w:rsidRPr="005A71E0">
        <w:t>.</w:t>
      </w:r>
    </w:p>
    <w:p w14:paraId="61DC2934" w14:textId="77777777" w:rsidR="00392B76" w:rsidRPr="005A71E0" w:rsidRDefault="00392B76" w:rsidP="004A4AC8">
      <w:pPr>
        <w:pStyle w:val="Reasons"/>
      </w:pPr>
    </w:p>
    <w:p w14:paraId="56259F9C" w14:textId="77777777" w:rsidR="00392B76" w:rsidRPr="005A71E0" w:rsidRDefault="004F3651" w:rsidP="004A4AC8">
      <w:pPr>
        <w:pStyle w:val="Proposal"/>
      </w:pPr>
      <w:r w:rsidRPr="005A71E0">
        <w:tab/>
        <w:t>CAN/14A22/15</w:t>
      </w:r>
    </w:p>
    <w:p w14:paraId="07F71A6F" w14:textId="47922F77" w:rsidR="00433DF0" w:rsidRPr="005A71E0" w:rsidRDefault="00575700" w:rsidP="004A4AC8">
      <w:pPr>
        <w:rPr>
          <w:highlight w:val="green"/>
        </w:rPr>
      </w:pPr>
      <w:r w:rsidRPr="005A71E0">
        <w:t>Según se indica en la sección</w:t>
      </w:r>
      <w:r w:rsidR="005A71E0" w:rsidRPr="005A71E0">
        <w:t> </w:t>
      </w:r>
      <w:r w:rsidRPr="005A71E0">
        <w:t>3.2.5.1 del Addéndum</w:t>
      </w:r>
      <w:r w:rsidR="005A71E0" w:rsidRPr="005A71E0">
        <w:t> </w:t>
      </w:r>
      <w:r w:rsidRPr="005A71E0">
        <w:t>2 al Documento</w:t>
      </w:r>
      <w:r w:rsidR="005A71E0" w:rsidRPr="005A71E0">
        <w:t> </w:t>
      </w:r>
      <w:r w:rsidRPr="005A71E0">
        <w:t>4, d</w:t>
      </w:r>
      <w:r w:rsidR="00433DF0" w:rsidRPr="005A71E0">
        <w:t>e conformidad con el §</w:t>
      </w:r>
      <w:r w:rsidR="005A71E0" w:rsidRPr="005A71E0">
        <w:t> </w:t>
      </w:r>
      <w:r w:rsidR="00433DF0" w:rsidRPr="005A71E0">
        <w:t>6.1 del Apéndice</w:t>
      </w:r>
      <w:r w:rsidR="005A71E0" w:rsidRPr="005A71E0">
        <w:t> </w:t>
      </w:r>
      <w:r w:rsidR="00433DF0" w:rsidRPr="005A71E0">
        <w:rPr>
          <w:b/>
          <w:bCs/>
        </w:rPr>
        <w:t>30B</w:t>
      </w:r>
      <w:r w:rsidR="00433DF0" w:rsidRPr="005A71E0">
        <w:t xml:space="preserve"> del RR, cuando una administración tenga previsto convertir una adjudicación en una asignación para introducir un sistema adicional o modificar las características de las asignaciones de la Lista que se han puesto en servicio, ésta enviará a la Oficina la información especificada en el Apéndice</w:t>
      </w:r>
      <w:r w:rsidR="005A71E0" w:rsidRPr="005A71E0">
        <w:t> </w:t>
      </w:r>
      <w:r w:rsidR="00433DF0" w:rsidRPr="005A71E0">
        <w:rPr>
          <w:b/>
          <w:bCs/>
        </w:rPr>
        <w:t>4</w:t>
      </w:r>
      <w:r w:rsidR="00433DF0" w:rsidRPr="005A71E0">
        <w:t xml:space="preserve"> con una antelación no superior a ocho años ni inferior a dos años respecto de la fecha prevista de entrada en servicio de la asignación. Ahora bien, la fecha real o prevista de puesta en servicio de las asignaciones de frecuencia se comunican en una notificación con arreglo al Artículo</w:t>
      </w:r>
      <w:r w:rsidR="005A71E0">
        <w:t> </w:t>
      </w:r>
      <w:r w:rsidR="00433DF0" w:rsidRPr="005A71E0">
        <w:rPr>
          <w:b/>
          <w:bCs/>
        </w:rPr>
        <w:t>8</w:t>
      </w:r>
      <w:r w:rsidR="00433DF0" w:rsidRPr="005A71E0">
        <w:t xml:space="preserve"> del Apéndice</w:t>
      </w:r>
      <w:r w:rsidR="005A71E0" w:rsidRPr="005A71E0">
        <w:t> </w:t>
      </w:r>
      <w:r w:rsidR="00433DF0" w:rsidRPr="005A71E0">
        <w:rPr>
          <w:b/>
          <w:bCs/>
        </w:rPr>
        <w:t>30B</w:t>
      </w:r>
      <w:r w:rsidR="00433DF0" w:rsidRPr="005A71E0">
        <w:t xml:space="preserve"> del RR exclusivamente, como se indica en el punto</w:t>
      </w:r>
      <w:r w:rsidR="005A71E0" w:rsidRPr="005A71E0">
        <w:t> </w:t>
      </w:r>
      <w:r w:rsidR="00433DF0" w:rsidRPr="005A71E0">
        <w:t>A.2.a del Anexo</w:t>
      </w:r>
      <w:r w:rsidR="005A71E0" w:rsidRPr="005A71E0">
        <w:t> </w:t>
      </w:r>
      <w:r w:rsidR="00433DF0" w:rsidRPr="005A71E0">
        <w:t>2 al Apéndice</w:t>
      </w:r>
      <w:r w:rsidR="005A71E0" w:rsidRPr="005A71E0">
        <w:t> </w:t>
      </w:r>
      <w:r w:rsidR="00433DF0" w:rsidRPr="005A71E0">
        <w:rPr>
          <w:b/>
          <w:bCs/>
        </w:rPr>
        <w:t>4</w:t>
      </w:r>
      <w:r w:rsidR="00433DF0" w:rsidRPr="005A71E0">
        <w:t xml:space="preserve"> del RR. Por consiguiente, no es posible para la Oficina examinar la puesta en servicio cuando recibe una comunicación con arreglo al § 6.1 del Apéndice</w:t>
      </w:r>
      <w:r w:rsidR="005A71E0" w:rsidRPr="005A71E0">
        <w:t> </w:t>
      </w:r>
      <w:r w:rsidR="00433DF0" w:rsidRPr="005A71E0">
        <w:rPr>
          <w:b/>
          <w:bCs/>
        </w:rPr>
        <w:t>30B</w:t>
      </w:r>
      <w:r w:rsidR="00433DF0" w:rsidRPr="005A71E0">
        <w:t xml:space="preserve"> del RR.</w:t>
      </w:r>
    </w:p>
    <w:p w14:paraId="2DBDBCA3" w14:textId="09BD2C10" w:rsidR="00433DF0" w:rsidRPr="005A71E0" w:rsidRDefault="00575700" w:rsidP="004A4AC8">
      <w:pPr>
        <w:rPr>
          <w:sz w:val="22"/>
        </w:rPr>
      </w:pPr>
      <w:r w:rsidRPr="005A71E0">
        <w:t>Canadá</w:t>
      </w:r>
      <w:r w:rsidR="00433DF0" w:rsidRPr="005A71E0">
        <w:t xml:space="preserve"> </w:t>
      </w:r>
      <w:r w:rsidRPr="005A71E0">
        <w:t>considera que hay dos soluciones que podrían tomarse en consideración para abordar este problema, a saber</w:t>
      </w:r>
      <w:r w:rsidR="00433DF0" w:rsidRPr="005A71E0">
        <w:t>:</w:t>
      </w:r>
    </w:p>
    <w:p w14:paraId="62FA886A" w14:textId="39502699" w:rsidR="00433DF0" w:rsidRPr="005A71E0" w:rsidRDefault="00433DF0" w:rsidP="005A71E0">
      <w:pPr>
        <w:pStyle w:val="enumlev1"/>
      </w:pPr>
      <w:r w:rsidRPr="005A71E0">
        <w:t>1)</w:t>
      </w:r>
      <w:r w:rsidR="005A71E0" w:rsidRPr="005A71E0">
        <w:tab/>
      </w:r>
      <w:r w:rsidR="00575700" w:rsidRPr="005A71E0">
        <w:t>proceder como sugiere la Oficina</w:t>
      </w:r>
      <w:r w:rsidRPr="005A71E0">
        <w:t xml:space="preserve"> (</w:t>
      </w:r>
      <w:r w:rsidR="00575700" w:rsidRPr="005A71E0">
        <w:t>esto es, suprimir</w:t>
      </w:r>
      <w:r w:rsidRPr="005A71E0">
        <w:rPr>
          <w:i/>
        </w:rPr>
        <w:t xml:space="preserve"> </w:t>
      </w:r>
      <w:r w:rsidR="00575700" w:rsidRPr="005A71E0">
        <w:rPr>
          <w:i/>
        </w:rPr>
        <w:t>«ni inferior a dos años»</w:t>
      </w:r>
      <w:r w:rsidRPr="005A71E0">
        <w:t>),</w:t>
      </w:r>
      <w:r w:rsidR="00575700" w:rsidRPr="005A71E0">
        <w:t xml:space="preserve"> o</w:t>
      </w:r>
    </w:p>
    <w:p w14:paraId="4050241F" w14:textId="78FF7FDD" w:rsidR="00433DF0" w:rsidRPr="005A71E0" w:rsidRDefault="00433DF0" w:rsidP="005A71E0">
      <w:pPr>
        <w:pStyle w:val="enumlev1"/>
      </w:pPr>
      <w:r w:rsidRPr="005A71E0">
        <w:t>2)</w:t>
      </w:r>
      <w:r w:rsidR="005A71E0" w:rsidRPr="005A71E0">
        <w:tab/>
      </w:r>
      <w:r w:rsidRPr="005A71E0">
        <w:t>adopt</w:t>
      </w:r>
      <w:r w:rsidR="00575700" w:rsidRPr="005A71E0">
        <w:t>ar la redacción del</w:t>
      </w:r>
      <w:r w:rsidRPr="005A71E0">
        <w:t xml:space="preserve"> §</w:t>
      </w:r>
      <w:r w:rsidR="005A71E0" w:rsidRPr="005A71E0">
        <w:t> </w:t>
      </w:r>
      <w:r w:rsidRPr="005A71E0">
        <w:t xml:space="preserve">6.1 </w:t>
      </w:r>
      <w:r w:rsidR="00575700" w:rsidRPr="005A71E0">
        <w:t>del Apéndice</w:t>
      </w:r>
      <w:r w:rsidR="005A71E0" w:rsidRPr="005A71E0">
        <w:t> </w:t>
      </w:r>
      <w:r w:rsidR="00575700" w:rsidRPr="005A71E0">
        <w:rPr>
          <w:b/>
        </w:rPr>
        <w:t>30B</w:t>
      </w:r>
      <w:r w:rsidR="00575700" w:rsidRPr="005A71E0">
        <w:t xml:space="preserve"> del </w:t>
      </w:r>
      <w:r w:rsidRPr="005A71E0">
        <w:t xml:space="preserve">RR </w:t>
      </w:r>
      <w:r w:rsidR="00575700" w:rsidRPr="005A71E0">
        <w:t xml:space="preserve">en términos </w:t>
      </w:r>
      <w:r w:rsidRPr="005A71E0">
        <w:t>similar</w:t>
      </w:r>
      <w:r w:rsidR="00575700" w:rsidRPr="005A71E0">
        <w:t>es a los del número</w:t>
      </w:r>
      <w:r w:rsidR="005A71E0" w:rsidRPr="005A71E0">
        <w:t> </w:t>
      </w:r>
      <w:r w:rsidRPr="005A71E0">
        <w:rPr>
          <w:b/>
          <w:bCs/>
        </w:rPr>
        <w:t>9.1</w:t>
      </w:r>
      <w:r w:rsidR="00575700" w:rsidRPr="005A71E0">
        <w:t xml:space="preserve"> del RR, es decir, insertar </w:t>
      </w:r>
      <w:r w:rsidR="00575700" w:rsidRPr="005A71E0">
        <w:rPr>
          <w:i/>
        </w:rPr>
        <w:t>«</w:t>
      </w:r>
      <w:r w:rsidR="00077B7A" w:rsidRPr="005A71E0">
        <w:rPr>
          <w:i/>
        </w:rPr>
        <w:t xml:space="preserve">y </w:t>
      </w:r>
      <w:r w:rsidR="00575700" w:rsidRPr="005A71E0">
        <w:rPr>
          <w:i/>
        </w:rPr>
        <w:t>preferiblemente</w:t>
      </w:r>
      <w:r w:rsidR="00077B7A" w:rsidRPr="005A71E0">
        <w:rPr>
          <w:i/>
        </w:rPr>
        <w:t xml:space="preserve"> no</w:t>
      </w:r>
      <w:r w:rsidR="00575700" w:rsidRPr="005A71E0">
        <w:rPr>
          <w:i/>
        </w:rPr>
        <w:t>»</w:t>
      </w:r>
      <w:r w:rsidR="00575700" w:rsidRPr="005A71E0">
        <w:t xml:space="preserve"> </w:t>
      </w:r>
      <w:r w:rsidR="00077B7A" w:rsidRPr="005A71E0">
        <w:t xml:space="preserve">en vez de </w:t>
      </w:r>
      <w:r w:rsidR="00077B7A" w:rsidRPr="005A71E0">
        <w:rPr>
          <w:i/>
        </w:rPr>
        <w:t>«ni»</w:t>
      </w:r>
      <w:r w:rsidR="00077B7A" w:rsidRPr="005A71E0">
        <w:t xml:space="preserve"> </w:t>
      </w:r>
      <w:r w:rsidR="00575700" w:rsidRPr="005A71E0">
        <w:t xml:space="preserve">antes de </w:t>
      </w:r>
      <w:r w:rsidR="00575700" w:rsidRPr="005A71E0">
        <w:rPr>
          <w:i/>
        </w:rPr>
        <w:t>«</w:t>
      </w:r>
      <w:r w:rsidRPr="005A71E0">
        <w:rPr>
          <w:i/>
        </w:rPr>
        <w:t>inferior a dos años respecto de la fecha prevista de entrada en servicio de la asignación</w:t>
      </w:r>
      <w:r w:rsidR="00575700" w:rsidRPr="005A71E0">
        <w:rPr>
          <w:i/>
        </w:rPr>
        <w:t>…»</w:t>
      </w:r>
      <w:r w:rsidR="00575700" w:rsidRPr="005A71E0">
        <w:t>.</w:t>
      </w:r>
    </w:p>
    <w:p w14:paraId="7C68F6D7" w14:textId="44A504FD" w:rsidR="00392B76" w:rsidRPr="005A71E0" w:rsidRDefault="00077B7A" w:rsidP="004A4AC8">
      <w:r w:rsidRPr="005A71E0">
        <w:lastRenderedPageBreak/>
        <w:t>Canadá</w:t>
      </w:r>
      <w:r w:rsidR="00433DF0" w:rsidRPr="005A71E0">
        <w:t xml:space="preserve"> </w:t>
      </w:r>
      <w:r w:rsidR="00346FCE" w:rsidRPr="005A71E0">
        <w:t>sugiere que la Conferencia puede estudiar una armonización d</w:t>
      </w:r>
      <w:r w:rsidRPr="005A71E0">
        <w:t>el punto</w:t>
      </w:r>
      <w:r w:rsidR="005A71E0" w:rsidRPr="005A71E0">
        <w:t> </w:t>
      </w:r>
      <w:r w:rsidR="00433DF0" w:rsidRPr="005A71E0">
        <w:t xml:space="preserve">A2a </w:t>
      </w:r>
      <w:r w:rsidRPr="005A71E0">
        <w:t>del Apéndice</w:t>
      </w:r>
      <w:r w:rsidR="005A71E0" w:rsidRPr="005A71E0">
        <w:t> </w:t>
      </w:r>
      <w:r w:rsidRPr="005A71E0">
        <w:rPr>
          <w:b/>
        </w:rPr>
        <w:t>4</w:t>
      </w:r>
      <w:r w:rsidRPr="005A71E0">
        <w:t xml:space="preserve"> del </w:t>
      </w:r>
      <w:r w:rsidR="00433DF0" w:rsidRPr="005A71E0">
        <w:t xml:space="preserve">RR </w:t>
      </w:r>
      <w:r w:rsidR="00346FCE" w:rsidRPr="005A71E0">
        <w:t>que no atañe a la versión en español.</w:t>
      </w:r>
    </w:p>
    <w:p w14:paraId="61D287C5" w14:textId="77777777" w:rsidR="00392B76" w:rsidRPr="005A71E0" w:rsidRDefault="00392B76" w:rsidP="004A4AC8">
      <w:pPr>
        <w:pStyle w:val="Reasons"/>
      </w:pPr>
    </w:p>
    <w:p w14:paraId="64AF7F89" w14:textId="77777777" w:rsidR="00392B76" w:rsidRPr="005A71E0" w:rsidRDefault="004F3651" w:rsidP="004A4AC8">
      <w:pPr>
        <w:pStyle w:val="Proposal"/>
      </w:pPr>
      <w:r w:rsidRPr="005A71E0">
        <w:tab/>
        <w:t>CAN/14A22/16</w:t>
      </w:r>
    </w:p>
    <w:p w14:paraId="3BBC84FC" w14:textId="1B65C5AD" w:rsidR="00392B76" w:rsidRPr="005A71E0" w:rsidRDefault="00671C19" w:rsidP="004A4AC8">
      <w:r w:rsidRPr="005A71E0">
        <w:t>Por lo que respecta a la sección</w:t>
      </w:r>
      <w:r w:rsidR="005A71E0" w:rsidRPr="005A71E0">
        <w:t> </w:t>
      </w:r>
      <w:r w:rsidR="00433DF0" w:rsidRPr="005A71E0">
        <w:t xml:space="preserve">3.2.5.2 </w:t>
      </w:r>
      <w:r w:rsidRPr="005A71E0">
        <w:t>del Addéndum</w:t>
      </w:r>
      <w:r w:rsidR="005A71E0" w:rsidRPr="005A71E0">
        <w:t> </w:t>
      </w:r>
      <w:r w:rsidRPr="005A71E0">
        <w:t>2 al Documento</w:t>
      </w:r>
      <w:r w:rsidR="005A71E0" w:rsidRPr="005A71E0">
        <w:t> </w:t>
      </w:r>
      <w:r w:rsidRPr="005A71E0">
        <w:t xml:space="preserve">4, </w:t>
      </w:r>
      <w:r w:rsidR="00F450BD" w:rsidRPr="005A71E0">
        <w:t>Canadá</w:t>
      </w:r>
      <w:r w:rsidRPr="005A71E0">
        <w:t xml:space="preserve"> apoya la propuesta de la Oficina de añadir una nota al </w:t>
      </w:r>
      <w:r w:rsidR="00433DF0" w:rsidRPr="005A71E0">
        <w:t xml:space="preserve">§ 6.16 </w:t>
      </w:r>
      <w:r w:rsidRPr="005A71E0">
        <w:t>del Apéndice</w:t>
      </w:r>
      <w:r w:rsidR="005A71E0" w:rsidRPr="005A71E0">
        <w:t> </w:t>
      </w:r>
      <w:r w:rsidRPr="005A71E0">
        <w:rPr>
          <w:b/>
          <w:bCs/>
        </w:rPr>
        <w:t>30B</w:t>
      </w:r>
      <w:r w:rsidRPr="005A71E0">
        <w:t xml:space="preserve"> del </w:t>
      </w:r>
      <w:r w:rsidR="00433DF0" w:rsidRPr="005A71E0">
        <w:t>RR</w:t>
      </w:r>
      <w:r w:rsidRPr="005A71E0">
        <w:t xml:space="preserve"> para permitir que la administración responsable de la asignación desplace los puntos de prueba del enlace descendente del territorio excluido a una nueva ubicación dentro de la parte restante de la zona de servicio.</w:t>
      </w:r>
    </w:p>
    <w:p w14:paraId="4A4685B2" w14:textId="77777777" w:rsidR="00392B76" w:rsidRPr="005A71E0" w:rsidRDefault="00392B76" w:rsidP="004A4AC8">
      <w:pPr>
        <w:pStyle w:val="Reasons"/>
      </w:pPr>
    </w:p>
    <w:p w14:paraId="0E83E8D1" w14:textId="77777777" w:rsidR="00392B76" w:rsidRPr="005A71E0" w:rsidRDefault="004F3651" w:rsidP="004A4AC8">
      <w:pPr>
        <w:pStyle w:val="Proposal"/>
      </w:pPr>
      <w:r w:rsidRPr="005A71E0">
        <w:tab/>
        <w:t>CAN/14A22/17</w:t>
      </w:r>
    </w:p>
    <w:p w14:paraId="613B8AE7" w14:textId="6F335899" w:rsidR="00392B76" w:rsidRPr="005A71E0" w:rsidRDefault="00671C19" w:rsidP="004A4AC8">
      <w:r w:rsidRPr="005A71E0">
        <w:t>En la sección</w:t>
      </w:r>
      <w:r w:rsidR="005A71E0" w:rsidRPr="005A71E0">
        <w:t> </w:t>
      </w:r>
      <w:r w:rsidR="00565E6F" w:rsidRPr="005A71E0">
        <w:t xml:space="preserve">3.2.5.3 </w:t>
      </w:r>
      <w:r w:rsidRPr="005A71E0">
        <w:t>del Addéndum</w:t>
      </w:r>
      <w:r w:rsidR="005A71E0" w:rsidRPr="005A71E0">
        <w:t> </w:t>
      </w:r>
      <w:r w:rsidRPr="005A71E0">
        <w:t>2 al Documento</w:t>
      </w:r>
      <w:r w:rsidR="005A71E0" w:rsidRPr="005A71E0">
        <w:t> </w:t>
      </w:r>
      <w:r w:rsidRPr="005A71E0">
        <w:t xml:space="preserve">4, </w:t>
      </w:r>
      <w:r w:rsidR="00F450BD" w:rsidRPr="005A71E0">
        <w:t>Canadá</w:t>
      </w:r>
      <w:r w:rsidRPr="005A71E0">
        <w:t xml:space="preserve"> apoya la propuesta de la Oficina de suprimir el plazo de dos meses para la publicación con arreglo al Artículo</w:t>
      </w:r>
      <w:r w:rsidR="005A71E0" w:rsidRPr="005A71E0">
        <w:t> </w:t>
      </w:r>
      <w:r w:rsidRPr="005A71E0">
        <w:rPr>
          <w:b/>
          <w:bCs/>
        </w:rPr>
        <w:t>8</w:t>
      </w:r>
      <w:r w:rsidRPr="005A71E0">
        <w:t xml:space="preserve"> del Apéndice</w:t>
      </w:r>
      <w:r w:rsidR="005A71E0" w:rsidRPr="005A71E0">
        <w:t> </w:t>
      </w:r>
      <w:r w:rsidRPr="005A71E0">
        <w:rPr>
          <w:b/>
          <w:bCs/>
        </w:rPr>
        <w:t>30B</w:t>
      </w:r>
      <w:r w:rsidRPr="005A71E0">
        <w:t xml:space="preserve"> del</w:t>
      </w:r>
      <w:r w:rsidR="005A71E0" w:rsidRPr="005A71E0">
        <w:t> </w:t>
      </w:r>
      <w:r w:rsidRPr="005A71E0">
        <w:t>RR, y la correspondiente propuesta de modificación del §</w:t>
      </w:r>
      <w:r w:rsidR="005A71E0" w:rsidRPr="005A71E0">
        <w:t> </w:t>
      </w:r>
      <w:r w:rsidRPr="005A71E0">
        <w:t>8.5 del Apéndice</w:t>
      </w:r>
      <w:r w:rsidR="005A71E0" w:rsidRPr="005A71E0">
        <w:t> </w:t>
      </w:r>
      <w:r w:rsidRPr="005A71E0">
        <w:rPr>
          <w:b/>
          <w:bCs/>
        </w:rPr>
        <w:t>30B</w:t>
      </w:r>
      <w:r w:rsidRPr="005A71E0">
        <w:t xml:space="preserve"> del RR.</w:t>
      </w:r>
    </w:p>
    <w:p w14:paraId="1FDACDBC" w14:textId="77777777" w:rsidR="005A71E0" w:rsidRPr="005A71E0" w:rsidRDefault="005A71E0" w:rsidP="005A71E0">
      <w:pPr>
        <w:pStyle w:val="Reasons"/>
      </w:pPr>
    </w:p>
    <w:p w14:paraId="444C97F5" w14:textId="77777777" w:rsidR="00392B76" w:rsidRPr="005A71E0" w:rsidRDefault="004F3651" w:rsidP="004A4AC8">
      <w:pPr>
        <w:pStyle w:val="Proposal"/>
      </w:pPr>
      <w:r w:rsidRPr="005A71E0">
        <w:tab/>
        <w:t>CAN/14A22/18</w:t>
      </w:r>
    </w:p>
    <w:p w14:paraId="496E7C41" w14:textId="4FFF9861" w:rsidR="00392B76" w:rsidRPr="005A71E0" w:rsidRDefault="00671C19" w:rsidP="004A4AC8">
      <w:r w:rsidRPr="005A71E0">
        <w:t>Por lo que se refiere a la sección</w:t>
      </w:r>
      <w:r w:rsidR="005A71E0" w:rsidRPr="005A71E0">
        <w:t> </w:t>
      </w:r>
      <w:r w:rsidRPr="005A71E0">
        <w:t>3.2.5.6 del Addéndum</w:t>
      </w:r>
      <w:r w:rsidR="005A71E0" w:rsidRPr="005A71E0">
        <w:t> </w:t>
      </w:r>
      <w:r w:rsidRPr="005A71E0">
        <w:t>2 al Documento</w:t>
      </w:r>
      <w:r w:rsidR="005A71E0" w:rsidRPr="005A71E0">
        <w:t> </w:t>
      </w:r>
      <w:r w:rsidRPr="005A71E0">
        <w:t xml:space="preserve">4, </w:t>
      </w:r>
      <w:r w:rsidR="00F450BD" w:rsidRPr="005A71E0">
        <w:t>Canadá</w:t>
      </w:r>
      <w:r w:rsidRPr="005A71E0">
        <w:t xml:space="preserve"> apoya la propuesta de la Oficina de que</w:t>
      </w:r>
      <w:r w:rsidR="00841623" w:rsidRPr="005A71E0">
        <w:t>, en aplicación del punto</w:t>
      </w:r>
      <w:r w:rsidR="005A71E0" w:rsidRPr="005A71E0">
        <w:t> </w:t>
      </w:r>
      <w:r w:rsidR="00841623" w:rsidRPr="005A71E0">
        <w:t>2.2 del Anexo</w:t>
      </w:r>
      <w:r w:rsidR="005A71E0" w:rsidRPr="005A71E0">
        <w:t> </w:t>
      </w:r>
      <w:r w:rsidR="00841623" w:rsidRPr="005A71E0">
        <w:t>4 al Apéndice</w:t>
      </w:r>
      <w:r w:rsidR="005A71E0" w:rsidRPr="005A71E0">
        <w:t> </w:t>
      </w:r>
      <w:r w:rsidR="00841623" w:rsidRPr="005A71E0">
        <w:rPr>
          <w:b/>
          <w:bCs/>
        </w:rPr>
        <w:t>30B</w:t>
      </w:r>
      <w:r w:rsidR="00ED072E" w:rsidRPr="00ED072E">
        <w:t xml:space="preserve"> del RR</w:t>
      </w:r>
      <w:r w:rsidR="00841623" w:rsidRPr="005A71E0">
        <w:t>, además de los puntos de prueba, sólo se consideren los puntos de la retícula situados en tierra y dentro de la zona de servicio</w:t>
      </w:r>
      <w:r w:rsidRPr="005A71E0">
        <w:t>.</w:t>
      </w:r>
    </w:p>
    <w:p w14:paraId="2EA192D2" w14:textId="77777777" w:rsidR="00392B76" w:rsidRPr="005A71E0" w:rsidRDefault="00392B76" w:rsidP="004A4AC8">
      <w:pPr>
        <w:pStyle w:val="Reasons"/>
      </w:pPr>
    </w:p>
    <w:p w14:paraId="078A4787" w14:textId="224F46EA" w:rsidR="00392B76" w:rsidRPr="005A71E0" w:rsidRDefault="004F3651" w:rsidP="004A4AC8">
      <w:pPr>
        <w:pStyle w:val="Proposal"/>
      </w:pPr>
      <w:r w:rsidRPr="005A71E0">
        <w:tab/>
        <w:t>CAN/14A22/19</w:t>
      </w:r>
    </w:p>
    <w:p w14:paraId="5EE6B339" w14:textId="13E65253" w:rsidR="00392B76" w:rsidRPr="005A71E0" w:rsidRDefault="008E12C9" w:rsidP="004A4AC8">
      <w:r w:rsidRPr="005A71E0">
        <w:t>En cuanto a la sección</w:t>
      </w:r>
      <w:r w:rsidR="005A71E0" w:rsidRPr="005A71E0">
        <w:t> </w:t>
      </w:r>
      <w:r w:rsidR="00841623" w:rsidRPr="005A71E0">
        <w:t xml:space="preserve">3.2.5.7 </w:t>
      </w:r>
      <w:r w:rsidRPr="005A71E0">
        <w:t>del Addéndum</w:t>
      </w:r>
      <w:r w:rsidR="005A71E0" w:rsidRPr="005A71E0">
        <w:t> </w:t>
      </w:r>
      <w:r w:rsidRPr="005A71E0">
        <w:t>2 al Documento</w:t>
      </w:r>
      <w:r w:rsidR="005A71E0" w:rsidRPr="005A71E0">
        <w:t> </w:t>
      </w:r>
      <w:r w:rsidRPr="005A71E0">
        <w:t xml:space="preserve">4, </w:t>
      </w:r>
      <w:r w:rsidR="00F450BD" w:rsidRPr="005A71E0">
        <w:t>Canadá</w:t>
      </w:r>
      <w:r w:rsidRPr="005A71E0">
        <w:t xml:space="preserve"> apoya la propuesta de la Oficina de modificar el punto</w:t>
      </w:r>
      <w:r w:rsidR="00841623" w:rsidRPr="005A71E0">
        <w:t xml:space="preserve"> a) </w:t>
      </w:r>
      <w:r w:rsidRPr="005A71E0">
        <w:t>del</w:t>
      </w:r>
      <w:r w:rsidR="00841623" w:rsidRPr="005A71E0">
        <w:t xml:space="preserve"> § 6.19 </w:t>
      </w:r>
      <w:r w:rsidRPr="005A71E0">
        <w:t>del Apéndice</w:t>
      </w:r>
      <w:r w:rsidR="005A71E0" w:rsidRPr="005A71E0">
        <w:t> </w:t>
      </w:r>
      <w:r w:rsidR="00841623" w:rsidRPr="005A71E0">
        <w:rPr>
          <w:b/>
          <w:bCs/>
        </w:rPr>
        <w:t>30B</w:t>
      </w:r>
      <w:r w:rsidRPr="005A71E0">
        <w:t xml:space="preserve"> del RR</w:t>
      </w:r>
      <w:r w:rsidR="00161335" w:rsidRPr="005A71E0">
        <w:t>, en el sentido de que</w:t>
      </w:r>
      <w:r w:rsidR="00C207FE" w:rsidRPr="005A71E0">
        <w:t xml:space="preserve"> la administración notificante ha de obtener los acuerdos de todas las administraciones cuyos territorios están dentro de la zona de servicio prevista de la asignación a fin de incluirla en la Lista.</w:t>
      </w:r>
    </w:p>
    <w:p w14:paraId="53767FDA" w14:textId="77777777" w:rsidR="00392B76" w:rsidRPr="005A71E0" w:rsidRDefault="00392B76" w:rsidP="004A4AC8">
      <w:pPr>
        <w:pStyle w:val="Reasons"/>
      </w:pPr>
    </w:p>
    <w:p w14:paraId="0413A87D" w14:textId="77777777" w:rsidR="00392B76" w:rsidRPr="005A71E0" w:rsidRDefault="004F3651" w:rsidP="004A4AC8">
      <w:pPr>
        <w:pStyle w:val="Proposal"/>
      </w:pPr>
      <w:r w:rsidRPr="005A71E0">
        <w:tab/>
        <w:t>CAN/14A22/20</w:t>
      </w:r>
    </w:p>
    <w:p w14:paraId="0133722B" w14:textId="69D32738" w:rsidR="00392B76" w:rsidRPr="005A71E0" w:rsidRDefault="0001441F" w:rsidP="004A4AC8">
      <w:r w:rsidRPr="005A71E0">
        <w:t>En la sección</w:t>
      </w:r>
      <w:r w:rsidR="005A71E0" w:rsidRPr="005A71E0">
        <w:t> </w:t>
      </w:r>
      <w:r w:rsidR="00841623" w:rsidRPr="005A71E0">
        <w:t xml:space="preserve">3.2.5.8 </w:t>
      </w:r>
      <w:r w:rsidRPr="005A71E0">
        <w:t>del Addéndum</w:t>
      </w:r>
      <w:r w:rsidR="005A71E0" w:rsidRPr="005A71E0">
        <w:t> </w:t>
      </w:r>
      <w:r w:rsidRPr="005A71E0">
        <w:t>2 al Documento</w:t>
      </w:r>
      <w:r w:rsidR="005A71E0" w:rsidRPr="005A71E0">
        <w:t> </w:t>
      </w:r>
      <w:r w:rsidRPr="005A71E0">
        <w:t xml:space="preserve">4, </w:t>
      </w:r>
      <w:r w:rsidR="00F450BD" w:rsidRPr="005A71E0">
        <w:t>Canadá</w:t>
      </w:r>
      <w:r w:rsidRPr="005A71E0">
        <w:t xml:space="preserve"> apoya la propuesta de la Oficina en relación con las modificaciones del texto </w:t>
      </w:r>
      <w:r w:rsidR="00FB2C34" w:rsidRPr="005A71E0">
        <w:t>del § </w:t>
      </w:r>
      <w:r w:rsidR="00841623" w:rsidRPr="005A71E0">
        <w:rPr>
          <w:bCs/>
        </w:rPr>
        <w:t>6.21</w:t>
      </w:r>
      <w:r w:rsidR="00FB2C34">
        <w:rPr>
          <w:bCs/>
        </w:rPr>
        <w:t xml:space="preserve"> del </w:t>
      </w:r>
      <w:r w:rsidR="00FB2C34" w:rsidRPr="005A71E0">
        <w:t>Apéndice </w:t>
      </w:r>
      <w:r w:rsidRPr="005A71E0">
        <w:rPr>
          <w:b/>
          <w:bCs/>
        </w:rPr>
        <w:t>30B</w:t>
      </w:r>
      <w:r w:rsidRPr="005A71E0">
        <w:rPr>
          <w:bCs/>
        </w:rPr>
        <w:t xml:space="preserve"> del</w:t>
      </w:r>
      <w:r w:rsidR="00841623" w:rsidRPr="005A71E0">
        <w:rPr>
          <w:bCs/>
        </w:rPr>
        <w:t xml:space="preserve"> RR </w:t>
      </w:r>
      <w:r w:rsidRPr="005A71E0">
        <w:rPr>
          <w:bCs/>
        </w:rPr>
        <w:t>a fin de eliminar toda ambigüedad</w:t>
      </w:r>
      <w:r w:rsidR="00841623" w:rsidRPr="005A71E0">
        <w:rPr>
          <w:bCs/>
        </w:rPr>
        <w:t>.</w:t>
      </w:r>
    </w:p>
    <w:p w14:paraId="2DAF9C49" w14:textId="77777777" w:rsidR="00392B76" w:rsidRPr="005A71E0" w:rsidRDefault="00392B76" w:rsidP="004A4AC8">
      <w:pPr>
        <w:pStyle w:val="Reasons"/>
      </w:pPr>
    </w:p>
    <w:p w14:paraId="450B6CFE" w14:textId="77777777" w:rsidR="00392B76" w:rsidRPr="005A71E0" w:rsidRDefault="004F3651" w:rsidP="004A4AC8">
      <w:pPr>
        <w:pStyle w:val="Proposal"/>
      </w:pPr>
      <w:r w:rsidRPr="005A71E0">
        <w:tab/>
        <w:t>CAN/14A22/21</w:t>
      </w:r>
    </w:p>
    <w:p w14:paraId="626134C2" w14:textId="0142556F" w:rsidR="00392B76" w:rsidRPr="005A71E0" w:rsidRDefault="0001441F" w:rsidP="004A4AC8">
      <w:r w:rsidRPr="005A71E0">
        <w:t>Por lo que se refiere a la sección</w:t>
      </w:r>
      <w:r w:rsidR="005A71E0" w:rsidRPr="005A71E0">
        <w:t> </w:t>
      </w:r>
      <w:r w:rsidR="00841623" w:rsidRPr="005A71E0">
        <w:t xml:space="preserve">3.3.1.4 </w:t>
      </w:r>
      <w:r w:rsidRPr="005A71E0">
        <w:t>del Addéndum</w:t>
      </w:r>
      <w:r w:rsidR="005A71E0" w:rsidRPr="005A71E0">
        <w:t> </w:t>
      </w:r>
      <w:r w:rsidRPr="005A71E0">
        <w:t>2 al Documento</w:t>
      </w:r>
      <w:r w:rsidR="005A71E0" w:rsidRPr="005A71E0">
        <w:t> </w:t>
      </w:r>
      <w:r w:rsidRPr="005A71E0">
        <w:t xml:space="preserve">4, </w:t>
      </w:r>
      <w:r w:rsidR="00B21CC7" w:rsidRPr="005A71E0">
        <w:t>antes de introducir alguna de las modificaciones</w:t>
      </w:r>
      <w:r w:rsidR="00841623" w:rsidRPr="005A71E0">
        <w:rPr>
          <w:bCs/>
        </w:rPr>
        <w:t xml:space="preserve"> </w:t>
      </w:r>
      <w:r w:rsidR="00B21CC7" w:rsidRPr="005A71E0">
        <w:rPr>
          <w:bCs/>
        </w:rPr>
        <w:t>propuestas en la</w:t>
      </w:r>
      <w:r w:rsidR="00841623" w:rsidRPr="005A71E0">
        <w:rPr>
          <w:bCs/>
        </w:rPr>
        <w:t xml:space="preserve"> </w:t>
      </w:r>
      <w:r w:rsidR="00B21CC7" w:rsidRPr="005A71E0">
        <w:rPr>
          <w:bCs/>
        </w:rPr>
        <w:t>Resolución</w:t>
      </w:r>
      <w:r w:rsidR="005A71E0" w:rsidRPr="005A71E0">
        <w:rPr>
          <w:bCs/>
        </w:rPr>
        <w:t> </w:t>
      </w:r>
      <w:r w:rsidR="00841623" w:rsidRPr="005A71E0">
        <w:rPr>
          <w:b/>
          <w:bCs/>
        </w:rPr>
        <w:t>49 (Rev.</w:t>
      </w:r>
      <w:r w:rsidR="00E2431D">
        <w:rPr>
          <w:b/>
          <w:bCs/>
        </w:rPr>
        <w:t> </w:t>
      </w:r>
      <w:r w:rsidR="00B21CC7" w:rsidRPr="005A71E0">
        <w:rPr>
          <w:b/>
          <w:bCs/>
        </w:rPr>
        <w:t>CMR</w:t>
      </w:r>
      <w:r w:rsidR="00841623" w:rsidRPr="005A71E0">
        <w:rPr>
          <w:b/>
          <w:bCs/>
        </w:rPr>
        <w:t xml:space="preserve">-15) </w:t>
      </w:r>
      <w:r w:rsidR="00B21CC7" w:rsidRPr="005A71E0">
        <w:rPr>
          <w:bCs/>
        </w:rPr>
        <w:t xml:space="preserve">o en alguna de las disposiciones del Reglamento de Radiocomunicaciones, </w:t>
      </w:r>
      <w:r w:rsidR="00F450BD" w:rsidRPr="005A71E0">
        <w:t>Canadá</w:t>
      </w:r>
      <w:r w:rsidR="00B21CC7" w:rsidRPr="005A71E0">
        <w:t xml:space="preserve"> considera necesario examinar el asunto con mayor detenimiento durante el próximo ciclo de estudios del UIT-R</w:t>
      </w:r>
      <w:r w:rsidR="00841623" w:rsidRPr="005A71E0">
        <w:rPr>
          <w:bCs/>
        </w:rPr>
        <w:t>.</w:t>
      </w:r>
      <w:r w:rsidR="00B21CC7" w:rsidRPr="005A71E0">
        <w:rPr>
          <w:bCs/>
        </w:rPr>
        <w:t xml:space="preserve"> Este asunto podría identificarse como nuevo tema en el marco del punto</w:t>
      </w:r>
      <w:r w:rsidR="005A71E0" w:rsidRPr="005A71E0">
        <w:rPr>
          <w:bCs/>
        </w:rPr>
        <w:t> </w:t>
      </w:r>
      <w:r w:rsidR="00B21CC7" w:rsidRPr="005A71E0">
        <w:rPr>
          <w:bCs/>
        </w:rPr>
        <w:t>7 del orden del día de la CMR</w:t>
      </w:r>
      <w:r w:rsidR="00841623" w:rsidRPr="005A71E0">
        <w:rPr>
          <w:bCs/>
        </w:rPr>
        <w:t>-23.</w:t>
      </w:r>
    </w:p>
    <w:p w14:paraId="4631EEF6" w14:textId="77777777" w:rsidR="00392B76" w:rsidRPr="005A71E0" w:rsidRDefault="00392B76" w:rsidP="004A4AC8">
      <w:pPr>
        <w:pStyle w:val="Reasons"/>
      </w:pPr>
    </w:p>
    <w:p w14:paraId="04A93035" w14:textId="77777777" w:rsidR="00392B76" w:rsidRPr="005A71E0" w:rsidRDefault="004F3651" w:rsidP="004A4AC8">
      <w:pPr>
        <w:pStyle w:val="Proposal"/>
      </w:pPr>
      <w:r w:rsidRPr="005A71E0">
        <w:lastRenderedPageBreak/>
        <w:tab/>
        <w:t>CAN/14A22/22</w:t>
      </w:r>
    </w:p>
    <w:p w14:paraId="69AB16C0" w14:textId="49E54C73" w:rsidR="00392B76" w:rsidRPr="005A71E0" w:rsidRDefault="00B21CC7" w:rsidP="004A4AC8">
      <w:r w:rsidRPr="005A71E0">
        <w:t>En la sección</w:t>
      </w:r>
      <w:r w:rsidR="005A71E0" w:rsidRPr="005A71E0">
        <w:t> </w:t>
      </w:r>
      <w:r w:rsidR="004F3651" w:rsidRPr="005A71E0">
        <w:t xml:space="preserve">3.3.2 </w:t>
      </w:r>
      <w:r w:rsidRPr="005A71E0">
        <w:t>del Addéndum</w:t>
      </w:r>
      <w:r w:rsidR="005A71E0" w:rsidRPr="005A71E0">
        <w:t> </w:t>
      </w:r>
      <w:r w:rsidRPr="005A71E0">
        <w:t>2 al Documento</w:t>
      </w:r>
      <w:r w:rsidR="005A71E0" w:rsidRPr="005A71E0">
        <w:t> </w:t>
      </w:r>
      <w:r w:rsidRPr="005A71E0">
        <w:t xml:space="preserve">4, </w:t>
      </w:r>
      <w:r w:rsidR="00F450BD" w:rsidRPr="005A71E0">
        <w:t>Canadá</w:t>
      </w:r>
      <w:r w:rsidRPr="005A71E0">
        <w:t xml:space="preserve"> apoya la propuesta de la Oficina de modificar el</w:t>
      </w:r>
      <w:r w:rsidR="004F3651" w:rsidRPr="005A71E0">
        <w:rPr>
          <w:i/>
        </w:rPr>
        <w:t xml:space="preserve"> </w:t>
      </w:r>
      <w:r w:rsidRPr="005A71E0">
        <w:rPr>
          <w:i/>
        </w:rPr>
        <w:t>resuelve</w:t>
      </w:r>
      <w:r w:rsidR="005A71E0" w:rsidRPr="005A71E0">
        <w:rPr>
          <w:i/>
        </w:rPr>
        <w:t> </w:t>
      </w:r>
      <w:r w:rsidR="004F3651" w:rsidRPr="005A71E0">
        <w:t xml:space="preserve">6 </w:t>
      </w:r>
      <w:r w:rsidRPr="005A71E0">
        <w:t>de la Resolución</w:t>
      </w:r>
      <w:r w:rsidR="005A71E0" w:rsidRPr="005A71E0">
        <w:t> </w:t>
      </w:r>
      <w:r w:rsidR="004F3651" w:rsidRPr="005A71E0">
        <w:rPr>
          <w:b/>
        </w:rPr>
        <w:t xml:space="preserve">55 </w:t>
      </w:r>
      <w:r w:rsidR="004F3651" w:rsidRPr="005A71E0">
        <w:rPr>
          <w:b/>
          <w:bCs/>
        </w:rPr>
        <w:t>(Rev.</w:t>
      </w:r>
      <w:r w:rsidR="00BB1B0B">
        <w:rPr>
          <w:b/>
          <w:bCs/>
        </w:rPr>
        <w:t> </w:t>
      </w:r>
      <w:r w:rsidRPr="005A71E0">
        <w:rPr>
          <w:b/>
          <w:bCs/>
        </w:rPr>
        <w:t>CMR</w:t>
      </w:r>
      <w:r w:rsidR="004F3651" w:rsidRPr="005A71E0">
        <w:rPr>
          <w:b/>
          <w:bCs/>
        </w:rPr>
        <w:t>-15)</w:t>
      </w:r>
      <w:r w:rsidRPr="005A71E0">
        <w:t xml:space="preserve"> mediante la supresión de la última frase, «no obstante, siguen aceptándose los gráficos enviados en formato impreso»</w:t>
      </w:r>
      <w:r w:rsidR="004F3651" w:rsidRPr="005A71E0">
        <w:t>.</w:t>
      </w:r>
    </w:p>
    <w:p w14:paraId="6394B81D" w14:textId="77777777" w:rsidR="00392B76" w:rsidRPr="005A71E0" w:rsidRDefault="00392B76" w:rsidP="004A4AC8">
      <w:pPr>
        <w:pStyle w:val="Reasons"/>
      </w:pPr>
    </w:p>
    <w:p w14:paraId="5B680DBF" w14:textId="77777777" w:rsidR="00392B76" w:rsidRPr="005A71E0" w:rsidRDefault="004F3651" w:rsidP="004A4AC8">
      <w:pPr>
        <w:pStyle w:val="Proposal"/>
      </w:pPr>
      <w:r w:rsidRPr="005A71E0">
        <w:tab/>
        <w:t>CAN/14A22/23</w:t>
      </w:r>
    </w:p>
    <w:p w14:paraId="41E430BA" w14:textId="78659F66" w:rsidR="00392B76" w:rsidRPr="005A71E0" w:rsidRDefault="006B2063" w:rsidP="004A4AC8">
      <w:r w:rsidRPr="005A71E0">
        <w:rPr>
          <w:lang w:eastAsia="zh-CN"/>
        </w:rPr>
        <w:t>En cuanto a la sección</w:t>
      </w:r>
      <w:r w:rsidR="005A71E0" w:rsidRPr="005A71E0">
        <w:t> </w:t>
      </w:r>
      <w:r w:rsidRPr="005A71E0">
        <w:rPr>
          <w:lang w:eastAsia="zh-CN"/>
        </w:rPr>
        <w:t>3.4.1</w:t>
      </w:r>
      <w:r w:rsidRPr="005A71E0">
        <w:t xml:space="preserve"> del Addéndum</w:t>
      </w:r>
      <w:r w:rsidR="005A71E0" w:rsidRPr="005A71E0">
        <w:t> </w:t>
      </w:r>
      <w:r w:rsidRPr="005A71E0">
        <w:t>2 al Documento</w:t>
      </w:r>
      <w:r w:rsidR="005A71E0" w:rsidRPr="005A71E0">
        <w:t> </w:t>
      </w:r>
      <w:r w:rsidRPr="005A71E0">
        <w:t xml:space="preserve">4, </w:t>
      </w:r>
      <w:r w:rsidR="00F450BD" w:rsidRPr="005A71E0">
        <w:t>Canadá</w:t>
      </w:r>
      <w:r w:rsidRPr="005A71E0">
        <w:rPr>
          <w:lang w:eastAsia="zh-CN"/>
        </w:rPr>
        <w:t xml:space="preserve"> está a favor de </w:t>
      </w:r>
      <w:r w:rsidR="004F3651" w:rsidRPr="005A71E0">
        <w:t>encargar a la Oficina que simule el examen de las notificaciones del número</w:t>
      </w:r>
      <w:r w:rsidR="005A71E0" w:rsidRPr="005A71E0">
        <w:t> </w:t>
      </w:r>
      <w:r w:rsidR="004F3651" w:rsidRPr="005A71E0">
        <w:rPr>
          <w:b/>
          <w:bCs/>
        </w:rPr>
        <w:t>9.21</w:t>
      </w:r>
      <w:r w:rsidR="004F3651" w:rsidRPr="005A71E0">
        <w:t xml:space="preserve"> del RR en las bandas no planificadas utilizando modelos de elevación digital (DEM) y notifique los resultados a la Junta del Reglamento de Radiocomunicaciones. La Junta podría decidir ulteriormente, mediante las Reglas de Procedimiento pertinentes, utilizar los datos del terreno en los exámenes del número</w:t>
      </w:r>
      <w:r w:rsidR="005A71E0" w:rsidRPr="005A71E0">
        <w:t> </w:t>
      </w:r>
      <w:r w:rsidR="004F3651" w:rsidRPr="005A71E0">
        <w:rPr>
          <w:b/>
          <w:bCs/>
        </w:rPr>
        <w:t>9.21</w:t>
      </w:r>
      <w:r w:rsidR="004F3651" w:rsidRPr="005A71E0">
        <w:t xml:space="preserve"> del RR e informar a la próxima CMR.</w:t>
      </w:r>
    </w:p>
    <w:p w14:paraId="6A2E2F54" w14:textId="77777777" w:rsidR="00392B76" w:rsidRPr="005A71E0" w:rsidRDefault="00392B76" w:rsidP="004A4AC8">
      <w:pPr>
        <w:pStyle w:val="Reasons"/>
      </w:pPr>
    </w:p>
    <w:p w14:paraId="08DA889A" w14:textId="77777777" w:rsidR="00392B76" w:rsidRPr="005A71E0" w:rsidRDefault="004F3651" w:rsidP="004A4AC8">
      <w:pPr>
        <w:pStyle w:val="Proposal"/>
      </w:pPr>
      <w:r w:rsidRPr="005A71E0">
        <w:tab/>
        <w:t>CAN/14A22/24</w:t>
      </w:r>
    </w:p>
    <w:p w14:paraId="42B742AE" w14:textId="06090EA9" w:rsidR="00392B76" w:rsidRPr="005A71E0" w:rsidRDefault="0069473E" w:rsidP="004A4AC8">
      <w:r w:rsidRPr="005A71E0">
        <w:t>En la sección</w:t>
      </w:r>
      <w:r w:rsidR="005A71E0" w:rsidRPr="005A71E0">
        <w:t> </w:t>
      </w:r>
      <w:r w:rsidR="004F3651" w:rsidRPr="005A71E0">
        <w:t xml:space="preserve">3.4.3 </w:t>
      </w:r>
      <w:r w:rsidRPr="005A71E0">
        <w:t>del Addéndum</w:t>
      </w:r>
      <w:r w:rsidR="005A71E0" w:rsidRPr="005A71E0">
        <w:t> </w:t>
      </w:r>
      <w:r w:rsidRPr="005A71E0">
        <w:t>2 al Documento</w:t>
      </w:r>
      <w:r w:rsidR="005A71E0" w:rsidRPr="005A71E0">
        <w:t> </w:t>
      </w:r>
      <w:r w:rsidRPr="005A71E0">
        <w:t xml:space="preserve">4, </w:t>
      </w:r>
      <w:r w:rsidR="00F450BD" w:rsidRPr="005A71E0">
        <w:t>Canadá</w:t>
      </w:r>
      <w:r w:rsidRPr="005A71E0">
        <w:rPr>
          <w:lang w:eastAsia="zh-CN"/>
        </w:rPr>
        <w:t xml:space="preserve"> está a favor de que la Conferencia invite al </w:t>
      </w:r>
      <w:r w:rsidRPr="005A71E0">
        <w:t>UIT</w:t>
      </w:r>
      <w:r w:rsidR="004F3651" w:rsidRPr="005A71E0">
        <w:t>-R</w:t>
      </w:r>
      <w:r w:rsidRPr="005A71E0">
        <w:t xml:space="preserve"> a </w:t>
      </w:r>
      <w:r w:rsidR="00102B8D" w:rsidRPr="005A71E0">
        <w:t xml:space="preserve">que </w:t>
      </w:r>
      <w:r w:rsidRPr="005A71E0">
        <w:t>revis</w:t>
      </w:r>
      <w:r w:rsidR="00102B8D" w:rsidRPr="005A71E0">
        <w:t>e</w:t>
      </w:r>
      <w:r w:rsidRPr="005A71E0">
        <w:t xml:space="preserve"> esos parámetros en el próximo ciclo de estudios y a </w:t>
      </w:r>
      <w:r w:rsidR="00102B8D" w:rsidRPr="005A71E0">
        <w:t xml:space="preserve">que </w:t>
      </w:r>
      <w:r w:rsidRPr="005A71E0">
        <w:t>proporcion</w:t>
      </w:r>
      <w:r w:rsidR="00102B8D" w:rsidRPr="005A71E0">
        <w:t>e</w:t>
      </w:r>
      <w:r w:rsidRPr="005A71E0">
        <w:t xml:space="preserve"> las orientaciones pertinentes a la Oficina</w:t>
      </w:r>
      <w:r w:rsidR="004F3651" w:rsidRPr="005A71E0">
        <w:t>.</w:t>
      </w:r>
    </w:p>
    <w:p w14:paraId="1803FDEF" w14:textId="1277EFD7" w:rsidR="004F3651" w:rsidRPr="005A71E0" w:rsidRDefault="004F3651" w:rsidP="004A4AC8">
      <w:pPr>
        <w:pStyle w:val="Reasons"/>
      </w:pPr>
      <w:bookmarkStart w:id="6" w:name="_GoBack"/>
      <w:bookmarkEnd w:id="6"/>
    </w:p>
    <w:p w14:paraId="6C317F5B" w14:textId="77777777" w:rsidR="004F3651" w:rsidRPr="005A71E0" w:rsidRDefault="004F3651" w:rsidP="004A4AC8">
      <w:pPr>
        <w:jc w:val="center"/>
      </w:pPr>
      <w:r w:rsidRPr="005A71E0">
        <w:t>______________</w:t>
      </w:r>
    </w:p>
    <w:sectPr w:rsidR="004F3651" w:rsidRPr="005A71E0">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1B660" w14:textId="77777777" w:rsidR="003C0613" w:rsidRDefault="003C0613">
      <w:r>
        <w:separator/>
      </w:r>
    </w:p>
  </w:endnote>
  <w:endnote w:type="continuationSeparator" w:id="0">
    <w:p w14:paraId="124E631C"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D74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BF3B7" w14:textId="4B2B2898" w:rsidR="0077084A" w:rsidRPr="00601C88" w:rsidRDefault="0077084A">
    <w:pPr>
      <w:ind w:right="360"/>
    </w:pPr>
    <w:r>
      <w:fldChar w:fldCharType="begin"/>
    </w:r>
    <w:r w:rsidRPr="00601C88">
      <w:instrText xml:space="preserve"> FILENAME \p  \* MERGEFORMAT </w:instrText>
    </w:r>
    <w:r>
      <w:fldChar w:fldCharType="separate"/>
    </w:r>
    <w:r w:rsidR="00601C88">
      <w:rPr>
        <w:noProof/>
      </w:rPr>
      <w:t>P:\ESP\ITU-R\CONF-R\CMR19\000\014ADD22S.docx</w:t>
    </w:r>
    <w:r>
      <w:fldChar w:fldCharType="end"/>
    </w:r>
    <w:r w:rsidRPr="00601C88">
      <w:tab/>
    </w:r>
    <w:r>
      <w:fldChar w:fldCharType="begin"/>
    </w:r>
    <w:r>
      <w:instrText xml:space="preserve"> SAVEDATE \@ DD.MM.YY </w:instrText>
    </w:r>
    <w:r>
      <w:fldChar w:fldCharType="separate"/>
    </w:r>
    <w:r w:rsidR="00601C88">
      <w:rPr>
        <w:noProof/>
      </w:rPr>
      <w:t>17.10.19</w:t>
    </w:r>
    <w:r>
      <w:fldChar w:fldCharType="end"/>
    </w:r>
    <w:r w:rsidRPr="00601C88">
      <w:tab/>
    </w:r>
    <w:r>
      <w:fldChar w:fldCharType="begin"/>
    </w:r>
    <w:r>
      <w:instrText xml:space="preserve"> PRINTDATE \@ DD.MM.YY </w:instrText>
    </w:r>
    <w:r>
      <w:fldChar w:fldCharType="separate"/>
    </w:r>
    <w:r w:rsidR="00601C88">
      <w:rPr>
        <w:noProof/>
      </w:rPr>
      <w:t>21.10.19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8CDF" w14:textId="62B1A0B7" w:rsidR="009B2914" w:rsidRPr="009B2914" w:rsidRDefault="009B2914" w:rsidP="009B2914">
    <w:pPr>
      <w:pStyle w:val="Footer"/>
      <w:rPr>
        <w:lang w:val="en-US"/>
      </w:rPr>
    </w:pPr>
    <w:r>
      <w:fldChar w:fldCharType="begin"/>
    </w:r>
    <w:r>
      <w:rPr>
        <w:lang w:val="en-US"/>
      </w:rPr>
      <w:instrText xml:space="preserve"> FILENAME \p  \* MERGEFORMAT </w:instrText>
    </w:r>
    <w:r>
      <w:fldChar w:fldCharType="separate"/>
    </w:r>
    <w:r w:rsidR="0029253D">
      <w:rPr>
        <w:lang w:val="en-US"/>
      </w:rPr>
      <w:t>P:\ESP\ITU-R\CONF-R\CMR19\000\014ADD22S.docx</w:t>
    </w:r>
    <w:r>
      <w:fldChar w:fldCharType="end"/>
    </w:r>
    <w:r w:rsidRPr="009B2914">
      <w:rPr>
        <w:lang w:val="en-US"/>
      </w:rPr>
      <w:t xml:space="preserve"> </w:t>
    </w:r>
    <w:r>
      <w:rPr>
        <w:lang w:val="en-US"/>
      </w:rPr>
      <w:t>(462251)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6DCC" w14:textId="195F0309" w:rsidR="0077084A" w:rsidRPr="009B2914" w:rsidRDefault="0077084A" w:rsidP="00B47331">
    <w:pPr>
      <w:pStyle w:val="Footer"/>
      <w:rPr>
        <w:lang w:val="en-US"/>
      </w:rPr>
    </w:pPr>
    <w:r>
      <w:fldChar w:fldCharType="begin"/>
    </w:r>
    <w:r>
      <w:rPr>
        <w:lang w:val="en-US"/>
      </w:rPr>
      <w:instrText xml:space="preserve"> FILENAME \p  \* MERGEFORMAT </w:instrText>
    </w:r>
    <w:r>
      <w:fldChar w:fldCharType="separate"/>
    </w:r>
    <w:r w:rsidR="0029253D">
      <w:rPr>
        <w:lang w:val="en-US"/>
      </w:rPr>
      <w:t>P:\ESP\ITU-R\CONF-R\CMR19\000\014ADD22S.docx</w:t>
    </w:r>
    <w:r>
      <w:fldChar w:fldCharType="end"/>
    </w:r>
    <w:r w:rsidR="009B2914" w:rsidRPr="009B2914">
      <w:rPr>
        <w:lang w:val="en-US"/>
      </w:rPr>
      <w:t xml:space="preserve"> </w:t>
    </w:r>
    <w:r w:rsidR="009B2914">
      <w:rPr>
        <w:lang w:val="en-US"/>
      </w:rPr>
      <w:t>(462251)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756F1" w14:textId="77777777" w:rsidR="003C0613" w:rsidRDefault="003C0613">
      <w:r>
        <w:rPr>
          <w:b/>
        </w:rPr>
        <w:t>_______________</w:t>
      </w:r>
    </w:p>
  </w:footnote>
  <w:footnote w:type="continuationSeparator" w:id="0">
    <w:p w14:paraId="3755FEA7" w14:textId="77777777" w:rsidR="003C0613" w:rsidRDefault="003C0613">
      <w:r>
        <w:continuationSeparator/>
      </w:r>
    </w:p>
  </w:footnote>
  <w:footnote w:id="1">
    <w:p w14:paraId="027CF4F3" w14:textId="77777777" w:rsidR="0051418C" w:rsidRDefault="004F3651"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894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068BA">
      <w:rPr>
        <w:rStyle w:val="PageNumber"/>
        <w:noProof/>
      </w:rPr>
      <w:t>8</w:t>
    </w:r>
    <w:r>
      <w:rPr>
        <w:rStyle w:val="PageNumber"/>
      </w:rPr>
      <w:fldChar w:fldCharType="end"/>
    </w:r>
  </w:p>
  <w:p w14:paraId="426087B7" w14:textId="77777777" w:rsidR="0077084A" w:rsidRDefault="008750A8" w:rsidP="00C44E9E">
    <w:pPr>
      <w:pStyle w:val="Header"/>
      <w:rPr>
        <w:lang w:val="en-US"/>
      </w:rPr>
    </w:pPr>
    <w:r>
      <w:rPr>
        <w:lang w:val="en-US"/>
      </w:rPr>
      <w:t>CMR1</w:t>
    </w:r>
    <w:r w:rsidR="00C44E9E">
      <w:rPr>
        <w:lang w:val="en-US"/>
      </w:rPr>
      <w:t>9</w:t>
    </w:r>
    <w:r>
      <w:rPr>
        <w:lang w:val="en-US"/>
      </w:rPr>
      <w:t>/</w:t>
    </w:r>
    <w:r w:rsidR="00702F3D">
      <w:t>14(Add.22)-</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441F"/>
    <w:rsid w:val="0002785D"/>
    <w:rsid w:val="000669EC"/>
    <w:rsid w:val="0007328A"/>
    <w:rsid w:val="00077B7A"/>
    <w:rsid w:val="00087AE8"/>
    <w:rsid w:val="000A5B9A"/>
    <w:rsid w:val="000E53CF"/>
    <w:rsid w:val="000E5BF9"/>
    <w:rsid w:val="000F0E6D"/>
    <w:rsid w:val="00102B8D"/>
    <w:rsid w:val="00121170"/>
    <w:rsid w:val="00123CC5"/>
    <w:rsid w:val="001428F8"/>
    <w:rsid w:val="0015142D"/>
    <w:rsid w:val="00161335"/>
    <w:rsid w:val="001616DC"/>
    <w:rsid w:val="00163962"/>
    <w:rsid w:val="00191A97"/>
    <w:rsid w:val="0019729C"/>
    <w:rsid w:val="001A083F"/>
    <w:rsid w:val="001C41FA"/>
    <w:rsid w:val="001E2B52"/>
    <w:rsid w:val="001E3F27"/>
    <w:rsid w:val="001E7D42"/>
    <w:rsid w:val="001F6244"/>
    <w:rsid w:val="0023659C"/>
    <w:rsid w:val="00236D2A"/>
    <w:rsid w:val="0024569E"/>
    <w:rsid w:val="00255F12"/>
    <w:rsid w:val="00262C09"/>
    <w:rsid w:val="0029253D"/>
    <w:rsid w:val="002A791F"/>
    <w:rsid w:val="002C1A52"/>
    <w:rsid w:val="002C1B26"/>
    <w:rsid w:val="002C5D6C"/>
    <w:rsid w:val="002D2AAE"/>
    <w:rsid w:val="002E701F"/>
    <w:rsid w:val="0030419A"/>
    <w:rsid w:val="003248A9"/>
    <w:rsid w:val="00324FFA"/>
    <w:rsid w:val="0032680B"/>
    <w:rsid w:val="00346FCE"/>
    <w:rsid w:val="00363A65"/>
    <w:rsid w:val="00376A62"/>
    <w:rsid w:val="00392B76"/>
    <w:rsid w:val="003B1E8C"/>
    <w:rsid w:val="003C0613"/>
    <w:rsid w:val="003C2508"/>
    <w:rsid w:val="003D0AA3"/>
    <w:rsid w:val="003E2086"/>
    <w:rsid w:val="003F16E3"/>
    <w:rsid w:val="003F7F66"/>
    <w:rsid w:val="00433DF0"/>
    <w:rsid w:val="00440B3A"/>
    <w:rsid w:val="0044375A"/>
    <w:rsid w:val="0045384C"/>
    <w:rsid w:val="00454553"/>
    <w:rsid w:val="00472A86"/>
    <w:rsid w:val="004A4AC8"/>
    <w:rsid w:val="004B124A"/>
    <w:rsid w:val="004B3095"/>
    <w:rsid w:val="004C0648"/>
    <w:rsid w:val="004D2C7C"/>
    <w:rsid w:val="004F3651"/>
    <w:rsid w:val="005133B5"/>
    <w:rsid w:val="00524392"/>
    <w:rsid w:val="00532097"/>
    <w:rsid w:val="005344DF"/>
    <w:rsid w:val="00565E6F"/>
    <w:rsid w:val="00575700"/>
    <w:rsid w:val="0058350F"/>
    <w:rsid w:val="00583C7E"/>
    <w:rsid w:val="0059098E"/>
    <w:rsid w:val="005A250D"/>
    <w:rsid w:val="005A71E0"/>
    <w:rsid w:val="005D33F2"/>
    <w:rsid w:val="005D46FB"/>
    <w:rsid w:val="005F2605"/>
    <w:rsid w:val="005F3B0E"/>
    <w:rsid w:val="005F3DB8"/>
    <w:rsid w:val="005F559C"/>
    <w:rsid w:val="00601C88"/>
    <w:rsid w:val="00602857"/>
    <w:rsid w:val="00604F75"/>
    <w:rsid w:val="006068BA"/>
    <w:rsid w:val="006124AD"/>
    <w:rsid w:val="00624009"/>
    <w:rsid w:val="00662BA0"/>
    <w:rsid w:val="00671C19"/>
    <w:rsid w:val="0067344B"/>
    <w:rsid w:val="006804FD"/>
    <w:rsid w:val="00684A94"/>
    <w:rsid w:val="00692AAE"/>
    <w:rsid w:val="0069473E"/>
    <w:rsid w:val="006B2063"/>
    <w:rsid w:val="006C0E38"/>
    <w:rsid w:val="006D6E67"/>
    <w:rsid w:val="006E1A13"/>
    <w:rsid w:val="00701C20"/>
    <w:rsid w:val="00702F3D"/>
    <w:rsid w:val="0070518E"/>
    <w:rsid w:val="00720838"/>
    <w:rsid w:val="00723C5C"/>
    <w:rsid w:val="007354E9"/>
    <w:rsid w:val="007424E8"/>
    <w:rsid w:val="0074579D"/>
    <w:rsid w:val="00760D1D"/>
    <w:rsid w:val="00765578"/>
    <w:rsid w:val="00766333"/>
    <w:rsid w:val="007667C6"/>
    <w:rsid w:val="0077084A"/>
    <w:rsid w:val="007952C7"/>
    <w:rsid w:val="007C0B95"/>
    <w:rsid w:val="007C2317"/>
    <w:rsid w:val="007D330A"/>
    <w:rsid w:val="007E2E00"/>
    <w:rsid w:val="00841623"/>
    <w:rsid w:val="00856309"/>
    <w:rsid w:val="00866AE6"/>
    <w:rsid w:val="008750A8"/>
    <w:rsid w:val="008D3316"/>
    <w:rsid w:val="008E12C9"/>
    <w:rsid w:val="008E5AF2"/>
    <w:rsid w:val="008F04E4"/>
    <w:rsid w:val="0090121B"/>
    <w:rsid w:val="009144C9"/>
    <w:rsid w:val="0094091F"/>
    <w:rsid w:val="00962171"/>
    <w:rsid w:val="00973754"/>
    <w:rsid w:val="009B2914"/>
    <w:rsid w:val="009C0BED"/>
    <w:rsid w:val="009E11EC"/>
    <w:rsid w:val="00A021CC"/>
    <w:rsid w:val="00A118DB"/>
    <w:rsid w:val="00A4450C"/>
    <w:rsid w:val="00A6026B"/>
    <w:rsid w:val="00AA5E6C"/>
    <w:rsid w:val="00AE5677"/>
    <w:rsid w:val="00AE658F"/>
    <w:rsid w:val="00AF2F78"/>
    <w:rsid w:val="00B059BE"/>
    <w:rsid w:val="00B21CC7"/>
    <w:rsid w:val="00B239FA"/>
    <w:rsid w:val="00B372AB"/>
    <w:rsid w:val="00B47331"/>
    <w:rsid w:val="00B52D55"/>
    <w:rsid w:val="00B564BE"/>
    <w:rsid w:val="00B8288C"/>
    <w:rsid w:val="00B86034"/>
    <w:rsid w:val="00BB1B0B"/>
    <w:rsid w:val="00BE2E80"/>
    <w:rsid w:val="00BE5EDD"/>
    <w:rsid w:val="00BE6A1F"/>
    <w:rsid w:val="00C126C4"/>
    <w:rsid w:val="00C207FE"/>
    <w:rsid w:val="00C44E9E"/>
    <w:rsid w:val="00C63EB5"/>
    <w:rsid w:val="00C87DA7"/>
    <w:rsid w:val="00CC01E0"/>
    <w:rsid w:val="00CD5FEE"/>
    <w:rsid w:val="00CE60D2"/>
    <w:rsid w:val="00CE7431"/>
    <w:rsid w:val="00D00CA8"/>
    <w:rsid w:val="00D0288A"/>
    <w:rsid w:val="00D72A5D"/>
    <w:rsid w:val="00DA71A3"/>
    <w:rsid w:val="00DC629B"/>
    <w:rsid w:val="00DE1C31"/>
    <w:rsid w:val="00E05BFF"/>
    <w:rsid w:val="00E2431D"/>
    <w:rsid w:val="00E262F1"/>
    <w:rsid w:val="00E3176A"/>
    <w:rsid w:val="00E36CE4"/>
    <w:rsid w:val="00E54754"/>
    <w:rsid w:val="00E56BD3"/>
    <w:rsid w:val="00E670C7"/>
    <w:rsid w:val="00E71D14"/>
    <w:rsid w:val="00EA77F0"/>
    <w:rsid w:val="00ED072E"/>
    <w:rsid w:val="00EF4A97"/>
    <w:rsid w:val="00F32316"/>
    <w:rsid w:val="00F412EF"/>
    <w:rsid w:val="00F450BD"/>
    <w:rsid w:val="00F66597"/>
    <w:rsid w:val="00F675D0"/>
    <w:rsid w:val="00F8150C"/>
    <w:rsid w:val="00FB2C34"/>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5783C5"/>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nhideWhenUsed/>
    <w:rsid w:val="00B564BE"/>
    <w:rPr>
      <w:color w:val="0000FF" w:themeColor="hyperlink"/>
      <w:u w:val="single"/>
    </w:rPr>
  </w:style>
  <w:style w:type="character" w:customStyle="1" w:styleId="UnresolvedMention1">
    <w:name w:val="Unresolved Mention1"/>
    <w:basedOn w:val="DefaultParagraphFont"/>
    <w:uiPriority w:val="99"/>
    <w:semiHidden/>
    <w:unhideWhenUsed/>
    <w:rsid w:val="00B564BE"/>
    <w:rPr>
      <w:color w:val="605E5C"/>
      <w:shd w:val="clear" w:color="auto" w:fill="E1DFDD"/>
    </w:rPr>
  </w:style>
  <w:style w:type="character" w:styleId="FollowedHyperlink">
    <w:name w:val="FollowedHyperlink"/>
    <w:basedOn w:val="DefaultParagraphFont"/>
    <w:semiHidden/>
    <w:unhideWhenUsed/>
    <w:rsid w:val="007E2E00"/>
    <w:rPr>
      <w:color w:val="800080" w:themeColor="followedHyperlink"/>
      <w:u w:val="single"/>
    </w:rPr>
  </w:style>
  <w:style w:type="paragraph" w:styleId="BalloonText">
    <w:name w:val="Balloon Text"/>
    <w:basedOn w:val="Normal"/>
    <w:link w:val="BalloonTextChar"/>
    <w:semiHidden/>
    <w:unhideWhenUsed/>
    <w:rsid w:val="00376A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76A6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R16-WRC19-C-0014!A22!MSW-S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7D7D1BC6-098C-4ED6-825A-835D7C982B1F}">
  <ds:schemaRefs>
    <ds:schemaRef ds:uri="http://schemas.microsoft.com/office/infopath/2007/PartnerControls"/>
    <ds:schemaRef ds:uri="http://schemas.microsoft.com/office/2006/documentManagement/types"/>
    <ds:schemaRef ds:uri="996b2e75-67fd-4955-a3b0-5ab9934cb50b"/>
    <ds:schemaRef ds:uri="http://schemas.microsoft.com/office/2006/metadata/properties"/>
    <ds:schemaRef ds:uri="http://purl.org/dc/terms/"/>
    <ds:schemaRef ds:uri="http://purl.org/dc/elements/1.1/"/>
    <ds:schemaRef ds:uri="32a1a8c5-2265-4ebc-b7a0-2071e2c5c9b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7AC27A-5EEB-459C-A729-ACC95854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2084</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R16-WRC19-C-0014!A22!MSW-S</vt:lpstr>
    </vt:vector>
  </TitlesOfParts>
  <Manager>Secretaría General - Pool</Manager>
  <Company>Unión Internacional de Telecomunicaciones (UIT)</Company>
  <LinksUpToDate>false</LinksUpToDate>
  <CharactersWithSpaces>12446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R16-WRC19-C-0014!A22!MSW-S</dc:title>
  <dc:subject>Conferencia Mundial de Radiocomunicaciones - 2019</dc:subject>
  <dc:creator>Documents Proposals Manager (DPM)</dc:creator>
  <cp:keywords>DPM_v2019.10.15.2_prod</cp:keywords>
  <dc:description/>
  <cp:lastModifiedBy>Spanish</cp:lastModifiedBy>
  <cp:revision>9</cp:revision>
  <cp:lastPrinted>2019-10-21T13:06:00Z</cp:lastPrinted>
  <dcterms:created xsi:type="dcterms:W3CDTF">2019-10-17T15:45:00Z</dcterms:created>
  <dcterms:modified xsi:type="dcterms:W3CDTF">2019-10-21T14:21:00Z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