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33FF0" w14:paraId="0FD18A87" w14:textId="77777777">
        <w:trPr>
          <w:cantSplit/>
        </w:trPr>
        <w:tc>
          <w:tcPr>
            <w:tcW w:w="6911" w:type="dxa"/>
          </w:tcPr>
          <w:p w14:paraId="21B61160" w14:textId="77777777" w:rsidR="00A066F1" w:rsidRPr="00C33FF0" w:rsidRDefault="00241FA2" w:rsidP="00116C7A">
            <w:pPr>
              <w:spacing w:before="400" w:after="48" w:line="240" w:lineRule="atLeast"/>
              <w:rPr>
                <w:rFonts w:ascii="Verdana" w:hAnsi="Verdana"/>
                <w:position w:val="6"/>
              </w:rPr>
            </w:pPr>
            <w:r w:rsidRPr="00C33FF0">
              <w:rPr>
                <w:rFonts w:ascii="Verdana" w:hAnsi="Verdana" w:cs="Times"/>
                <w:b/>
                <w:position w:val="6"/>
                <w:sz w:val="22"/>
                <w:szCs w:val="22"/>
              </w:rPr>
              <w:t>World Radiocommunication Conference (WRC-1</w:t>
            </w:r>
            <w:r w:rsidR="000E463E" w:rsidRPr="00C33FF0">
              <w:rPr>
                <w:rFonts w:ascii="Verdana" w:hAnsi="Verdana" w:cs="Times"/>
                <w:b/>
                <w:position w:val="6"/>
                <w:sz w:val="22"/>
                <w:szCs w:val="22"/>
              </w:rPr>
              <w:t>9</w:t>
            </w:r>
            <w:r w:rsidRPr="00C33FF0">
              <w:rPr>
                <w:rFonts w:ascii="Verdana" w:hAnsi="Verdana" w:cs="Times"/>
                <w:b/>
                <w:position w:val="6"/>
                <w:sz w:val="22"/>
                <w:szCs w:val="22"/>
              </w:rPr>
              <w:t>)</w:t>
            </w:r>
            <w:r w:rsidRPr="00C33FF0">
              <w:rPr>
                <w:rFonts w:ascii="Verdana" w:hAnsi="Verdana" w:cs="Times"/>
                <w:b/>
                <w:position w:val="6"/>
                <w:sz w:val="26"/>
                <w:szCs w:val="26"/>
              </w:rPr>
              <w:br/>
            </w:r>
            <w:r w:rsidR="00116C7A" w:rsidRPr="00C33FF0">
              <w:rPr>
                <w:rFonts w:ascii="Verdana" w:hAnsi="Verdana"/>
                <w:b/>
                <w:bCs/>
                <w:position w:val="6"/>
                <w:sz w:val="18"/>
                <w:szCs w:val="18"/>
              </w:rPr>
              <w:t>Sharm el-Sheikh, Egypt</w:t>
            </w:r>
            <w:r w:rsidRPr="00C33FF0">
              <w:rPr>
                <w:rFonts w:ascii="Verdana" w:hAnsi="Verdana"/>
                <w:b/>
                <w:bCs/>
                <w:position w:val="6"/>
                <w:sz w:val="18"/>
                <w:szCs w:val="18"/>
              </w:rPr>
              <w:t xml:space="preserve">, </w:t>
            </w:r>
            <w:r w:rsidR="000E463E" w:rsidRPr="00C33FF0">
              <w:rPr>
                <w:rFonts w:ascii="Verdana" w:hAnsi="Verdana"/>
                <w:b/>
                <w:bCs/>
                <w:position w:val="6"/>
                <w:sz w:val="18"/>
                <w:szCs w:val="18"/>
              </w:rPr>
              <w:t xml:space="preserve">28 October </w:t>
            </w:r>
            <w:r w:rsidRPr="00C33FF0">
              <w:rPr>
                <w:rFonts w:ascii="Verdana" w:hAnsi="Verdana"/>
                <w:b/>
                <w:bCs/>
                <w:position w:val="6"/>
                <w:sz w:val="18"/>
                <w:szCs w:val="18"/>
              </w:rPr>
              <w:t>–</w:t>
            </w:r>
            <w:r w:rsidR="000E463E" w:rsidRPr="00C33FF0">
              <w:rPr>
                <w:rFonts w:ascii="Verdana" w:hAnsi="Verdana"/>
                <w:b/>
                <w:bCs/>
                <w:position w:val="6"/>
                <w:sz w:val="18"/>
                <w:szCs w:val="18"/>
              </w:rPr>
              <w:t xml:space="preserve"> </w:t>
            </w:r>
            <w:r w:rsidRPr="00C33FF0">
              <w:rPr>
                <w:rFonts w:ascii="Verdana" w:hAnsi="Verdana"/>
                <w:b/>
                <w:bCs/>
                <w:position w:val="6"/>
                <w:sz w:val="18"/>
                <w:szCs w:val="18"/>
              </w:rPr>
              <w:t>2</w:t>
            </w:r>
            <w:r w:rsidR="000E463E" w:rsidRPr="00C33FF0">
              <w:rPr>
                <w:rFonts w:ascii="Verdana" w:hAnsi="Verdana"/>
                <w:b/>
                <w:bCs/>
                <w:position w:val="6"/>
                <w:sz w:val="18"/>
                <w:szCs w:val="18"/>
              </w:rPr>
              <w:t>2</w:t>
            </w:r>
            <w:r w:rsidRPr="00C33FF0">
              <w:rPr>
                <w:rFonts w:ascii="Verdana" w:hAnsi="Verdana"/>
                <w:b/>
                <w:bCs/>
                <w:position w:val="6"/>
                <w:sz w:val="18"/>
                <w:szCs w:val="18"/>
              </w:rPr>
              <w:t xml:space="preserve"> November 201</w:t>
            </w:r>
            <w:r w:rsidR="000E463E" w:rsidRPr="00C33FF0">
              <w:rPr>
                <w:rFonts w:ascii="Verdana" w:hAnsi="Verdana"/>
                <w:b/>
                <w:bCs/>
                <w:position w:val="6"/>
                <w:sz w:val="18"/>
                <w:szCs w:val="18"/>
              </w:rPr>
              <w:t>9</w:t>
            </w:r>
          </w:p>
        </w:tc>
        <w:tc>
          <w:tcPr>
            <w:tcW w:w="3120" w:type="dxa"/>
          </w:tcPr>
          <w:p w14:paraId="60C56571" w14:textId="77777777" w:rsidR="00A066F1" w:rsidRPr="00C33FF0" w:rsidRDefault="005F04D8" w:rsidP="003B2284">
            <w:pPr>
              <w:spacing w:before="0" w:line="240" w:lineRule="atLeast"/>
              <w:jc w:val="right"/>
            </w:pPr>
            <w:bookmarkStart w:id="0" w:name="ditulogo"/>
            <w:bookmarkEnd w:id="0"/>
            <w:r w:rsidRPr="00C33FF0">
              <w:rPr>
                <w:lang w:eastAsia="en-GB"/>
              </w:rPr>
              <w:drawing>
                <wp:inline distT="0" distB="0" distL="0" distR="0" wp14:anchorId="6A5244BF" wp14:editId="7124401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C33FF0" w14:paraId="4F984A24" w14:textId="77777777">
        <w:trPr>
          <w:cantSplit/>
        </w:trPr>
        <w:tc>
          <w:tcPr>
            <w:tcW w:w="6911" w:type="dxa"/>
            <w:tcBorders>
              <w:bottom w:val="single" w:sz="12" w:space="0" w:color="auto"/>
            </w:tcBorders>
          </w:tcPr>
          <w:p w14:paraId="74BC14C9" w14:textId="77777777" w:rsidR="00A066F1" w:rsidRPr="00C33FF0"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E76689D" w14:textId="77777777" w:rsidR="00A066F1" w:rsidRPr="00C33FF0" w:rsidRDefault="00A066F1" w:rsidP="00A066F1">
            <w:pPr>
              <w:spacing w:before="0" w:line="240" w:lineRule="atLeast"/>
              <w:rPr>
                <w:rFonts w:ascii="Verdana" w:hAnsi="Verdana"/>
                <w:szCs w:val="24"/>
              </w:rPr>
            </w:pPr>
          </w:p>
        </w:tc>
      </w:tr>
      <w:tr w:rsidR="00A066F1" w:rsidRPr="00C33FF0" w14:paraId="1B568BE6" w14:textId="77777777">
        <w:trPr>
          <w:cantSplit/>
        </w:trPr>
        <w:tc>
          <w:tcPr>
            <w:tcW w:w="6911" w:type="dxa"/>
            <w:tcBorders>
              <w:top w:val="single" w:sz="12" w:space="0" w:color="auto"/>
            </w:tcBorders>
          </w:tcPr>
          <w:p w14:paraId="206131B4" w14:textId="77777777" w:rsidR="00A066F1" w:rsidRPr="00C33FF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BBC8C13" w14:textId="77777777" w:rsidR="00A066F1" w:rsidRPr="00C33FF0" w:rsidRDefault="00A066F1" w:rsidP="00A066F1">
            <w:pPr>
              <w:spacing w:before="0" w:line="240" w:lineRule="atLeast"/>
              <w:rPr>
                <w:rFonts w:ascii="Verdana" w:hAnsi="Verdana"/>
                <w:sz w:val="20"/>
              </w:rPr>
            </w:pPr>
          </w:p>
        </w:tc>
      </w:tr>
      <w:tr w:rsidR="00A066F1" w:rsidRPr="00C33FF0" w14:paraId="0FA88D9C" w14:textId="77777777">
        <w:trPr>
          <w:cantSplit/>
          <w:trHeight w:val="23"/>
        </w:trPr>
        <w:tc>
          <w:tcPr>
            <w:tcW w:w="6911" w:type="dxa"/>
            <w:shd w:val="clear" w:color="auto" w:fill="auto"/>
          </w:tcPr>
          <w:p w14:paraId="6241A59C" w14:textId="77777777" w:rsidR="00A066F1" w:rsidRPr="00C33FF0"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33FF0">
              <w:rPr>
                <w:rFonts w:ascii="Verdana" w:hAnsi="Verdana"/>
                <w:sz w:val="20"/>
                <w:szCs w:val="20"/>
              </w:rPr>
              <w:t>PLENARY MEETING</w:t>
            </w:r>
          </w:p>
        </w:tc>
        <w:tc>
          <w:tcPr>
            <w:tcW w:w="3120" w:type="dxa"/>
          </w:tcPr>
          <w:p w14:paraId="0B7B2E36" w14:textId="77777777" w:rsidR="00A066F1" w:rsidRPr="00C33FF0" w:rsidRDefault="00E55816" w:rsidP="00AA666F">
            <w:pPr>
              <w:tabs>
                <w:tab w:val="left" w:pos="851"/>
              </w:tabs>
              <w:spacing w:before="0" w:line="240" w:lineRule="atLeast"/>
              <w:rPr>
                <w:rFonts w:ascii="Verdana" w:hAnsi="Verdana"/>
                <w:sz w:val="20"/>
              </w:rPr>
            </w:pPr>
            <w:r w:rsidRPr="00C33FF0">
              <w:rPr>
                <w:rFonts w:ascii="Verdana" w:hAnsi="Verdana"/>
                <w:b/>
                <w:sz w:val="20"/>
              </w:rPr>
              <w:t>Corrigendum 1 to</w:t>
            </w:r>
            <w:r w:rsidRPr="00C33FF0">
              <w:rPr>
                <w:rFonts w:ascii="Verdana" w:hAnsi="Verdana"/>
                <w:b/>
                <w:sz w:val="20"/>
              </w:rPr>
              <w:br/>
              <w:t>Document 16(Add.24)</w:t>
            </w:r>
            <w:r w:rsidR="00A066F1" w:rsidRPr="00C33FF0">
              <w:rPr>
                <w:rFonts w:ascii="Verdana" w:hAnsi="Verdana"/>
                <w:b/>
                <w:sz w:val="20"/>
              </w:rPr>
              <w:t>-</w:t>
            </w:r>
            <w:r w:rsidR="005E10C9" w:rsidRPr="00C33FF0">
              <w:rPr>
                <w:rFonts w:ascii="Verdana" w:hAnsi="Verdana"/>
                <w:b/>
                <w:sz w:val="20"/>
              </w:rPr>
              <w:t>E</w:t>
            </w:r>
          </w:p>
        </w:tc>
      </w:tr>
      <w:tr w:rsidR="00A066F1" w:rsidRPr="00C33FF0" w14:paraId="76E2D2EE" w14:textId="77777777">
        <w:trPr>
          <w:cantSplit/>
          <w:trHeight w:val="23"/>
        </w:trPr>
        <w:tc>
          <w:tcPr>
            <w:tcW w:w="6911" w:type="dxa"/>
            <w:shd w:val="clear" w:color="auto" w:fill="auto"/>
          </w:tcPr>
          <w:p w14:paraId="504D51CB" w14:textId="77777777" w:rsidR="00A066F1" w:rsidRPr="00C33FF0"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147B475" w14:textId="77777777" w:rsidR="00A066F1" w:rsidRPr="00C33FF0" w:rsidRDefault="00420873" w:rsidP="00A066F1">
            <w:pPr>
              <w:tabs>
                <w:tab w:val="left" w:pos="993"/>
              </w:tabs>
              <w:spacing w:before="0"/>
              <w:rPr>
                <w:rFonts w:ascii="Verdana" w:hAnsi="Verdana"/>
                <w:sz w:val="20"/>
              </w:rPr>
            </w:pPr>
            <w:r w:rsidRPr="00C33FF0">
              <w:rPr>
                <w:rFonts w:ascii="Verdana" w:hAnsi="Verdana"/>
                <w:b/>
                <w:sz w:val="20"/>
              </w:rPr>
              <w:t>30 October 2019</w:t>
            </w:r>
          </w:p>
        </w:tc>
      </w:tr>
      <w:tr w:rsidR="00A066F1" w:rsidRPr="00C33FF0" w14:paraId="18323D34" w14:textId="77777777">
        <w:trPr>
          <w:cantSplit/>
          <w:trHeight w:val="23"/>
        </w:trPr>
        <w:tc>
          <w:tcPr>
            <w:tcW w:w="6911" w:type="dxa"/>
            <w:shd w:val="clear" w:color="auto" w:fill="auto"/>
          </w:tcPr>
          <w:p w14:paraId="76C2D9E9" w14:textId="77777777" w:rsidR="00A066F1" w:rsidRPr="00C33FF0"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C2EBDC0" w14:textId="77777777" w:rsidR="00A066F1" w:rsidRPr="00C33FF0" w:rsidRDefault="00E55816" w:rsidP="00A066F1">
            <w:pPr>
              <w:tabs>
                <w:tab w:val="left" w:pos="993"/>
              </w:tabs>
              <w:spacing w:before="0"/>
              <w:rPr>
                <w:rFonts w:ascii="Verdana" w:hAnsi="Verdana"/>
                <w:b/>
                <w:sz w:val="20"/>
              </w:rPr>
            </w:pPr>
            <w:r w:rsidRPr="00C33FF0">
              <w:rPr>
                <w:rFonts w:ascii="Verdana" w:hAnsi="Verdana"/>
                <w:b/>
                <w:sz w:val="20"/>
              </w:rPr>
              <w:t>Original: English</w:t>
            </w:r>
          </w:p>
        </w:tc>
      </w:tr>
      <w:tr w:rsidR="00A066F1" w:rsidRPr="00C33FF0" w14:paraId="16C1270E" w14:textId="77777777" w:rsidTr="00025864">
        <w:trPr>
          <w:cantSplit/>
          <w:trHeight w:val="23"/>
        </w:trPr>
        <w:tc>
          <w:tcPr>
            <w:tcW w:w="10031" w:type="dxa"/>
            <w:gridSpan w:val="2"/>
            <w:shd w:val="clear" w:color="auto" w:fill="auto"/>
          </w:tcPr>
          <w:p w14:paraId="5A62AE2F" w14:textId="77777777" w:rsidR="00A066F1" w:rsidRPr="00C33FF0" w:rsidRDefault="00A066F1" w:rsidP="00A066F1">
            <w:pPr>
              <w:tabs>
                <w:tab w:val="left" w:pos="993"/>
              </w:tabs>
              <w:spacing w:before="0"/>
              <w:rPr>
                <w:rFonts w:ascii="Verdana" w:hAnsi="Verdana"/>
                <w:b/>
                <w:sz w:val="20"/>
              </w:rPr>
            </w:pPr>
          </w:p>
        </w:tc>
      </w:tr>
      <w:tr w:rsidR="00E55816" w:rsidRPr="00C33FF0" w14:paraId="337672E4" w14:textId="77777777" w:rsidTr="00025864">
        <w:trPr>
          <w:cantSplit/>
          <w:trHeight w:val="23"/>
        </w:trPr>
        <w:tc>
          <w:tcPr>
            <w:tcW w:w="10031" w:type="dxa"/>
            <w:gridSpan w:val="2"/>
            <w:shd w:val="clear" w:color="auto" w:fill="auto"/>
          </w:tcPr>
          <w:p w14:paraId="0B03FFBB" w14:textId="77777777" w:rsidR="00E55816" w:rsidRPr="00C33FF0" w:rsidRDefault="00884D60" w:rsidP="00E55816">
            <w:pPr>
              <w:pStyle w:val="Source"/>
            </w:pPr>
            <w:r w:rsidRPr="00C33FF0">
              <w:t>European Common Proposals</w:t>
            </w:r>
          </w:p>
        </w:tc>
      </w:tr>
      <w:tr w:rsidR="00E55816" w:rsidRPr="00C33FF0" w14:paraId="59D7B783" w14:textId="77777777" w:rsidTr="00025864">
        <w:trPr>
          <w:cantSplit/>
          <w:trHeight w:val="23"/>
        </w:trPr>
        <w:tc>
          <w:tcPr>
            <w:tcW w:w="10031" w:type="dxa"/>
            <w:gridSpan w:val="2"/>
            <w:shd w:val="clear" w:color="auto" w:fill="auto"/>
          </w:tcPr>
          <w:p w14:paraId="62225304" w14:textId="77777777" w:rsidR="00E55816" w:rsidRPr="00C33FF0" w:rsidRDefault="007D5320" w:rsidP="00E55816">
            <w:pPr>
              <w:pStyle w:val="Title1"/>
            </w:pPr>
            <w:r w:rsidRPr="00C33FF0">
              <w:t>Proposals for the work of the conference</w:t>
            </w:r>
          </w:p>
        </w:tc>
      </w:tr>
      <w:tr w:rsidR="00E55816" w:rsidRPr="00C33FF0" w14:paraId="2140621F" w14:textId="77777777" w:rsidTr="00025864">
        <w:trPr>
          <w:cantSplit/>
          <w:trHeight w:val="23"/>
        </w:trPr>
        <w:tc>
          <w:tcPr>
            <w:tcW w:w="10031" w:type="dxa"/>
            <w:gridSpan w:val="2"/>
            <w:shd w:val="clear" w:color="auto" w:fill="auto"/>
          </w:tcPr>
          <w:p w14:paraId="43A80E7B" w14:textId="77777777" w:rsidR="00E55816" w:rsidRPr="00C33FF0" w:rsidRDefault="00E55816" w:rsidP="00E55816">
            <w:pPr>
              <w:pStyle w:val="Title2"/>
            </w:pPr>
          </w:p>
        </w:tc>
      </w:tr>
      <w:tr w:rsidR="00A538A6" w:rsidRPr="00C33FF0" w14:paraId="48558CD6" w14:textId="77777777" w:rsidTr="00025864">
        <w:trPr>
          <w:cantSplit/>
          <w:trHeight w:val="23"/>
        </w:trPr>
        <w:tc>
          <w:tcPr>
            <w:tcW w:w="10031" w:type="dxa"/>
            <w:gridSpan w:val="2"/>
            <w:shd w:val="clear" w:color="auto" w:fill="auto"/>
          </w:tcPr>
          <w:p w14:paraId="3E010625" w14:textId="77777777" w:rsidR="00A538A6" w:rsidRPr="00C33FF0" w:rsidRDefault="004B13CB" w:rsidP="004B13CB">
            <w:pPr>
              <w:pStyle w:val="Agendaitem"/>
              <w:rPr>
                <w:lang w:val="en-GB"/>
              </w:rPr>
            </w:pPr>
            <w:r w:rsidRPr="00C33FF0">
              <w:rPr>
                <w:lang w:val="en-GB"/>
              </w:rPr>
              <w:t>Agenda item 10</w:t>
            </w:r>
          </w:p>
        </w:tc>
      </w:tr>
    </w:tbl>
    <w:bookmarkEnd w:id="6"/>
    <w:bookmarkEnd w:id="7"/>
    <w:p w14:paraId="1508CDF4" w14:textId="77777777" w:rsidR="008A06CA" w:rsidRPr="00C33FF0" w:rsidRDefault="002459A8" w:rsidP="00783D70">
      <w:pPr>
        <w:overflowPunct/>
        <w:autoSpaceDE/>
        <w:autoSpaceDN/>
        <w:adjustRightInd/>
        <w:textAlignment w:val="auto"/>
      </w:pPr>
      <w:r w:rsidRPr="00C33FF0">
        <w:t>10</w:t>
      </w:r>
      <w:r w:rsidRPr="00C33FF0">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0DD1C5D0" w14:textId="77777777" w:rsidR="002459A8" w:rsidRPr="00C33FF0" w:rsidRDefault="002459A8" w:rsidP="002459A8">
      <w:pPr>
        <w:pStyle w:val="Headingb"/>
        <w:rPr>
          <w:lang w:val="en-GB"/>
        </w:rPr>
      </w:pPr>
      <w:r w:rsidRPr="00C33FF0">
        <w:rPr>
          <w:lang w:val="en-GB"/>
        </w:rPr>
        <w:t>Introduction</w:t>
      </w:r>
    </w:p>
    <w:p w14:paraId="439E6A92" w14:textId="77777777" w:rsidR="002459A8" w:rsidRPr="00C33FF0" w:rsidRDefault="002459A8" w:rsidP="002459A8">
      <w:r w:rsidRPr="00C33FF0">
        <w:t xml:space="preserve">CEPT provides a </w:t>
      </w:r>
      <w:r w:rsidR="00195F05" w:rsidRPr="00C33FF0">
        <w:t>corrigendum to</w:t>
      </w:r>
      <w:r w:rsidRPr="00C33FF0">
        <w:t xml:space="preserve"> Addendum 24 in its part J10 due to an unfortunate deletion of some parts of the text of the draft</w:t>
      </w:r>
      <w:r w:rsidR="00195F05" w:rsidRPr="00C33FF0">
        <w:t xml:space="preserve"> new</w:t>
      </w:r>
      <w:r w:rsidRPr="00C33FF0">
        <w:t xml:space="preserve"> Resolution related to that proposal.</w:t>
      </w:r>
    </w:p>
    <w:p w14:paraId="2F6B2ABF" w14:textId="77777777" w:rsidR="00241FA2" w:rsidRPr="00C33FF0" w:rsidRDefault="002459A8" w:rsidP="002459A8">
      <w:pPr>
        <w:pStyle w:val="Headingb"/>
        <w:rPr>
          <w:lang w:val="en-GB"/>
        </w:rPr>
      </w:pPr>
      <w:r w:rsidRPr="00C33FF0">
        <w:rPr>
          <w:lang w:val="en-GB"/>
        </w:rPr>
        <w:t>Proposals</w:t>
      </w:r>
    </w:p>
    <w:p w14:paraId="3D53B4B5" w14:textId="77777777" w:rsidR="00187BD9" w:rsidRPr="00C33FF0" w:rsidRDefault="00187BD9" w:rsidP="00187BD9">
      <w:pPr>
        <w:tabs>
          <w:tab w:val="clear" w:pos="1134"/>
          <w:tab w:val="clear" w:pos="1871"/>
          <w:tab w:val="clear" w:pos="2268"/>
        </w:tabs>
        <w:overflowPunct/>
        <w:autoSpaceDE/>
        <w:autoSpaceDN/>
        <w:adjustRightInd/>
        <w:spacing w:before="0"/>
        <w:textAlignment w:val="auto"/>
      </w:pPr>
      <w:r w:rsidRPr="00C33FF0">
        <w:br w:type="page"/>
      </w:r>
    </w:p>
    <w:p w14:paraId="4F485CFE" w14:textId="77777777" w:rsidR="002459A8" w:rsidRPr="00C33FF0" w:rsidRDefault="002459A8" w:rsidP="002459A8">
      <w:pPr>
        <w:rPr>
          <w:szCs w:val="24"/>
        </w:rPr>
      </w:pPr>
      <w:r w:rsidRPr="00C33FF0">
        <w:rPr>
          <w:szCs w:val="24"/>
        </w:rPr>
        <w:lastRenderedPageBreak/>
        <w:t>…</w:t>
      </w:r>
    </w:p>
    <w:p w14:paraId="262462ED" w14:textId="77777777" w:rsidR="006E1070" w:rsidRPr="00C33FF0" w:rsidRDefault="002459A8">
      <w:pPr>
        <w:pStyle w:val="Proposal"/>
      </w:pPr>
      <w:r w:rsidRPr="00C33FF0">
        <w:t>ADD</w:t>
      </w:r>
      <w:r w:rsidRPr="00C33FF0">
        <w:tab/>
        <w:t>EUR/16A24/12</w:t>
      </w:r>
    </w:p>
    <w:p w14:paraId="5CF3F217" w14:textId="77777777" w:rsidR="002459A8" w:rsidRPr="00C33FF0" w:rsidRDefault="002459A8" w:rsidP="002459A8">
      <w:pPr>
        <w:pStyle w:val="ResNo"/>
      </w:pPr>
      <w:r w:rsidRPr="00C33FF0">
        <w:t>Draft New Resolution [EUR-J10-10] (WRC-19)</w:t>
      </w:r>
    </w:p>
    <w:p w14:paraId="159B4DF3" w14:textId="4C719615" w:rsidR="002459A8" w:rsidRPr="00C33FF0" w:rsidRDefault="002459A8" w:rsidP="002459A8">
      <w:pPr>
        <w:pStyle w:val="Restitle"/>
      </w:pPr>
      <w:r w:rsidRPr="00C33FF0">
        <w:t>Protection of geostationary satellite networks in the frequency bands 7 250</w:t>
      </w:r>
      <w:r w:rsidRPr="00C33FF0">
        <w:noBreakHyphen/>
        <w:t>7 750 MHz (space-to-Earth), 7 900-8 400 MHz (Earth-to-space), 20.2-21.2</w:t>
      </w:r>
      <w:r w:rsidR="00C33FF0">
        <w:t> </w:t>
      </w:r>
      <w:r w:rsidRPr="00C33FF0">
        <w:t>GHz (space-to-Earth) and 30-31 GHz (Earth-to-space) from emissions of non</w:t>
      </w:r>
      <w:r w:rsidRPr="00C33FF0">
        <w:noBreakHyphen/>
        <w:t>geostationary satellite systems operating in the same frequency bands and</w:t>
      </w:r>
      <w:r w:rsidR="00C33FF0">
        <w:t> </w:t>
      </w:r>
      <w:r w:rsidRPr="00C33FF0">
        <w:t>identical directions</w:t>
      </w:r>
    </w:p>
    <w:p w14:paraId="020A24D8" w14:textId="77777777" w:rsidR="002459A8" w:rsidRPr="00C33FF0" w:rsidRDefault="002459A8" w:rsidP="002459A8">
      <w:pPr>
        <w:pStyle w:val="Normalaftertitle"/>
      </w:pPr>
      <w:r w:rsidRPr="00C33FF0">
        <w:t>The World Radiocommunication Conference (Sharm el-Sheikh, 2019),</w:t>
      </w:r>
    </w:p>
    <w:p w14:paraId="5A342378" w14:textId="77777777" w:rsidR="002459A8" w:rsidRPr="00C33FF0" w:rsidRDefault="002459A8" w:rsidP="002459A8">
      <w:pPr>
        <w:pStyle w:val="Call"/>
      </w:pPr>
      <w:r w:rsidRPr="00C33FF0">
        <w:t>considering</w:t>
      </w:r>
    </w:p>
    <w:p w14:paraId="1D41AADC" w14:textId="77777777" w:rsidR="002459A8" w:rsidRPr="00C33FF0" w:rsidRDefault="002459A8" w:rsidP="002459A8">
      <w:pPr>
        <w:rPr>
          <w:i/>
          <w:iCs/>
        </w:rPr>
      </w:pPr>
      <w:r w:rsidRPr="00C33FF0">
        <w:rPr>
          <w:i/>
          <w:iCs/>
        </w:rPr>
        <w:t>a)</w:t>
      </w:r>
      <w:r w:rsidRPr="00C33FF0">
        <w:rPr>
          <w:i/>
          <w:iCs/>
        </w:rPr>
        <w:tab/>
      </w:r>
      <w:r w:rsidRPr="00C33FF0">
        <w:rPr>
          <w:iCs/>
        </w:rPr>
        <w:t>that the frequency bands 7 250-7 750 MHz (space-to-Earth), 7 900-8 400 MHz (Earth-to-space), 20.2-21.2 GHz (space-to-Earth) and 30-31 GHz (Earth-to-space) are allocated on a primary basis to the fixed-satellite service (FSS)</w:t>
      </w:r>
      <w:r w:rsidRPr="00C33FF0">
        <w:rPr>
          <w:i/>
          <w:iCs/>
        </w:rPr>
        <w:t>;</w:t>
      </w:r>
    </w:p>
    <w:p w14:paraId="7B44727D" w14:textId="77777777" w:rsidR="002459A8" w:rsidRPr="00C33FF0" w:rsidRDefault="002459A8" w:rsidP="002459A8">
      <w:pPr>
        <w:rPr>
          <w:i/>
          <w:iCs/>
        </w:rPr>
      </w:pPr>
      <w:r w:rsidRPr="00C33FF0">
        <w:rPr>
          <w:i/>
          <w:iCs/>
        </w:rPr>
        <w:t>b)</w:t>
      </w:r>
      <w:r w:rsidRPr="00C33FF0">
        <w:rPr>
          <w:i/>
          <w:iCs/>
        </w:rPr>
        <w:tab/>
      </w:r>
      <w:r w:rsidRPr="00C33FF0">
        <w:rPr>
          <w:iCs/>
        </w:rPr>
        <w:t xml:space="preserve">that the frequency bands 7 250-7 375 MHz (space-to-Earth) and 7 900-8 025 MHz (Earth-to-space) are also allocated to the mobile-satellite service (MSS) on a primary basis, subject to agreement obtained under No. </w:t>
      </w:r>
      <w:r w:rsidRPr="00C33FF0">
        <w:rPr>
          <w:b/>
          <w:iCs/>
        </w:rPr>
        <w:t>9.21</w:t>
      </w:r>
      <w:r w:rsidRPr="00C33FF0">
        <w:rPr>
          <w:iCs/>
        </w:rPr>
        <w:t>;</w:t>
      </w:r>
    </w:p>
    <w:p w14:paraId="0BE92AF0" w14:textId="77777777" w:rsidR="002459A8" w:rsidRPr="00C33FF0" w:rsidRDefault="002459A8" w:rsidP="002459A8">
      <w:pPr>
        <w:rPr>
          <w:i/>
          <w:iCs/>
        </w:rPr>
      </w:pPr>
      <w:r w:rsidRPr="00C33FF0">
        <w:rPr>
          <w:i/>
          <w:iCs/>
        </w:rPr>
        <w:t>c)</w:t>
      </w:r>
      <w:r w:rsidRPr="00C33FF0">
        <w:rPr>
          <w:i/>
          <w:iCs/>
        </w:rPr>
        <w:tab/>
      </w:r>
      <w:r w:rsidRPr="00C33FF0">
        <w:rPr>
          <w:iCs/>
        </w:rPr>
        <w:t>that the frequency bands 20.2-21.2 GHz (space-to-Earth) and 30-31 GHz (Earth-to-space) are also allocated on a primary basis to the MSS;</w:t>
      </w:r>
    </w:p>
    <w:p w14:paraId="0B20E0AE" w14:textId="77777777" w:rsidR="002459A8" w:rsidRPr="00C33FF0" w:rsidRDefault="002459A8" w:rsidP="002459A8">
      <w:pPr>
        <w:rPr>
          <w:i/>
          <w:iCs/>
        </w:rPr>
      </w:pPr>
      <w:r w:rsidRPr="00C33FF0">
        <w:rPr>
          <w:i/>
          <w:iCs/>
        </w:rPr>
        <w:t>d)</w:t>
      </w:r>
      <w:r w:rsidRPr="00C33FF0">
        <w:rPr>
          <w:i/>
          <w:iCs/>
        </w:rPr>
        <w:tab/>
      </w:r>
      <w:r w:rsidRPr="00C33FF0">
        <w:rPr>
          <w:iCs/>
        </w:rPr>
        <w:t>that the frequency bands 7 450-7 550 MHz (space-to-Earth) and 8 175-8 215 MHz (Earth-to-space) are also allocated to the meteorological-satellite service on a primary basis while the bands 8 025-8 175 MHz, 8 175-8 215 MHz and 8 215-8400 MHz (space-to-Earth) are allocated to the earth exploration-satellite service on a primary basis;</w:t>
      </w:r>
    </w:p>
    <w:p w14:paraId="07581C20" w14:textId="77777777" w:rsidR="002459A8" w:rsidRPr="00C33FF0" w:rsidRDefault="002459A8" w:rsidP="002459A8">
      <w:pPr>
        <w:rPr>
          <w:i/>
          <w:iCs/>
        </w:rPr>
      </w:pPr>
      <w:r w:rsidRPr="00C33FF0">
        <w:rPr>
          <w:i/>
          <w:iCs/>
        </w:rPr>
        <w:t>e)</w:t>
      </w:r>
      <w:r w:rsidRPr="00C33FF0">
        <w:rPr>
          <w:i/>
          <w:iCs/>
        </w:rPr>
        <w:tab/>
      </w:r>
      <w:r w:rsidRPr="00C33FF0">
        <w:rPr>
          <w:iCs/>
        </w:rPr>
        <w:t xml:space="preserve">that there is a growing number of non-geostationary satellite constellations planning the use of the allocations listed in </w:t>
      </w:r>
      <w:r w:rsidRPr="00C33FF0">
        <w:rPr>
          <w:i/>
          <w:iCs/>
        </w:rPr>
        <w:t xml:space="preserve">considering a), b) </w:t>
      </w:r>
      <w:r w:rsidRPr="00C33FF0">
        <w:rPr>
          <w:iCs/>
        </w:rPr>
        <w:t>and</w:t>
      </w:r>
      <w:r w:rsidRPr="00C33FF0">
        <w:rPr>
          <w:i/>
          <w:iCs/>
        </w:rPr>
        <w:t xml:space="preserve"> c)</w:t>
      </w:r>
      <w:r w:rsidRPr="00C33FF0">
        <w:rPr>
          <w:iCs/>
        </w:rPr>
        <w:t>;</w:t>
      </w:r>
    </w:p>
    <w:p w14:paraId="5A3BB1D8" w14:textId="088BAE99" w:rsidR="002459A8" w:rsidRPr="00C33FF0" w:rsidRDefault="002459A8" w:rsidP="002459A8">
      <w:pPr>
        <w:rPr>
          <w:i/>
          <w:iCs/>
        </w:rPr>
      </w:pPr>
      <w:r w:rsidRPr="00C33FF0">
        <w:rPr>
          <w:i/>
          <w:iCs/>
        </w:rPr>
        <w:t>f)</w:t>
      </w:r>
      <w:r w:rsidRPr="00C33FF0">
        <w:rPr>
          <w:i/>
          <w:iCs/>
        </w:rPr>
        <w:tab/>
      </w:r>
      <w:r w:rsidRPr="00C33FF0">
        <w:rPr>
          <w:iCs/>
        </w:rPr>
        <w:t xml:space="preserve">that the definition of criteria to avoid unacceptable interference would benefit the co-existence between existing and future assignments to geostationary satellite networks and non-geostationary satellite systems in the allocations listed in </w:t>
      </w:r>
      <w:r w:rsidRPr="00C33FF0">
        <w:rPr>
          <w:i/>
          <w:iCs/>
        </w:rPr>
        <w:t>considering a), b)</w:t>
      </w:r>
      <w:r w:rsidRPr="00C33FF0">
        <w:rPr>
          <w:iCs/>
        </w:rPr>
        <w:t xml:space="preserve">, and </w:t>
      </w:r>
      <w:r w:rsidRPr="00C33FF0">
        <w:rPr>
          <w:i/>
          <w:iCs/>
        </w:rPr>
        <w:t>c)</w:t>
      </w:r>
      <w:r w:rsidRPr="00C33FF0">
        <w:rPr>
          <w:iCs/>
        </w:rPr>
        <w:t>;</w:t>
      </w:r>
    </w:p>
    <w:p w14:paraId="3F228A7A" w14:textId="77777777" w:rsidR="002459A8" w:rsidRPr="00C33FF0" w:rsidRDefault="002459A8" w:rsidP="002459A8">
      <w:pPr>
        <w:rPr>
          <w:iCs/>
        </w:rPr>
      </w:pPr>
      <w:r w:rsidRPr="00C33FF0">
        <w:rPr>
          <w:i/>
          <w:iCs/>
        </w:rPr>
        <w:t>g)</w:t>
      </w:r>
      <w:r w:rsidRPr="00C33FF0">
        <w:rPr>
          <w:i/>
          <w:iCs/>
        </w:rPr>
        <w:tab/>
      </w:r>
      <w:r w:rsidRPr="00C33FF0">
        <w:rPr>
          <w:iCs/>
        </w:rPr>
        <w:t xml:space="preserve">that under No. </w:t>
      </w:r>
      <w:r w:rsidRPr="00C33FF0">
        <w:rPr>
          <w:b/>
          <w:iCs/>
        </w:rPr>
        <w:t>22.2</w:t>
      </w:r>
      <w:r w:rsidRPr="00C33FF0">
        <w:rPr>
          <w:iCs/>
        </w:rPr>
        <w:t>, non-geostationary-satellite systems shall not cause unacceptable interference to and shall not claim protection from geostationary satellite networks in the fixed-satellite service and in the broadcasting-satellite service,</w:t>
      </w:r>
    </w:p>
    <w:p w14:paraId="2B275073" w14:textId="77777777" w:rsidR="002459A8" w:rsidRPr="00C33FF0" w:rsidRDefault="002459A8" w:rsidP="002459A8">
      <w:pPr>
        <w:pStyle w:val="Call"/>
      </w:pPr>
      <w:r w:rsidRPr="00C33FF0">
        <w:t>recognizing</w:t>
      </w:r>
    </w:p>
    <w:p w14:paraId="1E46155C" w14:textId="77777777" w:rsidR="002459A8" w:rsidRPr="00C33FF0" w:rsidRDefault="002459A8" w:rsidP="002459A8">
      <w:r w:rsidRPr="00C33FF0">
        <w:rPr>
          <w:i/>
        </w:rPr>
        <w:t>a)</w:t>
      </w:r>
      <w:r w:rsidRPr="00C33FF0">
        <w:rPr>
          <w:i/>
        </w:rPr>
        <w:tab/>
      </w:r>
      <w:r w:rsidRPr="00C33FF0">
        <w:t xml:space="preserve">that Article </w:t>
      </w:r>
      <w:r w:rsidRPr="00C33FF0">
        <w:rPr>
          <w:b/>
        </w:rPr>
        <w:t>22</w:t>
      </w:r>
      <w:r w:rsidRPr="00C33FF0">
        <w:t xml:space="preserve"> of the Radio Regulations does not contain any limits </w:t>
      </w:r>
      <w:r w:rsidRPr="00C33FF0">
        <w:rPr>
          <w:color w:val="000000"/>
        </w:rPr>
        <w:t xml:space="preserve">applying to the non-geostationary </w:t>
      </w:r>
      <w:r w:rsidRPr="00C33FF0">
        <w:t>satellite</w:t>
      </w:r>
      <w:r w:rsidRPr="00C33FF0">
        <w:rPr>
          <w:color w:val="000000"/>
        </w:rPr>
        <w:t xml:space="preserve"> systems in the allocations listed in </w:t>
      </w:r>
      <w:r w:rsidRPr="00C33FF0">
        <w:rPr>
          <w:i/>
        </w:rPr>
        <w:t>considering</w:t>
      </w:r>
      <w:r w:rsidRPr="00C33FF0">
        <w:t xml:space="preserve"> </w:t>
      </w:r>
      <w:r w:rsidRPr="00C33FF0">
        <w:rPr>
          <w:i/>
        </w:rPr>
        <w:t xml:space="preserve">a), b) </w:t>
      </w:r>
      <w:r w:rsidRPr="00C33FF0">
        <w:t>and</w:t>
      </w:r>
      <w:r w:rsidRPr="00C33FF0">
        <w:rPr>
          <w:i/>
        </w:rPr>
        <w:t xml:space="preserve"> c)</w:t>
      </w:r>
      <w:r w:rsidRPr="00C33FF0">
        <w:t>;</w:t>
      </w:r>
    </w:p>
    <w:p w14:paraId="01AE2C23" w14:textId="77777777" w:rsidR="002459A8" w:rsidRPr="00C33FF0" w:rsidRDefault="002459A8" w:rsidP="002459A8">
      <w:pPr>
        <w:rPr>
          <w:iCs/>
        </w:rPr>
      </w:pPr>
      <w:r w:rsidRPr="00C33FF0">
        <w:rPr>
          <w:i/>
          <w:iCs/>
        </w:rPr>
        <w:t>b)</w:t>
      </w:r>
      <w:r w:rsidRPr="00C33FF0">
        <w:rPr>
          <w:iCs/>
        </w:rPr>
        <w:tab/>
        <w:t xml:space="preserve">that the provisions of No. </w:t>
      </w:r>
      <w:r w:rsidRPr="00C33FF0">
        <w:rPr>
          <w:b/>
          <w:iCs/>
        </w:rPr>
        <w:t>22.2</w:t>
      </w:r>
      <w:r w:rsidRPr="00C33FF0">
        <w:rPr>
          <w:iCs/>
        </w:rPr>
        <w:t xml:space="preserve"> do not protect the geostationary satellite systems using the mobile-satellite service allocations from non-geostationary satellite systems;</w:t>
      </w:r>
    </w:p>
    <w:p w14:paraId="11DFF9A8" w14:textId="77777777" w:rsidR="002459A8" w:rsidRPr="00C33FF0" w:rsidRDefault="002459A8" w:rsidP="002459A8">
      <w:pPr>
        <w:rPr>
          <w:iCs/>
        </w:rPr>
      </w:pPr>
      <w:r w:rsidRPr="00C33FF0">
        <w:rPr>
          <w:i/>
          <w:iCs/>
        </w:rPr>
        <w:t>c)</w:t>
      </w:r>
      <w:r w:rsidRPr="00C33FF0">
        <w:rPr>
          <w:iCs/>
        </w:rPr>
        <w:tab/>
        <w:t xml:space="preserve">that the non-geostationary satellite systems in the frequency allocations listed in </w:t>
      </w:r>
      <w:r w:rsidRPr="00C33FF0">
        <w:rPr>
          <w:i/>
          <w:iCs/>
        </w:rPr>
        <w:t>considering a)</w:t>
      </w:r>
      <w:r w:rsidRPr="00C33FF0">
        <w:rPr>
          <w:iCs/>
        </w:rPr>
        <w:t xml:space="preserve"> and </w:t>
      </w:r>
      <w:r w:rsidRPr="00C33FF0">
        <w:rPr>
          <w:i/>
          <w:iCs/>
        </w:rPr>
        <w:t>c)</w:t>
      </w:r>
      <w:r w:rsidRPr="00C33FF0">
        <w:rPr>
          <w:iCs/>
        </w:rPr>
        <w:t xml:space="preserve"> are not subject to any coordination procedure,</w:t>
      </w:r>
    </w:p>
    <w:p w14:paraId="58796BB0" w14:textId="77777777" w:rsidR="002459A8" w:rsidRPr="00C33FF0" w:rsidRDefault="002459A8" w:rsidP="00C33FF0">
      <w:pPr>
        <w:pStyle w:val="Call"/>
      </w:pPr>
      <w:r w:rsidRPr="00C33FF0">
        <w:lastRenderedPageBreak/>
        <w:t xml:space="preserve">resolves to invite ITU-R </w:t>
      </w:r>
    </w:p>
    <w:p w14:paraId="45251E9F" w14:textId="77777777" w:rsidR="002459A8" w:rsidRPr="00C33FF0" w:rsidRDefault="002459A8" w:rsidP="002459A8">
      <w:pPr>
        <w:rPr>
          <w:color w:val="000000"/>
        </w:rPr>
      </w:pPr>
      <w:r w:rsidRPr="00C33FF0">
        <w:t>1</w:t>
      </w:r>
      <w:r w:rsidRPr="00C33FF0">
        <w:tab/>
        <w:t xml:space="preserve">to perform regulatory studies and if applicable operational studies on the effective protection of geostationary networks operating under FSS or MSS allocations in the bands </w:t>
      </w:r>
      <w:r w:rsidRPr="00C33FF0">
        <w:rPr>
          <w:iCs/>
        </w:rPr>
        <w:t>7 250-7 750 MHz (space-to-Earth), 7 900-8 400 MHz (Earth-to-space), 20.2-21.2 GHz (space-to-Earth) and 30-31 GHz (Earth-to-space) from FSS or MSS non-geostationary satellite systems in the same bands without limiting or unduly constraining existing and future geostationary satellite networks;</w:t>
      </w:r>
    </w:p>
    <w:p w14:paraId="3C1491E1" w14:textId="77777777" w:rsidR="002459A8" w:rsidRPr="00C33FF0" w:rsidRDefault="002459A8" w:rsidP="002459A8">
      <w:pPr>
        <w:rPr>
          <w:color w:val="000000"/>
        </w:rPr>
      </w:pPr>
      <w:r w:rsidRPr="00C33FF0">
        <w:t>2</w:t>
      </w:r>
      <w:r w:rsidRPr="00C33FF0">
        <w:tab/>
        <w:t xml:space="preserve">taking into account the results of the above studies, to provide recommendations to the Conference, enabling that Conference to decide on additional regulatory provisions for the protection of geostationary satellite systems from non-geostationary satellite systems in these bands and services </w:t>
      </w:r>
      <w:r w:rsidRPr="00C33FF0">
        <w:rPr>
          <w:iCs/>
        </w:rPr>
        <w:t>without limiting or unduly constraining existing and future stations of other incumbent services;</w:t>
      </w:r>
    </w:p>
    <w:p w14:paraId="7C2D2F97" w14:textId="77777777" w:rsidR="002459A8" w:rsidRPr="00C33FF0" w:rsidRDefault="002459A8" w:rsidP="002459A8">
      <w:r w:rsidRPr="00C33FF0">
        <w:t>3</w:t>
      </w:r>
      <w:r w:rsidRPr="00C33FF0">
        <w:tab/>
        <w:t>to complete studies in time for WRC</w:t>
      </w:r>
      <w:r w:rsidRPr="00C33FF0">
        <w:noBreakHyphen/>
        <w:t>23,</w:t>
      </w:r>
    </w:p>
    <w:p w14:paraId="6C879F4D" w14:textId="77777777" w:rsidR="002459A8" w:rsidRPr="00C33FF0" w:rsidRDefault="002459A8" w:rsidP="002459A8">
      <w:pPr>
        <w:pStyle w:val="Call"/>
      </w:pPr>
      <w:r w:rsidRPr="00C33FF0">
        <w:t>further resolves to invite WRC-23</w:t>
      </w:r>
    </w:p>
    <w:p w14:paraId="29F73919" w14:textId="439D672B" w:rsidR="002459A8" w:rsidRPr="00C33FF0" w:rsidRDefault="002459A8" w:rsidP="002459A8">
      <w:pPr>
        <w:rPr>
          <w:szCs w:val="24"/>
        </w:rPr>
      </w:pPr>
      <w:r w:rsidRPr="00C33FF0">
        <w:rPr>
          <w:szCs w:val="24"/>
        </w:rPr>
        <w:t>to review the results of these studies, including the implications of the proposed revised regulatory framework on non-geostationary satellite systems submitted to the Bureau after WRC-19, and take appropriate actions.</w:t>
      </w:r>
    </w:p>
    <w:p w14:paraId="0C562BC2" w14:textId="77777777" w:rsidR="002459A8" w:rsidRPr="00C33FF0" w:rsidRDefault="002459A8" w:rsidP="00C33FF0">
      <w:pPr>
        <w:pStyle w:val="Reasons"/>
      </w:pPr>
      <w:bookmarkStart w:id="8" w:name="_GoBack"/>
      <w:bookmarkEnd w:id="8"/>
    </w:p>
    <w:p w14:paraId="60D96361" w14:textId="77777777" w:rsidR="002459A8" w:rsidRPr="00C33FF0" w:rsidRDefault="002459A8" w:rsidP="002459A8">
      <w:pPr>
        <w:rPr>
          <w:szCs w:val="24"/>
        </w:rPr>
      </w:pPr>
      <w:r w:rsidRPr="00C33FF0">
        <w:rPr>
          <w:szCs w:val="24"/>
        </w:rPr>
        <w:t>…</w:t>
      </w:r>
    </w:p>
    <w:p w14:paraId="0EC65908" w14:textId="77777777" w:rsidR="006E1070" w:rsidRPr="003B1BD4" w:rsidRDefault="002459A8" w:rsidP="002459A8">
      <w:pPr>
        <w:jc w:val="center"/>
      </w:pPr>
      <w:r w:rsidRPr="00C33FF0">
        <w:t>______________</w:t>
      </w:r>
    </w:p>
    <w:sectPr w:rsidR="006E1070" w:rsidRPr="003B1BD4"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EE887" w14:textId="77777777" w:rsidR="00AE514B" w:rsidRDefault="00AE514B">
      <w:r>
        <w:separator/>
      </w:r>
    </w:p>
  </w:endnote>
  <w:endnote w:type="continuationSeparator" w:id="0">
    <w:p w14:paraId="271787AD"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1552" w14:textId="77777777" w:rsidR="00E45D05" w:rsidRDefault="00E45D05">
    <w:pPr>
      <w:framePr w:wrap="around" w:vAnchor="text" w:hAnchor="margin" w:xAlign="right" w:y="1"/>
    </w:pPr>
    <w:r>
      <w:fldChar w:fldCharType="begin"/>
    </w:r>
    <w:r>
      <w:instrText xml:space="preserve">PAGE  </w:instrText>
    </w:r>
    <w:r>
      <w:fldChar w:fldCharType="end"/>
    </w:r>
  </w:p>
  <w:p w14:paraId="278AAA1B" w14:textId="5F5C10A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C33FF0">
      <w:rPr>
        <w:noProof/>
      </w:rPr>
      <w:t>31.10.19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75FE" w14:textId="62DE6A5C" w:rsidR="00E45D05" w:rsidRDefault="00E45D05" w:rsidP="009B1EA1">
    <w:pPr>
      <w:pStyle w:val="Footer"/>
    </w:pPr>
    <w:r>
      <w:fldChar w:fldCharType="begin"/>
    </w:r>
    <w:r w:rsidRPr="0041348E">
      <w:rPr>
        <w:lang w:val="en-US"/>
      </w:rPr>
      <w:instrText xml:space="preserve"> FILENAME \p  \* MERGEFORMAT </w:instrText>
    </w:r>
    <w:r>
      <w:fldChar w:fldCharType="separate"/>
    </w:r>
    <w:r w:rsidR="00C84066">
      <w:rPr>
        <w:lang w:val="en-US"/>
      </w:rPr>
      <w:t>P:\ENG\ITU-R\CONF-R\CMR19\000\016ADD24COR1E.docx</w:t>
    </w:r>
    <w:r>
      <w:fldChar w:fldCharType="end"/>
    </w:r>
    <w:r w:rsidR="00C84066">
      <w:t xml:space="preserve"> (463550)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C8F3" w14:textId="2315E66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84066">
      <w:rPr>
        <w:lang w:val="en-US"/>
      </w:rPr>
      <w:t>P:\ENG\ITU-R\CONF-R\CMR19\000\016ADD24COR1E.docx</w:t>
    </w:r>
    <w:r>
      <w:fldChar w:fldCharType="end"/>
    </w:r>
    <w:r w:rsidR="00C84066">
      <w:t xml:space="preserve"> (463550)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C3B28" w14:textId="77777777" w:rsidR="00AE514B" w:rsidRDefault="00AE514B">
      <w:r>
        <w:rPr>
          <w:b/>
        </w:rPr>
        <w:t>_______________</w:t>
      </w:r>
    </w:p>
  </w:footnote>
  <w:footnote w:type="continuationSeparator" w:id="0">
    <w:p w14:paraId="0D2A2093"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E588" w14:textId="77777777" w:rsidR="00E45D05" w:rsidRDefault="00A066F1" w:rsidP="00187BD9">
    <w:pPr>
      <w:pStyle w:val="Header"/>
    </w:pPr>
    <w:r>
      <w:fldChar w:fldCharType="begin"/>
    </w:r>
    <w:r>
      <w:instrText xml:space="preserve"> PAGE  \* MERGEFORMAT </w:instrText>
    </w:r>
    <w:r>
      <w:fldChar w:fldCharType="separate"/>
    </w:r>
    <w:r w:rsidR="00195F05">
      <w:rPr>
        <w:noProof/>
      </w:rPr>
      <w:t>3</w:t>
    </w:r>
    <w:r>
      <w:fldChar w:fldCharType="end"/>
    </w:r>
  </w:p>
  <w:p w14:paraId="36699EF9"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16(Add.24)(Cor.1)</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95F05"/>
    <w:rsid w:val="001C3B5F"/>
    <w:rsid w:val="001D058F"/>
    <w:rsid w:val="002009EA"/>
    <w:rsid w:val="00202756"/>
    <w:rsid w:val="00202CA0"/>
    <w:rsid w:val="00216B6D"/>
    <w:rsid w:val="00241FA2"/>
    <w:rsid w:val="002459A8"/>
    <w:rsid w:val="00271316"/>
    <w:rsid w:val="002B349C"/>
    <w:rsid w:val="002D58BE"/>
    <w:rsid w:val="002F4747"/>
    <w:rsid w:val="00302605"/>
    <w:rsid w:val="00361B37"/>
    <w:rsid w:val="00377BD3"/>
    <w:rsid w:val="00384088"/>
    <w:rsid w:val="003852CE"/>
    <w:rsid w:val="0039169B"/>
    <w:rsid w:val="003A7F8C"/>
    <w:rsid w:val="003B1BD4"/>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107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33FF0"/>
    <w:rsid w:val="00C54517"/>
    <w:rsid w:val="00C56F70"/>
    <w:rsid w:val="00C57B91"/>
    <w:rsid w:val="00C64CD8"/>
    <w:rsid w:val="00C82695"/>
    <w:rsid w:val="00C84066"/>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9DF0B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locked/>
    <w:rsid w:val="002459A8"/>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R16-WRC19-C-0016!A24-C1!MSW-E</DPM_x0020_File_x0020_name>
    <DPM_x0020_Author xmlns="32a1a8c5-2265-4ebc-b7a0-2071e2c5c9bb" xsi:nil="false">DPM</DPM_x0020_Author>
    <DPM_x0020_Version xmlns="32a1a8c5-2265-4ebc-b7a0-2071e2c5c9bb" xsi:nil="false">DPM_2019.10.22.01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8A12-8629-4476-A6EC-4E1EA29D58CB}">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61FA8-AE21-4D2A-8A22-DD6C861DB45B}">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70E967A-6C8C-46C7-8A4A-5183E3E9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652</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R16-WRC19-C-0016!A24-C1!MSW-E</vt:lpstr>
    </vt:vector>
  </TitlesOfParts>
  <Manager>General Secretariat - Pool</Manager>
  <Company>International Telecommunication Union (ITU)</Company>
  <LinksUpToDate>false</LinksUpToDate>
  <CharactersWithSpaces>4524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R16-WRC19-C-0016!A24-C1!MSW-E</dc:title>
  <dc:subject>World Radiocommunication Conference - 2019</dc:subject>
  <dc:creator>Documents Proposals Manager (DPM)</dc:creator>
  <cp:keywords>DPM_v2019.10.29.1_prod</cp:keywords>
  <dc:description>Uploaded on 2015.07.06</dc:description>
  <cp:lastModifiedBy>Ruepp, Rowena</cp:lastModifiedBy>
  <cp:revision>5</cp:revision>
  <cp:lastPrinted>2017-02-10T08:23:00Z</cp:lastPrinted>
  <dcterms:created xsi:type="dcterms:W3CDTF">2019-10-30T18:00:00Z</dcterms:created>
  <dcterms:modified xsi:type="dcterms:W3CDTF">2019-10-31T08:15:00Z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