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A7572D" w14:paraId="026B6CBE" w14:textId="77777777" w:rsidTr="0050008E">
        <w:trPr>
          <w:cantSplit/>
        </w:trPr>
        <w:tc>
          <w:tcPr>
            <w:tcW w:w="6911" w:type="dxa"/>
          </w:tcPr>
          <w:p w14:paraId="1F76A57C" w14:textId="77777777" w:rsidR="00C8286D" w:rsidRPr="00A7572D" w:rsidRDefault="00C8286D" w:rsidP="00C8286D">
            <w:pPr>
              <w:spacing w:before="400" w:after="48" w:line="240" w:lineRule="atLeast"/>
              <w:rPr>
                <w:rFonts w:ascii="Verdana" w:hAnsi="Verdana"/>
                <w:position w:val="6"/>
                <w:lang w:val="es-ES"/>
              </w:rPr>
            </w:pPr>
            <w:r w:rsidRPr="00A7572D">
              <w:rPr>
                <w:rFonts w:ascii="Verdana" w:hAnsi="Verdana" w:cs="Times"/>
                <w:b/>
                <w:position w:val="6"/>
                <w:sz w:val="20"/>
                <w:lang w:val="es-ES"/>
              </w:rPr>
              <w:t>Conferencia Mundial de Radiocomunicaciones (CMR-19)</w:t>
            </w:r>
            <w:r w:rsidRPr="00A7572D">
              <w:rPr>
                <w:rFonts w:ascii="Verdana" w:hAnsi="Verdana" w:cs="Times"/>
                <w:b/>
                <w:position w:val="6"/>
                <w:sz w:val="20"/>
                <w:lang w:val="es-ES"/>
              </w:rPr>
              <w:br/>
            </w:r>
            <w:r w:rsidRPr="00A7572D">
              <w:rPr>
                <w:rFonts w:ascii="Verdana" w:hAnsi="Verdana"/>
                <w:b/>
                <w:bCs/>
                <w:position w:val="6"/>
                <w:sz w:val="17"/>
                <w:szCs w:val="17"/>
                <w:lang w:val="es-ES"/>
              </w:rPr>
              <w:t xml:space="preserve">Sharm el-Sheikh (Egipto), 28 de octubre </w:t>
            </w:r>
            <w:r w:rsidR="009A599E" w:rsidRPr="00A7572D">
              <w:rPr>
                <w:rFonts w:ascii="Verdana" w:hAnsi="Verdana"/>
                <w:b/>
                <w:bCs/>
                <w:position w:val="6"/>
                <w:sz w:val="17"/>
                <w:szCs w:val="17"/>
                <w:lang w:val="es-ES"/>
              </w:rPr>
              <w:t>–</w:t>
            </w:r>
            <w:r w:rsidRPr="00A7572D">
              <w:rPr>
                <w:rFonts w:ascii="Verdana" w:hAnsi="Verdana"/>
                <w:b/>
                <w:bCs/>
                <w:position w:val="6"/>
                <w:sz w:val="17"/>
                <w:szCs w:val="17"/>
                <w:lang w:val="es-ES"/>
              </w:rPr>
              <w:t xml:space="preserve"> 22 de noviembre de 2019</w:t>
            </w:r>
          </w:p>
        </w:tc>
        <w:tc>
          <w:tcPr>
            <w:tcW w:w="3120" w:type="dxa"/>
          </w:tcPr>
          <w:p w14:paraId="25B741FE" w14:textId="77777777" w:rsidR="00C8286D" w:rsidRPr="00A7572D" w:rsidRDefault="00C8286D" w:rsidP="00C8286D">
            <w:pPr>
              <w:spacing w:before="0" w:line="240" w:lineRule="atLeast"/>
              <w:jc w:val="right"/>
              <w:rPr>
                <w:lang w:val="es-ES"/>
              </w:rPr>
            </w:pPr>
            <w:bookmarkStart w:id="0" w:name="ditulogo"/>
            <w:bookmarkEnd w:id="0"/>
            <w:r w:rsidRPr="00A7572D">
              <w:rPr>
                <w:rFonts w:ascii="Verdana" w:hAnsi="Verdana"/>
                <w:b/>
                <w:bCs/>
                <w:noProof/>
                <w:szCs w:val="24"/>
                <w:lang w:val="en-GB" w:eastAsia="en-GB"/>
              </w:rPr>
              <w:drawing>
                <wp:inline distT="0" distB="0" distL="0" distR="0" wp14:anchorId="7D38016B" wp14:editId="689B52E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A7572D" w14:paraId="5DD37221" w14:textId="77777777" w:rsidTr="00A1779F">
        <w:trPr>
          <w:cantSplit/>
        </w:trPr>
        <w:tc>
          <w:tcPr>
            <w:tcW w:w="10031" w:type="dxa"/>
            <w:gridSpan w:val="2"/>
            <w:tcBorders>
              <w:bottom w:val="single" w:sz="12" w:space="0" w:color="auto"/>
            </w:tcBorders>
          </w:tcPr>
          <w:p w14:paraId="6E3762BA" w14:textId="77777777" w:rsidR="00C8286D" w:rsidRPr="00A7572D" w:rsidRDefault="00C8286D" w:rsidP="00C8286D">
            <w:pPr>
              <w:spacing w:before="0" w:after="48" w:line="240" w:lineRule="atLeast"/>
              <w:rPr>
                <w:rFonts w:ascii="Verdana" w:hAnsi="Verdana"/>
                <w:b/>
                <w:smallCaps/>
                <w:sz w:val="20"/>
                <w:lang w:val="es-ES"/>
              </w:rPr>
            </w:pPr>
            <w:bookmarkStart w:id="1" w:name="dhead"/>
          </w:p>
        </w:tc>
      </w:tr>
      <w:tr w:rsidR="00C8286D" w:rsidRPr="00A7572D" w14:paraId="76AC5437" w14:textId="77777777" w:rsidTr="0050008E">
        <w:trPr>
          <w:cantSplit/>
        </w:trPr>
        <w:tc>
          <w:tcPr>
            <w:tcW w:w="6911" w:type="dxa"/>
            <w:tcBorders>
              <w:top w:val="single" w:sz="12" w:space="0" w:color="auto"/>
            </w:tcBorders>
          </w:tcPr>
          <w:p w14:paraId="13CE56CC" w14:textId="77777777" w:rsidR="00C8286D" w:rsidRPr="00A7572D" w:rsidRDefault="00C8286D" w:rsidP="00C8286D">
            <w:pPr>
              <w:spacing w:before="0" w:after="48" w:line="240" w:lineRule="atLeast"/>
              <w:rPr>
                <w:rFonts w:ascii="Verdana" w:hAnsi="Verdana"/>
                <w:b/>
                <w:smallCaps/>
                <w:sz w:val="20"/>
                <w:lang w:val="es-ES"/>
              </w:rPr>
            </w:pPr>
          </w:p>
        </w:tc>
        <w:tc>
          <w:tcPr>
            <w:tcW w:w="3120" w:type="dxa"/>
            <w:tcBorders>
              <w:top w:val="single" w:sz="12" w:space="0" w:color="auto"/>
            </w:tcBorders>
          </w:tcPr>
          <w:p w14:paraId="6DE49EC8" w14:textId="77777777" w:rsidR="00C8286D" w:rsidRPr="00A7572D" w:rsidRDefault="00C8286D" w:rsidP="00C8286D">
            <w:pPr>
              <w:spacing w:before="0" w:line="240" w:lineRule="atLeast"/>
              <w:rPr>
                <w:rFonts w:ascii="Verdana" w:hAnsi="Verdana"/>
                <w:sz w:val="20"/>
                <w:lang w:val="es-ES"/>
              </w:rPr>
            </w:pPr>
          </w:p>
        </w:tc>
      </w:tr>
      <w:tr w:rsidR="00C8286D" w:rsidRPr="00A7572D" w14:paraId="6AEFC2DD" w14:textId="77777777" w:rsidTr="0050008E">
        <w:trPr>
          <w:cantSplit/>
          <w:trHeight w:val="23"/>
        </w:trPr>
        <w:tc>
          <w:tcPr>
            <w:tcW w:w="6911" w:type="dxa"/>
            <w:vMerge w:val="restart"/>
          </w:tcPr>
          <w:p w14:paraId="4C27C208" w14:textId="67286657" w:rsidR="00C8286D" w:rsidRPr="00A7572D" w:rsidRDefault="00A24500" w:rsidP="00C8286D">
            <w:pPr>
              <w:tabs>
                <w:tab w:val="left" w:pos="851"/>
              </w:tabs>
              <w:spacing w:before="0" w:line="240" w:lineRule="atLeast"/>
              <w:rPr>
                <w:rFonts w:ascii="Verdana" w:hAnsi="Verdana"/>
                <w:b/>
                <w:bCs/>
                <w:sz w:val="20"/>
                <w:lang w:val="es-ES"/>
              </w:rPr>
            </w:pPr>
            <w:bookmarkStart w:id="2" w:name="dnum" w:colFirst="1" w:colLast="1"/>
            <w:bookmarkStart w:id="3" w:name="dmeeting" w:colFirst="0" w:colLast="0"/>
            <w:bookmarkEnd w:id="1"/>
            <w:r w:rsidRPr="00A7572D">
              <w:rPr>
                <w:rFonts w:ascii="Verdana" w:hAnsi="Verdana"/>
                <w:b/>
                <w:bCs/>
                <w:sz w:val="20"/>
                <w:lang w:val="es-ES"/>
              </w:rPr>
              <w:t>SESIÓN PLENARIA</w:t>
            </w:r>
          </w:p>
        </w:tc>
        <w:tc>
          <w:tcPr>
            <w:tcW w:w="3120" w:type="dxa"/>
          </w:tcPr>
          <w:p w14:paraId="2C4B9715" w14:textId="77777777" w:rsidR="00C8286D" w:rsidRPr="00A7572D" w:rsidRDefault="00C8286D" w:rsidP="00C8286D">
            <w:pPr>
              <w:tabs>
                <w:tab w:val="left" w:pos="851"/>
              </w:tabs>
              <w:spacing w:before="0" w:line="240" w:lineRule="atLeast"/>
              <w:rPr>
                <w:rFonts w:ascii="Verdana" w:hAnsi="Verdana"/>
                <w:sz w:val="20"/>
                <w:lang w:val="es-ES"/>
              </w:rPr>
            </w:pPr>
            <w:r w:rsidRPr="00A7572D">
              <w:rPr>
                <w:rFonts w:ascii="Verdana" w:hAnsi="Verdana"/>
                <w:b/>
                <w:sz w:val="20"/>
                <w:lang w:val="es-ES"/>
              </w:rPr>
              <w:t xml:space="preserve">Documento </w:t>
            </w:r>
            <w:r w:rsidR="00F1195C" w:rsidRPr="00A7572D">
              <w:rPr>
                <w:rFonts w:ascii="Verdana" w:hAnsi="Verdana"/>
                <w:b/>
                <w:sz w:val="20"/>
                <w:lang w:val="es-ES"/>
              </w:rPr>
              <w:t>17</w:t>
            </w:r>
            <w:r w:rsidRPr="00A7572D">
              <w:rPr>
                <w:rFonts w:ascii="Verdana" w:hAnsi="Verdana"/>
                <w:b/>
                <w:sz w:val="20"/>
                <w:lang w:val="es-ES"/>
              </w:rPr>
              <w:t>-S</w:t>
            </w:r>
          </w:p>
        </w:tc>
      </w:tr>
      <w:tr w:rsidR="00C8286D" w:rsidRPr="00A7572D" w14:paraId="718E6FF1" w14:textId="77777777" w:rsidTr="0050008E">
        <w:trPr>
          <w:cantSplit/>
          <w:trHeight w:val="23"/>
        </w:trPr>
        <w:tc>
          <w:tcPr>
            <w:tcW w:w="6911" w:type="dxa"/>
            <w:vMerge/>
          </w:tcPr>
          <w:p w14:paraId="0B138802" w14:textId="77777777" w:rsidR="00C8286D" w:rsidRPr="00A7572D" w:rsidRDefault="00C8286D" w:rsidP="0050008E">
            <w:pPr>
              <w:tabs>
                <w:tab w:val="left" w:pos="851"/>
              </w:tabs>
              <w:spacing w:line="240" w:lineRule="atLeast"/>
              <w:rPr>
                <w:rFonts w:ascii="Verdana" w:hAnsi="Verdana"/>
                <w:b/>
                <w:sz w:val="20"/>
                <w:lang w:val="es-ES"/>
              </w:rPr>
            </w:pPr>
            <w:bookmarkStart w:id="4" w:name="ddate" w:colFirst="1" w:colLast="1"/>
            <w:bookmarkEnd w:id="2"/>
            <w:bookmarkEnd w:id="3"/>
          </w:p>
        </w:tc>
        <w:tc>
          <w:tcPr>
            <w:tcW w:w="3120" w:type="dxa"/>
          </w:tcPr>
          <w:p w14:paraId="0755619D" w14:textId="77777777" w:rsidR="00C8286D" w:rsidRPr="00A7572D" w:rsidRDefault="00F1195C" w:rsidP="00C8286D">
            <w:pPr>
              <w:tabs>
                <w:tab w:val="left" w:pos="993"/>
              </w:tabs>
              <w:spacing w:before="0"/>
              <w:rPr>
                <w:rFonts w:ascii="Verdana" w:hAnsi="Verdana"/>
                <w:sz w:val="20"/>
                <w:lang w:val="es-ES"/>
              </w:rPr>
            </w:pPr>
            <w:r w:rsidRPr="00A7572D">
              <w:rPr>
                <w:rFonts w:ascii="Verdana" w:hAnsi="Verdana"/>
                <w:b/>
                <w:sz w:val="20"/>
                <w:lang w:val="es-ES"/>
              </w:rPr>
              <w:t>22</w:t>
            </w:r>
            <w:r w:rsidR="00C8286D" w:rsidRPr="00A7572D">
              <w:rPr>
                <w:rFonts w:ascii="Verdana" w:hAnsi="Verdana"/>
                <w:b/>
                <w:sz w:val="20"/>
                <w:lang w:val="es-ES"/>
              </w:rPr>
              <w:t xml:space="preserve"> de </w:t>
            </w:r>
            <w:r w:rsidRPr="00A7572D">
              <w:rPr>
                <w:rFonts w:ascii="Verdana" w:hAnsi="Verdana"/>
                <w:b/>
                <w:sz w:val="20"/>
                <w:lang w:val="es-ES"/>
              </w:rPr>
              <w:t>agosto</w:t>
            </w:r>
            <w:r w:rsidR="00C8286D" w:rsidRPr="00A7572D">
              <w:rPr>
                <w:rFonts w:ascii="Verdana" w:hAnsi="Verdana"/>
                <w:b/>
                <w:sz w:val="20"/>
                <w:lang w:val="es-ES"/>
              </w:rPr>
              <w:t xml:space="preserve"> de 201</w:t>
            </w:r>
            <w:r w:rsidRPr="00A7572D">
              <w:rPr>
                <w:rFonts w:ascii="Verdana" w:hAnsi="Verdana"/>
                <w:b/>
                <w:sz w:val="20"/>
                <w:lang w:val="es-ES"/>
              </w:rPr>
              <w:t>9</w:t>
            </w:r>
          </w:p>
        </w:tc>
      </w:tr>
      <w:tr w:rsidR="00C8286D" w:rsidRPr="00A7572D" w14:paraId="3334248D" w14:textId="77777777" w:rsidTr="0050008E">
        <w:trPr>
          <w:cantSplit/>
          <w:trHeight w:val="23"/>
        </w:trPr>
        <w:tc>
          <w:tcPr>
            <w:tcW w:w="6911" w:type="dxa"/>
            <w:vMerge/>
          </w:tcPr>
          <w:p w14:paraId="00695B54" w14:textId="77777777" w:rsidR="00C8286D" w:rsidRPr="00A7572D" w:rsidRDefault="00C8286D" w:rsidP="0050008E">
            <w:pPr>
              <w:tabs>
                <w:tab w:val="left" w:pos="851"/>
              </w:tabs>
              <w:spacing w:line="240" w:lineRule="atLeast"/>
              <w:rPr>
                <w:rFonts w:ascii="Verdana" w:hAnsi="Verdana"/>
                <w:b/>
                <w:sz w:val="20"/>
                <w:lang w:val="es-ES"/>
              </w:rPr>
            </w:pPr>
            <w:bookmarkStart w:id="5" w:name="dorlang" w:colFirst="1" w:colLast="1"/>
            <w:bookmarkEnd w:id="4"/>
          </w:p>
        </w:tc>
        <w:tc>
          <w:tcPr>
            <w:tcW w:w="3120" w:type="dxa"/>
          </w:tcPr>
          <w:p w14:paraId="64E152D8" w14:textId="7BE4F928" w:rsidR="00C8286D" w:rsidRPr="00A7572D" w:rsidRDefault="00C8286D" w:rsidP="00180365">
            <w:pPr>
              <w:tabs>
                <w:tab w:val="left" w:pos="993"/>
              </w:tabs>
              <w:spacing w:before="0" w:after="120"/>
              <w:rPr>
                <w:rFonts w:ascii="Verdana" w:hAnsi="Verdana"/>
                <w:sz w:val="20"/>
                <w:lang w:val="es-ES"/>
              </w:rPr>
            </w:pPr>
            <w:r w:rsidRPr="00A7572D">
              <w:rPr>
                <w:rFonts w:ascii="Verdana" w:hAnsi="Verdana"/>
                <w:b/>
                <w:sz w:val="20"/>
                <w:lang w:val="es-ES"/>
              </w:rPr>
              <w:t xml:space="preserve">Original: </w:t>
            </w:r>
            <w:r w:rsidR="00F1195C" w:rsidRPr="00A7572D">
              <w:rPr>
                <w:rFonts w:ascii="Verdana" w:hAnsi="Verdana"/>
                <w:b/>
                <w:sz w:val="20"/>
                <w:lang w:val="es-ES"/>
              </w:rPr>
              <w:t>inglés</w:t>
            </w:r>
          </w:p>
        </w:tc>
      </w:tr>
      <w:tr w:rsidR="00C8286D" w:rsidRPr="00A7572D" w14:paraId="112A9F1B" w14:textId="77777777" w:rsidTr="0050008E">
        <w:trPr>
          <w:cantSplit/>
        </w:trPr>
        <w:tc>
          <w:tcPr>
            <w:tcW w:w="10031" w:type="dxa"/>
            <w:gridSpan w:val="2"/>
          </w:tcPr>
          <w:p w14:paraId="726B15A7" w14:textId="6F97BED8" w:rsidR="00C8286D" w:rsidRPr="00A7572D" w:rsidRDefault="00A24500" w:rsidP="0050008E">
            <w:pPr>
              <w:pStyle w:val="Source"/>
              <w:rPr>
                <w:lang w:val="es-ES"/>
              </w:rPr>
            </w:pPr>
            <w:bookmarkStart w:id="6" w:name="dsource" w:colFirst="0" w:colLast="0"/>
            <w:bookmarkEnd w:id="5"/>
            <w:r w:rsidRPr="00A7572D">
              <w:rPr>
                <w:lang w:val="es-ES"/>
              </w:rPr>
              <w:t>Nota del Secretario General</w:t>
            </w:r>
          </w:p>
        </w:tc>
      </w:tr>
      <w:tr w:rsidR="00C8286D" w:rsidRPr="00A7572D" w14:paraId="027A5880" w14:textId="77777777" w:rsidTr="0050008E">
        <w:trPr>
          <w:cantSplit/>
        </w:trPr>
        <w:tc>
          <w:tcPr>
            <w:tcW w:w="10031" w:type="dxa"/>
            <w:gridSpan w:val="2"/>
          </w:tcPr>
          <w:p w14:paraId="2B2696F7" w14:textId="1DDCD17B" w:rsidR="00C8286D" w:rsidRPr="00A7572D" w:rsidRDefault="00A24500" w:rsidP="0050008E">
            <w:pPr>
              <w:pStyle w:val="Title1"/>
              <w:rPr>
                <w:lang w:val="es-ES"/>
              </w:rPr>
            </w:pPr>
            <w:bookmarkStart w:id="7" w:name="dtitle1" w:colFirst="0" w:colLast="0"/>
            <w:bookmarkEnd w:id="6"/>
            <w:r w:rsidRPr="00A7572D">
              <w:rPr>
                <w:lang w:val="es-ES"/>
              </w:rPr>
              <w:t>posición de la omi para la conferencia</w:t>
            </w:r>
          </w:p>
        </w:tc>
      </w:tr>
      <w:tr w:rsidR="00C8286D" w:rsidRPr="00A7572D" w14:paraId="202846FE" w14:textId="77777777" w:rsidTr="0050008E">
        <w:trPr>
          <w:cantSplit/>
        </w:trPr>
        <w:tc>
          <w:tcPr>
            <w:tcW w:w="10031" w:type="dxa"/>
            <w:gridSpan w:val="2"/>
          </w:tcPr>
          <w:p w14:paraId="2AA1E704" w14:textId="77777777" w:rsidR="00C8286D" w:rsidRPr="00A7572D" w:rsidRDefault="00C8286D" w:rsidP="0050008E">
            <w:pPr>
              <w:pStyle w:val="Title2"/>
              <w:rPr>
                <w:lang w:val="es-ES"/>
              </w:rPr>
            </w:pPr>
            <w:bookmarkStart w:id="8" w:name="dtitle2" w:colFirst="0" w:colLast="0"/>
            <w:bookmarkEnd w:id="7"/>
          </w:p>
        </w:tc>
      </w:tr>
      <w:tr w:rsidR="00C8286D" w:rsidRPr="00A7572D" w14:paraId="4000C910" w14:textId="77777777" w:rsidTr="0050008E">
        <w:trPr>
          <w:cantSplit/>
        </w:trPr>
        <w:tc>
          <w:tcPr>
            <w:tcW w:w="10031" w:type="dxa"/>
            <w:gridSpan w:val="2"/>
          </w:tcPr>
          <w:p w14:paraId="44385424" w14:textId="77777777" w:rsidR="00C8286D" w:rsidRPr="00A7572D" w:rsidRDefault="00C8286D" w:rsidP="0050008E">
            <w:pPr>
              <w:pStyle w:val="Title3"/>
              <w:rPr>
                <w:lang w:val="es-ES"/>
              </w:rPr>
            </w:pPr>
            <w:bookmarkStart w:id="9" w:name="dtitle3" w:colFirst="0" w:colLast="0"/>
            <w:bookmarkEnd w:id="8"/>
          </w:p>
        </w:tc>
      </w:tr>
    </w:tbl>
    <w:bookmarkEnd w:id="9"/>
    <w:p w14:paraId="6E0EC072" w14:textId="49BF98BF" w:rsidR="00A24500" w:rsidRPr="00A7572D" w:rsidRDefault="00A24500" w:rsidP="00825AF7">
      <w:pPr>
        <w:pStyle w:val="Normalaftertitle"/>
        <w:rPr>
          <w:lang w:val="es-ES"/>
        </w:rPr>
      </w:pPr>
      <w:r w:rsidRPr="00A7572D">
        <w:rPr>
          <w:lang w:val="es-ES"/>
        </w:rPr>
        <w:t>Tengo el honor de señalar a la atención de la Conferencia, a petición de la Organización Marítima Internacional</w:t>
      </w:r>
      <w:r w:rsidR="00825AF7">
        <w:rPr>
          <w:lang w:val="es-ES"/>
        </w:rPr>
        <w:t xml:space="preserve"> (OMI)</w:t>
      </w:r>
      <w:r w:rsidRPr="00A7572D">
        <w:rPr>
          <w:lang w:val="es-ES"/>
        </w:rPr>
        <w:t>, el documento para información adjunto.</w:t>
      </w:r>
      <w:r w:rsidR="008B2C95" w:rsidRPr="00A7572D">
        <w:rPr>
          <w:lang w:val="es-ES"/>
        </w:rPr>
        <w:t xml:space="preserve"> </w:t>
      </w:r>
    </w:p>
    <w:p w14:paraId="46F9D2C5" w14:textId="77777777" w:rsidR="00A24500" w:rsidRPr="00A7572D" w:rsidRDefault="00A24500" w:rsidP="00A24500">
      <w:pPr>
        <w:rPr>
          <w:highlight w:val="yellow"/>
          <w:lang w:val="es-ES"/>
        </w:rPr>
      </w:pPr>
    </w:p>
    <w:p w14:paraId="7917A50E" w14:textId="77777777" w:rsidR="00A24500" w:rsidRPr="00A7572D" w:rsidRDefault="00A24500" w:rsidP="00A24500">
      <w:pPr>
        <w:rPr>
          <w:highlight w:val="yellow"/>
          <w:lang w:val="es-ES"/>
        </w:rPr>
      </w:pPr>
    </w:p>
    <w:p w14:paraId="1B2413F5" w14:textId="77777777" w:rsidR="00A24500" w:rsidRPr="00A7572D" w:rsidRDefault="00A24500" w:rsidP="00130059">
      <w:pPr>
        <w:tabs>
          <w:tab w:val="center" w:pos="6379"/>
          <w:tab w:val="left" w:pos="6804"/>
          <w:tab w:val="left" w:pos="7088"/>
          <w:tab w:val="left" w:pos="7513"/>
          <w:tab w:val="left" w:pos="7797"/>
        </w:tabs>
        <w:ind w:right="1275"/>
        <w:jc w:val="right"/>
        <w:rPr>
          <w:lang w:val="es-ES"/>
        </w:rPr>
      </w:pPr>
      <w:r w:rsidRPr="00A7572D">
        <w:rPr>
          <w:lang w:val="es-ES"/>
        </w:rPr>
        <w:tab/>
        <w:t>Houlin ZHAO</w:t>
      </w:r>
      <w:r w:rsidRPr="00A7572D">
        <w:rPr>
          <w:lang w:val="es-ES"/>
        </w:rPr>
        <w:br/>
      </w:r>
      <w:r w:rsidRPr="00A7572D">
        <w:rPr>
          <w:lang w:val="es-ES"/>
        </w:rPr>
        <w:tab/>
        <w:t>Secretario General</w:t>
      </w:r>
    </w:p>
    <w:p w14:paraId="521E59DF" w14:textId="77777777" w:rsidR="00A24500" w:rsidRPr="00A7572D" w:rsidRDefault="00A24500" w:rsidP="00A24500">
      <w:pPr>
        <w:rPr>
          <w:lang w:val="es-ES"/>
        </w:rPr>
      </w:pPr>
    </w:p>
    <w:p w14:paraId="716A9EDE" w14:textId="77777777" w:rsidR="00A24500" w:rsidRPr="00A7572D" w:rsidRDefault="00A24500" w:rsidP="00A24500">
      <w:pPr>
        <w:rPr>
          <w:lang w:val="es-ES"/>
        </w:rPr>
      </w:pPr>
      <w:r w:rsidRPr="00A7572D">
        <w:rPr>
          <w:lang w:val="es-ES"/>
        </w:rPr>
        <w:br w:type="page"/>
      </w:r>
    </w:p>
    <w:tbl>
      <w:tblPr>
        <w:tblW w:w="9025" w:type="dxa"/>
        <w:jc w:val="center"/>
        <w:tblBorders>
          <w:insideH w:val="single" w:sz="4" w:space="0" w:color="auto"/>
          <w:insideV w:val="single" w:sz="4" w:space="0" w:color="auto"/>
        </w:tblBorders>
        <w:tblLook w:val="01E0" w:firstRow="1" w:lastRow="1" w:firstColumn="1" w:lastColumn="1" w:noHBand="0" w:noVBand="0"/>
      </w:tblPr>
      <w:tblGrid>
        <w:gridCol w:w="2670"/>
        <w:gridCol w:w="4056"/>
        <w:gridCol w:w="2299"/>
      </w:tblGrid>
      <w:tr w:rsidR="00A24500" w:rsidRPr="00A7572D" w14:paraId="5F5B6BEC" w14:textId="77777777" w:rsidTr="00EA3A8F">
        <w:trPr>
          <w:trHeight w:val="1287"/>
          <w:jc w:val="center"/>
        </w:trPr>
        <w:tc>
          <w:tcPr>
            <w:tcW w:w="2903" w:type="dxa"/>
            <w:tcBorders>
              <w:right w:val="nil"/>
            </w:tcBorders>
          </w:tcPr>
          <w:p w14:paraId="30AF2290" w14:textId="77777777" w:rsidR="00A24500" w:rsidRPr="00A7572D" w:rsidRDefault="00A24500" w:rsidP="00EA3A8F">
            <w:pPr>
              <w:tabs>
                <w:tab w:val="left" w:pos="851"/>
              </w:tabs>
              <w:overflowPunct/>
              <w:autoSpaceDE/>
              <w:autoSpaceDN/>
              <w:adjustRightInd/>
              <w:spacing w:before="0"/>
              <w:textAlignment w:val="auto"/>
              <w:rPr>
                <w:rFonts w:ascii="Arial" w:hAnsi="Arial" w:cs="Arial"/>
                <w:sz w:val="22"/>
                <w:szCs w:val="22"/>
                <w:lang w:val="es-ES" w:eastAsia="en-GB"/>
              </w:rPr>
            </w:pPr>
            <w:r w:rsidRPr="00A7572D">
              <w:rPr>
                <w:rFonts w:ascii="Arial" w:hAnsi="Arial" w:cs="Arial"/>
                <w:noProof/>
                <w:sz w:val="22"/>
                <w:szCs w:val="22"/>
                <w:lang w:val="en-GB" w:eastAsia="en-GB"/>
              </w:rPr>
              <w:lastRenderedPageBreak/>
              <mc:AlternateContent>
                <mc:Choice Requires="wps">
                  <w:drawing>
                    <wp:anchor distT="0" distB="0" distL="114300" distR="114300" simplePos="0" relativeHeight="251659264" behindDoc="0" locked="0" layoutInCell="1" allowOverlap="1" wp14:anchorId="0D0E0B70" wp14:editId="6ED9741E">
                      <wp:simplePos x="0" y="0"/>
                      <wp:positionH relativeFrom="column">
                        <wp:posOffset>-82550</wp:posOffset>
                      </wp:positionH>
                      <wp:positionV relativeFrom="paragraph">
                        <wp:posOffset>621030</wp:posOffset>
                      </wp:positionV>
                      <wp:extent cx="575691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D1224A"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A1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"/>
                  </w:pict>
                </mc:Fallback>
              </mc:AlternateContent>
            </w:r>
          </w:p>
        </w:tc>
        <w:tc>
          <w:tcPr>
            <w:tcW w:w="3655" w:type="dxa"/>
            <w:tcBorders>
              <w:top w:val="nil"/>
              <w:left w:val="nil"/>
              <w:bottom w:val="nil"/>
              <w:right w:val="nil"/>
            </w:tcBorders>
          </w:tcPr>
          <w:p w14:paraId="49CDB977" w14:textId="77777777" w:rsidR="00A24500" w:rsidRPr="00A7572D" w:rsidRDefault="00A24500" w:rsidP="00EA3A8F">
            <w:pPr>
              <w:tabs>
                <w:tab w:val="left" w:pos="851"/>
              </w:tabs>
              <w:overflowPunct/>
              <w:autoSpaceDE/>
              <w:autoSpaceDN/>
              <w:adjustRightInd/>
              <w:spacing w:before="0"/>
              <w:jc w:val="both"/>
              <w:textAlignment w:val="auto"/>
              <w:rPr>
                <w:rFonts w:ascii="Arial" w:hAnsi="Arial" w:cs="Arial"/>
                <w:sz w:val="22"/>
                <w:szCs w:val="22"/>
                <w:lang w:val="es-ES" w:eastAsia="en-GB"/>
              </w:rPr>
            </w:pPr>
            <w:r w:rsidRPr="00A7572D">
              <w:rPr>
                <w:rFonts w:ascii="Arial" w:hAnsi="Arial" w:cs="Arial"/>
                <w:noProof/>
                <w:sz w:val="22"/>
                <w:szCs w:val="22"/>
                <w:lang w:val="en-GB" w:eastAsia="en-GB"/>
              </w:rPr>
              <w:drawing>
                <wp:inline distT="0" distB="0" distL="0" distR="0" wp14:anchorId="27489817" wp14:editId="26FF6121">
                  <wp:extent cx="2438400" cy="704850"/>
                  <wp:effectExtent l="0" t="0" r="0" b="0"/>
                  <wp:docPr id="2" name="Picture 2" descr="OMI-logo-BW-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I-logo-BW-S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tc>
        <w:tc>
          <w:tcPr>
            <w:tcW w:w="2467" w:type="dxa"/>
            <w:tcBorders>
              <w:top w:val="nil"/>
              <w:left w:val="nil"/>
              <w:bottom w:val="nil"/>
            </w:tcBorders>
          </w:tcPr>
          <w:p w14:paraId="7450EB2F" w14:textId="77777777" w:rsidR="00A24500" w:rsidRPr="00A7572D" w:rsidRDefault="00A24500" w:rsidP="00EA3A8F">
            <w:pPr>
              <w:tabs>
                <w:tab w:val="left" w:pos="851"/>
              </w:tabs>
              <w:overflowPunct/>
              <w:autoSpaceDE/>
              <w:autoSpaceDN/>
              <w:adjustRightInd/>
              <w:spacing w:before="0"/>
              <w:jc w:val="right"/>
              <w:textAlignment w:val="auto"/>
              <w:rPr>
                <w:rFonts w:ascii="Arial" w:hAnsi="Arial" w:cs="Arial"/>
                <w:sz w:val="22"/>
                <w:szCs w:val="22"/>
                <w:lang w:val="es-ES" w:eastAsia="en-GB"/>
              </w:rPr>
            </w:pPr>
            <w:r w:rsidRPr="00A7572D">
              <w:rPr>
                <w:rFonts w:ascii="Arial" w:hAnsi="Arial" w:cs="Arial"/>
                <w:b/>
                <w:i/>
                <w:sz w:val="48"/>
                <w:szCs w:val="48"/>
                <w:lang w:val="es-ES" w:eastAsia="en-GB"/>
              </w:rPr>
              <w:t>S</w:t>
            </w:r>
          </w:p>
        </w:tc>
      </w:tr>
    </w:tbl>
    <w:p w14:paraId="514834B2" w14:textId="77777777" w:rsidR="00A24500" w:rsidRPr="00A7572D" w:rsidRDefault="00A24500" w:rsidP="00A24500">
      <w:pPr>
        <w:overflowPunct/>
        <w:autoSpaceDE/>
        <w:autoSpaceDN/>
        <w:adjustRightInd/>
        <w:spacing w:before="0"/>
        <w:jc w:val="center"/>
        <w:textAlignment w:val="auto"/>
        <w:rPr>
          <w:rFonts w:ascii="Arial" w:hAnsi="Arial"/>
          <w:b/>
          <w:sz w:val="22"/>
          <w:lang w:val="es-ES"/>
        </w:rPr>
      </w:pPr>
    </w:p>
    <w:p w14:paraId="4AB529CE" w14:textId="067D7B69" w:rsidR="00A24500" w:rsidRPr="00A7572D" w:rsidRDefault="008B5A71" w:rsidP="008B5A71">
      <w:pPr>
        <w:pStyle w:val="Annextitle"/>
        <w:rPr>
          <w:rFonts w:ascii="Times New Roman" w:hAnsi="Times New Roman"/>
          <w:lang w:val="es-ES" w:eastAsia="en-GB"/>
        </w:rPr>
      </w:pPr>
      <w:r w:rsidRPr="00A7572D">
        <w:rPr>
          <w:rFonts w:ascii="Times New Roman" w:hAnsi="Times New Roman"/>
          <w:lang w:val="es-ES" w:eastAsia="en-GB"/>
        </w:rPr>
        <w:t>ORGANIZACIÓN MARÍTIMA INTERNACIONAL</w:t>
      </w:r>
      <w:r w:rsidR="008B2C95" w:rsidRPr="00A7572D">
        <w:rPr>
          <w:rFonts w:ascii="Times New Roman" w:hAnsi="Times New Roman"/>
          <w:lang w:val="es-ES" w:eastAsia="en-GB"/>
        </w:rPr>
        <w:t xml:space="preserve"> </w:t>
      </w:r>
      <w:r w:rsidRPr="00A7572D">
        <w:rPr>
          <w:rFonts w:ascii="Times New Roman" w:hAnsi="Times New Roman"/>
          <w:lang w:val="es-ES" w:eastAsia="en-GB"/>
        </w:rPr>
        <w:br/>
      </w:r>
      <w:r w:rsidRPr="00A7572D">
        <w:rPr>
          <w:rFonts w:ascii="Times New Roman" w:hAnsi="Times New Roman"/>
          <w:lang w:val="es-ES" w:eastAsia="en-GB"/>
        </w:rPr>
        <w:br/>
      </w:r>
      <w:r w:rsidR="00A24500" w:rsidRPr="00A7572D">
        <w:rPr>
          <w:rFonts w:ascii="Times New Roman" w:hAnsi="Times New Roman"/>
          <w:lang w:val="es-ES" w:eastAsia="en-GB"/>
        </w:rPr>
        <w:t>POSTURA DE LA OMI SOBRE LOS PUNTOS DEL ORDEN DEL</w:t>
      </w:r>
      <w:r w:rsidRPr="00A7572D">
        <w:rPr>
          <w:rFonts w:ascii="Times New Roman" w:hAnsi="Times New Roman"/>
          <w:lang w:val="es-ES" w:eastAsia="en-GB"/>
        </w:rPr>
        <w:t xml:space="preserve"> </w:t>
      </w:r>
      <w:r w:rsidR="00A24500" w:rsidRPr="00A7572D">
        <w:rPr>
          <w:rFonts w:ascii="Times New Roman" w:hAnsi="Times New Roman"/>
          <w:lang w:val="es-ES" w:eastAsia="en-GB"/>
        </w:rPr>
        <w:t>DÍA</w:t>
      </w:r>
      <w:r w:rsidRPr="00A7572D">
        <w:rPr>
          <w:rFonts w:ascii="Times New Roman" w:hAnsi="Times New Roman"/>
          <w:lang w:val="es-ES" w:eastAsia="en-GB"/>
        </w:rPr>
        <w:br/>
      </w:r>
      <w:r w:rsidR="00A24500" w:rsidRPr="00A7572D">
        <w:rPr>
          <w:rFonts w:ascii="Times New Roman" w:hAnsi="Times New Roman"/>
          <w:lang w:val="es-ES" w:eastAsia="en-GB"/>
        </w:rPr>
        <w:t>DE</w:t>
      </w:r>
      <w:r w:rsidRPr="00A7572D">
        <w:rPr>
          <w:rFonts w:ascii="Times New Roman" w:hAnsi="Times New Roman"/>
          <w:lang w:val="es-ES" w:eastAsia="en-GB"/>
        </w:rPr>
        <w:t xml:space="preserve"> </w:t>
      </w:r>
      <w:r w:rsidR="00A24500" w:rsidRPr="00A7572D">
        <w:rPr>
          <w:rFonts w:ascii="Times New Roman" w:hAnsi="Times New Roman"/>
          <w:lang w:val="es-ES" w:eastAsia="en-GB"/>
        </w:rPr>
        <w:t>LA</w:t>
      </w:r>
      <w:r w:rsidRPr="00A7572D">
        <w:rPr>
          <w:rFonts w:ascii="Times New Roman" w:hAnsi="Times New Roman"/>
          <w:lang w:val="es-ES" w:eastAsia="en-GB"/>
        </w:rPr>
        <w:t xml:space="preserve"> </w:t>
      </w:r>
      <w:r w:rsidR="00A24500" w:rsidRPr="00A7572D">
        <w:rPr>
          <w:rFonts w:ascii="Times New Roman" w:hAnsi="Times New Roman"/>
          <w:lang w:val="es-ES" w:eastAsia="en-GB"/>
        </w:rPr>
        <w:t>CONFERENCIA MUNDIAL DE RADIOCOMUNICACIONES</w:t>
      </w:r>
      <w:r w:rsidRPr="00A7572D">
        <w:rPr>
          <w:rFonts w:ascii="Times New Roman" w:hAnsi="Times New Roman"/>
          <w:lang w:val="es-ES" w:eastAsia="en-GB"/>
        </w:rPr>
        <w:br/>
      </w:r>
      <w:r w:rsidR="00A24500" w:rsidRPr="00A7572D">
        <w:rPr>
          <w:rFonts w:ascii="Times New Roman" w:hAnsi="Times New Roman"/>
          <w:lang w:val="es-ES" w:eastAsia="en-GB"/>
        </w:rPr>
        <w:t>2019 (CMR</w:t>
      </w:r>
      <w:r w:rsidR="00A24500" w:rsidRPr="00A7572D">
        <w:rPr>
          <w:rFonts w:ascii="Times New Roman" w:hAnsi="Times New Roman"/>
          <w:lang w:val="es-ES" w:eastAsia="en-GB"/>
        </w:rPr>
        <w:noBreakHyphen/>
        <w:t>19) QUE TRATAN DE CUESTIONES RELACIONADAS</w:t>
      </w:r>
      <w:r w:rsidRPr="00A7572D">
        <w:rPr>
          <w:rFonts w:ascii="Times New Roman" w:hAnsi="Times New Roman"/>
          <w:lang w:val="es-ES" w:eastAsia="en-GB"/>
        </w:rPr>
        <w:br/>
      </w:r>
      <w:r w:rsidR="00A24500" w:rsidRPr="00A7572D">
        <w:rPr>
          <w:rFonts w:ascii="Times New Roman" w:hAnsi="Times New Roman"/>
          <w:lang w:val="es-ES" w:eastAsia="en-GB"/>
        </w:rPr>
        <w:t>CON</w:t>
      </w:r>
      <w:r w:rsidRPr="00A7572D">
        <w:rPr>
          <w:rFonts w:ascii="Times New Roman" w:hAnsi="Times New Roman"/>
          <w:lang w:val="es-ES" w:eastAsia="en-GB"/>
        </w:rPr>
        <w:t xml:space="preserve"> </w:t>
      </w:r>
      <w:r w:rsidR="00A24500" w:rsidRPr="00A7572D">
        <w:rPr>
          <w:rFonts w:ascii="Times New Roman" w:hAnsi="Times New Roman"/>
          <w:lang w:val="es-ES" w:eastAsia="en-GB"/>
        </w:rPr>
        <w:t>LOS</w:t>
      </w:r>
      <w:r w:rsidRPr="00A7572D">
        <w:rPr>
          <w:rFonts w:ascii="Times New Roman" w:hAnsi="Times New Roman"/>
          <w:lang w:val="es-ES" w:eastAsia="en-GB"/>
        </w:rPr>
        <w:t xml:space="preserve"> </w:t>
      </w:r>
      <w:r w:rsidR="00A24500" w:rsidRPr="00A7572D">
        <w:rPr>
          <w:rFonts w:ascii="Times New Roman" w:hAnsi="Times New Roman"/>
          <w:lang w:val="es-ES" w:eastAsia="en-GB"/>
        </w:rPr>
        <w:t>SERVICIOS</w:t>
      </w:r>
      <w:r w:rsidRPr="00A7572D">
        <w:rPr>
          <w:rFonts w:ascii="Times New Roman" w:hAnsi="Times New Roman"/>
          <w:lang w:val="es-ES" w:eastAsia="en-GB"/>
        </w:rPr>
        <w:t xml:space="preserve"> </w:t>
      </w:r>
      <w:r w:rsidR="00A24500" w:rsidRPr="00A7572D">
        <w:rPr>
          <w:rFonts w:ascii="Times New Roman" w:hAnsi="Times New Roman"/>
          <w:lang w:val="es-ES" w:eastAsia="en-GB"/>
        </w:rPr>
        <w:t>MARÍTIMOS</w:t>
      </w:r>
    </w:p>
    <w:p w14:paraId="5C15885C" w14:textId="77777777" w:rsidR="008B5A71" w:rsidRPr="00A7572D" w:rsidRDefault="008B5A71" w:rsidP="008B5A71">
      <w:pPr>
        <w:jc w:val="center"/>
        <w:rPr>
          <w:b/>
          <w:bCs/>
          <w:lang w:val="es-ES"/>
        </w:rPr>
      </w:pPr>
      <w:r w:rsidRPr="00A7572D">
        <w:rPr>
          <w:b/>
          <w:bCs/>
          <w:lang w:val="es-ES"/>
        </w:rPr>
        <w:t>(MSC 101/24/Add.1, anexo 23)</w:t>
      </w:r>
    </w:p>
    <w:p w14:paraId="2A62C14B"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Generalidades</w:t>
      </w:r>
    </w:p>
    <w:p w14:paraId="357A7F14" w14:textId="77777777" w:rsidR="00A24500" w:rsidRPr="00A7572D" w:rsidRDefault="00A24500" w:rsidP="008B5A71">
      <w:pPr>
        <w:rPr>
          <w:lang w:val="es-ES"/>
        </w:rPr>
      </w:pPr>
      <w:r w:rsidRPr="00A7572D">
        <w:rPr>
          <w:lang w:val="es-ES"/>
        </w:rPr>
        <w:t>Más del 80 por ciento del comercio mundial se transporta por mar. Este porcentaje equivale a un total de 10 000 millones de toneladas (53 600 000 millones de toneladas-millas), de las que aproximadamente un 29 por ciento es petróleo y gas, un 30 por ciento son productos a granel (minerales, carbón, grano y fosfatos) y el 41 por ciento restante es carga general. Las operaciones de estos buques mercantes generan a la economía mundial unos ingresos anuales estimados de 380 000 millones de dólares de los Estados Unidos en concepto de fletes, lo que equivale al 5 por ciento del comercio mundial total.</w:t>
      </w:r>
    </w:p>
    <w:p w14:paraId="770DB415" w14:textId="77777777" w:rsidR="00A24500" w:rsidRPr="00A7572D" w:rsidRDefault="00A24500" w:rsidP="008B5A71">
      <w:pPr>
        <w:rPr>
          <w:lang w:val="es-ES"/>
        </w:rPr>
      </w:pPr>
      <w:r w:rsidRPr="00A7572D">
        <w:rPr>
          <w:lang w:val="es-ES"/>
        </w:rPr>
        <w:t>El sector emplea a más de 1,5 millones de marinos.</w:t>
      </w:r>
    </w:p>
    <w:p w14:paraId="38038F94"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1.3 del orden del día</w:t>
      </w:r>
    </w:p>
    <w:p w14:paraId="727D298F" w14:textId="77777777" w:rsidR="00A24500" w:rsidRPr="00A7572D" w:rsidRDefault="00A24500" w:rsidP="008B5A71">
      <w:pPr>
        <w:rPr>
          <w:szCs w:val="22"/>
          <w:lang w:val="es-ES"/>
        </w:rPr>
      </w:pPr>
      <w:r w:rsidRPr="00A7572D">
        <w:rPr>
          <w:szCs w:val="22"/>
          <w:lang w:val="es-ES"/>
        </w:rPr>
        <w:t>1.</w:t>
      </w:r>
      <w:r w:rsidRPr="00A7572D">
        <w:rPr>
          <w:szCs w:val="22"/>
          <w:lang w:val="es-ES" w:eastAsia="zh-CN"/>
        </w:rPr>
        <w:t>3</w:t>
      </w:r>
      <w:r w:rsidRPr="00A7572D">
        <w:rPr>
          <w:szCs w:val="22"/>
          <w:lang w:val="es-ES"/>
        </w:rPr>
        <w:tab/>
        <w:t>C</w:t>
      </w:r>
      <w:r w:rsidRPr="00A7572D">
        <w:rPr>
          <w:lang w:val="es-ES"/>
        </w:rPr>
        <w:t xml:space="preserve">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460-470 MHz, de conformidad con la Resolución </w:t>
      </w:r>
      <w:r w:rsidRPr="00A7572D">
        <w:rPr>
          <w:b/>
          <w:lang w:val="es-ES"/>
        </w:rPr>
        <w:t>766 (CMR-15)</w:t>
      </w:r>
      <w:r w:rsidRPr="006F4023">
        <w:rPr>
          <w:bCs/>
          <w:lang w:val="es-ES"/>
        </w:rPr>
        <w:t>;</w:t>
      </w:r>
    </w:p>
    <w:p w14:paraId="768C843D" w14:textId="177A15C5" w:rsidR="00A24500" w:rsidRPr="00A7572D" w:rsidRDefault="008B5A71" w:rsidP="008B5A71">
      <w:pPr>
        <w:pStyle w:val="Headingb"/>
        <w:rPr>
          <w:rFonts w:ascii="Times New Roman" w:hAnsi="Times New Roman"/>
          <w:lang w:val="es-ES"/>
        </w:rPr>
      </w:pPr>
      <w:r w:rsidRPr="00A7572D">
        <w:rPr>
          <w:rFonts w:ascii="Times New Roman" w:hAnsi="Times New Roman"/>
          <w:lang w:val="es-ES"/>
        </w:rPr>
        <w:tab/>
      </w:r>
      <w:r w:rsidR="00A24500" w:rsidRPr="00A7572D">
        <w:rPr>
          <w:rFonts w:ascii="Times New Roman" w:hAnsi="Times New Roman"/>
          <w:lang w:val="es-ES"/>
        </w:rPr>
        <w:t>Antecedentes</w:t>
      </w:r>
    </w:p>
    <w:p w14:paraId="07377121" w14:textId="41A1F11F" w:rsidR="00A24500" w:rsidRPr="00A7572D" w:rsidRDefault="008B5A71" w:rsidP="008B5A71">
      <w:pPr>
        <w:pStyle w:val="enumlev1"/>
        <w:rPr>
          <w:lang w:val="es-ES"/>
        </w:rPr>
      </w:pPr>
      <w:r w:rsidRPr="00A7572D">
        <w:rPr>
          <w:lang w:val="es-ES"/>
        </w:rPr>
        <w:tab/>
      </w:r>
      <w:r w:rsidR="00A24500" w:rsidRPr="00A7572D">
        <w:rPr>
          <w:lang w:val="es-ES"/>
        </w:rPr>
        <w:t xml:space="preserve">El servicio móvil marítimo utiliza parte de la banda de frecuencias 460-470 MHz para las estaciones de comunicaciones a bordo, de acuerdo con el número </w:t>
      </w:r>
      <w:r w:rsidR="00A24500" w:rsidRPr="00A7572D">
        <w:rPr>
          <w:b/>
          <w:bCs/>
          <w:lang w:val="es-ES"/>
        </w:rPr>
        <w:t>5.287</w:t>
      </w:r>
      <w:r w:rsidR="00A24500" w:rsidRPr="00A7572D">
        <w:rPr>
          <w:lang w:val="es-ES"/>
        </w:rPr>
        <w:t xml:space="preserve"> del Reglamento de Radiocomunicaciones. Las funciones de estos tipos de comunicaciones a bordo incluyen el fondeo, el atraque, el control de daños, las patrullas de seguridad, las amenazas terroristas, las comunicaciones de lucha contra incendios, etc. La comunidad marítima considera muy importante la utilización de esta banda de frecuencias.</w:t>
      </w:r>
    </w:p>
    <w:p w14:paraId="74F2084F" w14:textId="2F6DD4FC" w:rsidR="00A24500" w:rsidRPr="00A7572D" w:rsidRDefault="00440962" w:rsidP="008B5A71">
      <w:pPr>
        <w:pStyle w:val="Headingb"/>
        <w:rPr>
          <w:rFonts w:ascii="Times New Roman" w:hAnsi="Times New Roman"/>
          <w:b w:val="0"/>
          <w:lang w:val="es-ES"/>
        </w:rPr>
      </w:pPr>
      <w:bookmarkStart w:id="10" w:name="OLE_LINK2"/>
      <w:bookmarkStart w:id="11" w:name="OLE_LINK3"/>
      <w:r w:rsidRPr="00A7572D">
        <w:rPr>
          <w:rFonts w:ascii="Times New Roman" w:hAnsi="Times New Roman"/>
          <w:lang w:val="es-ES" w:eastAsia="zh-CN"/>
        </w:rPr>
        <w:tab/>
      </w:r>
      <w:r w:rsidR="00A24500" w:rsidRPr="00A7572D">
        <w:rPr>
          <w:rFonts w:ascii="Times New Roman" w:hAnsi="Times New Roman"/>
          <w:lang w:val="es-ES" w:eastAsia="zh-CN"/>
        </w:rPr>
        <w:t>Postura de la OMI</w:t>
      </w:r>
    </w:p>
    <w:bookmarkEnd w:id="10"/>
    <w:bookmarkEnd w:id="11"/>
    <w:p w14:paraId="19A7DB2C" w14:textId="3180D98B" w:rsidR="00A24500" w:rsidRPr="00A7572D" w:rsidRDefault="00440962" w:rsidP="00440962">
      <w:pPr>
        <w:pStyle w:val="enumlev1"/>
        <w:rPr>
          <w:lang w:val="es-ES"/>
        </w:rPr>
      </w:pPr>
      <w:r w:rsidRPr="00A7572D">
        <w:rPr>
          <w:lang w:val="es-ES"/>
        </w:rPr>
        <w:tab/>
      </w:r>
      <w:r w:rsidR="00A24500" w:rsidRPr="00A7572D">
        <w:rPr>
          <w:lang w:val="es-ES"/>
        </w:rPr>
        <w:t>Se debería garantizar la protección del servicio móvil marítimo existente utilizado por las estaciones de comunicaciones a bordo al que ya se ha atribuido esta banda de frecuencias, y no deberían imponerse limitaciones adicionales.</w:t>
      </w:r>
    </w:p>
    <w:p w14:paraId="4696FD33"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1.5 del orden del día</w:t>
      </w:r>
    </w:p>
    <w:p w14:paraId="261A615D" w14:textId="77777777" w:rsidR="00A24500" w:rsidRPr="00A7572D" w:rsidRDefault="00A24500" w:rsidP="008B5A71">
      <w:pPr>
        <w:rPr>
          <w:szCs w:val="22"/>
          <w:lang w:val="es-ES"/>
        </w:rPr>
      </w:pPr>
      <w:r w:rsidRPr="00A7572D">
        <w:rPr>
          <w:szCs w:val="22"/>
          <w:lang w:val="es-ES"/>
        </w:rPr>
        <w:t>1.5</w:t>
      </w:r>
      <w:r w:rsidRPr="00A7572D">
        <w:rPr>
          <w:szCs w:val="22"/>
          <w:lang w:val="es-ES"/>
        </w:rPr>
        <w:tab/>
      </w:r>
      <w:r w:rsidRPr="00A7572D">
        <w:rPr>
          <w:lang w:val="es-ES"/>
        </w:rPr>
        <w:t>Considerar la utilización de las bandas de frecuencias 17,7-19,7 GHz (espacio-Tierra) y 27,5</w:t>
      </w:r>
      <w:r w:rsidRPr="00A7572D">
        <w:rPr>
          <w:lang w:val="es-ES"/>
        </w:rPr>
        <w:noBreakHyphen/>
        <w:t>29,5 GHz (Tierra</w:t>
      </w:r>
      <w:r w:rsidRPr="00A7572D">
        <w:rPr>
          <w:lang w:val="es-ES"/>
        </w:rPr>
        <w:noBreakHyphen/>
        <w:t xml:space="preserve">espacio) utilizadas por estaciones terrenas en movimiento que se comunican con estaciones espaciales geoestacionarias en el servicio fijo por satélite, y tomar las medidas oportunas, de conformidad con la Resolución </w:t>
      </w:r>
      <w:r w:rsidRPr="00A7572D">
        <w:rPr>
          <w:b/>
          <w:lang w:val="es-ES"/>
        </w:rPr>
        <w:t>158 (CMR</w:t>
      </w:r>
      <w:r w:rsidRPr="00A7572D">
        <w:rPr>
          <w:b/>
          <w:lang w:val="es-ES"/>
        </w:rPr>
        <w:noBreakHyphen/>
        <w:t>15)</w:t>
      </w:r>
      <w:r w:rsidRPr="006F4023">
        <w:rPr>
          <w:bCs/>
          <w:lang w:val="es-ES"/>
        </w:rPr>
        <w:t>;</w:t>
      </w:r>
    </w:p>
    <w:p w14:paraId="2E14FBD0" w14:textId="17DDFDCC" w:rsidR="00A24500" w:rsidRPr="00A7572D" w:rsidRDefault="00440962" w:rsidP="00440962">
      <w:pPr>
        <w:pStyle w:val="Headingb"/>
        <w:rPr>
          <w:b w:val="0"/>
          <w:lang w:val="es-ES"/>
        </w:rPr>
      </w:pPr>
      <w:r w:rsidRPr="00A7572D">
        <w:rPr>
          <w:lang w:val="es-ES"/>
        </w:rPr>
        <w:lastRenderedPageBreak/>
        <w:tab/>
      </w:r>
      <w:r w:rsidR="00A24500" w:rsidRPr="00A7572D">
        <w:rPr>
          <w:lang w:val="es-ES"/>
        </w:rPr>
        <w:t>Antecedentes</w:t>
      </w:r>
    </w:p>
    <w:p w14:paraId="6F41F765" w14:textId="75C35B96" w:rsidR="00A24500" w:rsidRPr="00A7572D" w:rsidRDefault="00440962" w:rsidP="00440962">
      <w:pPr>
        <w:pStyle w:val="enumlev1"/>
        <w:rPr>
          <w:lang w:val="es-ES"/>
        </w:rPr>
      </w:pPr>
      <w:r w:rsidRPr="00A7572D">
        <w:rPr>
          <w:lang w:val="es-ES"/>
        </w:rPr>
        <w:tab/>
      </w:r>
      <w:r w:rsidR="00A24500" w:rsidRPr="00A7572D">
        <w:rPr>
          <w:lang w:val="es-ES"/>
        </w:rPr>
        <w:t>Actualmente, la comunidad marítima tiene una necesidad cada vez mayor de las comunicaciones mundiales de banda ancha por satélite para fines comerciales, públicos y operacionales. Parte de esta necesidad puede satisfacerse permitiendo que las estaciones terrenas en movimiento se comuniquen con las estaciones espaciales en el servicio fijo por satélite (SFS) que funcionan en las bandas de frecuencia 17,7</w:t>
      </w:r>
      <w:r w:rsidR="006F4023">
        <w:rPr>
          <w:lang w:val="es-ES"/>
        </w:rPr>
        <w:t>-</w:t>
      </w:r>
      <w:r w:rsidR="00A24500" w:rsidRPr="00A7572D">
        <w:rPr>
          <w:lang w:val="es-ES"/>
        </w:rPr>
        <w:t>19,7 GHz (espacio-Tierra) y 27,5-29</w:t>
      </w:r>
      <w:r w:rsidR="00130059">
        <w:rPr>
          <w:lang w:val="es-ES"/>
        </w:rPr>
        <w:t>,</w:t>
      </w:r>
      <w:r w:rsidR="00A24500" w:rsidRPr="00A7572D">
        <w:rPr>
          <w:lang w:val="es-ES"/>
        </w:rPr>
        <w:t xml:space="preserve">5 GHz (Tierra-espacio). </w:t>
      </w:r>
    </w:p>
    <w:p w14:paraId="7751BAAE" w14:textId="64046686" w:rsidR="00A24500" w:rsidRPr="00A7572D" w:rsidRDefault="00440962" w:rsidP="008B5A71">
      <w:pPr>
        <w:pStyle w:val="Headingb"/>
        <w:rPr>
          <w:lang w:val="es-ES"/>
        </w:rPr>
      </w:pPr>
      <w:r w:rsidRPr="00A7572D">
        <w:rPr>
          <w:lang w:val="es-ES"/>
        </w:rPr>
        <w:tab/>
      </w:r>
      <w:r w:rsidR="00A24500" w:rsidRPr="00A7572D">
        <w:rPr>
          <w:lang w:val="es-ES"/>
        </w:rPr>
        <w:t>Postura de la OMI</w:t>
      </w:r>
    </w:p>
    <w:p w14:paraId="0D422BDA" w14:textId="5B9D6B02" w:rsidR="00A24500" w:rsidRPr="00A7572D" w:rsidRDefault="00440962" w:rsidP="00440962">
      <w:pPr>
        <w:pStyle w:val="enumlev1"/>
        <w:rPr>
          <w:lang w:val="es-ES" w:eastAsia="zh-CN"/>
        </w:rPr>
      </w:pPr>
      <w:r w:rsidRPr="00A7572D">
        <w:rPr>
          <w:lang w:val="es-ES"/>
        </w:rPr>
        <w:tab/>
      </w:r>
      <w:r w:rsidR="00A24500" w:rsidRPr="00A7572D">
        <w:rPr>
          <w:lang w:val="es-ES"/>
        </w:rPr>
        <w:t xml:space="preserve">Consciente de la necesidad creciente que tiene la comunidad marítima de las comunicaciones </w:t>
      </w:r>
      <w:r w:rsidR="00A24500" w:rsidRPr="00A7572D">
        <w:rPr>
          <w:spacing w:val="-2"/>
          <w:lang w:val="es-ES"/>
        </w:rPr>
        <w:t>mundiales de banda ancha por satélite</w:t>
      </w:r>
      <w:r w:rsidR="00A24500" w:rsidRPr="00A7572D">
        <w:rPr>
          <w:lang w:val="es-ES"/>
        </w:rPr>
        <w:t xml:space="preserve">, la OMI respalda el establecimiento de condiciones operacionales y técnicas adecuadas para las estaciones terrenas en movimiento. </w:t>
      </w:r>
    </w:p>
    <w:p w14:paraId="0EE69A0C" w14:textId="77777777" w:rsidR="00A24500" w:rsidRPr="00A7572D" w:rsidRDefault="00A24500" w:rsidP="008B5A71">
      <w:pPr>
        <w:pStyle w:val="Headingb"/>
        <w:rPr>
          <w:lang w:val="es-ES"/>
        </w:rPr>
      </w:pPr>
      <w:r w:rsidRPr="00A7572D">
        <w:rPr>
          <w:lang w:val="es-ES"/>
        </w:rPr>
        <w:t>Punto 1.7 del orden del día</w:t>
      </w:r>
    </w:p>
    <w:p w14:paraId="6F81CB1C" w14:textId="77777777" w:rsidR="00A24500" w:rsidRPr="00A7572D" w:rsidRDefault="00A24500" w:rsidP="008B5A71">
      <w:pPr>
        <w:rPr>
          <w:szCs w:val="22"/>
          <w:lang w:val="es-ES"/>
        </w:rPr>
      </w:pPr>
      <w:r w:rsidRPr="00A7572D">
        <w:rPr>
          <w:szCs w:val="22"/>
          <w:lang w:val="es-ES"/>
        </w:rPr>
        <w:t>1.7</w:t>
      </w:r>
      <w:r w:rsidRPr="00A7572D">
        <w:rPr>
          <w:szCs w:val="22"/>
          <w:lang w:val="es-ES"/>
        </w:rPr>
        <w:tab/>
      </w:r>
      <w:r w:rsidRPr="00A7572D">
        <w:rPr>
          <w:lang w:val="es-ES"/>
        </w:rPr>
        <w:t>Estudiar las necesidades de espectro para seguimiento, telemetría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A7572D">
        <w:rPr>
          <w:b/>
          <w:lang w:val="es-ES"/>
        </w:rPr>
        <w:t>659 (CMR</w:t>
      </w:r>
      <w:r w:rsidRPr="00A7572D">
        <w:rPr>
          <w:b/>
          <w:lang w:val="es-ES"/>
        </w:rPr>
        <w:noBreakHyphen/>
        <w:t>15)</w:t>
      </w:r>
      <w:r w:rsidRPr="006F4023">
        <w:rPr>
          <w:bCs/>
          <w:lang w:val="es-ES"/>
        </w:rPr>
        <w:t>;</w:t>
      </w:r>
    </w:p>
    <w:p w14:paraId="50297D3E" w14:textId="3AD04C1A" w:rsidR="00A24500" w:rsidRPr="00A7572D" w:rsidRDefault="00440962" w:rsidP="00440962">
      <w:pPr>
        <w:pStyle w:val="Headingb"/>
        <w:rPr>
          <w:lang w:val="es-ES"/>
        </w:rPr>
      </w:pPr>
      <w:r w:rsidRPr="00A7572D">
        <w:rPr>
          <w:lang w:val="es-ES"/>
        </w:rPr>
        <w:tab/>
      </w:r>
      <w:r w:rsidR="00A24500" w:rsidRPr="00A7572D">
        <w:rPr>
          <w:lang w:val="es-ES"/>
        </w:rPr>
        <w:t>Antecedentes</w:t>
      </w:r>
    </w:p>
    <w:p w14:paraId="11B00B12" w14:textId="6F39FCA4" w:rsidR="00A24500" w:rsidRPr="00A7572D" w:rsidRDefault="00440962" w:rsidP="00440962">
      <w:pPr>
        <w:pStyle w:val="enumlev1"/>
        <w:rPr>
          <w:lang w:val="es-ES"/>
        </w:rPr>
      </w:pPr>
      <w:r w:rsidRPr="00A7572D">
        <w:rPr>
          <w:bCs/>
          <w:lang w:val="es-ES"/>
        </w:rPr>
        <w:tab/>
      </w:r>
      <w:r w:rsidR="00A24500" w:rsidRPr="00A7572D">
        <w:rPr>
          <w:bCs/>
          <w:lang w:val="es-ES"/>
        </w:rPr>
        <w:t xml:space="preserve">En la </w:t>
      </w:r>
      <w:r w:rsidR="006F4023" w:rsidRPr="00A7572D">
        <w:rPr>
          <w:bCs/>
          <w:lang w:val="es-ES"/>
        </w:rPr>
        <w:t>Resolución</w:t>
      </w:r>
      <w:r w:rsidR="006F4023" w:rsidRPr="00A7572D">
        <w:rPr>
          <w:b/>
          <w:lang w:val="es-ES"/>
        </w:rPr>
        <w:t xml:space="preserve"> </w:t>
      </w:r>
      <w:r w:rsidR="00A24500" w:rsidRPr="00A7572D">
        <w:rPr>
          <w:b/>
          <w:lang w:val="es-ES"/>
        </w:rPr>
        <w:t>659 (CMR-15)</w:t>
      </w:r>
      <w:r w:rsidR="00A24500" w:rsidRPr="00A7572D">
        <w:rPr>
          <w:lang w:val="es-ES"/>
        </w:rPr>
        <w:t xml:space="preserve"> se invita al UIT-R a que considere posibles atribuciones nuevas o actualizadas al servicio de operaciones espaciales en las gamas de frecuencias </w:t>
      </w:r>
      <w:bookmarkStart w:id="12" w:name="OLE_LINK4"/>
      <w:bookmarkStart w:id="13" w:name="OLE_LINK5"/>
      <w:r w:rsidR="00A24500" w:rsidRPr="00A7572D">
        <w:rPr>
          <w:lang w:val="es-ES"/>
        </w:rPr>
        <w:t>150,05-174 MHz y 400,15-420 MHz</w:t>
      </w:r>
      <w:bookmarkEnd w:id="12"/>
      <w:bookmarkEnd w:id="13"/>
      <w:r w:rsidR="00A24500" w:rsidRPr="00A7572D">
        <w:rPr>
          <w:lang w:val="es-ES"/>
        </w:rPr>
        <w:t xml:space="preserve">. En las partes de la banda de frecuencias 150,05-174 MHz la prioridad se da al servicio móvil marítimo de conformidad con el número </w:t>
      </w:r>
      <w:r w:rsidR="00A24500" w:rsidRPr="00A7572D">
        <w:rPr>
          <w:b/>
          <w:bCs/>
          <w:lang w:val="es-ES"/>
        </w:rPr>
        <w:t>5.226</w:t>
      </w:r>
      <w:r w:rsidR="00A24500" w:rsidRPr="00A7572D">
        <w:rPr>
          <w:lang w:val="es-ES"/>
        </w:rPr>
        <w:t xml:space="preserve"> del RR (véanse también los </w:t>
      </w:r>
      <w:r w:rsidR="006F4023" w:rsidRPr="00A7572D">
        <w:rPr>
          <w:lang w:val="es-ES"/>
        </w:rPr>
        <w:t xml:space="preserve">Artículos </w:t>
      </w:r>
      <w:r w:rsidR="00A24500" w:rsidRPr="00A7572D">
        <w:rPr>
          <w:b/>
          <w:bCs/>
          <w:lang w:val="es-ES"/>
        </w:rPr>
        <w:t>31</w:t>
      </w:r>
      <w:r w:rsidR="00A24500" w:rsidRPr="00A7572D">
        <w:rPr>
          <w:lang w:val="es-ES"/>
        </w:rPr>
        <w:t xml:space="preserve"> y </w:t>
      </w:r>
      <w:r w:rsidR="00A24500" w:rsidRPr="00A7572D">
        <w:rPr>
          <w:b/>
          <w:bCs/>
          <w:lang w:val="es-ES"/>
        </w:rPr>
        <w:t>52</w:t>
      </w:r>
      <w:r w:rsidR="00A24500" w:rsidRPr="00A7572D">
        <w:rPr>
          <w:lang w:val="es-ES"/>
        </w:rPr>
        <w:t xml:space="preserve"> y el </w:t>
      </w:r>
      <w:r w:rsidR="006F4023" w:rsidRPr="00A7572D">
        <w:rPr>
          <w:lang w:val="es-ES"/>
        </w:rPr>
        <w:t xml:space="preserve">Apéndice </w:t>
      </w:r>
      <w:r w:rsidR="00A24500" w:rsidRPr="00A7572D">
        <w:rPr>
          <w:b/>
          <w:bCs/>
          <w:lang w:val="es-ES"/>
        </w:rPr>
        <w:t>18</w:t>
      </w:r>
      <w:r w:rsidR="00A24500" w:rsidRPr="00A7572D">
        <w:rPr>
          <w:lang w:val="es-ES"/>
        </w:rPr>
        <w:t xml:space="preserve"> del RR). En el número </w:t>
      </w:r>
      <w:r w:rsidR="00A24500" w:rsidRPr="00A7572D">
        <w:rPr>
          <w:b/>
          <w:bCs/>
          <w:lang w:val="es-ES"/>
        </w:rPr>
        <w:t>5.266</w:t>
      </w:r>
      <w:r w:rsidR="00A24500" w:rsidRPr="00A7572D">
        <w:rPr>
          <w:lang w:val="es-ES"/>
        </w:rPr>
        <w:t xml:space="preserve"> del RR se especifica que la utilización de la banda 406</w:t>
      </w:r>
      <w:r w:rsidR="006F4023">
        <w:rPr>
          <w:lang w:val="es-ES"/>
        </w:rPr>
        <w:t>-</w:t>
      </w:r>
      <w:r w:rsidR="00A24500" w:rsidRPr="00A7572D">
        <w:rPr>
          <w:lang w:val="es-ES"/>
        </w:rPr>
        <w:t xml:space="preserve">406,1 MHz por el servicio móvil por satélite está limitado a las radiobalizas de localización de siniestros por satélite de baja potencia (véase también el </w:t>
      </w:r>
      <w:r w:rsidR="006F4023" w:rsidRPr="00A7572D">
        <w:rPr>
          <w:lang w:val="es-ES"/>
        </w:rPr>
        <w:t>Artículo </w:t>
      </w:r>
      <w:r w:rsidR="00A24500" w:rsidRPr="00A7572D">
        <w:rPr>
          <w:b/>
          <w:bCs/>
          <w:lang w:val="es-ES"/>
        </w:rPr>
        <w:t>31</w:t>
      </w:r>
      <w:r w:rsidR="00A24500" w:rsidRPr="00A7572D">
        <w:rPr>
          <w:lang w:val="es-ES"/>
        </w:rPr>
        <w:t>).</w:t>
      </w:r>
    </w:p>
    <w:p w14:paraId="4A4EEE8C" w14:textId="5F5B611B" w:rsidR="00A24500" w:rsidRPr="00A7572D" w:rsidRDefault="00440962" w:rsidP="00440962">
      <w:pPr>
        <w:pStyle w:val="enumlev1"/>
        <w:rPr>
          <w:lang w:val="es-ES"/>
        </w:rPr>
      </w:pPr>
      <w:r w:rsidRPr="00A7572D">
        <w:rPr>
          <w:lang w:val="es-ES"/>
        </w:rPr>
        <w:tab/>
      </w:r>
      <w:r w:rsidR="00A24500" w:rsidRPr="00A7572D">
        <w:rPr>
          <w:lang w:val="es-ES"/>
        </w:rPr>
        <w:t xml:space="preserve">En el </w:t>
      </w:r>
      <w:r w:rsidR="006F4023" w:rsidRPr="00A7572D">
        <w:rPr>
          <w:lang w:val="es-ES"/>
        </w:rPr>
        <w:t xml:space="preserve">Apéndice </w:t>
      </w:r>
      <w:r w:rsidR="00A24500" w:rsidRPr="00A7572D">
        <w:rPr>
          <w:b/>
          <w:bCs/>
          <w:lang w:val="es-ES"/>
        </w:rPr>
        <w:t>15</w:t>
      </w:r>
      <w:r w:rsidR="00A24500" w:rsidRPr="00A7572D">
        <w:rPr>
          <w:lang w:val="es-ES"/>
        </w:rPr>
        <w:t xml:space="preserve"> las siguientes bandas de frecuencias que se encuentran entre</w:t>
      </w:r>
      <w:r w:rsidR="006F4023">
        <w:rPr>
          <w:lang w:val="es-ES"/>
        </w:rPr>
        <w:t xml:space="preserve"> </w:t>
      </w:r>
      <w:r w:rsidR="00A24500" w:rsidRPr="00A7572D">
        <w:rPr>
          <w:lang w:val="es-ES"/>
        </w:rPr>
        <w:t>150,05</w:t>
      </w:r>
      <w:r w:rsidR="006F4023">
        <w:rPr>
          <w:lang w:val="es-ES"/>
        </w:rPr>
        <w:noBreakHyphen/>
      </w:r>
      <w:r w:rsidR="00A24500" w:rsidRPr="00A7572D">
        <w:rPr>
          <w:lang w:val="es-ES"/>
        </w:rPr>
        <w:t>174 MHz y 400,15-420 MHz se enumeran como frecuencias para las comunicaciones de socorro y seguridad del Sistema mundial de socorro y seguridad marítimos (SMSSM), en las que se prohíbe toda emisión capaz de causar interferencias perjudiciales:</w:t>
      </w:r>
    </w:p>
    <w:p w14:paraId="29EC39F8" w14:textId="6A99306B" w:rsidR="00A24500" w:rsidRPr="00A7572D" w:rsidRDefault="00440962" w:rsidP="00440962">
      <w:pPr>
        <w:pStyle w:val="enumlev2"/>
        <w:rPr>
          <w:lang w:val="es-ES"/>
        </w:rPr>
      </w:pPr>
      <w:r w:rsidRPr="00A7572D">
        <w:rPr>
          <w:lang w:val="es-ES"/>
        </w:rPr>
        <w:t>–</w:t>
      </w:r>
      <w:r w:rsidR="00A24500" w:rsidRPr="00A7572D">
        <w:rPr>
          <w:lang w:val="es-ES"/>
        </w:rPr>
        <w:tab/>
        <w:t>156,2975</w:t>
      </w:r>
      <w:r w:rsidR="006F4023">
        <w:rPr>
          <w:lang w:val="es-ES"/>
        </w:rPr>
        <w:t>-</w:t>
      </w:r>
      <w:r w:rsidR="00A24500" w:rsidRPr="00A7572D">
        <w:rPr>
          <w:lang w:val="es-ES"/>
        </w:rPr>
        <w:t>156,3125 MHz (AP18 CH06): se utiliza para las comunicaciones entre las estaciones de buque y las estaciones de aeronave que participan en operaciones coordinadas de búsqueda y salvamento. Las estaciones de aeronave pueden utilizarlas también para comunicarse con las estaciones de buque para otros fines de seguridad;</w:t>
      </w:r>
    </w:p>
    <w:p w14:paraId="4052DAE2" w14:textId="7E1EB0E0" w:rsidR="00A24500" w:rsidRPr="00A7572D" w:rsidRDefault="00A24500" w:rsidP="00440962">
      <w:pPr>
        <w:pStyle w:val="enumlev2"/>
        <w:rPr>
          <w:lang w:val="es-ES"/>
        </w:rPr>
      </w:pPr>
      <w:r w:rsidRPr="00A7572D">
        <w:rPr>
          <w:lang w:val="es-ES"/>
        </w:rPr>
        <w:t>–</w:t>
      </w:r>
      <w:r w:rsidRPr="00A7572D">
        <w:rPr>
          <w:lang w:val="es-ES"/>
        </w:rPr>
        <w:tab/>
        <w:t>156,5125</w:t>
      </w:r>
      <w:r w:rsidR="006F4023">
        <w:rPr>
          <w:lang w:val="es-ES"/>
        </w:rPr>
        <w:t>-</w:t>
      </w:r>
      <w:r w:rsidRPr="00A7572D">
        <w:rPr>
          <w:lang w:val="es-ES"/>
        </w:rPr>
        <w:t>156,5275 MHz (AP18 CH70): se utiliza exclusivamente en el servicio móvil marítimo para llamadas de socorro y seguridad empleando la llamada selectiva digital;</w:t>
      </w:r>
    </w:p>
    <w:p w14:paraId="3E1B9FA9" w14:textId="47490836" w:rsidR="00A24500" w:rsidRPr="00A7572D" w:rsidRDefault="00A24500" w:rsidP="00440962">
      <w:pPr>
        <w:pStyle w:val="enumlev2"/>
        <w:rPr>
          <w:lang w:val="es-ES"/>
        </w:rPr>
      </w:pPr>
      <w:r w:rsidRPr="00A7572D">
        <w:rPr>
          <w:lang w:val="es-ES"/>
        </w:rPr>
        <w:t>–</w:t>
      </w:r>
      <w:r w:rsidRPr="00A7572D">
        <w:rPr>
          <w:lang w:val="es-ES"/>
        </w:rPr>
        <w:tab/>
        <w:t>156,6475</w:t>
      </w:r>
      <w:r w:rsidR="006F4023">
        <w:rPr>
          <w:lang w:val="es-ES"/>
        </w:rPr>
        <w:t>-</w:t>
      </w:r>
      <w:r w:rsidRPr="00A7572D">
        <w:rPr>
          <w:lang w:val="es-ES"/>
        </w:rPr>
        <w:t>156,6625 MHz (AP18 CH13): se utiliza para las comunicaciones de buque a buque relativas a la seguridad de la navegación;</w:t>
      </w:r>
    </w:p>
    <w:p w14:paraId="6B2DE58B" w14:textId="218B7E93" w:rsidR="00A24500" w:rsidRPr="00A7572D" w:rsidRDefault="00A24500" w:rsidP="00440962">
      <w:pPr>
        <w:pStyle w:val="enumlev2"/>
        <w:rPr>
          <w:lang w:val="es-ES"/>
        </w:rPr>
      </w:pPr>
      <w:r w:rsidRPr="00A7572D">
        <w:rPr>
          <w:lang w:val="es-ES"/>
        </w:rPr>
        <w:t>–</w:t>
      </w:r>
      <w:r w:rsidRPr="00A7572D">
        <w:rPr>
          <w:lang w:val="es-ES"/>
        </w:rPr>
        <w:tab/>
        <w:t>156,7875</w:t>
      </w:r>
      <w:r w:rsidR="006F4023">
        <w:rPr>
          <w:lang w:val="es-ES"/>
        </w:rPr>
        <w:t>-</w:t>
      </w:r>
      <w:r w:rsidRPr="00A7572D">
        <w:rPr>
          <w:lang w:val="es-ES"/>
        </w:rPr>
        <w:t>156,8125 MHz (AP18 CH16): se utiliza para las comunicaciones de socorro y seguridad por radiotelefonía. Además, la frecuencia de 156,8 MHz puede ser utilizada por las estaciones de aeronave con fines de seguridad exclusivamente;</w:t>
      </w:r>
    </w:p>
    <w:p w14:paraId="603A1364" w14:textId="4D3A4B8E" w:rsidR="00A24500" w:rsidRPr="00A7572D" w:rsidRDefault="00A24500" w:rsidP="00440962">
      <w:pPr>
        <w:pStyle w:val="enumlev2"/>
        <w:rPr>
          <w:lang w:val="es-ES"/>
        </w:rPr>
      </w:pPr>
      <w:r w:rsidRPr="00A7572D">
        <w:rPr>
          <w:lang w:val="es-ES"/>
        </w:rPr>
        <w:lastRenderedPageBreak/>
        <w:t>–</w:t>
      </w:r>
      <w:r w:rsidRPr="00A7572D">
        <w:rPr>
          <w:lang w:val="es-ES"/>
        </w:rPr>
        <w:tab/>
        <w:t>161,9625</w:t>
      </w:r>
      <w:r w:rsidR="006F4023">
        <w:rPr>
          <w:lang w:val="es-ES"/>
        </w:rPr>
        <w:t>-</w:t>
      </w:r>
      <w:r w:rsidRPr="00A7572D">
        <w:rPr>
          <w:lang w:val="es-ES"/>
        </w:rPr>
        <w:t>161,9875 MHz (AP18 SIA 1) y 162,0125</w:t>
      </w:r>
      <w:r w:rsidR="006F4023">
        <w:rPr>
          <w:lang w:val="es-ES"/>
        </w:rPr>
        <w:t>-</w:t>
      </w:r>
      <w:r w:rsidRPr="00A7572D">
        <w:rPr>
          <w:lang w:val="es-ES"/>
        </w:rPr>
        <w:t>162,0375 MHz (AP18 SIA 2): se utilizan para señales SIA de transmisores de búsqueda y salvamento (SIA-SART) en las operaciones de búsqueda y salvamento;</w:t>
      </w:r>
    </w:p>
    <w:p w14:paraId="325CF7BB" w14:textId="5BA8F50E" w:rsidR="00A24500" w:rsidRPr="00A7572D" w:rsidRDefault="00A24500" w:rsidP="00440962">
      <w:pPr>
        <w:pStyle w:val="enumlev2"/>
        <w:rPr>
          <w:lang w:val="es-ES"/>
        </w:rPr>
      </w:pPr>
      <w:r w:rsidRPr="00A7572D">
        <w:rPr>
          <w:lang w:val="es-ES"/>
        </w:rPr>
        <w:t>–</w:t>
      </w:r>
      <w:r w:rsidRPr="00A7572D">
        <w:rPr>
          <w:lang w:val="es-ES"/>
        </w:rPr>
        <w:tab/>
        <w:t>406,000</w:t>
      </w:r>
      <w:r w:rsidR="006F4023">
        <w:rPr>
          <w:lang w:val="es-ES"/>
        </w:rPr>
        <w:t>-</w:t>
      </w:r>
      <w:r w:rsidRPr="00A7572D">
        <w:rPr>
          <w:lang w:val="es-ES"/>
        </w:rPr>
        <w:t>406,100 MHz: es utilizada exclusivamente por las radiobalizas de localización por satélite de siniestros en el sentido Tierra</w:t>
      </w:r>
      <w:r w:rsidRPr="00A7572D">
        <w:rPr>
          <w:lang w:val="es-ES"/>
        </w:rPr>
        <w:noBreakHyphen/>
        <w:t>espacio.</w:t>
      </w:r>
    </w:p>
    <w:p w14:paraId="7FEF55AD" w14:textId="5901F2E6" w:rsidR="00A24500" w:rsidRPr="00A7572D" w:rsidRDefault="00440962" w:rsidP="00440962">
      <w:pPr>
        <w:pStyle w:val="Headingb"/>
        <w:rPr>
          <w:lang w:val="es-ES"/>
        </w:rPr>
      </w:pPr>
      <w:r w:rsidRPr="00A7572D">
        <w:rPr>
          <w:lang w:val="es-ES"/>
        </w:rPr>
        <w:tab/>
      </w:r>
      <w:r w:rsidR="00A24500" w:rsidRPr="00A7572D">
        <w:rPr>
          <w:lang w:val="es-ES"/>
        </w:rPr>
        <w:t>Postura de la OMI</w:t>
      </w:r>
    </w:p>
    <w:p w14:paraId="4F423816" w14:textId="7A8AFCCC" w:rsidR="00A24500" w:rsidRPr="00A7572D" w:rsidRDefault="00440962" w:rsidP="00440962">
      <w:pPr>
        <w:pStyle w:val="enumlev1"/>
        <w:rPr>
          <w:lang w:val="es-ES"/>
        </w:rPr>
      </w:pPr>
      <w:r w:rsidRPr="00A7572D">
        <w:rPr>
          <w:lang w:val="es-ES"/>
        </w:rPr>
        <w:tab/>
      </w:r>
      <w:r w:rsidR="00A24500" w:rsidRPr="00A7572D">
        <w:rPr>
          <w:lang w:val="es-ES"/>
        </w:rPr>
        <w:t>Debería protegerse la integridad del SMSSM y las siguientes bandas de frecuencias no deberían incluirse en el estudio</w:t>
      </w:r>
      <w:r w:rsidR="00A24500" w:rsidRPr="00A7572D">
        <w:rPr>
          <w:lang w:val="es-ES" w:eastAsia="zh-CN"/>
        </w:rPr>
        <w:t>:</w:t>
      </w:r>
      <w:r w:rsidR="00A24500" w:rsidRPr="00A7572D">
        <w:rPr>
          <w:lang w:val="es-ES"/>
        </w:rPr>
        <w:t xml:space="preserve"> </w:t>
      </w:r>
    </w:p>
    <w:p w14:paraId="3DA7317D" w14:textId="6B650B3E" w:rsidR="00A24500" w:rsidRPr="00A7572D" w:rsidRDefault="00A24500" w:rsidP="00440962">
      <w:pPr>
        <w:pStyle w:val="enumlev2"/>
        <w:rPr>
          <w:spacing w:val="-4"/>
          <w:szCs w:val="24"/>
          <w:lang w:val="es-ES"/>
        </w:rPr>
      </w:pPr>
      <w:r w:rsidRPr="00A7572D">
        <w:rPr>
          <w:spacing w:val="-4"/>
          <w:szCs w:val="24"/>
          <w:lang w:val="es-ES"/>
        </w:rPr>
        <w:t>–</w:t>
      </w:r>
      <w:r w:rsidRPr="00A7572D">
        <w:rPr>
          <w:spacing w:val="-4"/>
          <w:szCs w:val="24"/>
          <w:lang w:val="es-ES"/>
        </w:rPr>
        <w:tab/>
        <w:t>156,000</w:t>
      </w:r>
      <w:r w:rsidR="006F4023">
        <w:rPr>
          <w:spacing w:val="-4"/>
          <w:szCs w:val="24"/>
          <w:lang w:val="es-ES"/>
        </w:rPr>
        <w:t>-</w:t>
      </w:r>
      <w:r w:rsidRPr="00A7572D">
        <w:rPr>
          <w:spacing w:val="-4"/>
          <w:szCs w:val="24"/>
          <w:lang w:val="es-ES"/>
        </w:rPr>
        <w:t>157,450 MHz, 160,600</w:t>
      </w:r>
      <w:r w:rsidR="006F4023">
        <w:rPr>
          <w:spacing w:val="-4"/>
          <w:szCs w:val="24"/>
          <w:lang w:val="es-ES"/>
        </w:rPr>
        <w:t>-</w:t>
      </w:r>
      <w:r w:rsidRPr="00A7572D">
        <w:rPr>
          <w:spacing w:val="-4"/>
          <w:szCs w:val="24"/>
          <w:lang w:val="es-ES"/>
        </w:rPr>
        <w:t>160,975 MHz y 161,475-162,050 MHz; y</w:t>
      </w:r>
    </w:p>
    <w:p w14:paraId="0B98E901" w14:textId="6E01F98D" w:rsidR="00A24500" w:rsidRPr="00A7572D" w:rsidRDefault="00A24500" w:rsidP="00440962">
      <w:pPr>
        <w:pStyle w:val="enumlev2"/>
        <w:rPr>
          <w:szCs w:val="24"/>
          <w:lang w:val="es-ES"/>
        </w:rPr>
      </w:pPr>
      <w:r w:rsidRPr="00A7572D">
        <w:rPr>
          <w:szCs w:val="24"/>
          <w:lang w:val="es-ES"/>
        </w:rPr>
        <w:t>–</w:t>
      </w:r>
      <w:r w:rsidRPr="00A7572D">
        <w:rPr>
          <w:szCs w:val="24"/>
          <w:lang w:val="es-ES"/>
        </w:rPr>
        <w:tab/>
        <w:t>405,900</w:t>
      </w:r>
      <w:r w:rsidR="006F4023">
        <w:rPr>
          <w:szCs w:val="24"/>
          <w:lang w:val="es-ES"/>
        </w:rPr>
        <w:t>-</w:t>
      </w:r>
      <w:r w:rsidRPr="00A7572D">
        <w:rPr>
          <w:szCs w:val="24"/>
          <w:lang w:val="es-ES"/>
        </w:rPr>
        <w:t>406,200 MHz.</w:t>
      </w:r>
    </w:p>
    <w:p w14:paraId="2D586D52" w14:textId="53D70CE8" w:rsidR="00A24500" w:rsidRPr="00A7572D" w:rsidRDefault="00440962" w:rsidP="00440962">
      <w:pPr>
        <w:pStyle w:val="enumlev1"/>
        <w:rPr>
          <w:lang w:val="es-ES"/>
        </w:rPr>
      </w:pPr>
      <w:r w:rsidRPr="00A7572D">
        <w:rPr>
          <w:lang w:val="es-ES"/>
        </w:rPr>
        <w:tab/>
      </w:r>
      <w:r w:rsidR="00A24500" w:rsidRPr="00A7572D">
        <w:rPr>
          <w:lang w:val="es-ES"/>
        </w:rPr>
        <w:t>Teniendo en cuenta la relevancia de estas bandas de frecuencias para los puntos 1.9.1 y 1.9.2 del orden del día, es necesario considerar la coordinación de estos dos puntos del orden del día.</w:t>
      </w:r>
    </w:p>
    <w:p w14:paraId="6411A1A6"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1.8 del orden del día</w:t>
      </w:r>
    </w:p>
    <w:p w14:paraId="4B333D45" w14:textId="77777777" w:rsidR="00A24500" w:rsidRPr="00A7572D" w:rsidRDefault="00A24500" w:rsidP="008B5A71">
      <w:pPr>
        <w:rPr>
          <w:lang w:val="es-ES"/>
        </w:rPr>
      </w:pPr>
      <w:r w:rsidRPr="00A7572D">
        <w:rPr>
          <w:lang w:val="es-ES"/>
        </w:rPr>
        <w:t>1.8</w:t>
      </w:r>
      <w:r w:rsidRPr="00A7572D">
        <w:rPr>
          <w:lang w:val="es-ES"/>
        </w:rPr>
        <w:tab/>
      </w:r>
      <w:r w:rsidRPr="00A7572D">
        <w:rPr>
          <w:lang w:val="es-ES" w:eastAsia="es-ES"/>
        </w:rPr>
        <w:t>Examinar las posibles medidas reglamentarias para la modernización del Sistema Mundial de Socorro y Seguridad Marítimos (SMSSM) y dar soporte a la introducción de sistemas de satélites adicionales en el SMSSM, de conformidad con la Resolución </w:t>
      </w:r>
      <w:r w:rsidRPr="00A7572D">
        <w:rPr>
          <w:b/>
          <w:bCs/>
          <w:lang w:val="es-ES" w:eastAsia="es-ES"/>
        </w:rPr>
        <w:t xml:space="preserve">359 </w:t>
      </w:r>
      <w:r w:rsidRPr="00A7572D">
        <w:rPr>
          <w:lang w:val="es-ES" w:eastAsia="es-ES"/>
        </w:rPr>
        <w:t>(</w:t>
      </w:r>
      <w:r w:rsidRPr="00A7572D">
        <w:rPr>
          <w:b/>
          <w:bCs/>
          <w:lang w:val="es-ES" w:eastAsia="es-ES"/>
        </w:rPr>
        <w:t>Rev.CMR</w:t>
      </w:r>
      <w:r w:rsidRPr="00A7572D">
        <w:rPr>
          <w:b/>
          <w:bCs/>
          <w:lang w:val="es-ES" w:eastAsia="es-ES"/>
        </w:rPr>
        <w:noBreakHyphen/>
        <w:t>15)</w:t>
      </w:r>
      <w:r w:rsidRPr="006F4023">
        <w:rPr>
          <w:bCs/>
          <w:lang w:val="es-ES" w:eastAsia="es-ES"/>
        </w:rPr>
        <w:t>;</w:t>
      </w:r>
    </w:p>
    <w:p w14:paraId="46A3C395" w14:textId="5FC66447" w:rsidR="00A24500" w:rsidRPr="00A7572D" w:rsidRDefault="00440962" w:rsidP="00440962">
      <w:pPr>
        <w:pStyle w:val="Headingb"/>
        <w:rPr>
          <w:lang w:val="es-ES"/>
        </w:rPr>
      </w:pPr>
      <w:r w:rsidRPr="00A7572D">
        <w:rPr>
          <w:lang w:val="es-ES"/>
        </w:rPr>
        <w:tab/>
      </w:r>
      <w:r w:rsidR="00A24500" w:rsidRPr="00A7572D">
        <w:rPr>
          <w:lang w:val="es-ES"/>
        </w:rPr>
        <w:t>Antecedentes</w:t>
      </w:r>
    </w:p>
    <w:p w14:paraId="096C18B1" w14:textId="7C170834" w:rsidR="00A24500" w:rsidRPr="00130059" w:rsidRDefault="00440962" w:rsidP="00440962">
      <w:pPr>
        <w:pStyle w:val="Headingi"/>
        <w:rPr>
          <w:i w:val="0"/>
          <w:iCs/>
          <w:lang w:val="es-ES"/>
        </w:rPr>
      </w:pPr>
      <w:r w:rsidRPr="00A7572D">
        <w:rPr>
          <w:lang w:val="es-ES"/>
        </w:rPr>
        <w:tab/>
      </w:r>
      <w:r w:rsidR="00A24500" w:rsidRPr="00130059">
        <w:rPr>
          <w:i w:val="0"/>
          <w:iCs/>
          <w:lang w:val="es-ES"/>
        </w:rPr>
        <w:t>Cuestión A</w:t>
      </w:r>
    </w:p>
    <w:p w14:paraId="68C47673" w14:textId="59CDB856" w:rsidR="00A24500" w:rsidRPr="00A7572D" w:rsidRDefault="00440962" w:rsidP="00440962">
      <w:pPr>
        <w:pStyle w:val="enumlev1"/>
        <w:rPr>
          <w:lang w:val="es-ES"/>
        </w:rPr>
      </w:pPr>
      <w:r w:rsidRPr="00A7572D">
        <w:rPr>
          <w:lang w:val="es-ES"/>
        </w:rPr>
        <w:tab/>
      </w:r>
      <w:r w:rsidR="00A24500" w:rsidRPr="00A7572D">
        <w:rPr>
          <w:lang w:val="es-ES"/>
        </w:rPr>
        <w:t xml:space="preserve">La OMI está actualmente modernizando el SMSSM. El plan de modernización del SMSSM ha sido refrendado por el NCSR 4 y aprobado por el MSC 98. Se están presentando algunas tecnologías nuevas para que se examinen en el plan de modernización del SMSSM, tales como NAVDAT en ondas hectométricas/decamétricas. Mientras tanto, la UIT prosigue el estudio sobre NAVDAT, incluidas revisiones de las </w:t>
      </w:r>
      <w:r w:rsidR="006F4023" w:rsidRPr="00A7572D">
        <w:rPr>
          <w:lang w:val="es-ES"/>
        </w:rPr>
        <w:t xml:space="preserve">Recomendaciones </w:t>
      </w:r>
      <w:r w:rsidR="00A24500" w:rsidRPr="00A7572D">
        <w:rPr>
          <w:lang w:val="es-ES"/>
        </w:rPr>
        <w:t>del UIT</w:t>
      </w:r>
      <w:r w:rsidR="00A24500" w:rsidRPr="00A7572D">
        <w:rPr>
          <w:lang w:val="es-ES"/>
        </w:rPr>
        <w:noBreakHyphen/>
        <w:t>R, así como cuestiones relativas a la reglamentación y el espectro en relación con el punto 1.8.</w:t>
      </w:r>
    </w:p>
    <w:p w14:paraId="491DA60E" w14:textId="687144D4" w:rsidR="00A24500" w:rsidRPr="00130059" w:rsidRDefault="00440962" w:rsidP="00440962">
      <w:pPr>
        <w:pStyle w:val="Headingi"/>
        <w:rPr>
          <w:rFonts w:ascii="Times New Roman" w:hAnsi="Times New Roman"/>
          <w:i w:val="0"/>
          <w:iCs/>
          <w:sz w:val="22"/>
          <w:szCs w:val="22"/>
          <w:lang w:val="es-ES"/>
        </w:rPr>
      </w:pPr>
      <w:r w:rsidRPr="00A7572D">
        <w:rPr>
          <w:rFonts w:ascii="Times New Roman" w:hAnsi="Times New Roman"/>
          <w:sz w:val="22"/>
          <w:szCs w:val="22"/>
          <w:lang w:val="es-ES"/>
        </w:rPr>
        <w:tab/>
      </w:r>
      <w:r w:rsidR="00A24500" w:rsidRPr="00130059">
        <w:rPr>
          <w:rFonts w:ascii="Times New Roman" w:hAnsi="Times New Roman"/>
          <w:i w:val="0"/>
          <w:iCs/>
          <w:sz w:val="22"/>
          <w:szCs w:val="22"/>
          <w:lang w:val="es-ES"/>
        </w:rPr>
        <w:t>Cuestión B</w:t>
      </w:r>
    </w:p>
    <w:p w14:paraId="4C4E820E" w14:textId="756143EC" w:rsidR="00A24500" w:rsidRPr="00A7572D" w:rsidRDefault="00440962" w:rsidP="00440962">
      <w:pPr>
        <w:pStyle w:val="enumlev1"/>
        <w:rPr>
          <w:lang w:val="es-ES"/>
        </w:rPr>
      </w:pPr>
      <w:r w:rsidRPr="00A7572D">
        <w:rPr>
          <w:lang w:val="es-ES"/>
        </w:rPr>
        <w:tab/>
      </w:r>
      <w:r w:rsidR="00A24500" w:rsidRPr="00A7572D">
        <w:rPr>
          <w:lang w:val="es-ES"/>
        </w:rPr>
        <w:t xml:space="preserve">En el MSC 98, el Comité </w:t>
      </w:r>
      <w:r w:rsidR="00A24500" w:rsidRPr="00A7572D">
        <w:rPr>
          <w:bCs/>
          <w:szCs w:val="22"/>
          <w:lang w:val="es-ES"/>
        </w:rPr>
        <w:t>adoptó</w:t>
      </w:r>
      <w:r w:rsidR="00A24500" w:rsidRPr="00A7572D">
        <w:rPr>
          <w:lang w:val="es-ES"/>
        </w:rPr>
        <w:t xml:space="preserve"> la </w:t>
      </w:r>
      <w:r w:rsidR="006F4023" w:rsidRPr="00A7572D">
        <w:rPr>
          <w:lang w:val="es-ES"/>
        </w:rPr>
        <w:t xml:space="preserve">Resolución </w:t>
      </w:r>
      <w:r w:rsidR="00A24500" w:rsidRPr="00A7572D">
        <w:rPr>
          <w:szCs w:val="22"/>
          <w:lang w:val="es-ES"/>
        </w:rPr>
        <w:t xml:space="preserve">MSC.434(98) sobre </w:t>
      </w:r>
      <w:r w:rsidR="00A24500" w:rsidRPr="00A7572D">
        <w:rPr>
          <w:i/>
          <w:iCs/>
          <w:szCs w:val="22"/>
          <w:lang w:val="es-ES"/>
        </w:rPr>
        <w:t>Normas de funcionamiento de las estaciones terrenas de buque para su utilización en el SMSSM</w:t>
      </w:r>
      <w:r w:rsidR="00A24500" w:rsidRPr="00A7572D">
        <w:rPr>
          <w:szCs w:val="22"/>
          <w:lang w:val="es-ES"/>
        </w:rPr>
        <w:t xml:space="preserve"> </w:t>
      </w:r>
      <w:r w:rsidR="00A24500" w:rsidRPr="00A7572D">
        <w:rPr>
          <w:lang w:val="es-ES"/>
        </w:rPr>
        <w:t>y aprobó enmiendas al capítulo IV del Convenio SOLAS, que permitirán, una vez adoptadas por el MSC 99, la introducción de proveedores adicionales de servicios móviles por satélite del SMSSM. Esto siguió al informe de la IMSO al NCSR 4 en el que se indicaba el calendario sugerido por Iridium para ultimar la evaluación técnica y operacional de Iridium en 2018.</w:t>
      </w:r>
    </w:p>
    <w:p w14:paraId="0644E4F8" w14:textId="78F32AF5" w:rsidR="00A24500" w:rsidRPr="00A7572D" w:rsidRDefault="00440962" w:rsidP="00440962">
      <w:pPr>
        <w:pStyle w:val="enumlev1"/>
        <w:rPr>
          <w:lang w:val="es-ES"/>
        </w:rPr>
      </w:pPr>
      <w:r w:rsidRPr="00A7572D">
        <w:rPr>
          <w:lang w:val="es-ES"/>
        </w:rPr>
        <w:tab/>
      </w:r>
      <w:r w:rsidR="00A24500" w:rsidRPr="00A7572D">
        <w:rPr>
          <w:lang w:val="es-ES"/>
        </w:rPr>
        <w:t xml:space="preserve">En el MSC 99, el Comité adoptó la Resolución MSC.451(99) sobre </w:t>
      </w:r>
      <w:r w:rsidR="00A24500" w:rsidRPr="006F4023">
        <w:rPr>
          <w:i/>
          <w:iCs/>
          <w:lang w:val="es-ES"/>
        </w:rPr>
        <w:t>Declaración de reconocimiento de los servicios móviles marítimos por satélite provistos por Iridium Satellite LLC</w:t>
      </w:r>
      <w:r w:rsidR="00A24500" w:rsidRPr="00A7572D">
        <w:rPr>
          <w:lang w:val="es-ES"/>
        </w:rPr>
        <w:t>.</w:t>
      </w:r>
    </w:p>
    <w:p w14:paraId="4984282C" w14:textId="1B6B6F48" w:rsidR="00A24500" w:rsidRPr="00A7572D" w:rsidRDefault="00440962" w:rsidP="00440962">
      <w:pPr>
        <w:pStyle w:val="enumlev1"/>
        <w:rPr>
          <w:lang w:val="es-ES"/>
        </w:rPr>
      </w:pPr>
      <w:r w:rsidRPr="00A7572D">
        <w:rPr>
          <w:lang w:val="es-ES"/>
        </w:rPr>
        <w:tab/>
      </w:r>
      <w:r w:rsidR="00A24500" w:rsidRPr="00A7572D">
        <w:rPr>
          <w:lang w:val="es-ES"/>
        </w:rPr>
        <w:t xml:space="preserve">El MSC 99 también adoptó la </w:t>
      </w:r>
      <w:r w:rsidR="006F4023" w:rsidRPr="00A7572D">
        <w:rPr>
          <w:lang w:val="es-ES"/>
        </w:rPr>
        <w:t xml:space="preserve">Resolución </w:t>
      </w:r>
      <w:r w:rsidR="00A24500" w:rsidRPr="00A7572D">
        <w:rPr>
          <w:lang w:val="es-ES"/>
        </w:rPr>
        <w:t xml:space="preserve">MSC.436(99) sobre </w:t>
      </w:r>
      <w:r w:rsidR="00A24500" w:rsidRPr="00A7572D">
        <w:rPr>
          <w:i/>
          <w:iCs/>
          <w:lang w:val="es-ES"/>
        </w:rPr>
        <w:t>Enmiendas al Convenio internacional para la seguridad de la vida humana en el mar</w:t>
      </w:r>
      <w:r w:rsidR="00A24500" w:rsidRPr="00A7572D">
        <w:rPr>
          <w:lang w:val="es-ES"/>
        </w:rPr>
        <w:t xml:space="preserve">, incluidas enmiendas al </w:t>
      </w:r>
      <w:r w:rsidR="006F4023" w:rsidRPr="00A7572D">
        <w:rPr>
          <w:lang w:val="es-ES"/>
        </w:rPr>
        <w:t>Capítulo </w:t>
      </w:r>
      <w:r w:rsidR="00A24500" w:rsidRPr="00A7572D">
        <w:rPr>
          <w:lang w:val="es-ES"/>
        </w:rPr>
        <w:t xml:space="preserve">IV para sustituir las referencias a </w:t>
      </w:r>
      <w:r w:rsidR="008B2C95" w:rsidRPr="00A7572D">
        <w:rPr>
          <w:lang w:val="es-ES"/>
        </w:rPr>
        <w:t>«</w:t>
      </w:r>
      <w:r w:rsidR="00A24500" w:rsidRPr="00A7572D">
        <w:rPr>
          <w:lang w:val="es-ES"/>
        </w:rPr>
        <w:t>Inmarsat</w:t>
      </w:r>
      <w:r w:rsidR="008B2C95" w:rsidRPr="00A7572D">
        <w:rPr>
          <w:lang w:val="es-ES"/>
        </w:rPr>
        <w:t>»</w:t>
      </w:r>
      <w:r w:rsidR="00A24500" w:rsidRPr="00A7572D">
        <w:rPr>
          <w:lang w:val="es-ES"/>
        </w:rPr>
        <w:t xml:space="preserve"> por la expresión </w:t>
      </w:r>
      <w:r w:rsidR="008B2C95" w:rsidRPr="00A7572D">
        <w:rPr>
          <w:lang w:val="es-ES"/>
        </w:rPr>
        <w:t>«</w:t>
      </w:r>
      <w:r w:rsidR="00A24500" w:rsidRPr="00A7572D">
        <w:rPr>
          <w:lang w:val="es-ES"/>
        </w:rPr>
        <w:t>servicio de móvil por satélite reconocido</w:t>
      </w:r>
      <w:r w:rsidR="008B2C95" w:rsidRPr="00A7572D">
        <w:rPr>
          <w:lang w:val="es-ES"/>
        </w:rPr>
        <w:t>»</w:t>
      </w:r>
      <w:r w:rsidR="00A24500" w:rsidRPr="00A7572D">
        <w:rPr>
          <w:lang w:val="es-ES"/>
        </w:rPr>
        <w:t>. Este cambio refleja la habilidad de los proveedores reconocidos de servicios móviles por satélite de cumplir las prescripciones relativas al equipo del SMSSM que debe llevarse a bordo en vigor a partir del 1 de enero de 2020.</w:t>
      </w:r>
    </w:p>
    <w:p w14:paraId="78D1C85A" w14:textId="641DA16B" w:rsidR="00A24500" w:rsidRPr="00A7572D" w:rsidRDefault="00440962" w:rsidP="00440962">
      <w:pPr>
        <w:pStyle w:val="Headingb"/>
        <w:rPr>
          <w:lang w:val="es-ES"/>
        </w:rPr>
      </w:pPr>
      <w:r w:rsidRPr="00A7572D">
        <w:rPr>
          <w:lang w:val="es-ES"/>
        </w:rPr>
        <w:lastRenderedPageBreak/>
        <w:tab/>
      </w:r>
      <w:r w:rsidR="00A24500" w:rsidRPr="00A7572D">
        <w:rPr>
          <w:lang w:val="es-ES"/>
        </w:rPr>
        <w:t>Postura de la OMI</w:t>
      </w:r>
    </w:p>
    <w:p w14:paraId="572CE1F5" w14:textId="7F363DBA" w:rsidR="00A24500" w:rsidRPr="00A7572D" w:rsidRDefault="00440962" w:rsidP="00440962">
      <w:pPr>
        <w:pStyle w:val="enumlev1"/>
        <w:rPr>
          <w:rFonts w:eastAsia="Calibri"/>
          <w:lang w:val="es-ES" w:eastAsia="zh-CN"/>
        </w:rPr>
      </w:pPr>
      <w:r w:rsidRPr="00A7572D">
        <w:rPr>
          <w:rFonts w:eastAsia="Calibri"/>
          <w:lang w:val="es-ES" w:eastAsia="zh-CN"/>
        </w:rPr>
        <w:tab/>
      </w:r>
      <w:r w:rsidR="00A24500" w:rsidRPr="00A7572D">
        <w:rPr>
          <w:rFonts w:eastAsia="Calibri"/>
          <w:lang w:val="es-ES" w:eastAsia="zh-CN"/>
        </w:rPr>
        <w:t>La OMI invita a la UIT a que:</w:t>
      </w:r>
    </w:p>
    <w:p w14:paraId="4B1EC6AF" w14:textId="4AB5C06A" w:rsidR="00A24500" w:rsidRPr="00A7572D" w:rsidRDefault="00A24500" w:rsidP="00440962">
      <w:pPr>
        <w:pStyle w:val="enumlev2"/>
        <w:rPr>
          <w:szCs w:val="24"/>
          <w:lang w:val="es-ES"/>
        </w:rPr>
      </w:pPr>
      <w:r w:rsidRPr="00A7572D">
        <w:rPr>
          <w:szCs w:val="24"/>
          <w:lang w:val="es-ES"/>
        </w:rPr>
        <w:t>1</w:t>
      </w:r>
      <w:r w:rsidRPr="00A7572D">
        <w:rPr>
          <w:szCs w:val="24"/>
          <w:lang w:val="es-ES"/>
        </w:rPr>
        <w:tab/>
        <w:t xml:space="preserve">al examinar el párrafo 1 de la parte dispositiva que empieza con </w:t>
      </w:r>
      <w:r w:rsidR="008B2C95" w:rsidRPr="00A7572D">
        <w:rPr>
          <w:szCs w:val="24"/>
          <w:lang w:val="es-ES"/>
        </w:rPr>
        <w:t>«</w:t>
      </w:r>
      <w:r w:rsidRPr="00A7572D">
        <w:rPr>
          <w:szCs w:val="24"/>
          <w:lang w:val="es-ES"/>
        </w:rPr>
        <w:t>resuelve</w:t>
      </w:r>
      <w:r w:rsidR="008B2C95" w:rsidRPr="00A7572D">
        <w:rPr>
          <w:szCs w:val="24"/>
          <w:lang w:val="es-ES"/>
        </w:rPr>
        <w:t>»</w:t>
      </w:r>
      <w:r w:rsidRPr="00A7572D">
        <w:rPr>
          <w:szCs w:val="24"/>
          <w:lang w:val="es-ES"/>
        </w:rPr>
        <w:t xml:space="preserve">, examine las atribuciones de frecuencias para NAVDAT que la OMI </w:t>
      </w:r>
      <w:proofErr w:type="gramStart"/>
      <w:r w:rsidRPr="00A7572D">
        <w:rPr>
          <w:szCs w:val="24"/>
          <w:lang w:val="es-ES"/>
        </w:rPr>
        <w:t>respalda</w:t>
      </w:r>
      <w:proofErr w:type="gramEnd"/>
      <w:r w:rsidRPr="00A7572D">
        <w:rPr>
          <w:szCs w:val="24"/>
          <w:lang w:val="es-ES"/>
        </w:rPr>
        <w:t xml:space="preserve"> pero sin que esto comprometa a la Organización con respecto a las futuras prescripciones sobre la utilización de NAVDAT;</w:t>
      </w:r>
    </w:p>
    <w:p w14:paraId="322D548B" w14:textId="426937D4" w:rsidR="00A24500" w:rsidRPr="00A7572D" w:rsidRDefault="00A24500" w:rsidP="00440962">
      <w:pPr>
        <w:pStyle w:val="enumlev2"/>
        <w:rPr>
          <w:szCs w:val="24"/>
          <w:lang w:val="es-ES"/>
        </w:rPr>
      </w:pPr>
      <w:r w:rsidRPr="00A7572D">
        <w:rPr>
          <w:szCs w:val="24"/>
          <w:lang w:val="es-ES"/>
        </w:rPr>
        <w:t>2</w:t>
      </w:r>
      <w:r w:rsidRPr="00A7572D">
        <w:rPr>
          <w:szCs w:val="24"/>
          <w:lang w:val="es-ES"/>
        </w:rPr>
        <w:tab/>
        <w:t xml:space="preserve">al examinar el párrafo 2 de la parte dispositiva que empieza con </w:t>
      </w:r>
      <w:r w:rsidR="008B2C95" w:rsidRPr="00A7572D">
        <w:rPr>
          <w:szCs w:val="24"/>
          <w:lang w:val="es-ES"/>
        </w:rPr>
        <w:t>«</w:t>
      </w:r>
      <w:r w:rsidRPr="00A7572D">
        <w:rPr>
          <w:szCs w:val="24"/>
          <w:lang w:val="es-ES"/>
        </w:rPr>
        <w:t>resuelve</w:t>
      </w:r>
      <w:r w:rsidR="008B2C95" w:rsidRPr="00A7572D">
        <w:rPr>
          <w:szCs w:val="24"/>
          <w:lang w:val="es-ES"/>
        </w:rPr>
        <w:t>»</w:t>
      </w:r>
      <w:r w:rsidRPr="00A7572D">
        <w:rPr>
          <w:szCs w:val="24"/>
          <w:lang w:val="es-ES"/>
        </w:rPr>
        <w:t>, adopte medidas reglamentarias para garantizar la plena protección y disponibilidad de las bandas de frecuencias que utilizarán los proveedores de servicios por satélite del SMSSM reconocidos para la provisión de servicios de SMSSM de aquí al 1 de enero de 2020; y</w:t>
      </w:r>
    </w:p>
    <w:p w14:paraId="7D82ED65" w14:textId="6E5F6C5E" w:rsidR="00A24500" w:rsidRPr="00A7572D" w:rsidRDefault="00A24500" w:rsidP="00440962">
      <w:pPr>
        <w:pStyle w:val="enumlev2"/>
        <w:rPr>
          <w:rFonts w:eastAsia="Calibri"/>
          <w:color w:val="000000"/>
          <w:szCs w:val="24"/>
          <w:highlight w:val="yellow"/>
          <w:lang w:val="es-ES"/>
        </w:rPr>
      </w:pPr>
      <w:r w:rsidRPr="00A7572D">
        <w:rPr>
          <w:rFonts w:eastAsia="Calibri"/>
          <w:color w:val="000000"/>
          <w:szCs w:val="24"/>
          <w:lang w:val="es-ES"/>
        </w:rPr>
        <w:t>3</w:t>
      </w:r>
      <w:r w:rsidRPr="00A7572D">
        <w:rPr>
          <w:rFonts w:eastAsia="Calibri"/>
          <w:color w:val="000000"/>
          <w:szCs w:val="24"/>
          <w:lang w:val="es-ES"/>
        </w:rPr>
        <w:tab/>
        <w:t xml:space="preserve">resuelva cualquier cuestión en virtud de la </w:t>
      </w:r>
      <w:r w:rsidR="006F4023" w:rsidRPr="00A7572D">
        <w:rPr>
          <w:rFonts w:eastAsia="Calibri"/>
          <w:color w:val="000000"/>
          <w:szCs w:val="24"/>
          <w:lang w:val="es-ES"/>
        </w:rPr>
        <w:t xml:space="preserve">Resolución </w:t>
      </w:r>
      <w:r w:rsidRPr="00A7572D">
        <w:rPr>
          <w:rFonts w:eastAsia="Calibri"/>
          <w:b/>
          <w:color w:val="000000"/>
          <w:szCs w:val="24"/>
          <w:lang w:val="es-ES"/>
        </w:rPr>
        <w:t>359 (Rev.</w:t>
      </w:r>
      <w:r w:rsidRPr="00A7572D">
        <w:rPr>
          <w:b/>
          <w:color w:val="000000"/>
          <w:szCs w:val="24"/>
          <w:lang w:val="es-ES" w:eastAsia="en-GB"/>
        </w:rPr>
        <w:t>CMR</w:t>
      </w:r>
      <w:r w:rsidRPr="00A7572D">
        <w:rPr>
          <w:rFonts w:eastAsia="Calibri"/>
          <w:b/>
          <w:color w:val="000000"/>
          <w:szCs w:val="24"/>
          <w:lang w:val="es-ES"/>
        </w:rPr>
        <w:noBreakHyphen/>
        <w:t>15)</w:t>
      </w:r>
      <w:r w:rsidRPr="00A7572D">
        <w:rPr>
          <w:rFonts w:eastAsia="Calibri"/>
          <w:color w:val="000000"/>
          <w:szCs w:val="24"/>
          <w:lang w:val="es-ES"/>
        </w:rPr>
        <w:t>, en relación con el funcionamiento futuro de los proveedores de servicios por satélite del SMSSM reconocidos recientemente.</w:t>
      </w:r>
    </w:p>
    <w:p w14:paraId="295550A6"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1.9.1 del orden del día</w:t>
      </w:r>
    </w:p>
    <w:p w14:paraId="2C3BDAFE" w14:textId="20F86580" w:rsidR="00A24500" w:rsidRPr="00A7572D" w:rsidRDefault="00A24500" w:rsidP="008B5A71">
      <w:pPr>
        <w:rPr>
          <w:lang w:val="es-ES"/>
        </w:rPr>
      </w:pPr>
      <w:r w:rsidRPr="00A7572D">
        <w:rPr>
          <w:lang w:val="es-ES"/>
        </w:rPr>
        <w:t>1.9.1</w:t>
      </w:r>
      <w:r w:rsidRPr="00A7572D">
        <w:rPr>
          <w:lang w:val="es-ES"/>
        </w:rPr>
        <w:tab/>
        <w:t xml:space="preserve">La posibilidad de adoptar medidas reglamentarias en la banda de </w:t>
      </w:r>
      <w:r w:rsidRPr="00A7572D">
        <w:rPr>
          <w:lang w:val="es-ES" w:eastAsia="en-GB"/>
        </w:rPr>
        <w:t>frecuencias</w:t>
      </w:r>
      <w:r w:rsidR="006F4023">
        <w:rPr>
          <w:lang w:val="es-ES" w:eastAsia="en-GB"/>
        </w:rPr>
        <w:t xml:space="preserve"> </w:t>
      </w:r>
      <w:r w:rsidRPr="00A7572D">
        <w:rPr>
          <w:lang w:val="es-ES" w:eastAsia="en-GB"/>
        </w:rPr>
        <w:t>156</w:t>
      </w:r>
      <w:r w:rsidRPr="00A7572D">
        <w:rPr>
          <w:lang w:val="es-ES" w:eastAsia="en-GB"/>
        </w:rPr>
        <w:noBreakHyphen/>
        <w:t xml:space="preserve">162,05 MHz, para los dispositivos autónomos de radiocomunicaciones marítimas para proteger el SMSSM y el sistema de identificación automática (SIA) de conformidad con la </w:t>
      </w:r>
      <w:r w:rsidR="006F4023" w:rsidRPr="00A7572D">
        <w:rPr>
          <w:lang w:val="es-ES" w:eastAsia="en-GB"/>
        </w:rPr>
        <w:t xml:space="preserve">Resolución </w:t>
      </w:r>
      <w:r w:rsidRPr="00A7572D">
        <w:rPr>
          <w:b/>
          <w:lang w:val="es-ES" w:eastAsia="en-GB"/>
        </w:rPr>
        <w:t>362 (CMR</w:t>
      </w:r>
      <w:r w:rsidRPr="00A7572D">
        <w:rPr>
          <w:b/>
          <w:lang w:val="es-ES" w:eastAsia="en-GB"/>
        </w:rPr>
        <w:noBreakHyphen/>
        <w:t>15)</w:t>
      </w:r>
      <w:r w:rsidRPr="006F4023">
        <w:rPr>
          <w:bCs/>
          <w:lang w:val="es-ES" w:eastAsia="en-GB"/>
        </w:rPr>
        <w:t>;</w:t>
      </w:r>
    </w:p>
    <w:p w14:paraId="1AA70872" w14:textId="2847C357" w:rsidR="00A24500" w:rsidRPr="00A7572D" w:rsidRDefault="00440962" w:rsidP="00440962">
      <w:pPr>
        <w:pStyle w:val="Headingb"/>
        <w:rPr>
          <w:lang w:val="es-ES"/>
        </w:rPr>
      </w:pPr>
      <w:r w:rsidRPr="00A7572D">
        <w:rPr>
          <w:lang w:val="es-ES"/>
        </w:rPr>
        <w:tab/>
      </w:r>
      <w:r w:rsidR="00A24500" w:rsidRPr="00A7572D">
        <w:rPr>
          <w:lang w:val="es-ES"/>
        </w:rPr>
        <w:t xml:space="preserve">Antecedentes </w:t>
      </w:r>
    </w:p>
    <w:p w14:paraId="17844394" w14:textId="403B8B72"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 xml:space="preserve">Hay algunos dispositivos autónomos de radiocomunicaciones marítimas que utilizan tecnología del </w:t>
      </w:r>
      <w:r w:rsidR="00A24500" w:rsidRPr="00A7572D">
        <w:rPr>
          <w:color w:val="000000"/>
          <w:szCs w:val="24"/>
          <w:lang w:val="es-ES" w:eastAsia="en-GB"/>
        </w:rPr>
        <w:t>sistema de identificación automática (SIA)</w:t>
      </w:r>
      <w:r w:rsidR="00A24500" w:rsidRPr="00A7572D">
        <w:rPr>
          <w:szCs w:val="24"/>
          <w:lang w:val="es-ES"/>
        </w:rPr>
        <w:t>, tecnología de llamada selectiva digital (LSD), tecnología para la transmisión de mensajes de voz sintéticos o una combinación de estas tecnologías, que se han elaborado para el medio marítimo y funcionan en este y se espera que su número aumente.</w:t>
      </w:r>
    </w:p>
    <w:p w14:paraId="40C76E0B" w14:textId="44EFD7ED"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Algunos de estos dispositivos no mejoran la seguridad de la navegación ni sirven para las comunicaciones entre estaciones costeras y estaciones de buque, entre estaciones de buque, entre estaciones de comunicaciones a bordo conexas o estaciones de embarcaciones de seguridad y estaciones de radiobalizas de localización de emergencia, pero ocupan el espectro y las identidades del servicio móvil marítimo.</w:t>
      </w:r>
    </w:p>
    <w:p w14:paraId="42CE30A1" w14:textId="7F29E997"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 xml:space="preserve">Es necesario clasificar y reglamentar la utilización de los dispositivos autónomos de radiocomunicaciones marítimas. En la 17ª reunión del Grupo de </w:t>
      </w:r>
      <w:r w:rsidR="008D6968" w:rsidRPr="00A7572D">
        <w:rPr>
          <w:szCs w:val="24"/>
          <w:lang w:val="es-ES"/>
        </w:rPr>
        <w:t xml:space="preserve">Trabajo </w:t>
      </w:r>
      <w:r w:rsidR="00A24500" w:rsidRPr="00A7572D">
        <w:rPr>
          <w:szCs w:val="24"/>
          <w:lang w:val="es-ES"/>
        </w:rPr>
        <w:t>5B del UIT</w:t>
      </w:r>
      <w:r w:rsidR="00A24500" w:rsidRPr="00A7572D">
        <w:rPr>
          <w:szCs w:val="24"/>
          <w:lang w:val="es-ES"/>
        </w:rPr>
        <w:noBreakHyphen/>
        <w:t xml:space="preserve">R se adoptó el anteproyecto de definición de dispositivo autónomo de radiocomunicaciones marítimas (AMRD), que se había elaborado en la 12ª reunión del Grupo </w:t>
      </w:r>
      <w:r w:rsidR="008D6968" w:rsidRPr="00A7572D">
        <w:rPr>
          <w:szCs w:val="24"/>
          <w:lang w:val="es-ES"/>
        </w:rPr>
        <w:t xml:space="preserve">Mixto de Expertos </w:t>
      </w:r>
      <w:r w:rsidR="00A24500" w:rsidRPr="00A7572D">
        <w:rPr>
          <w:szCs w:val="24"/>
          <w:lang w:val="es-ES"/>
        </w:rPr>
        <w:t xml:space="preserve">OMI/UIT, y la definición se ultimó en la 18ª reunión del Grupo de </w:t>
      </w:r>
      <w:r w:rsidR="008D6968" w:rsidRPr="00A7572D">
        <w:rPr>
          <w:szCs w:val="24"/>
          <w:lang w:val="es-ES"/>
        </w:rPr>
        <w:t>Trabajo </w:t>
      </w:r>
      <w:r w:rsidR="00A24500" w:rsidRPr="00A7572D">
        <w:rPr>
          <w:szCs w:val="24"/>
          <w:lang w:val="es-ES"/>
        </w:rPr>
        <w:t>5B, en mayo de 2017. La clasificación de los AMRD y la demás información pertinente figura en el proyecto de nueva Recomendación UIT</w:t>
      </w:r>
      <w:r w:rsidR="00A24500" w:rsidRPr="00A7572D">
        <w:rPr>
          <w:szCs w:val="24"/>
          <w:lang w:val="es-ES"/>
        </w:rPr>
        <w:noBreakHyphen/>
        <w:t>R M.[AMRD].</w:t>
      </w:r>
    </w:p>
    <w:p w14:paraId="6F65A7CD" w14:textId="56983576" w:rsidR="00A24500" w:rsidRPr="00A7572D" w:rsidRDefault="00440962" w:rsidP="00440962">
      <w:pPr>
        <w:pStyle w:val="Headingb"/>
        <w:rPr>
          <w:lang w:val="es-ES"/>
        </w:rPr>
      </w:pPr>
      <w:r w:rsidRPr="00A7572D">
        <w:rPr>
          <w:lang w:val="es-ES"/>
        </w:rPr>
        <w:tab/>
      </w:r>
      <w:r w:rsidR="00A24500" w:rsidRPr="00A7572D">
        <w:rPr>
          <w:lang w:val="es-ES"/>
        </w:rPr>
        <w:t>Postura de la OMI</w:t>
      </w:r>
    </w:p>
    <w:p w14:paraId="111810C2" w14:textId="476160EA" w:rsidR="00A24500" w:rsidRPr="00A7572D" w:rsidRDefault="00440962" w:rsidP="00440962">
      <w:pPr>
        <w:pStyle w:val="enumlev1"/>
        <w:rPr>
          <w:rFonts w:eastAsia="Calibri"/>
          <w:lang w:val="es-ES" w:eastAsia="es-ES"/>
        </w:rPr>
      </w:pPr>
      <w:r w:rsidRPr="00A7572D">
        <w:rPr>
          <w:rFonts w:eastAsia="Calibri"/>
          <w:lang w:val="es-ES" w:eastAsia="es-ES"/>
        </w:rPr>
        <w:tab/>
      </w:r>
      <w:r w:rsidR="00A24500" w:rsidRPr="00A7572D">
        <w:rPr>
          <w:rFonts w:eastAsia="Calibri"/>
          <w:lang w:val="es-ES" w:eastAsia="es-ES"/>
        </w:rPr>
        <w:t>1</w:t>
      </w:r>
      <w:r w:rsidR="00A24500" w:rsidRPr="00A7572D">
        <w:rPr>
          <w:rFonts w:eastAsia="Calibri"/>
          <w:lang w:val="es-ES" w:eastAsia="es-ES"/>
        </w:rPr>
        <w:tab/>
        <w:t xml:space="preserve">Debería protegerse la integridad del SIA y del SMSSM; </w:t>
      </w:r>
    </w:p>
    <w:p w14:paraId="4AC0F54A" w14:textId="2955D303" w:rsidR="00A24500" w:rsidRPr="00A7572D" w:rsidRDefault="00440962" w:rsidP="00440962">
      <w:pPr>
        <w:pStyle w:val="e"/>
        <w:rPr>
          <w:sz w:val="24"/>
          <w:szCs w:val="24"/>
        </w:rPr>
      </w:pPr>
      <w:r w:rsidRPr="00A7572D">
        <w:rPr>
          <w:sz w:val="24"/>
          <w:szCs w:val="24"/>
        </w:rPr>
        <w:tab/>
      </w:r>
      <w:r w:rsidR="00A24500" w:rsidRPr="00A7572D">
        <w:rPr>
          <w:sz w:val="24"/>
          <w:szCs w:val="24"/>
        </w:rPr>
        <w:t>2</w:t>
      </w:r>
      <w:r w:rsidR="00A24500" w:rsidRPr="00A7572D">
        <w:rPr>
          <w:sz w:val="24"/>
          <w:szCs w:val="24"/>
        </w:rPr>
        <w:tab/>
      </w:r>
      <w:r w:rsidR="008D6968" w:rsidRPr="00A7572D">
        <w:rPr>
          <w:sz w:val="24"/>
          <w:szCs w:val="24"/>
        </w:rPr>
        <w:t xml:space="preserve">los </w:t>
      </w:r>
      <w:r w:rsidR="00A24500" w:rsidRPr="00A7572D">
        <w:rPr>
          <w:sz w:val="24"/>
          <w:szCs w:val="24"/>
        </w:rPr>
        <w:t xml:space="preserve">dispositivos autónomos de radiocomunicaciones marítimas que mejoran la </w:t>
      </w:r>
      <w:r w:rsidR="007A1F7E">
        <w:rPr>
          <w:sz w:val="24"/>
          <w:szCs w:val="24"/>
        </w:rPr>
        <w:tab/>
      </w:r>
      <w:r w:rsidR="00A24500" w:rsidRPr="00A7572D">
        <w:rPr>
          <w:sz w:val="24"/>
          <w:szCs w:val="24"/>
        </w:rPr>
        <w:t xml:space="preserve">seguridad de la navegación deberían reglamentarse por lo que respecta a la </w:t>
      </w:r>
      <w:r w:rsidR="007A1F7E">
        <w:rPr>
          <w:sz w:val="24"/>
          <w:szCs w:val="24"/>
        </w:rPr>
        <w:tab/>
      </w:r>
      <w:r w:rsidR="00A24500" w:rsidRPr="00A7572D">
        <w:rPr>
          <w:sz w:val="24"/>
          <w:szCs w:val="24"/>
        </w:rPr>
        <w:t>utilización de las frecuencias e identidades del servicio móvil marítimo; y</w:t>
      </w:r>
    </w:p>
    <w:p w14:paraId="71663D2E" w14:textId="2258FC6E" w:rsidR="00A24500" w:rsidRPr="00A7572D" w:rsidRDefault="00440962" w:rsidP="00440962">
      <w:pPr>
        <w:pStyle w:val="e"/>
        <w:rPr>
          <w:sz w:val="24"/>
          <w:szCs w:val="24"/>
        </w:rPr>
      </w:pPr>
      <w:r w:rsidRPr="00A7572D">
        <w:rPr>
          <w:sz w:val="24"/>
          <w:szCs w:val="24"/>
        </w:rPr>
        <w:tab/>
      </w:r>
      <w:r w:rsidR="00A24500" w:rsidRPr="00A7572D">
        <w:rPr>
          <w:sz w:val="24"/>
          <w:szCs w:val="24"/>
        </w:rPr>
        <w:t>3</w:t>
      </w:r>
      <w:r w:rsidR="00A24500" w:rsidRPr="00A7572D">
        <w:rPr>
          <w:sz w:val="24"/>
          <w:szCs w:val="24"/>
        </w:rPr>
        <w:tab/>
      </w:r>
      <w:r w:rsidR="008D6968" w:rsidRPr="00A7572D">
        <w:rPr>
          <w:sz w:val="24"/>
          <w:szCs w:val="24"/>
        </w:rPr>
        <w:t xml:space="preserve">por </w:t>
      </w:r>
      <w:r w:rsidR="00A24500" w:rsidRPr="00A7572D">
        <w:rPr>
          <w:sz w:val="24"/>
          <w:szCs w:val="24"/>
        </w:rPr>
        <w:t xml:space="preserve">lo que respecta a los AMRD que no mejoran la seguridad de la navegación, </w:t>
      </w:r>
      <w:r w:rsidR="007A1F7E">
        <w:rPr>
          <w:sz w:val="24"/>
          <w:szCs w:val="24"/>
        </w:rPr>
        <w:tab/>
      </w:r>
      <w:r w:rsidR="00A24500" w:rsidRPr="00A7572D">
        <w:rPr>
          <w:sz w:val="24"/>
          <w:szCs w:val="24"/>
        </w:rPr>
        <w:t xml:space="preserve">la reglamentación de la utilización de las frecuencias y las características </w:t>
      </w:r>
      <w:r w:rsidR="007A1F7E">
        <w:rPr>
          <w:sz w:val="24"/>
          <w:szCs w:val="24"/>
        </w:rPr>
        <w:lastRenderedPageBreak/>
        <w:tab/>
      </w:r>
      <w:r w:rsidR="00A24500" w:rsidRPr="00A7572D">
        <w:rPr>
          <w:sz w:val="24"/>
          <w:szCs w:val="24"/>
        </w:rPr>
        <w:t xml:space="preserve">técnicas y operacionales debería beneficiar tanto a los usuarios de los </w:t>
      </w:r>
      <w:r w:rsidR="007A1F7E">
        <w:rPr>
          <w:sz w:val="24"/>
          <w:szCs w:val="24"/>
        </w:rPr>
        <w:tab/>
      </w:r>
      <w:r w:rsidR="00A24500" w:rsidRPr="00A7572D">
        <w:rPr>
          <w:sz w:val="24"/>
          <w:szCs w:val="24"/>
        </w:rPr>
        <w:t xml:space="preserve">dispositivos como a la seguridad marítima. Debería considerarse la posibilidad </w:t>
      </w:r>
      <w:r w:rsidR="007A1F7E">
        <w:rPr>
          <w:sz w:val="24"/>
          <w:szCs w:val="24"/>
        </w:rPr>
        <w:tab/>
      </w:r>
      <w:r w:rsidR="00A24500" w:rsidRPr="00A7572D">
        <w:rPr>
          <w:sz w:val="24"/>
          <w:szCs w:val="24"/>
        </w:rPr>
        <w:t xml:space="preserve">de un nuevo plan de numeración distinto de los que ya existen en el servicio </w:t>
      </w:r>
      <w:r w:rsidR="007A1F7E">
        <w:rPr>
          <w:sz w:val="24"/>
          <w:szCs w:val="24"/>
        </w:rPr>
        <w:tab/>
      </w:r>
      <w:r w:rsidR="00A24500" w:rsidRPr="00A7572D">
        <w:rPr>
          <w:sz w:val="24"/>
          <w:szCs w:val="24"/>
        </w:rPr>
        <w:t>móvil marítimo.</w:t>
      </w:r>
    </w:p>
    <w:p w14:paraId="6912A3E6"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1.9.2 del orden del día</w:t>
      </w:r>
    </w:p>
    <w:p w14:paraId="6295C1FB" w14:textId="6A9191A2" w:rsidR="00A24500" w:rsidRPr="00A7572D" w:rsidRDefault="00A24500" w:rsidP="008B5A71">
      <w:pPr>
        <w:rPr>
          <w:lang w:val="es-ES"/>
        </w:rPr>
      </w:pPr>
      <w:r w:rsidRPr="00A7572D">
        <w:rPr>
          <w:lang w:val="es-ES" w:eastAsia="es-ES"/>
        </w:rPr>
        <w:t>1.9.2</w:t>
      </w:r>
      <w:r w:rsidRPr="00A7572D">
        <w:rPr>
          <w:lang w:val="es-ES" w:eastAsia="es-ES"/>
        </w:rPr>
        <w:tab/>
        <w:t>La posibilidad de modificar el Reglamento de Radiocomunicaciones, comprendidas las nuevas atribuciones de espectro al servicio móvil marítimo por satélite (Tierra-espacio y espacio</w:t>
      </w:r>
      <w:r w:rsidR="008D6968">
        <w:rPr>
          <w:lang w:val="es-ES" w:eastAsia="es-ES"/>
        </w:rPr>
        <w:noBreakHyphen/>
      </w:r>
      <w:r w:rsidRPr="00A7572D">
        <w:rPr>
          <w:lang w:val="es-ES" w:eastAsia="es-ES"/>
        </w:rPr>
        <w:t>Tierra) preferentemente en las bandas de frecuencias 156,0125-157,4375 MHz y</w:t>
      </w:r>
      <w:r w:rsidR="008D6968">
        <w:rPr>
          <w:lang w:val="es-ES" w:eastAsia="es-ES"/>
        </w:rPr>
        <w:t xml:space="preserve"> </w:t>
      </w:r>
      <w:r w:rsidRPr="00A7572D">
        <w:rPr>
          <w:lang w:val="es-ES" w:eastAsia="es-ES"/>
        </w:rPr>
        <w:t>160,6125</w:t>
      </w:r>
      <w:r w:rsidR="008D6968">
        <w:rPr>
          <w:lang w:val="es-ES" w:eastAsia="es-ES"/>
        </w:rPr>
        <w:noBreakHyphen/>
      </w:r>
      <w:r w:rsidRPr="00A7572D">
        <w:rPr>
          <w:lang w:val="es-ES" w:eastAsia="es-ES"/>
        </w:rPr>
        <w:t xml:space="preserve">162,0375 MHz del Apéndice </w:t>
      </w:r>
      <w:r w:rsidRPr="00A7572D">
        <w:rPr>
          <w:b/>
          <w:bCs/>
          <w:lang w:val="es-ES" w:eastAsia="es-ES"/>
        </w:rPr>
        <w:t>18</w:t>
      </w:r>
      <w:r w:rsidRPr="00A7572D">
        <w:rPr>
          <w:bCs/>
          <w:lang w:val="es-ES" w:eastAsia="es-ES"/>
        </w:rPr>
        <w:t>,</w:t>
      </w:r>
      <w:r w:rsidRPr="00A7572D">
        <w:rPr>
          <w:lang w:val="es-ES" w:eastAsia="es-ES"/>
        </w:rPr>
        <w:t xml:space="preserve"> para permitir una nueva componente de satélite del sistema de intercambio de datos en ondas métricas (VDES), garantizando además que esa componente no degrade las actuales componentes terrenas del VDES ni el funcionamiento del SIA y del ASM y no imponga ninguna limitación adicional a los servicios existentes en esas bandas de frecuencias y en las bandas de frecuencias adyacentes indicadas en los </w:t>
      </w:r>
      <w:r w:rsidRPr="00A7572D">
        <w:rPr>
          <w:i/>
          <w:iCs/>
          <w:lang w:val="es-ES" w:eastAsia="es-ES"/>
        </w:rPr>
        <w:t xml:space="preserve">reconociendo d) </w:t>
      </w:r>
      <w:r w:rsidRPr="00A7572D">
        <w:rPr>
          <w:lang w:val="es-ES" w:eastAsia="es-ES"/>
        </w:rPr>
        <w:t xml:space="preserve">y </w:t>
      </w:r>
      <w:r w:rsidRPr="00A7572D">
        <w:rPr>
          <w:i/>
          <w:iCs/>
          <w:lang w:val="es-ES" w:eastAsia="es-ES"/>
        </w:rPr>
        <w:t xml:space="preserve">e) </w:t>
      </w:r>
      <w:r w:rsidRPr="00A7572D">
        <w:rPr>
          <w:lang w:val="es-ES" w:eastAsia="es-ES"/>
        </w:rPr>
        <w:t xml:space="preserve">de la Resolución </w:t>
      </w:r>
      <w:r w:rsidRPr="00A7572D">
        <w:rPr>
          <w:b/>
          <w:bCs/>
          <w:lang w:val="es-ES" w:eastAsia="es-ES"/>
        </w:rPr>
        <w:t>360 (Rev.CMR</w:t>
      </w:r>
      <w:r w:rsidRPr="00A7572D">
        <w:rPr>
          <w:b/>
          <w:bCs/>
          <w:lang w:val="es-ES" w:eastAsia="es-ES"/>
        </w:rPr>
        <w:noBreakHyphen/>
        <w:t>15)</w:t>
      </w:r>
      <w:r w:rsidRPr="008D6968">
        <w:rPr>
          <w:bCs/>
          <w:lang w:val="es-ES" w:eastAsia="es-ES"/>
        </w:rPr>
        <w:t>;</w:t>
      </w:r>
    </w:p>
    <w:p w14:paraId="708BB6EF" w14:textId="2A248893" w:rsidR="00A24500" w:rsidRPr="00A7572D" w:rsidRDefault="00440962" w:rsidP="00440962">
      <w:pPr>
        <w:pStyle w:val="Headingb"/>
        <w:rPr>
          <w:lang w:val="es-ES"/>
        </w:rPr>
      </w:pPr>
      <w:r w:rsidRPr="00A7572D">
        <w:rPr>
          <w:lang w:val="es-ES"/>
        </w:rPr>
        <w:tab/>
      </w:r>
      <w:r w:rsidR="00A24500" w:rsidRPr="00A7572D">
        <w:rPr>
          <w:lang w:val="es-ES"/>
        </w:rPr>
        <w:t>Antecedentes</w:t>
      </w:r>
    </w:p>
    <w:p w14:paraId="0755B780" w14:textId="01BE9673" w:rsidR="00A24500" w:rsidRPr="00A7572D" w:rsidRDefault="00440962" w:rsidP="00440962">
      <w:pPr>
        <w:pStyle w:val="enumlev1"/>
        <w:rPr>
          <w:lang w:val="es-ES"/>
        </w:rPr>
      </w:pPr>
      <w:r w:rsidRPr="00A7572D">
        <w:rPr>
          <w:lang w:val="es-ES"/>
        </w:rPr>
        <w:tab/>
      </w:r>
      <w:r w:rsidR="00A24500" w:rsidRPr="00A7572D">
        <w:rPr>
          <w:lang w:val="es-ES"/>
        </w:rPr>
        <w:t>El concepto de VDES incluye la función del SIA, del ASM, la componente terrena del VDES y la componente de satélite del VDES. El VDES es uno de los posibles elementos de la navegación electrónica.</w:t>
      </w:r>
    </w:p>
    <w:p w14:paraId="4674BEE5" w14:textId="0C6D41FA" w:rsidR="00A24500" w:rsidRPr="00A7572D" w:rsidRDefault="00440962" w:rsidP="00440962">
      <w:pPr>
        <w:pStyle w:val="enumlev1"/>
        <w:rPr>
          <w:lang w:val="es-ES"/>
        </w:rPr>
      </w:pPr>
      <w:r w:rsidRPr="00A7572D">
        <w:rPr>
          <w:lang w:val="es-ES"/>
        </w:rPr>
        <w:tab/>
      </w:r>
      <w:r w:rsidR="00A24500" w:rsidRPr="00A7572D">
        <w:rPr>
          <w:lang w:val="es-ES"/>
        </w:rPr>
        <w:t>De acuerdo con la Directriz 1117 de la IALA (</w:t>
      </w:r>
      <w:hyperlink r:id="rId10" w:history="1">
        <w:r w:rsidR="00A24500" w:rsidRPr="00A7572D">
          <w:rPr>
            <w:color w:val="0307BD"/>
            <w:szCs w:val="22"/>
            <w:u w:val="single"/>
            <w:lang w:val="es-ES" w:eastAsia="ja-JP"/>
          </w:rPr>
          <w:t xml:space="preserve">IALA </w:t>
        </w:r>
        <w:r w:rsidR="00A24500" w:rsidRPr="00A7572D">
          <w:rPr>
            <w:color w:val="0307BD"/>
            <w:u w:val="single"/>
            <w:lang w:val="es-ES"/>
          </w:rPr>
          <w:t>Guideline 1117</w:t>
        </w:r>
      </w:hyperlink>
      <w:r w:rsidR="00A24500" w:rsidRPr="00A7572D">
        <w:rPr>
          <w:color w:val="0307BD"/>
          <w:u w:val="single"/>
          <w:lang w:val="es-ES"/>
        </w:rPr>
        <w:t xml:space="preserve"> </w:t>
      </w:r>
      <w:r w:rsidR="008D6968">
        <w:rPr>
          <w:lang w:val="es-ES"/>
        </w:rPr>
        <w:t>«</w:t>
      </w:r>
      <w:r w:rsidR="00A24500" w:rsidRPr="00A7572D">
        <w:rPr>
          <w:lang w:val="es-ES"/>
        </w:rPr>
        <w:t>VDES overwiew</w:t>
      </w:r>
      <w:r w:rsidR="008D6968">
        <w:rPr>
          <w:lang w:val="es-ES"/>
        </w:rPr>
        <w:t>»</w:t>
      </w:r>
      <w:r w:rsidR="00A24500" w:rsidRPr="00A7572D">
        <w:rPr>
          <w:lang w:val="es-ES"/>
        </w:rPr>
        <w:t>), se han identificado las siguientes posibles utilizaciones del VDES:</w:t>
      </w:r>
    </w:p>
    <w:p w14:paraId="3FCC8E37" w14:textId="70CFA80B"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Comunicaciones de búsqueda y salvamento;</w:t>
      </w:r>
    </w:p>
    <w:p w14:paraId="2578B550" w14:textId="5543361A"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información sobre seguridad marítima;</w:t>
      </w:r>
    </w:p>
    <w:p w14:paraId="22D09608" w14:textId="54712D72"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notificación para buques;</w:t>
      </w:r>
    </w:p>
    <w:p w14:paraId="37186DD3" w14:textId="35C06749"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servicios de tráfico marítimo;</w:t>
      </w:r>
    </w:p>
    <w:p w14:paraId="3F3A04FB" w14:textId="31472A45"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cartas y publicaciones;</w:t>
      </w:r>
    </w:p>
    <w:p w14:paraId="2FDDD60B" w14:textId="3353623F"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intercambio de</w:t>
      </w:r>
      <w:r w:rsidR="00130059">
        <w:rPr>
          <w:szCs w:val="24"/>
          <w:lang w:val="es-ES" w:eastAsia="ja-JP"/>
        </w:rPr>
        <w:t xml:space="preserve"> </w:t>
      </w:r>
      <w:r w:rsidR="00A24500" w:rsidRPr="00A7572D">
        <w:rPr>
          <w:szCs w:val="24"/>
          <w:lang w:val="es-ES" w:eastAsia="ja-JP"/>
        </w:rPr>
        <w:t>r</w:t>
      </w:r>
      <w:r w:rsidR="00130059">
        <w:rPr>
          <w:szCs w:val="24"/>
          <w:lang w:val="es-ES" w:eastAsia="ja-JP"/>
        </w:rPr>
        <w:t>u</w:t>
      </w:r>
      <w:r w:rsidR="00A24500" w:rsidRPr="00A7572D">
        <w:rPr>
          <w:szCs w:val="24"/>
          <w:lang w:val="es-ES" w:eastAsia="ja-JP"/>
        </w:rPr>
        <w:t>tas; y</w:t>
      </w:r>
    </w:p>
    <w:p w14:paraId="6C693B0F" w14:textId="7411264A" w:rsidR="00A24500" w:rsidRPr="00A7572D" w:rsidRDefault="00440962" w:rsidP="00440962">
      <w:pPr>
        <w:pStyle w:val="enumlev2"/>
        <w:rPr>
          <w:szCs w:val="24"/>
          <w:lang w:val="es-ES" w:eastAsia="ja-JP"/>
        </w:rPr>
      </w:pPr>
      <w:r w:rsidRPr="00A7572D">
        <w:rPr>
          <w:szCs w:val="24"/>
          <w:lang w:val="es-ES" w:eastAsia="ja-JP"/>
        </w:rPr>
        <w:t>•</w:t>
      </w:r>
      <w:r w:rsidRPr="00A7572D">
        <w:rPr>
          <w:szCs w:val="24"/>
          <w:lang w:val="es-ES" w:eastAsia="ja-JP"/>
        </w:rPr>
        <w:tab/>
      </w:r>
      <w:r w:rsidR="00A24500" w:rsidRPr="00A7572D">
        <w:rPr>
          <w:szCs w:val="24"/>
          <w:lang w:val="es-ES" w:eastAsia="ja-JP"/>
        </w:rPr>
        <w:t>logística.</w:t>
      </w:r>
    </w:p>
    <w:p w14:paraId="0799CA05" w14:textId="50F6C863"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La componente de satélite del VDES ofrecería comunicaciones adicionales en las regiones polares y otras zonas remotas para las utilizaciones antes mencionadas.</w:t>
      </w:r>
    </w:p>
    <w:p w14:paraId="28E82DA6" w14:textId="1C201935"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Todas las utilizaciones están referenciadas en las carteras de servicios marítimos identificadas en el plan de implantación de la estrategia de navegación electrónica de la OMI y, posiblemente, también en la modernización del SMSSM en el futuro.</w:t>
      </w:r>
    </w:p>
    <w:p w14:paraId="292703CD" w14:textId="1673CC3D"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El motivo por el cual no se pudo resolver la cuestión del espectro en la CMR</w:t>
      </w:r>
      <w:r w:rsidR="00A24500" w:rsidRPr="00A7572D">
        <w:rPr>
          <w:szCs w:val="24"/>
          <w:lang w:val="es-ES"/>
        </w:rPr>
        <w:noBreakHyphen/>
        <w:t xml:space="preserve">15 fue la falta de un estudio sobre la compatibilidad entre la componente de satélite del VDES y los servicios existentes en las mismas bandas de frecuencias y en las bandas adyacentes. Por consiguiente, el VDES aún no está completamente en funcionamiento. </w:t>
      </w:r>
    </w:p>
    <w:p w14:paraId="4777A184" w14:textId="1E586D09"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El estudio de las posibles bandas de frecuencias 156,0125</w:t>
      </w:r>
      <w:r w:rsidR="00F53B28">
        <w:rPr>
          <w:szCs w:val="24"/>
          <w:lang w:val="es-ES"/>
        </w:rPr>
        <w:t>-</w:t>
      </w:r>
      <w:r w:rsidR="00A24500" w:rsidRPr="00A7572D">
        <w:rPr>
          <w:szCs w:val="24"/>
          <w:lang w:val="es-ES"/>
        </w:rPr>
        <w:t>157,4375 MHz y</w:t>
      </w:r>
      <w:r w:rsidR="00F53B28">
        <w:rPr>
          <w:szCs w:val="24"/>
          <w:lang w:val="es-ES"/>
        </w:rPr>
        <w:t xml:space="preserve"> </w:t>
      </w:r>
      <w:r w:rsidR="00A24500" w:rsidRPr="00A7572D">
        <w:rPr>
          <w:szCs w:val="24"/>
          <w:lang w:val="es-ES"/>
        </w:rPr>
        <w:t>160,6125</w:t>
      </w:r>
      <w:r w:rsidR="00F53B28">
        <w:rPr>
          <w:szCs w:val="24"/>
          <w:lang w:val="es-ES"/>
        </w:rPr>
        <w:noBreakHyphen/>
      </w:r>
      <w:r w:rsidR="00A24500" w:rsidRPr="00A7572D">
        <w:rPr>
          <w:szCs w:val="24"/>
          <w:lang w:val="es-ES"/>
        </w:rPr>
        <w:t>162,0375 MHz tendría que concentrarse principalmente en la relación entre los servicios existentes atribuidos principalmente al servicio móvil terrestre y al servicio móvil marítimo y los servicios en la banda de frecuencias adyacente inferior de</w:t>
      </w:r>
      <w:r w:rsidR="00F53B28">
        <w:rPr>
          <w:szCs w:val="24"/>
          <w:lang w:val="es-ES"/>
        </w:rPr>
        <w:t xml:space="preserve"> </w:t>
      </w:r>
      <w:r w:rsidR="00A24500" w:rsidRPr="00A7572D">
        <w:rPr>
          <w:szCs w:val="24"/>
          <w:lang w:val="es-ES"/>
        </w:rPr>
        <w:t>154</w:t>
      </w:r>
      <w:r w:rsidR="00F53B28">
        <w:rPr>
          <w:szCs w:val="24"/>
          <w:lang w:val="es-ES"/>
        </w:rPr>
        <w:t> </w:t>
      </w:r>
      <w:r w:rsidR="00A24500" w:rsidRPr="00A7572D">
        <w:rPr>
          <w:szCs w:val="24"/>
          <w:lang w:val="es-ES"/>
        </w:rPr>
        <w:t>MHz a 156 MHz y para la banda de frecuencias adyacente superior de 162 MHz a 154 MHz.</w:t>
      </w:r>
    </w:p>
    <w:p w14:paraId="5BCD2262" w14:textId="2059A53B" w:rsidR="00A24500" w:rsidRPr="00A7572D" w:rsidRDefault="00440962" w:rsidP="00440962">
      <w:pPr>
        <w:pStyle w:val="Headingb"/>
        <w:rPr>
          <w:lang w:val="es-ES"/>
        </w:rPr>
      </w:pPr>
      <w:r w:rsidRPr="00A7572D">
        <w:rPr>
          <w:lang w:val="es-ES"/>
        </w:rPr>
        <w:lastRenderedPageBreak/>
        <w:tab/>
      </w:r>
      <w:r w:rsidR="00A24500" w:rsidRPr="00A7572D">
        <w:rPr>
          <w:lang w:val="es-ES"/>
        </w:rPr>
        <w:t>Postura de la OMI</w:t>
      </w:r>
    </w:p>
    <w:p w14:paraId="6F5BEF2F" w14:textId="20ECD8BD"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1</w:t>
      </w:r>
      <w:r w:rsidR="00A24500" w:rsidRPr="00A7572D">
        <w:rPr>
          <w:szCs w:val="24"/>
          <w:lang w:val="es-ES"/>
        </w:rPr>
        <w:tab/>
        <w:t xml:space="preserve">Consciente de que la componente de satélite del VDES no debería causar </w:t>
      </w:r>
      <w:r w:rsidR="00130059">
        <w:rPr>
          <w:szCs w:val="24"/>
          <w:lang w:val="es-ES"/>
        </w:rPr>
        <w:tab/>
      </w:r>
      <w:r w:rsidR="00A24500" w:rsidRPr="00A7572D">
        <w:rPr>
          <w:szCs w:val="24"/>
          <w:lang w:val="es-ES"/>
        </w:rPr>
        <w:t>ninguna interferencia perjudicial:</w:t>
      </w:r>
    </w:p>
    <w:p w14:paraId="0A0DA245" w14:textId="7B3EDF74" w:rsidR="00A24500" w:rsidRPr="00A7572D" w:rsidRDefault="007A1F7E" w:rsidP="00440962">
      <w:pPr>
        <w:pStyle w:val="enumlev2"/>
        <w:rPr>
          <w:noProof/>
          <w:szCs w:val="24"/>
          <w:lang w:val="es-ES"/>
        </w:rPr>
      </w:pPr>
      <w:r>
        <w:rPr>
          <w:szCs w:val="24"/>
          <w:lang w:val="es-ES"/>
        </w:rPr>
        <w:tab/>
      </w:r>
      <w:r w:rsidR="00A24500" w:rsidRPr="00A7572D">
        <w:rPr>
          <w:szCs w:val="24"/>
          <w:lang w:val="es-ES"/>
        </w:rPr>
        <w:t>1</w:t>
      </w:r>
      <w:r w:rsidR="00A24500" w:rsidRPr="00A7572D">
        <w:rPr>
          <w:szCs w:val="24"/>
          <w:lang w:val="es-ES"/>
        </w:rPr>
        <w:tab/>
        <w:t xml:space="preserve">no debería ser necesario introducir modificaciones en el equipo existente </w:t>
      </w:r>
      <w:r>
        <w:rPr>
          <w:szCs w:val="24"/>
          <w:lang w:val="es-ES"/>
        </w:rPr>
        <w:tab/>
      </w:r>
      <w:r w:rsidR="00A24500" w:rsidRPr="00A7572D">
        <w:rPr>
          <w:szCs w:val="24"/>
          <w:lang w:val="es-ES"/>
        </w:rPr>
        <w:t>del SIA a bordo de los buques existentes</w:t>
      </w:r>
      <w:r w:rsidR="00A24500" w:rsidRPr="00A7572D">
        <w:rPr>
          <w:noProof/>
          <w:szCs w:val="24"/>
          <w:lang w:val="es-ES"/>
        </w:rPr>
        <w:t xml:space="preserve">; </w:t>
      </w:r>
    </w:p>
    <w:p w14:paraId="2FE32A56" w14:textId="360F6C63" w:rsidR="00A24500" w:rsidRPr="00A7572D" w:rsidRDefault="007A1F7E" w:rsidP="00440962">
      <w:pPr>
        <w:pStyle w:val="enumlev2"/>
        <w:rPr>
          <w:noProof/>
          <w:szCs w:val="24"/>
          <w:lang w:val="es-ES"/>
        </w:rPr>
      </w:pPr>
      <w:r>
        <w:rPr>
          <w:noProof/>
          <w:szCs w:val="24"/>
          <w:lang w:val="es-ES"/>
        </w:rPr>
        <w:tab/>
      </w:r>
      <w:r w:rsidR="00A24500" w:rsidRPr="00A7572D">
        <w:rPr>
          <w:noProof/>
          <w:szCs w:val="24"/>
          <w:lang w:val="es-ES"/>
        </w:rPr>
        <w:t>2</w:t>
      </w:r>
      <w:r w:rsidR="00A24500" w:rsidRPr="00A7572D">
        <w:rPr>
          <w:noProof/>
          <w:szCs w:val="24"/>
          <w:lang w:val="es-ES"/>
        </w:rPr>
        <w:tab/>
      </w:r>
      <w:r w:rsidR="00A24500" w:rsidRPr="00A7572D">
        <w:rPr>
          <w:szCs w:val="24"/>
          <w:lang w:val="es-ES"/>
        </w:rPr>
        <w:t>debería protegerse la integridad del SMSSM</w:t>
      </w:r>
      <w:r w:rsidR="00A24500" w:rsidRPr="00A7572D">
        <w:rPr>
          <w:noProof/>
          <w:szCs w:val="24"/>
          <w:lang w:val="es-ES"/>
        </w:rPr>
        <w:t>; y</w:t>
      </w:r>
    </w:p>
    <w:p w14:paraId="677A20F8" w14:textId="377AD345" w:rsidR="00A24500" w:rsidRPr="00A7572D" w:rsidRDefault="007A1F7E" w:rsidP="00440962">
      <w:pPr>
        <w:pStyle w:val="enumlev2"/>
        <w:rPr>
          <w:szCs w:val="24"/>
          <w:lang w:val="es-ES"/>
        </w:rPr>
      </w:pPr>
      <w:r>
        <w:rPr>
          <w:szCs w:val="24"/>
          <w:lang w:val="es-ES"/>
        </w:rPr>
        <w:tab/>
      </w:r>
      <w:r w:rsidR="00A24500" w:rsidRPr="00A7572D">
        <w:rPr>
          <w:szCs w:val="24"/>
          <w:lang w:val="es-ES"/>
        </w:rPr>
        <w:t>3</w:t>
      </w:r>
      <w:r w:rsidR="00A24500" w:rsidRPr="00A7572D">
        <w:rPr>
          <w:szCs w:val="24"/>
          <w:lang w:val="es-ES"/>
        </w:rPr>
        <w:tab/>
        <w:t xml:space="preserve">la identificación de las frecuencias para la componente de satélite del </w:t>
      </w:r>
      <w:r>
        <w:rPr>
          <w:szCs w:val="24"/>
          <w:lang w:val="es-ES"/>
        </w:rPr>
        <w:tab/>
      </w:r>
      <w:r w:rsidR="00A24500" w:rsidRPr="00A7572D">
        <w:rPr>
          <w:szCs w:val="24"/>
          <w:lang w:val="es-ES"/>
        </w:rPr>
        <w:t xml:space="preserve">VDES debería proteger la integridad del propósito operacional original </w:t>
      </w:r>
      <w:r>
        <w:rPr>
          <w:szCs w:val="24"/>
          <w:lang w:val="es-ES"/>
        </w:rPr>
        <w:tab/>
      </w:r>
      <w:r w:rsidR="00A24500" w:rsidRPr="00A7572D">
        <w:rPr>
          <w:szCs w:val="24"/>
          <w:lang w:val="es-ES"/>
        </w:rPr>
        <w:t>del SIA en las frecuencias del SIA existentes.</w:t>
      </w:r>
    </w:p>
    <w:p w14:paraId="31EEF262" w14:textId="394399EF" w:rsidR="00A24500" w:rsidRPr="00A7572D" w:rsidRDefault="00440962" w:rsidP="00440962">
      <w:pPr>
        <w:pStyle w:val="enumlev1"/>
        <w:rPr>
          <w:szCs w:val="24"/>
          <w:lang w:val="es-ES"/>
        </w:rPr>
      </w:pPr>
      <w:r w:rsidRPr="00A7572D">
        <w:rPr>
          <w:szCs w:val="24"/>
          <w:lang w:val="es-ES"/>
        </w:rPr>
        <w:tab/>
      </w:r>
      <w:r w:rsidR="00A24500" w:rsidRPr="00A7572D">
        <w:rPr>
          <w:szCs w:val="24"/>
          <w:lang w:val="es-ES"/>
        </w:rPr>
        <w:t>2</w:t>
      </w:r>
      <w:r w:rsidR="00A24500" w:rsidRPr="00A7572D">
        <w:rPr>
          <w:szCs w:val="24"/>
          <w:lang w:val="es-ES"/>
        </w:rPr>
        <w:tab/>
        <w:t xml:space="preserve">La OMI respalda la disponibilidad del VDES incluidas las </w:t>
      </w:r>
      <w:proofErr w:type="gramStart"/>
      <w:r w:rsidR="00A24500" w:rsidRPr="00A7572D">
        <w:rPr>
          <w:szCs w:val="24"/>
          <w:lang w:val="es-ES"/>
        </w:rPr>
        <w:t>componentes terrena</w:t>
      </w:r>
      <w:proofErr w:type="gramEnd"/>
      <w:r w:rsidR="00A24500" w:rsidRPr="00A7572D">
        <w:rPr>
          <w:szCs w:val="24"/>
          <w:lang w:val="es-ES"/>
        </w:rPr>
        <w:t xml:space="preserve"> </w:t>
      </w:r>
      <w:r w:rsidR="00130059">
        <w:rPr>
          <w:szCs w:val="24"/>
          <w:lang w:val="es-ES"/>
        </w:rPr>
        <w:tab/>
      </w:r>
      <w:r w:rsidR="00A24500" w:rsidRPr="00A7572D">
        <w:rPr>
          <w:szCs w:val="24"/>
          <w:lang w:val="es-ES"/>
        </w:rPr>
        <w:t>y de satélite.</w:t>
      </w:r>
    </w:p>
    <w:p w14:paraId="3630626C"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1.10 del orden del día</w:t>
      </w:r>
    </w:p>
    <w:p w14:paraId="23E49D1F" w14:textId="77777777" w:rsidR="00A24500" w:rsidRPr="00A7572D" w:rsidRDefault="00A24500" w:rsidP="008B5A71">
      <w:pPr>
        <w:rPr>
          <w:lang w:val="es-ES"/>
        </w:rPr>
      </w:pPr>
      <w:r w:rsidRPr="00A7572D">
        <w:rPr>
          <w:lang w:val="es-ES"/>
        </w:rPr>
        <w:t>1.10</w:t>
      </w:r>
      <w:r w:rsidRPr="00A7572D">
        <w:rPr>
          <w:lang w:val="es-ES"/>
        </w:rPr>
        <w:tab/>
      </w:r>
      <w:r w:rsidRPr="00A7572D">
        <w:rPr>
          <w:lang w:val="es-ES" w:eastAsia="es-ES"/>
        </w:rPr>
        <w:t xml:space="preserve">Las necesidades de espectro y la posibilidad de adoptar disposiciones reglamentarias para la introducción y utilización del Sistema Mundial de Socorro y Seguridad Aeronáuticos (GADSS) de conformidad con la Resolución </w:t>
      </w:r>
      <w:r w:rsidRPr="00A7572D">
        <w:rPr>
          <w:b/>
          <w:bCs/>
          <w:lang w:val="es-ES" w:eastAsia="es-ES"/>
        </w:rPr>
        <w:t>426 (CMR</w:t>
      </w:r>
      <w:r w:rsidRPr="00A7572D">
        <w:rPr>
          <w:b/>
          <w:bCs/>
          <w:lang w:val="es-ES" w:eastAsia="es-ES"/>
        </w:rPr>
        <w:noBreakHyphen/>
        <w:t>15)</w:t>
      </w:r>
      <w:r w:rsidRPr="00A53E11">
        <w:rPr>
          <w:bCs/>
          <w:lang w:val="es-ES" w:eastAsia="es-ES"/>
        </w:rPr>
        <w:t>;</w:t>
      </w:r>
    </w:p>
    <w:p w14:paraId="21F067A8" w14:textId="68A1C042" w:rsidR="00A24500" w:rsidRPr="00A7572D" w:rsidRDefault="00440962" w:rsidP="00440962">
      <w:pPr>
        <w:pStyle w:val="Headingb"/>
        <w:rPr>
          <w:lang w:val="es-ES"/>
        </w:rPr>
      </w:pPr>
      <w:r w:rsidRPr="00A7572D">
        <w:rPr>
          <w:lang w:val="es-ES"/>
        </w:rPr>
        <w:tab/>
      </w:r>
      <w:r w:rsidR="00A24500" w:rsidRPr="00A7572D">
        <w:rPr>
          <w:lang w:val="es-ES"/>
        </w:rPr>
        <w:t>Antecedentes</w:t>
      </w:r>
    </w:p>
    <w:p w14:paraId="126186BA" w14:textId="2BDAA75F" w:rsidR="00A24500" w:rsidRPr="00A7572D" w:rsidRDefault="007F0EB7" w:rsidP="00440962">
      <w:pPr>
        <w:pStyle w:val="enumlev1"/>
        <w:rPr>
          <w:strike/>
          <w:szCs w:val="24"/>
          <w:lang w:val="es-ES"/>
        </w:rPr>
      </w:pPr>
      <w:r w:rsidRPr="00A7572D">
        <w:rPr>
          <w:szCs w:val="24"/>
          <w:lang w:val="es-ES"/>
        </w:rPr>
        <w:tab/>
      </w:r>
      <w:r w:rsidR="00A24500" w:rsidRPr="00A7572D">
        <w:rPr>
          <w:szCs w:val="24"/>
          <w:lang w:val="es-ES"/>
        </w:rPr>
        <w:t xml:space="preserve">El propósito del </w:t>
      </w:r>
      <w:r w:rsidR="00A24500" w:rsidRPr="00A7572D">
        <w:rPr>
          <w:color w:val="000000"/>
          <w:szCs w:val="24"/>
          <w:lang w:val="es-ES" w:eastAsia="es-ES"/>
        </w:rPr>
        <w:t>Sistema Mundial de Socorro y Seguridad Aeronáuticos (GADSS)</w:t>
      </w:r>
      <w:r w:rsidR="008B2C95" w:rsidRPr="00A7572D">
        <w:rPr>
          <w:color w:val="000000"/>
          <w:szCs w:val="24"/>
          <w:lang w:val="es-ES" w:eastAsia="es-ES"/>
        </w:rPr>
        <w:t xml:space="preserve"> </w:t>
      </w:r>
      <w:r w:rsidR="00A24500" w:rsidRPr="00A7572D">
        <w:rPr>
          <w:szCs w:val="24"/>
          <w:lang w:val="es-ES"/>
        </w:rPr>
        <w:t xml:space="preserve">es abordar la identificación y localización oportuna de una aeronave durante todas las fases de </w:t>
      </w:r>
      <w:proofErr w:type="gramStart"/>
      <w:r w:rsidR="00A24500" w:rsidRPr="00A7572D">
        <w:rPr>
          <w:szCs w:val="24"/>
          <w:lang w:val="es-ES"/>
        </w:rPr>
        <w:t>vuelo</w:t>
      </w:r>
      <w:proofErr w:type="gramEnd"/>
      <w:r w:rsidR="00A24500" w:rsidRPr="00A7572D">
        <w:rPr>
          <w:szCs w:val="24"/>
          <w:lang w:val="es-ES"/>
        </w:rPr>
        <w:t xml:space="preserve"> así como en situaciones de socorro y emergencia; su propósito también es utilizar las aplicaciones existentes y nuevas para respaldar la búsqueda y salvamento (SAR) y la recuperación de los datos de vuelo. La Organización de Aviación Civil Internacional (OACI) aún tiene que definir el concepto completo del GADSS y es posible que algunas de las aplicaciones se elaboren después de 2019. </w:t>
      </w:r>
    </w:p>
    <w:p w14:paraId="6B17CD3F" w14:textId="387E842F"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Postura de la OMI</w:t>
      </w:r>
    </w:p>
    <w:p w14:paraId="61CCC8B0" w14:textId="43BFCC71" w:rsidR="00A24500" w:rsidRPr="00A7572D" w:rsidRDefault="007F0EB7" w:rsidP="00440962">
      <w:pPr>
        <w:pStyle w:val="enumlev1"/>
        <w:rPr>
          <w:szCs w:val="24"/>
          <w:lang w:val="es-ES" w:eastAsia="zh-CN"/>
        </w:rPr>
      </w:pPr>
      <w:r w:rsidRPr="00A7572D">
        <w:rPr>
          <w:szCs w:val="24"/>
          <w:lang w:val="es-ES"/>
        </w:rPr>
        <w:tab/>
      </w:r>
      <w:r w:rsidR="00A24500" w:rsidRPr="00A7572D">
        <w:rPr>
          <w:szCs w:val="24"/>
          <w:lang w:val="es-ES"/>
        </w:rPr>
        <w:t xml:space="preserve">Debería protegerse la integridad del SMSSM. La reglamentación para el GADSS debería mantenerse en un artículo distinto de las disposiciones sobre el SMSSM recogidas en el </w:t>
      </w:r>
      <w:r w:rsidR="00A53E11" w:rsidRPr="00A7572D">
        <w:rPr>
          <w:szCs w:val="24"/>
          <w:lang w:val="es-ES"/>
        </w:rPr>
        <w:t>Capítulo </w:t>
      </w:r>
      <w:r w:rsidR="00A24500" w:rsidRPr="00A7572D">
        <w:rPr>
          <w:szCs w:val="24"/>
          <w:lang w:val="es-ES"/>
        </w:rPr>
        <w:t>VII del Reglamento de Radiocomunicaciones.</w:t>
      </w:r>
    </w:p>
    <w:p w14:paraId="7E25EBE2"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2 del orden del día</w:t>
      </w:r>
    </w:p>
    <w:p w14:paraId="4C582D8A" w14:textId="0E7D1FDE" w:rsidR="00A24500" w:rsidRPr="00A7572D" w:rsidRDefault="00A24500" w:rsidP="008B5A71">
      <w:pPr>
        <w:rPr>
          <w:lang w:val="es-ES"/>
        </w:rPr>
      </w:pPr>
      <w:r w:rsidRPr="00A7572D">
        <w:rPr>
          <w:lang w:val="es-ES"/>
        </w:rPr>
        <w:t>2</w:t>
      </w:r>
      <w:r w:rsidRPr="00A7572D">
        <w:rPr>
          <w:lang w:val="es-ES"/>
        </w:rPr>
        <w:tab/>
      </w:r>
      <w:r w:rsidRPr="00A7572D">
        <w:rPr>
          <w:lang w:val="es-ES" w:eastAsia="es-ES"/>
        </w:rPr>
        <w:t>Examinar las Recomendaciones UIT-R revisadas e incorporadas por referencia en el Reglamento de Radiocomunicaciones, comunicadas por la Asamblea de Radiocomunicaciones de acuerdo con la Resolución</w:t>
      </w:r>
      <w:r w:rsidR="00C8557B">
        <w:rPr>
          <w:color w:val="0000FF"/>
          <w:lang w:val="es-ES" w:eastAsia="es-ES"/>
        </w:rPr>
        <w:t xml:space="preserve"> </w:t>
      </w:r>
      <w:r w:rsidRPr="00A7572D">
        <w:rPr>
          <w:b/>
          <w:bCs/>
          <w:lang w:val="es-ES" w:eastAsia="es-ES"/>
        </w:rPr>
        <w:t>28 (Rev.CMR</w:t>
      </w:r>
      <w:r w:rsidRPr="00A7572D">
        <w:rPr>
          <w:b/>
          <w:bCs/>
          <w:lang w:val="es-ES" w:eastAsia="es-ES"/>
        </w:rPr>
        <w:noBreakHyphen/>
        <w:t>15)</w:t>
      </w:r>
      <w:r w:rsidRPr="00A7572D">
        <w:rPr>
          <w:lang w:val="es-ES" w:eastAsia="es-ES"/>
        </w:rPr>
        <w:t>, y decidir si se actualizan o no las referencias correspondientes en el Reglamento de Radiocomunicaciones, con arreglo a los principios contenidos en el Anexo 1 a la Resolución </w:t>
      </w:r>
      <w:r w:rsidRPr="00A7572D">
        <w:rPr>
          <w:b/>
          <w:bCs/>
          <w:lang w:val="es-ES" w:eastAsia="es-ES"/>
        </w:rPr>
        <w:t>27 (Rev.CMR</w:t>
      </w:r>
      <w:r w:rsidRPr="00A7572D">
        <w:rPr>
          <w:b/>
          <w:bCs/>
          <w:lang w:val="es-ES" w:eastAsia="es-ES"/>
        </w:rPr>
        <w:noBreakHyphen/>
        <w:t>12)</w:t>
      </w:r>
      <w:r w:rsidRPr="00A53E11">
        <w:rPr>
          <w:bCs/>
          <w:lang w:val="es-ES" w:eastAsia="es-ES"/>
        </w:rPr>
        <w:t>;</w:t>
      </w:r>
    </w:p>
    <w:p w14:paraId="0BF8B7FD" w14:textId="5522F0D8" w:rsidR="00A24500" w:rsidRPr="00A7572D" w:rsidRDefault="00440962" w:rsidP="00440962">
      <w:pPr>
        <w:pStyle w:val="Headingb"/>
        <w:rPr>
          <w:lang w:val="es-ES"/>
        </w:rPr>
      </w:pPr>
      <w:r w:rsidRPr="00A7572D">
        <w:rPr>
          <w:lang w:val="es-ES"/>
        </w:rPr>
        <w:tab/>
      </w:r>
      <w:r w:rsidR="00A24500" w:rsidRPr="00A7572D">
        <w:rPr>
          <w:lang w:val="es-ES"/>
        </w:rPr>
        <w:t>Antecedentes</w:t>
      </w:r>
    </w:p>
    <w:p w14:paraId="0F041612" w14:textId="3B1AE2CA" w:rsidR="00A24500" w:rsidRPr="00A7572D" w:rsidRDefault="007F0EB7" w:rsidP="007F0EB7">
      <w:pPr>
        <w:pStyle w:val="enumlev1"/>
        <w:rPr>
          <w:b/>
          <w:szCs w:val="24"/>
          <w:lang w:val="es-ES"/>
        </w:rPr>
      </w:pPr>
      <w:r w:rsidRPr="00A7572D">
        <w:rPr>
          <w:szCs w:val="24"/>
          <w:lang w:val="es-ES" w:eastAsia="ja-JP"/>
        </w:rPr>
        <w:tab/>
      </w:r>
      <w:r w:rsidR="00A24500" w:rsidRPr="00A7572D">
        <w:rPr>
          <w:szCs w:val="24"/>
          <w:lang w:val="es-ES" w:eastAsia="ja-JP"/>
        </w:rPr>
        <w:t xml:space="preserve">En el Reglamento de Radiocomunicaciones se incluyen mediante referencia varias </w:t>
      </w:r>
      <w:r w:rsidR="00130059" w:rsidRPr="00A7572D">
        <w:rPr>
          <w:szCs w:val="24"/>
          <w:lang w:val="es-ES" w:eastAsia="ja-JP"/>
        </w:rPr>
        <w:t>Recomendaciones</w:t>
      </w:r>
      <w:r w:rsidR="00A24500" w:rsidRPr="00A7572D">
        <w:rPr>
          <w:szCs w:val="24"/>
          <w:lang w:val="es-ES" w:eastAsia="ja-JP"/>
        </w:rPr>
        <w:t>. La OMI las ha examinado todas.</w:t>
      </w:r>
    </w:p>
    <w:p w14:paraId="71763C89" w14:textId="45AE91FA"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Postura de la OMI</w:t>
      </w:r>
    </w:p>
    <w:p w14:paraId="139F93D0" w14:textId="549DEDBF" w:rsidR="00A24500" w:rsidRPr="00A7572D" w:rsidRDefault="007F0EB7" w:rsidP="007F0EB7">
      <w:pPr>
        <w:pStyle w:val="enumlev1"/>
        <w:rPr>
          <w:szCs w:val="24"/>
          <w:lang w:val="es-ES" w:eastAsia="ja-JP"/>
        </w:rPr>
      </w:pPr>
      <w:r w:rsidRPr="00A7572D">
        <w:rPr>
          <w:szCs w:val="24"/>
          <w:lang w:val="es-ES"/>
        </w:rPr>
        <w:tab/>
      </w:r>
      <w:r w:rsidR="00A24500" w:rsidRPr="00A7572D">
        <w:rPr>
          <w:szCs w:val="24"/>
          <w:lang w:val="es-ES"/>
        </w:rPr>
        <w:t xml:space="preserve">La OMI ha estudiado las recomendaciones pertinentes y ha formulado observaciones sobre cada una de ellas, según figura en el </w:t>
      </w:r>
      <w:r w:rsidR="00C8557B" w:rsidRPr="00A7572D">
        <w:rPr>
          <w:szCs w:val="24"/>
          <w:lang w:val="es-ES"/>
        </w:rPr>
        <w:t>A</w:t>
      </w:r>
      <w:r w:rsidR="00130059">
        <w:rPr>
          <w:szCs w:val="24"/>
          <w:lang w:val="es-ES"/>
        </w:rPr>
        <w:t>nexo</w:t>
      </w:r>
      <w:r w:rsidR="00C8557B" w:rsidRPr="00A7572D">
        <w:rPr>
          <w:szCs w:val="24"/>
          <w:lang w:val="es-ES"/>
        </w:rPr>
        <w:t xml:space="preserve"> </w:t>
      </w:r>
      <w:r w:rsidR="00A24500" w:rsidRPr="00A7572D">
        <w:rPr>
          <w:szCs w:val="24"/>
          <w:lang w:val="es-ES"/>
        </w:rPr>
        <w:t xml:space="preserve">1. La OMI considera importante la incorporación por referencia debido al estrecho vínculo que existe entre muchas recomendaciones del UIT-R relativas al equipo del SMSSM y su funcionamiento, y las normas de funcionamiento de la OMI. La OMI solicita una pronta indicación de </w:t>
      </w:r>
      <w:r w:rsidR="00A24500" w:rsidRPr="00A7572D">
        <w:rPr>
          <w:szCs w:val="24"/>
          <w:lang w:val="es-ES"/>
        </w:rPr>
        <w:lastRenderedPageBreak/>
        <w:t>cualquier cambio propuesto por la UIT al mecanismo de incorporación por referencia y a la lista de las recomendaciones incorporadas.</w:t>
      </w:r>
    </w:p>
    <w:p w14:paraId="61CA20BA"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4 del orden del día</w:t>
      </w:r>
    </w:p>
    <w:p w14:paraId="66ADD76F" w14:textId="77777777" w:rsidR="00A24500" w:rsidRPr="00A7572D" w:rsidRDefault="00A24500" w:rsidP="008B5A71">
      <w:pPr>
        <w:rPr>
          <w:lang w:val="es-ES"/>
        </w:rPr>
      </w:pPr>
      <w:r w:rsidRPr="00A7572D">
        <w:rPr>
          <w:lang w:val="es-ES"/>
        </w:rPr>
        <w:t>4</w:t>
      </w:r>
      <w:r w:rsidRPr="00A7572D">
        <w:rPr>
          <w:lang w:val="es-ES"/>
        </w:rPr>
        <w:tab/>
      </w:r>
      <w:r w:rsidRPr="00A7572D">
        <w:rPr>
          <w:color w:val="000000"/>
          <w:lang w:val="es-ES" w:eastAsia="es-ES"/>
        </w:rPr>
        <w:t xml:space="preserve">De conformidad con la </w:t>
      </w:r>
      <w:r w:rsidRPr="00A7572D">
        <w:rPr>
          <w:lang w:val="es-ES" w:eastAsia="es-ES"/>
        </w:rPr>
        <w:t xml:space="preserve">Resolución </w:t>
      </w:r>
      <w:r w:rsidRPr="00A7572D">
        <w:rPr>
          <w:b/>
          <w:bCs/>
          <w:lang w:val="es-ES" w:eastAsia="es-ES"/>
        </w:rPr>
        <w:t>95 (Rev.CMR</w:t>
      </w:r>
      <w:r w:rsidRPr="00A7572D">
        <w:rPr>
          <w:b/>
          <w:bCs/>
          <w:lang w:val="es-ES" w:eastAsia="es-ES"/>
        </w:rPr>
        <w:noBreakHyphen/>
        <w:t>07)</w:t>
      </w:r>
      <w:r w:rsidRPr="00A7572D">
        <w:rPr>
          <w:lang w:val="es-ES" w:eastAsia="es-ES"/>
        </w:rPr>
        <w:t xml:space="preserve">, considerar las Resoluciones y Recomendaciones de las conferencias anteriores para su posible </w:t>
      </w:r>
      <w:r w:rsidRPr="00A7572D">
        <w:rPr>
          <w:color w:val="000000"/>
          <w:lang w:val="es-ES" w:eastAsia="es-ES"/>
        </w:rPr>
        <w:t>revisión, sustitución o supresión.</w:t>
      </w:r>
    </w:p>
    <w:p w14:paraId="377D947F" w14:textId="1456169F" w:rsidR="00A24500" w:rsidRPr="00A7572D" w:rsidRDefault="00440962" w:rsidP="00440962">
      <w:pPr>
        <w:pStyle w:val="Headingb"/>
        <w:rPr>
          <w:lang w:val="es-ES"/>
        </w:rPr>
      </w:pPr>
      <w:r w:rsidRPr="00A7572D">
        <w:rPr>
          <w:lang w:val="es-ES"/>
        </w:rPr>
        <w:tab/>
      </w:r>
      <w:r w:rsidR="00A24500" w:rsidRPr="00A7572D">
        <w:rPr>
          <w:lang w:val="es-ES"/>
        </w:rPr>
        <w:t>Antecedentes</w:t>
      </w:r>
    </w:p>
    <w:p w14:paraId="627AD6FA" w14:textId="4B892017" w:rsidR="00A24500" w:rsidRPr="00A7572D" w:rsidRDefault="007F0EB7" w:rsidP="007F0EB7">
      <w:pPr>
        <w:pStyle w:val="enumlev1"/>
        <w:rPr>
          <w:szCs w:val="24"/>
          <w:lang w:val="es-ES" w:eastAsia="ja-JP"/>
        </w:rPr>
      </w:pPr>
      <w:r w:rsidRPr="00A7572D">
        <w:rPr>
          <w:szCs w:val="24"/>
          <w:lang w:val="es-ES" w:eastAsia="ja-JP"/>
        </w:rPr>
        <w:tab/>
      </w:r>
      <w:r w:rsidR="00A24500" w:rsidRPr="00A7572D">
        <w:rPr>
          <w:szCs w:val="24"/>
          <w:lang w:val="es-ES" w:eastAsia="ja-JP"/>
        </w:rPr>
        <w:t>En el Reglamento de Radiocomunicaciones se incluyen mediante referencia varias Resoluciones y Recomendaciones. La OMI las ha examinado todas.</w:t>
      </w:r>
    </w:p>
    <w:p w14:paraId="23805B41" w14:textId="6C0198F6"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Postura de la OMI</w:t>
      </w:r>
    </w:p>
    <w:p w14:paraId="522F9EC8" w14:textId="66A0F27D" w:rsidR="00A24500" w:rsidRPr="00A7572D" w:rsidRDefault="007F0EB7" w:rsidP="007F0EB7">
      <w:pPr>
        <w:pStyle w:val="enumlev1"/>
        <w:rPr>
          <w:szCs w:val="24"/>
          <w:lang w:val="es-ES"/>
        </w:rPr>
      </w:pPr>
      <w:r w:rsidRPr="00A7572D">
        <w:rPr>
          <w:szCs w:val="24"/>
          <w:lang w:val="es-ES"/>
        </w:rPr>
        <w:tab/>
      </w:r>
      <w:r w:rsidR="00A24500" w:rsidRPr="00A7572D">
        <w:rPr>
          <w:szCs w:val="24"/>
          <w:lang w:val="es-ES"/>
        </w:rPr>
        <w:t>La OMI ha estudiado las Recomendaciones pertinentes y ha formulado observaciones sobre cada una de ellas, según figura en el Anexo 2.</w:t>
      </w:r>
    </w:p>
    <w:p w14:paraId="662DEE72"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9 del orden del día</w:t>
      </w:r>
    </w:p>
    <w:p w14:paraId="1C55B35B" w14:textId="77777777" w:rsidR="00A24500" w:rsidRPr="00A7572D" w:rsidRDefault="00A24500" w:rsidP="008B5A71">
      <w:pPr>
        <w:rPr>
          <w:lang w:val="es-ES"/>
        </w:rPr>
      </w:pPr>
      <w:r w:rsidRPr="00A7572D">
        <w:rPr>
          <w:lang w:val="es-ES"/>
        </w:rPr>
        <w:t>9</w:t>
      </w:r>
      <w:r w:rsidRPr="00A7572D">
        <w:rPr>
          <w:lang w:val="es-ES"/>
        </w:rPr>
        <w:tab/>
      </w:r>
      <w:r w:rsidRPr="00A7572D">
        <w:rPr>
          <w:lang w:val="es-ES" w:eastAsia="es-ES"/>
        </w:rPr>
        <w:t>Examinar y aprobar el Informe del Director de la Oficina de Radiocomunicaciones, de conformidad con el Artículo 7 del Convenio:</w:t>
      </w:r>
    </w:p>
    <w:p w14:paraId="6F515225" w14:textId="478380F9" w:rsidR="00A24500" w:rsidRPr="00A7572D" w:rsidRDefault="007F0EB7" w:rsidP="007F0EB7">
      <w:pPr>
        <w:pStyle w:val="enumlev1"/>
        <w:rPr>
          <w:lang w:val="es-ES" w:eastAsia="es-ES"/>
        </w:rPr>
      </w:pPr>
      <w:r w:rsidRPr="00A7572D">
        <w:rPr>
          <w:lang w:val="es-ES"/>
        </w:rPr>
        <w:tab/>
      </w:r>
      <w:r w:rsidR="00A24500" w:rsidRPr="00A7572D">
        <w:rPr>
          <w:lang w:val="es-ES"/>
        </w:rPr>
        <w:t>9.1</w:t>
      </w:r>
      <w:r w:rsidR="00A24500" w:rsidRPr="00A7572D">
        <w:rPr>
          <w:lang w:val="es-ES"/>
        </w:rPr>
        <w:tab/>
      </w:r>
      <w:r w:rsidR="00A24500" w:rsidRPr="00A7572D">
        <w:rPr>
          <w:lang w:val="es-ES" w:eastAsia="es-ES"/>
        </w:rPr>
        <w:t>sobre las actividades del Sector de Radiocomunicaciones desde la CMR</w:t>
      </w:r>
      <w:r w:rsidR="00A24500" w:rsidRPr="00A7572D">
        <w:rPr>
          <w:lang w:val="es-ES" w:eastAsia="es-ES"/>
        </w:rPr>
        <w:noBreakHyphen/>
        <w:t>15;</w:t>
      </w:r>
    </w:p>
    <w:p w14:paraId="4CC290E6" w14:textId="49B6A76E" w:rsidR="00A24500" w:rsidRPr="00A7572D" w:rsidRDefault="007F0EB7" w:rsidP="007F0EB7">
      <w:pPr>
        <w:pStyle w:val="enumlev1"/>
        <w:rPr>
          <w:lang w:val="es-ES" w:eastAsia="es-ES"/>
        </w:rPr>
      </w:pPr>
      <w:r w:rsidRPr="00A7572D">
        <w:rPr>
          <w:lang w:val="es-ES"/>
        </w:rPr>
        <w:tab/>
      </w:r>
      <w:r w:rsidR="00A24500" w:rsidRPr="00A7572D">
        <w:rPr>
          <w:lang w:val="es-ES"/>
        </w:rPr>
        <w:t>9.2</w:t>
      </w:r>
      <w:r w:rsidR="00A24500" w:rsidRPr="00A7572D">
        <w:rPr>
          <w:lang w:val="es-ES"/>
        </w:rPr>
        <w:tab/>
      </w:r>
      <w:r w:rsidR="00A24500" w:rsidRPr="00A7572D">
        <w:rPr>
          <w:lang w:val="es-ES" w:eastAsia="es-ES"/>
        </w:rPr>
        <w:t xml:space="preserve">sobre las dificultades o incoherencias observadas en la aplicación del </w:t>
      </w:r>
      <w:r w:rsidR="00130059">
        <w:rPr>
          <w:lang w:val="es-ES" w:eastAsia="es-ES"/>
        </w:rPr>
        <w:tab/>
      </w:r>
      <w:r w:rsidR="00A24500" w:rsidRPr="00A7572D">
        <w:rPr>
          <w:lang w:val="es-ES" w:eastAsia="es-ES"/>
        </w:rPr>
        <w:t>Reglamento de Radiocomunicaciones; y</w:t>
      </w:r>
    </w:p>
    <w:p w14:paraId="5BD280F0" w14:textId="2A19399C" w:rsidR="00A24500" w:rsidRPr="00A7572D" w:rsidRDefault="007F0EB7" w:rsidP="007F0EB7">
      <w:pPr>
        <w:pStyle w:val="enumlev1"/>
        <w:rPr>
          <w:lang w:val="es-ES"/>
        </w:rPr>
      </w:pPr>
      <w:r w:rsidRPr="00A7572D">
        <w:rPr>
          <w:lang w:val="es-ES"/>
        </w:rPr>
        <w:tab/>
      </w:r>
      <w:r w:rsidR="00A24500" w:rsidRPr="00A7572D">
        <w:rPr>
          <w:lang w:val="es-ES"/>
        </w:rPr>
        <w:t>9.3</w:t>
      </w:r>
      <w:r w:rsidR="00A24500" w:rsidRPr="00A7572D">
        <w:rPr>
          <w:lang w:val="es-ES"/>
        </w:rPr>
        <w:tab/>
      </w:r>
      <w:r w:rsidR="00A24500" w:rsidRPr="00A7572D">
        <w:rPr>
          <w:lang w:val="es-ES" w:eastAsia="es-ES"/>
        </w:rPr>
        <w:t xml:space="preserve">sobre acciones en respuesta a la Resolución </w:t>
      </w:r>
      <w:r w:rsidR="00A24500" w:rsidRPr="00A7572D">
        <w:rPr>
          <w:b/>
          <w:bCs/>
          <w:lang w:val="es-ES" w:eastAsia="es-ES"/>
        </w:rPr>
        <w:t>80 (Rev.CMR</w:t>
      </w:r>
      <w:r w:rsidR="00A24500" w:rsidRPr="00A7572D">
        <w:rPr>
          <w:b/>
          <w:bCs/>
          <w:lang w:val="es-ES" w:eastAsia="es-ES"/>
        </w:rPr>
        <w:noBreakHyphen/>
        <w:t>07)</w:t>
      </w:r>
      <w:r w:rsidR="00A24500" w:rsidRPr="00A7572D">
        <w:rPr>
          <w:lang w:val="es-ES" w:eastAsia="es-ES"/>
        </w:rPr>
        <w:t>.</w:t>
      </w:r>
    </w:p>
    <w:p w14:paraId="3D931453"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Cuestión 9.1.3</w:t>
      </w:r>
    </w:p>
    <w:p w14:paraId="0E51BCA1" w14:textId="0E601D95" w:rsidR="00A24500" w:rsidRPr="00A7572D" w:rsidRDefault="00A24500" w:rsidP="008B5A71">
      <w:pPr>
        <w:rPr>
          <w:szCs w:val="22"/>
          <w:lang w:val="es-ES"/>
        </w:rPr>
      </w:pPr>
      <w:r w:rsidRPr="00A7572D">
        <w:rPr>
          <w:lang w:val="es-ES"/>
        </w:rPr>
        <w:t>Estudio de las cuestiones técnicas y operativas y de las disposiciones reglamentarias para nuevos sistemas en las órbitas de los satélites no geoestacionarios en las bandas de frecuencias</w:t>
      </w:r>
      <w:r w:rsidR="00C8557B">
        <w:rPr>
          <w:lang w:val="es-ES"/>
        </w:rPr>
        <w:t xml:space="preserve"> </w:t>
      </w:r>
      <w:r w:rsidRPr="00A7572D">
        <w:rPr>
          <w:lang w:val="es-ES"/>
        </w:rPr>
        <w:t>3</w:t>
      </w:r>
      <w:r w:rsidR="00130059">
        <w:rPr>
          <w:lang w:val="es-ES"/>
        </w:rPr>
        <w:t> </w:t>
      </w:r>
      <w:r w:rsidRPr="00A7572D">
        <w:rPr>
          <w:lang w:val="es-ES"/>
        </w:rPr>
        <w:t>700</w:t>
      </w:r>
      <w:r w:rsidR="00C8557B">
        <w:rPr>
          <w:lang w:val="es-ES"/>
        </w:rPr>
        <w:noBreakHyphen/>
      </w:r>
      <w:r w:rsidRPr="00A7572D">
        <w:rPr>
          <w:lang w:val="es-ES"/>
        </w:rPr>
        <w:t>4</w:t>
      </w:r>
      <w:r w:rsidR="00130059">
        <w:rPr>
          <w:lang w:val="es-ES"/>
        </w:rPr>
        <w:t> </w:t>
      </w:r>
      <w:r w:rsidRPr="00A7572D">
        <w:rPr>
          <w:lang w:val="es-ES"/>
        </w:rPr>
        <w:t>200 MHz, 4</w:t>
      </w:r>
      <w:r w:rsidR="00130059">
        <w:rPr>
          <w:lang w:val="es-ES"/>
        </w:rPr>
        <w:t> </w:t>
      </w:r>
      <w:r w:rsidRPr="00A7572D">
        <w:rPr>
          <w:lang w:val="es-ES"/>
        </w:rPr>
        <w:t>500</w:t>
      </w:r>
      <w:r w:rsidR="00C8557B">
        <w:rPr>
          <w:lang w:val="es-ES"/>
        </w:rPr>
        <w:t>-</w:t>
      </w:r>
      <w:r w:rsidRPr="00A7572D">
        <w:rPr>
          <w:lang w:val="es-ES"/>
        </w:rPr>
        <w:t>4</w:t>
      </w:r>
      <w:r w:rsidR="00130059">
        <w:rPr>
          <w:lang w:val="es-ES"/>
        </w:rPr>
        <w:t> </w:t>
      </w:r>
      <w:r w:rsidRPr="00A7572D">
        <w:rPr>
          <w:lang w:val="es-ES"/>
        </w:rPr>
        <w:t xml:space="preserve">800 MHz, </w:t>
      </w:r>
      <w:r w:rsidRPr="00A7572D">
        <w:rPr>
          <w:szCs w:val="22"/>
          <w:lang w:val="es-ES"/>
        </w:rPr>
        <w:t>5</w:t>
      </w:r>
      <w:r w:rsidR="00130059">
        <w:rPr>
          <w:szCs w:val="22"/>
          <w:lang w:val="es-ES"/>
        </w:rPr>
        <w:t> </w:t>
      </w:r>
      <w:r w:rsidRPr="00A7572D">
        <w:rPr>
          <w:szCs w:val="22"/>
          <w:lang w:val="es-ES"/>
        </w:rPr>
        <w:t>925</w:t>
      </w:r>
      <w:r w:rsidR="00C8557B">
        <w:rPr>
          <w:szCs w:val="22"/>
          <w:lang w:val="es-ES"/>
        </w:rPr>
        <w:t>-</w:t>
      </w:r>
      <w:r w:rsidRPr="00A7572D">
        <w:rPr>
          <w:szCs w:val="22"/>
          <w:lang w:val="es-ES"/>
        </w:rPr>
        <w:t>6</w:t>
      </w:r>
      <w:r w:rsidR="00130059">
        <w:rPr>
          <w:szCs w:val="22"/>
          <w:lang w:val="es-ES"/>
        </w:rPr>
        <w:t> </w:t>
      </w:r>
      <w:r w:rsidRPr="00A7572D">
        <w:rPr>
          <w:szCs w:val="22"/>
          <w:lang w:val="es-ES"/>
        </w:rPr>
        <w:t>425 MHz y 6</w:t>
      </w:r>
      <w:r w:rsidR="00130059">
        <w:rPr>
          <w:szCs w:val="22"/>
          <w:lang w:val="es-ES"/>
        </w:rPr>
        <w:t> </w:t>
      </w:r>
      <w:r w:rsidRPr="00A7572D">
        <w:rPr>
          <w:szCs w:val="22"/>
          <w:lang w:val="es-ES"/>
        </w:rPr>
        <w:t>725</w:t>
      </w:r>
      <w:r w:rsidR="00C8557B">
        <w:rPr>
          <w:szCs w:val="22"/>
          <w:lang w:val="es-ES"/>
        </w:rPr>
        <w:t>-</w:t>
      </w:r>
      <w:r w:rsidRPr="00A7572D">
        <w:rPr>
          <w:szCs w:val="22"/>
          <w:lang w:val="es-ES"/>
        </w:rPr>
        <w:t>7</w:t>
      </w:r>
      <w:r w:rsidR="00130059">
        <w:rPr>
          <w:szCs w:val="22"/>
          <w:lang w:val="es-ES"/>
        </w:rPr>
        <w:t> </w:t>
      </w:r>
      <w:r w:rsidRPr="00A7572D">
        <w:rPr>
          <w:szCs w:val="22"/>
          <w:lang w:val="es-ES"/>
        </w:rPr>
        <w:t>025 MHz atribuidas al servicio fijo por satélite.</w:t>
      </w:r>
    </w:p>
    <w:p w14:paraId="4B135EED" w14:textId="03804C73" w:rsidR="00A24500" w:rsidRPr="00A7572D" w:rsidRDefault="00440962" w:rsidP="00440962">
      <w:pPr>
        <w:pStyle w:val="Headingb"/>
        <w:rPr>
          <w:lang w:val="es-ES"/>
        </w:rPr>
      </w:pPr>
      <w:r w:rsidRPr="00A7572D">
        <w:rPr>
          <w:lang w:val="es-ES"/>
        </w:rPr>
        <w:tab/>
      </w:r>
      <w:r w:rsidR="00A24500" w:rsidRPr="00A7572D">
        <w:rPr>
          <w:lang w:val="es-ES"/>
        </w:rPr>
        <w:t>Antecedentes</w:t>
      </w:r>
    </w:p>
    <w:p w14:paraId="092E6B3E" w14:textId="074127A1" w:rsidR="00A24500" w:rsidRPr="00A7572D" w:rsidRDefault="007F0EB7" w:rsidP="007F0EB7">
      <w:pPr>
        <w:pStyle w:val="enumlev1"/>
        <w:rPr>
          <w:szCs w:val="24"/>
          <w:lang w:val="es-ES"/>
        </w:rPr>
      </w:pPr>
      <w:r w:rsidRPr="00A7572D">
        <w:rPr>
          <w:szCs w:val="24"/>
          <w:lang w:val="es-ES"/>
        </w:rPr>
        <w:tab/>
      </w:r>
      <w:r w:rsidR="00A24500" w:rsidRPr="00A7572D">
        <w:rPr>
          <w:szCs w:val="24"/>
          <w:lang w:val="es-ES"/>
        </w:rPr>
        <w:t>Se observa que la banda de frecuencias 6 424</w:t>
      </w:r>
      <w:r w:rsidR="00C8557B">
        <w:rPr>
          <w:szCs w:val="24"/>
          <w:lang w:val="es-ES"/>
        </w:rPr>
        <w:t>-</w:t>
      </w:r>
      <w:r w:rsidR="00A24500" w:rsidRPr="00A7572D">
        <w:rPr>
          <w:szCs w:val="24"/>
          <w:lang w:val="es-ES"/>
        </w:rPr>
        <w:t>6 454 MHz se utiliza para los enlaces de conexión de Inmarsat.</w:t>
      </w:r>
    </w:p>
    <w:p w14:paraId="07B8BD73" w14:textId="377E4DED"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Postura de la OMI</w:t>
      </w:r>
    </w:p>
    <w:p w14:paraId="5B5C5A6D" w14:textId="6A66E6E3" w:rsidR="00A24500" w:rsidRPr="00A7572D" w:rsidRDefault="007F0EB7" w:rsidP="007F0EB7">
      <w:pPr>
        <w:pStyle w:val="enumlev1"/>
        <w:rPr>
          <w:szCs w:val="24"/>
          <w:lang w:val="es-ES"/>
        </w:rPr>
      </w:pPr>
      <w:r w:rsidRPr="00A7572D">
        <w:rPr>
          <w:szCs w:val="24"/>
          <w:lang w:val="es-ES"/>
        </w:rPr>
        <w:tab/>
      </w:r>
      <w:r w:rsidR="00A24500" w:rsidRPr="00A7572D">
        <w:rPr>
          <w:szCs w:val="24"/>
          <w:lang w:val="es-ES"/>
        </w:rPr>
        <w:t>Los sistemas en las órbitas de los satélites no geoestacionarios no causarán interferencias perjudiciales ni solicitarán protección de las redes OSG del SFS.</w:t>
      </w:r>
    </w:p>
    <w:p w14:paraId="58FF9EDC" w14:textId="77777777" w:rsidR="00A24500" w:rsidRPr="00A7572D" w:rsidRDefault="00A24500" w:rsidP="008B5A71">
      <w:pPr>
        <w:pStyle w:val="Headingb"/>
        <w:rPr>
          <w:rFonts w:ascii="Times New Roman" w:hAnsi="Times New Roman"/>
          <w:lang w:val="es-ES"/>
        </w:rPr>
      </w:pPr>
      <w:r w:rsidRPr="00A7572D">
        <w:rPr>
          <w:rFonts w:ascii="Times New Roman" w:hAnsi="Times New Roman"/>
          <w:lang w:val="es-ES"/>
        </w:rPr>
        <w:t>Punto 10 del orden del día</w:t>
      </w:r>
    </w:p>
    <w:p w14:paraId="4370027E" w14:textId="55ABA652" w:rsidR="00A24500" w:rsidRPr="00A7572D" w:rsidRDefault="00A24500" w:rsidP="008B5A71">
      <w:pPr>
        <w:rPr>
          <w:szCs w:val="24"/>
          <w:lang w:val="es-ES"/>
        </w:rPr>
      </w:pPr>
      <w:r w:rsidRPr="00A7572D">
        <w:rPr>
          <w:szCs w:val="24"/>
          <w:lang w:val="es-ES"/>
        </w:rPr>
        <w:t>10</w:t>
      </w:r>
      <w:r w:rsidRPr="00A7572D">
        <w:rPr>
          <w:szCs w:val="24"/>
          <w:lang w:val="es-ES"/>
        </w:rPr>
        <w:tab/>
        <w:t xml:space="preserve">Recomendar al Consejo los puntos que han de incluirse en el orden del día de la próxima CMR, y formular sus opiniones sobre el orden del día preliminar de la siguiente conferencia y sobre los posibles órdenes del día de futuras conferencias, de conformidad con el </w:t>
      </w:r>
      <w:r w:rsidR="00C8557B" w:rsidRPr="00A7572D">
        <w:rPr>
          <w:szCs w:val="24"/>
          <w:lang w:val="es-ES"/>
        </w:rPr>
        <w:t>Artículo </w:t>
      </w:r>
      <w:r w:rsidRPr="00A7572D">
        <w:rPr>
          <w:szCs w:val="24"/>
          <w:lang w:val="es-ES"/>
        </w:rPr>
        <w:t>7 del Convenio.</w:t>
      </w:r>
    </w:p>
    <w:p w14:paraId="4C660A64" w14:textId="6DE2F92E"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Antecedentes</w:t>
      </w:r>
    </w:p>
    <w:p w14:paraId="5C90C582" w14:textId="5768EAD0" w:rsidR="00A24500" w:rsidRPr="00A7572D" w:rsidRDefault="007F0EB7" w:rsidP="007F0EB7">
      <w:pPr>
        <w:pStyle w:val="enumlev1"/>
        <w:rPr>
          <w:szCs w:val="24"/>
          <w:lang w:val="es-ES"/>
        </w:rPr>
      </w:pPr>
      <w:r w:rsidRPr="00A7572D">
        <w:rPr>
          <w:szCs w:val="24"/>
          <w:lang w:val="es-ES"/>
        </w:rPr>
        <w:tab/>
      </w:r>
      <w:r w:rsidR="00A24500" w:rsidRPr="00A7572D">
        <w:rPr>
          <w:szCs w:val="24"/>
          <w:lang w:val="es-ES"/>
        </w:rPr>
        <w:t xml:space="preserve">En la </w:t>
      </w:r>
      <w:r w:rsidR="00C8557B" w:rsidRPr="00A7572D">
        <w:rPr>
          <w:szCs w:val="24"/>
          <w:lang w:val="es-ES"/>
        </w:rPr>
        <w:t>Resolución </w:t>
      </w:r>
      <w:r w:rsidR="00A24500" w:rsidRPr="00A7572D">
        <w:rPr>
          <w:b/>
          <w:bCs/>
          <w:szCs w:val="24"/>
          <w:lang w:val="es-ES"/>
        </w:rPr>
        <w:t>810 (CMR</w:t>
      </w:r>
      <w:r w:rsidR="00A24500" w:rsidRPr="00A7572D">
        <w:rPr>
          <w:b/>
          <w:bCs/>
          <w:szCs w:val="24"/>
          <w:lang w:val="es-ES"/>
        </w:rPr>
        <w:noBreakHyphen/>
        <w:t>15)</w:t>
      </w:r>
      <w:r w:rsidR="00A24500" w:rsidRPr="00A7572D">
        <w:rPr>
          <w:szCs w:val="24"/>
          <w:lang w:val="es-ES"/>
        </w:rPr>
        <w:t>, que contiene el orden del día preliminar para la CMR</w:t>
      </w:r>
      <w:r w:rsidR="00A24500" w:rsidRPr="00A7572D">
        <w:rPr>
          <w:szCs w:val="24"/>
          <w:lang w:val="es-ES"/>
        </w:rPr>
        <w:noBreakHyphen/>
        <w:t>23, figura, para incluir como punto 2.1 del orden del día de la CMR</w:t>
      </w:r>
      <w:r w:rsidR="00A24500" w:rsidRPr="00A7572D">
        <w:rPr>
          <w:szCs w:val="24"/>
          <w:lang w:val="es-ES"/>
        </w:rPr>
        <w:noBreakHyphen/>
        <w:t xml:space="preserve">23, el examen de las posibles necesidades de espectro y medidas normativas para apoyar la modernización del Sistema Mundial de Socorro y Seguridad Marítimos (SMSSM) y la implantación de la navegación electrónica, de conformidad con lo dispuesto en la </w:t>
      </w:r>
      <w:r w:rsidR="00C8557B" w:rsidRPr="00A7572D">
        <w:rPr>
          <w:szCs w:val="24"/>
          <w:lang w:val="es-ES"/>
        </w:rPr>
        <w:t>Resolución </w:t>
      </w:r>
      <w:r w:rsidR="00A24500" w:rsidRPr="00A7572D">
        <w:rPr>
          <w:b/>
          <w:szCs w:val="24"/>
          <w:lang w:val="es-ES"/>
        </w:rPr>
        <w:t>361 (CMR</w:t>
      </w:r>
      <w:r w:rsidR="00A24500" w:rsidRPr="00A7572D">
        <w:rPr>
          <w:b/>
          <w:szCs w:val="24"/>
          <w:lang w:val="es-ES"/>
        </w:rPr>
        <w:noBreakHyphen/>
        <w:t>15)</w:t>
      </w:r>
      <w:r w:rsidR="00A24500" w:rsidRPr="00C8557B">
        <w:rPr>
          <w:bCs/>
          <w:szCs w:val="24"/>
          <w:lang w:val="es-ES"/>
        </w:rPr>
        <w:t>.</w:t>
      </w:r>
    </w:p>
    <w:p w14:paraId="4F4277E3" w14:textId="541245AB" w:rsidR="00A24500" w:rsidRPr="00A7572D" w:rsidRDefault="007F0EB7" w:rsidP="007F0EB7">
      <w:pPr>
        <w:pStyle w:val="enumlev1"/>
        <w:rPr>
          <w:szCs w:val="24"/>
          <w:lang w:val="es-ES"/>
        </w:rPr>
      </w:pPr>
      <w:r w:rsidRPr="00A7572D">
        <w:rPr>
          <w:szCs w:val="24"/>
          <w:lang w:val="es-ES"/>
        </w:rPr>
        <w:lastRenderedPageBreak/>
        <w:tab/>
      </w:r>
      <w:r w:rsidR="00A24500" w:rsidRPr="00A7572D">
        <w:rPr>
          <w:szCs w:val="24"/>
          <w:lang w:val="es-ES"/>
        </w:rPr>
        <w:t>Como consecuencia de la modernización del SMSSM, se someterá a revisión el Convenio SOLAS, que está previsto provisionalmente se finalice en junio de 2022 y entre en vigor en 2024.</w:t>
      </w:r>
    </w:p>
    <w:p w14:paraId="04406C7B" w14:textId="5C078FD4" w:rsidR="00A24500" w:rsidRPr="00A7572D" w:rsidRDefault="007F0EB7" w:rsidP="007F0EB7">
      <w:pPr>
        <w:pStyle w:val="enumlev1"/>
        <w:rPr>
          <w:szCs w:val="24"/>
          <w:lang w:val="es-ES"/>
        </w:rPr>
      </w:pPr>
      <w:r w:rsidRPr="00A7572D">
        <w:rPr>
          <w:szCs w:val="24"/>
          <w:lang w:val="es-ES"/>
        </w:rPr>
        <w:tab/>
      </w:r>
      <w:r w:rsidR="00A24500" w:rsidRPr="00A7572D">
        <w:rPr>
          <w:szCs w:val="24"/>
          <w:lang w:val="es-ES"/>
        </w:rPr>
        <w:t>El MSC 99 recibió una aplicación para reconocer los sistemas móviles por satélite existentes como parte del SMSSM, y encargó al Subcomité NCSR que efectuara la correspondiente evaluación técnica y operacional.</w:t>
      </w:r>
    </w:p>
    <w:p w14:paraId="0DB6A878" w14:textId="6CA415BE" w:rsidR="00A24500" w:rsidRPr="00A7572D" w:rsidRDefault="00440962" w:rsidP="00440962">
      <w:pPr>
        <w:pStyle w:val="Headingb"/>
        <w:rPr>
          <w:szCs w:val="24"/>
          <w:lang w:val="es-ES"/>
        </w:rPr>
      </w:pPr>
      <w:r w:rsidRPr="00A7572D">
        <w:rPr>
          <w:szCs w:val="24"/>
          <w:lang w:val="es-ES"/>
        </w:rPr>
        <w:tab/>
      </w:r>
      <w:r w:rsidR="00A24500" w:rsidRPr="00A7572D">
        <w:rPr>
          <w:szCs w:val="24"/>
          <w:lang w:val="es-ES"/>
        </w:rPr>
        <w:t>Postura de la OMI</w:t>
      </w:r>
    </w:p>
    <w:p w14:paraId="78E347BE" w14:textId="11C2D672" w:rsidR="00A24500" w:rsidRPr="00A7572D" w:rsidRDefault="007F0EB7" w:rsidP="007F0EB7">
      <w:pPr>
        <w:pStyle w:val="enumlev1"/>
        <w:rPr>
          <w:szCs w:val="24"/>
          <w:lang w:val="es-ES" w:eastAsia="en-GB"/>
        </w:rPr>
      </w:pPr>
      <w:r w:rsidRPr="00A7572D">
        <w:rPr>
          <w:szCs w:val="24"/>
          <w:lang w:val="es-ES" w:eastAsia="zh-CN"/>
        </w:rPr>
        <w:tab/>
      </w:r>
      <w:r w:rsidR="00A24500" w:rsidRPr="00A7572D">
        <w:rPr>
          <w:szCs w:val="24"/>
          <w:lang w:val="es-ES" w:eastAsia="zh-CN"/>
        </w:rPr>
        <w:t xml:space="preserve">Mantener el punto 2.1 de la Resolución </w:t>
      </w:r>
      <w:r w:rsidR="00A24500" w:rsidRPr="00A7572D">
        <w:rPr>
          <w:b/>
          <w:szCs w:val="24"/>
          <w:lang w:val="es-ES" w:eastAsia="zh-CN"/>
        </w:rPr>
        <w:t>810 (CMR-15)</w:t>
      </w:r>
      <w:r w:rsidR="00A24500" w:rsidRPr="00A7572D">
        <w:rPr>
          <w:szCs w:val="24"/>
          <w:lang w:val="es-ES" w:eastAsia="zh-CN"/>
        </w:rPr>
        <w:t xml:space="preserve"> </w:t>
      </w:r>
      <w:r w:rsidR="00A24500" w:rsidRPr="00A7572D">
        <w:rPr>
          <w:szCs w:val="24"/>
          <w:lang w:val="es-ES" w:eastAsia="en-GB"/>
        </w:rPr>
        <w:t xml:space="preserve">en la que figura el orden del día preliminar de la CMR-23 para considerar las posibles necesidades de espectro y las medidas reglamentarias para respaldar la modernización del </w:t>
      </w:r>
      <w:r w:rsidR="00A24500" w:rsidRPr="00A7572D">
        <w:rPr>
          <w:szCs w:val="24"/>
          <w:lang w:val="es-ES" w:eastAsia="zh-CN"/>
        </w:rPr>
        <w:t xml:space="preserve">SMSSM </w:t>
      </w:r>
      <w:r w:rsidR="00A24500" w:rsidRPr="00A7572D">
        <w:rPr>
          <w:szCs w:val="24"/>
          <w:lang w:val="es-ES" w:eastAsia="en-GB"/>
        </w:rPr>
        <w:t xml:space="preserve">y la implantación de la navegación electrónica, de conformidad con la Resolución </w:t>
      </w:r>
      <w:r w:rsidR="00A24500" w:rsidRPr="00A7572D">
        <w:rPr>
          <w:b/>
          <w:szCs w:val="24"/>
          <w:lang w:val="es-ES" w:eastAsia="en-GB"/>
        </w:rPr>
        <w:t>361 (CMR-15)</w:t>
      </w:r>
      <w:r w:rsidR="007A1F7E" w:rsidRPr="007A1F7E">
        <w:rPr>
          <w:bCs/>
          <w:szCs w:val="24"/>
          <w:lang w:val="es-ES" w:eastAsia="en-GB"/>
        </w:rPr>
        <w:t>, que podría tener que modificarse</w:t>
      </w:r>
      <w:r w:rsidR="00A24500" w:rsidRPr="00A7572D">
        <w:rPr>
          <w:szCs w:val="24"/>
          <w:lang w:val="es-ES" w:eastAsia="en-GB"/>
        </w:rPr>
        <w:t xml:space="preserve">. </w:t>
      </w:r>
    </w:p>
    <w:p w14:paraId="506D31A5" w14:textId="77777777" w:rsidR="00A24500" w:rsidRPr="00A7572D" w:rsidRDefault="00A24500" w:rsidP="00A24500">
      <w:pPr>
        <w:overflowPunct/>
        <w:autoSpaceDE/>
        <w:autoSpaceDN/>
        <w:adjustRightInd/>
        <w:spacing w:before="0"/>
        <w:ind w:left="1701" w:firstLine="1"/>
        <w:jc w:val="both"/>
        <w:textAlignment w:val="auto"/>
        <w:rPr>
          <w:caps/>
          <w:sz w:val="22"/>
          <w:szCs w:val="22"/>
          <w:lang w:val="es-ES"/>
        </w:rPr>
      </w:pPr>
      <w:r w:rsidRPr="00A7572D">
        <w:rPr>
          <w:caps/>
          <w:sz w:val="22"/>
          <w:szCs w:val="22"/>
          <w:lang w:val="es-ES"/>
        </w:rPr>
        <w:br w:type="page"/>
      </w:r>
    </w:p>
    <w:p w14:paraId="08165BEA" w14:textId="77777777" w:rsidR="00A24500" w:rsidRPr="00A7572D" w:rsidRDefault="00A24500" w:rsidP="007F0EB7">
      <w:pPr>
        <w:pStyle w:val="AnnexNo"/>
        <w:rPr>
          <w:lang w:val="es-ES"/>
        </w:rPr>
      </w:pPr>
      <w:r w:rsidRPr="00A7572D">
        <w:rPr>
          <w:lang w:val="es-ES"/>
        </w:rPr>
        <w:lastRenderedPageBreak/>
        <w:t>ANEXo 1</w:t>
      </w:r>
    </w:p>
    <w:p w14:paraId="48B10254" w14:textId="77777777" w:rsidR="00A24500" w:rsidRPr="00A7572D" w:rsidRDefault="00A24500" w:rsidP="007F0EB7">
      <w:pPr>
        <w:pStyle w:val="RecNo"/>
        <w:rPr>
          <w:lang w:val="es-ES"/>
        </w:rPr>
      </w:pPr>
      <w:r w:rsidRPr="00A7572D">
        <w:rPr>
          <w:lang w:val="es-ES"/>
        </w:rPr>
        <w:t>RECOMENDACIÓN UIT</w:t>
      </w:r>
      <w:r w:rsidRPr="00A7572D">
        <w:rPr>
          <w:lang w:val="es-ES"/>
        </w:rPr>
        <w:noBreakHyphen/>
        <w:t>R M.476</w:t>
      </w:r>
      <w:r w:rsidRPr="00A7572D">
        <w:rPr>
          <w:lang w:val="es-ES"/>
        </w:rPr>
        <w:noBreakHyphen/>
        <w:t>5</w:t>
      </w:r>
    </w:p>
    <w:p w14:paraId="771F713D" w14:textId="77777777" w:rsidR="00A24500" w:rsidRPr="00A7572D" w:rsidRDefault="00A24500" w:rsidP="007F0EB7">
      <w:pPr>
        <w:pStyle w:val="Rectitle"/>
        <w:rPr>
          <w:lang w:val="es-ES"/>
        </w:rPr>
      </w:pPr>
      <w:r w:rsidRPr="00A7572D">
        <w:rPr>
          <w:lang w:val="es-ES"/>
        </w:rPr>
        <w:t>Equipos telegráficos de impresión directa en el servicio móvil marítimo</w:t>
      </w:r>
    </w:p>
    <w:p w14:paraId="0C4831BE" w14:textId="77777777" w:rsidR="00A24500" w:rsidRPr="00A7572D" w:rsidRDefault="00A24500" w:rsidP="007F0EB7">
      <w:pPr>
        <w:pStyle w:val="Questionref"/>
        <w:rPr>
          <w:lang w:val="es-ES"/>
        </w:rPr>
      </w:pPr>
      <w:r w:rsidRPr="00A7572D">
        <w:rPr>
          <w:lang w:val="es-ES"/>
        </w:rPr>
        <w:t>(</w:t>
      </w:r>
      <w:r w:rsidRPr="00A7572D">
        <w:rPr>
          <w:lang w:val="es-ES" w:eastAsia="es-ES"/>
        </w:rPr>
        <w:t>Cuestión UIT</w:t>
      </w:r>
      <w:r w:rsidRPr="00A7572D">
        <w:rPr>
          <w:lang w:val="es-ES" w:eastAsia="es-ES"/>
        </w:rPr>
        <w:noBreakHyphen/>
        <w:t>R 5/8)</w:t>
      </w:r>
    </w:p>
    <w:p w14:paraId="164B6B6F" w14:textId="77777777" w:rsidR="00A24500" w:rsidRPr="00A7572D" w:rsidRDefault="00A24500" w:rsidP="007F0EB7">
      <w:pPr>
        <w:pStyle w:val="Recdate"/>
        <w:rPr>
          <w:lang w:val="es-ES"/>
        </w:rPr>
      </w:pPr>
      <w:r w:rsidRPr="00A7572D">
        <w:rPr>
          <w:lang w:val="es-ES"/>
        </w:rPr>
        <w:t>(1970-1974-1978-1982-1986-1995)</w:t>
      </w:r>
    </w:p>
    <w:p w14:paraId="54A742A2" w14:textId="77777777" w:rsidR="00A24500" w:rsidRPr="00A7572D" w:rsidRDefault="00A24500" w:rsidP="007F0EB7">
      <w:pPr>
        <w:pStyle w:val="Normalaftertitle"/>
        <w:rPr>
          <w:lang w:val="es-ES"/>
        </w:rPr>
      </w:pPr>
      <w:r w:rsidRPr="00A7572D">
        <w:rPr>
          <w:lang w:val="es-ES"/>
        </w:rPr>
        <w:t>La comunidad marítima la requiere.</w:t>
      </w:r>
    </w:p>
    <w:p w14:paraId="773DC4E6" w14:textId="77777777" w:rsidR="00A24500" w:rsidRPr="00A7572D" w:rsidRDefault="00A24500" w:rsidP="007F0EB7">
      <w:pPr>
        <w:pStyle w:val="RecNo"/>
        <w:rPr>
          <w:lang w:val="es-ES"/>
        </w:rPr>
      </w:pPr>
      <w:r w:rsidRPr="00A7572D">
        <w:rPr>
          <w:lang w:val="es-ES"/>
        </w:rPr>
        <w:t>RECOMENDACIÓN UIT</w:t>
      </w:r>
      <w:r w:rsidRPr="00A7572D">
        <w:rPr>
          <w:lang w:val="es-ES"/>
        </w:rPr>
        <w:noBreakHyphen/>
        <w:t>R M.489</w:t>
      </w:r>
      <w:r w:rsidRPr="00A7572D">
        <w:rPr>
          <w:lang w:val="es-ES"/>
        </w:rPr>
        <w:noBreakHyphen/>
        <w:t>2</w:t>
      </w:r>
    </w:p>
    <w:p w14:paraId="7B538E15" w14:textId="77777777" w:rsidR="00A24500" w:rsidRPr="00A7572D" w:rsidRDefault="00A24500" w:rsidP="007F0EB7">
      <w:pPr>
        <w:pStyle w:val="Rectitle"/>
        <w:rPr>
          <w:lang w:val="es-ES" w:eastAsia="es-ES"/>
        </w:rPr>
      </w:pPr>
      <w:r w:rsidRPr="00A7572D">
        <w:rPr>
          <w:lang w:val="es-ES" w:eastAsia="es-ES"/>
        </w:rPr>
        <w:t>Características técnicas de los equipos de radiotelefonía de ondas métricas utilizados en el servicio móvil marítimo con una separación de 25 kHz entre canales adyacentes</w:t>
      </w:r>
    </w:p>
    <w:p w14:paraId="4D153F66" w14:textId="77777777" w:rsidR="00A24500" w:rsidRPr="00A7572D" w:rsidRDefault="00A24500" w:rsidP="007F0EB7">
      <w:pPr>
        <w:pStyle w:val="Recdate"/>
        <w:rPr>
          <w:lang w:val="es-ES"/>
        </w:rPr>
      </w:pPr>
      <w:r w:rsidRPr="00A7572D">
        <w:rPr>
          <w:lang w:val="es-ES"/>
        </w:rPr>
        <w:t>(1974-1978-1995)</w:t>
      </w:r>
    </w:p>
    <w:p w14:paraId="5604269D" w14:textId="5EBB6B22" w:rsidR="00A24500" w:rsidRPr="00A7572D" w:rsidRDefault="00A24500" w:rsidP="007F0EB7">
      <w:pPr>
        <w:pStyle w:val="Normalaftertitle"/>
        <w:rPr>
          <w:iCs/>
          <w:szCs w:val="24"/>
          <w:lang w:val="es-ES" w:eastAsia="es-ES"/>
        </w:rPr>
      </w:pPr>
      <w:r w:rsidRPr="00A7572D">
        <w:rPr>
          <w:iCs/>
          <w:szCs w:val="24"/>
          <w:lang w:val="es-ES" w:eastAsia="es-ES"/>
        </w:rPr>
        <w:t xml:space="preserve">La OMI la necesita para apoyar las prescripciones del </w:t>
      </w:r>
      <w:r w:rsidR="00C8557B" w:rsidRPr="00A7572D">
        <w:rPr>
          <w:iCs/>
          <w:szCs w:val="24"/>
          <w:lang w:val="es-ES" w:eastAsia="es-ES"/>
        </w:rPr>
        <w:t>Capítulo </w:t>
      </w:r>
      <w:r w:rsidRPr="00A7572D">
        <w:rPr>
          <w:iCs/>
          <w:szCs w:val="24"/>
          <w:lang w:val="es-ES" w:eastAsia="es-ES"/>
        </w:rPr>
        <w:t>IV del Convenio SOLAS, y la comunidad marítima en general también. Es probable que se siga necesitando en el futuro.</w:t>
      </w:r>
    </w:p>
    <w:p w14:paraId="5433D3AC" w14:textId="77777777" w:rsidR="00A24500" w:rsidRPr="00A7572D" w:rsidRDefault="00A24500" w:rsidP="007F0EB7">
      <w:pPr>
        <w:pStyle w:val="RecNo"/>
        <w:rPr>
          <w:lang w:val="es-ES"/>
        </w:rPr>
      </w:pPr>
      <w:r w:rsidRPr="00A7572D">
        <w:rPr>
          <w:lang w:val="es-ES"/>
        </w:rPr>
        <w:t>RECOMENDACIÓN UIT</w:t>
      </w:r>
      <w:r w:rsidRPr="00A7572D">
        <w:rPr>
          <w:lang w:val="es-ES"/>
        </w:rPr>
        <w:noBreakHyphen/>
        <w:t>R M.492</w:t>
      </w:r>
      <w:r w:rsidRPr="00A7572D">
        <w:rPr>
          <w:lang w:val="es-ES"/>
        </w:rPr>
        <w:noBreakHyphen/>
        <w:t>6</w:t>
      </w:r>
    </w:p>
    <w:p w14:paraId="00089073" w14:textId="77777777" w:rsidR="00A24500" w:rsidRPr="00A7572D" w:rsidRDefault="00A24500" w:rsidP="00E401FB">
      <w:pPr>
        <w:pStyle w:val="Rectitle"/>
        <w:rPr>
          <w:lang w:val="es-ES" w:eastAsia="es-ES"/>
        </w:rPr>
      </w:pPr>
      <w:r w:rsidRPr="00A7572D">
        <w:rPr>
          <w:lang w:val="es-ES" w:eastAsia="es-ES"/>
        </w:rPr>
        <w:t>Procedimientos de explotación para la utilización de equipos telegráficos de impresión directa en el servicio móvil marítimo</w:t>
      </w:r>
    </w:p>
    <w:p w14:paraId="639A3F1A" w14:textId="77777777" w:rsidR="00A24500" w:rsidRPr="00A7572D" w:rsidRDefault="00A24500" w:rsidP="00E401FB">
      <w:pPr>
        <w:pStyle w:val="Questionref"/>
        <w:rPr>
          <w:lang w:val="es-ES"/>
        </w:rPr>
      </w:pPr>
      <w:r w:rsidRPr="00A7572D">
        <w:rPr>
          <w:lang w:val="es-ES"/>
        </w:rPr>
        <w:t xml:space="preserve">(Cuestión </w:t>
      </w:r>
      <w:r w:rsidRPr="00A7572D">
        <w:rPr>
          <w:caps/>
          <w:lang w:val="es-ES"/>
        </w:rPr>
        <w:t>UIT</w:t>
      </w:r>
      <w:r w:rsidRPr="00A7572D">
        <w:rPr>
          <w:caps/>
          <w:lang w:val="es-ES"/>
        </w:rPr>
        <w:noBreakHyphen/>
        <w:t xml:space="preserve">R </w:t>
      </w:r>
      <w:r w:rsidRPr="00A7572D">
        <w:rPr>
          <w:lang w:val="es-ES"/>
        </w:rPr>
        <w:t>5/8)</w:t>
      </w:r>
    </w:p>
    <w:p w14:paraId="04956DC5" w14:textId="77777777" w:rsidR="00A24500" w:rsidRPr="00A7572D" w:rsidRDefault="00A24500" w:rsidP="007F0EB7">
      <w:pPr>
        <w:pStyle w:val="Recdate"/>
        <w:rPr>
          <w:lang w:val="es-ES"/>
        </w:rPr>
      </w:pPr>
      <w:r w:rsidRPr="00A7572D">
        <w:rPr>
          <w:lang w:val="es-ES"/>
        </w:rPr>
        <w:t>(1974-1978-1982-1986-1990-1992-1995)</w:t>
      </w:r>
    </w:p>
    <w:p w14:paraId="7A22B320" w14:textId="2F82ACC6" w:rsidR="00A24500" w:rsidRPr="00A7572D" w:rsidRDefault="00A24500" w:rsidP="007F0EB7">
      <w:pPr>
        <w:pStyle w:val="Normalaftertitle"/>
        <w:rPr>
          <w:szCs w:val="24"/>
          <w:lang w:val="es-ES"/>
        </w:rPr>
      </w:pPr>
      <w:r w:rsidRPr="00A7572D">
        <w:rPr>
          <w:iCs/>
          <w:szCs w:val="24"/>
          <w:lang w:val="es-ES" w:eastAsia="es-ES"/>
        </w:rPr>
        <w:t xml:space="preserve">En la actualidad la OMI la necesita para apoyar la prescripción del </w:t>
      </w:r>
      <w:r w:rsidR="00C8557B" w:rsidRPr="00A7572D">
        <w:rPr>
          <w:iCs/>
          <w:szCs w:val="24"/>
          <w:lang w:val="es-ES" w:eastAsia="es-ES"/>
        </w:rPr>
        <w:t>Capítulo </w:t>
      </w:r>
      <w:r w:rsidRPr="00A7572D">
        <w:rPr>
          <w:iCs/>
          <w:szCs w:val="24"/>
          <w:lang w:val="es-ES" w:eastAsia="es-ES"/>
        </w:rPr>
        <w:t xml:space="preserve">IV del Convenio </w:t>
      </w:r>
      <w:r w:rsidRPr="00A7572D">
        <w:rPr>
          <w:szCs w:val="24"/>
          <w:lang w:val="es-ES" w:eastAsia="es-ES"/>
        </w:rPr>
        <w:t>SOLAS, aunque el sistema se utiliza muy poco</w:t>
      </w:r>
      <w:r w:rsidRPr="00A7572D">
        <w:rPr>
          <w:szCs w:val="24"/>
          <w:lang w:val="es-ES"/>
        </w:rPr>
        <w:t>.</w:t>
      </w:r>
    </w:p>
    <w:p w14:paraId="223F8264" w14:textId="77777777" w:rsidR="00A24500" w:rsidRPr="00A7572D" w:rsidRDefault="00A24500" w:rsidP="007F0EB7">
      <w:pPr>
        <w:pStyle w:val="RecNo"/>
        <w:rPr>
          <w:lang w:val="es-ES"/>
        </w:rPr>
      </w:pPr>
      <w:r w:rsidRPr="00A7572D">
        <w:rPr>
          <w:lang w:val="es-ES"/>
        </w:rPr>
        <w:t>RECOMENDACIÓN UIT</w:t>
      </w:r>
      <w:r w:rsidRPr="00A7572D">
        <w:rPr>
          <w:lang w:val="es-ES"/>
        </w:rPr>
        <w:noBreakHyphen/>
        <w:t>R M.541</w:t>
      </w:r>
      <w:r w:rsidRPr="00A7572D">
        <w:rPr>
          <w:lang w:val="es-ES"/>
        </w:rPr>
        <w:noBreakHyphen/>
        <w:t>10</w:t>
      </w:r>
    </w:p>
    <w:p w14:paraId="559DEEE9" w14:textId="77777777" w:rsidR="00A24500" w:rsidRPr="00A7572D" w:rsidRDefault="00A24500" w:rsidP="00E401FB">
      <w:pPr>
        <w:pStyle w:val="Rectitle"/>
        <w:rPr>
          <w:lang w:val="es-ES" w:eastAsia="es-ES"/>
        </w:rPr>
      </w:pPr>
      <w:r w:rsidRPr="00A7572D">
        <w:rPr>
          <w:lang w:val="es-ES" w:eastAsia="es-ES"/>
        </w:rPr>
        <w:t>Procedimientos operacionales para la utilización de equipos de llamada selectiva digital en el servicio móvil marítimo</w:t>
      </w:r>
    </w:p>
    <w:p w14:paraId="26E34E1E" w14:textId="77777777" w:rsidR="00A24500" w:rsidRPr="00A7572D" w:rsidRDefault="00A24500" w:rsidP="00E401FB">
      <w:pPr>
        <w:pStyle w:val="Questionref"/>
        <w:rPr>
          <w:lang w:val="es-ES"/>
        </w:rPr>
      </w:pPr>
      <w:r w:rsidRPr="00A7572D">
        <w:rPr>
          <w:lang w:val="es-ES"/>
        </w:rPr>
        <w:t>(Cuestión UIT</w:t>
      </w:r>
      <w:r w:rsidRPr="00A7572D">
        <w:rPr>
          <w:lang w:val="es-ES"/>
        </w:rPr>
        <w:noBreakHyphen/>
        <w:t>R 9/8)</w:t>
      </w:r>
    </w:p>
    <w:p w14:paraId="0AFF6397" w14:textId="77777777" w:rsidR="00A24500" w:rsidRPr="00A7572D" w:rsidRDefault="00A24500" w:rsidP="007F0EB7">
      <w:pPr>
        <w:pStyle w:val="Recdate"/>
        <w:rPr>
          <w:lang w:val="es-ES"/>
        </w:rPr>
      </w:pPr>
      <w:r w:rsidRPr="00A7572D">
        <w:rPr>
          <w:lang w:val="es-ES"/>
        </w:rPr>
        <w:t>(1978-1982-1986-1990-1992-1994-1995-1996-1997-2004-2015)</w:t>
      </w:r>
    </w:p>
    <w:p w14:paraId="427E3C7B" w14:textId="77777777" w:rsidR="00A24500" w:rsidRPr="00A7572D" w:rsidRDefault="00A24500" w:rsidP="007F0EB7">
      <w:pPr>
        <w:pStyle w:val="Normalaftertitle"/>
        <w:rPr>
          <w:iCs/>
          <w:szCs w:val="24"/>
          <w:lang w:val="es-ES" w:eastAsia="es-ES"/>
        </w:rPr>
      </w:pPr>
      <w:r w:rsidRPr="00A7572D">
        <w:rPr>
          <w:iCs/>
          <w:szCs w:val="24"/>
          <w:lang w:val="es-ES" w:eastAsia="es-ES"/>
        </w:rPr>
        <w:t>La OMI necesita esta recomendación y es probable que se siga necesitando en el futuro.</w:t>
      </w:r>
    </w:p>
    <w:p w14:paraId="447D8E07" w14:textId="77777777" w:rsidR="00A24500" w:rsidRPr="00A7572D" w:rsidRDefault="00A24500" w:rsidP="007F0EB7">
      <w:pPr>
        <w:pStyle w:val="RecNo"/>
        <w:rPr>
          <w:lang w:val="es-ES"/>
        </w:rPr>
      </w:pPr>
      <w:r w:rsidRPr="00A7572D">
        <w:rPr>
          <w:lang w:val="es-ES"/>
        </w:rPr>
        <w:lastRenderedPageBreak/>
        <w:t>RECOMENDACIÓN uit</w:t>
      </w:r>
      <w:r w:rsidRPr="00A7572D">
        <w:rPr>
          <w:lang w:val="es-ES"/>
        </w:rPr>
        <w:noBreakHyphen/>
        <w:t>R M.585</w:t>
      </w:r>
      <w:r w:rsidRPr="00A7572D">
        <w:rPr>
          <w:lang w:val="es-ES"/>
        </w:rPr>
        <w:noBreakHyphen/>
        <w:t>7</w:t>
      </w:r>
    </w:p>
    <w:p w14:paraId="6B547AA6" w14:textId="77777777" w:rsidR="00A24500" w:rsidRPr="00A7572D" w:rsidRDefault="00A24500" w:rsidP="00E401FB">
      <w:pPr>
        <w:pStyle w:val="Rectitle"/>
        <w:rPr>
          <w:lang w:val="es-ES" w:eastAsia="es-ES"/>
        </w:rPr>
      </w:pPr>
      <w:r w:rsidRPr="00A7572D">
        <w:rPr>
          <w:lang w:val="es-ES" w:eastAsia="es-ES"/>
        </w:rPr>
        <w:t>Asignación y utilización de las identidades del servicio móvil marítimo</w:t>
      </w:r>
    </w:p>
    <w:p w14:paraId="3DC556CA" w14:textId="77777777" w:rsidR="00A24500" w:rsidRPr="00A7572D" w:rsidRDefault="00A24500" w:rsidP="007F0EB7">
      <w:pPr>
        <w:pStyle w:val="Recdate"/>
        <w:rPr>
          <w:lang w:val="es-ES"/>
        </w:rPr>
      </w:pPr>
      <w:r w:rsidRPr="00A7572D">
        <w:rPr>
          <w:lang w:val="es-ES"/>
        </w:rPr>
        <w:t>(1982-1986-1990-2003-2007-2009-2012-2015)</w:t>
      </w:r>
    </w:p>
    <w:p w14:paraId="38752026" w14:textId="77777777" w:rsidR="00A24500" w:rsidRPr="00A7572D" w:rsidRDefault="00A24500" w:rsidP="007F0EB7">
      <w:pPr>
        <w:pStyle w:val="Normalaftertitle"/>
        <w:rPr>
          <w:rFonts w:eastAsia="SimSun"/>
          <w:szCs w:val="24"/>
          <w:lang w:val="es-ES" w:eastAsia="es-ES"/>
        </w:rPr>
      </w:pPr>
      <w:r w:rsidRPr="00A7572D">
        <w:rPr>
          <w:szCs w:val="24"/>
          <w:lang w:val="es-ES"/>
        </w:rPr>
        <w:t xml:space="preserve">La comunidad marítima la requiere </w:t>
      </w:r>
      <w:r w:rsidRPr="00A7572D">
        <w:rPr>
          <w:rFonts w:eastAsia="SimSun"/>
          <w:szCs w:val="24"/>
          <w:lang w:val="es-ES" w:eastAsia="es-ES"/>
        </w:rPr>
        <w:t>y resulta útil para la OMI.</w:t>
      </w:r>
    </w:p>
    <w:p w14:paraId="5F64BBBD" w14:textId="77777777" w:rsidR="00A24500" w:rsidRPr="00A7572D" w:rsidRDefault="00A24500" w:rsidP="007F0EB7">
      <w:pPr>
        <w:pStyle w:val="RecNo"/>
        <w:rPr>
          <w:lang w:val="es-ES"/>
        </w:rPr>
      </w:pPr>
      <w:r w:rsidRPr="00A7572D">
        <w:rPr>
          <w:lang w:val="es-ES"/>
        </w:rPr>
        <w:t>RECOMENDACIÓN uit</w:t>
      </w:r>
      <w:r w:rsidRPr="00A7572D">
        <w:rPr>
          <w:lang w:val="es-ES"/>
        </w:rPr>
        <w:noBreakHyphen/>
        <w:t>R M.625</w:t>
      </w:r>
      <w:r w:rsidRPr="00A7572D">
        <w:rPr>
          <w:lang w:val="es-ES"/>
        </w:rPr>
        <w:noBreakHyphen/>
        <w:t>4</w:t>
      </w:r>
    </w:p>
    <w:p w14:paraId="62691386" w14:textId="77777777" w:rsidR="00A24500" w:rsidRPr="00A7572D" w:rsidRDefault="00A24500" w:rsidP="00E401FB">
      <w:pPr>
        <w:pStyle w:val="Rectitle"/>
        <w:rPr>
          <w:lang w:val="es-ES" w:eastAsia="es-ES"/>
        </w:rPr>
      </w:pPr>
      <w:r w:rsidRPr="00A7572D">
        <w:rPr>
          <w:lang w:val="es-ES" w:eastAsia="es-ES"/>
        </w:rPr>
        <w:t>Equipos telegráficos de impresión directa que emplean la identificación automática en el servicio móvil marítimo</w:t>
      </w:r>
    </w:p>
    <w:p w14:paraId="636A0201" w14:textId="77777777" w:rsidR="00A24500" w:rsidRPr="00A7572D" w:rsidRDefault="00A24500" w:rsidP="007F0EB7">
      <w:pPr>
        <w:pStyle w:val="Recdate"/>
        <w:rPr>
          <w:lang w:val="es-ES"/>
        </w:rPr>
      </w:pPr>
      <w:r w:rsidRPr="00A7572D">
        <w:rPr>
          <w:lang w:val="es-ES"/>
        </w:rPr>
        <w:t>(1986-1990-1992-1995-2012)</w:t>
      </w:r>
    </w:p>
    <w:p w14:paraId="3065C1D1" w14:textId="638B18C3" w:rsidR="00A24500" w:rsidRPr="00A7572D" w:rsidRDefault="00A24500" w:rsidP="007F0EB7">
      <w:pPr>
        <w:pStyle w:val="Normalaftertitle"/>
        <w:rPr>
          <w:iCs/>
          <w:szCs w:val="24"/>
          <w:lang w:val="es-ES" w:eastAsia="es-ES"/>
        </w:rPr>
      </w:pPr>
      <w:r w:rsidRPr="00A7572D">
        <w:rPr>
          <w:iCs/>
          <w:szCs w:val="24"/>
          <w:lang w:val="es-ES" w:eastAsia="es-ES"/>
        </w:rPr>
        <w:t xml:space="preserve">En la actualidad la OMI la necesita para apoyar la prescripción del </w:t>
      </w:r>
      <w:r w:rsidR="00C8557B" w:rsidRPr="00A7572D">
        <w:rPr>
          <w:iCs/>
          <w:szCs w:val="24"/>
          <w:lang w:val="es-ES" w:eastAsia="es-ES"/>
        </w:rPr>
        <w:t>Capítulo </w:t>
      </w:r>
      <w:r w:rsidRPr="00A7572D">
        <w:rPr>
          <w:iCs/>
          <w:szCs w:val="24"/>
          <w:lang w:val="es-ES" w:eastAsia="es-ES"/>
        </w:rPr>
        <w:t>IV del Convenio SOLAS relacionada con el equipo de IDBE que ha de llevarse a bordo, aunque este sistema se utiliza poco.</w:t>
      </w:r>
    </w:p>
    <w:p w14:paraId="25F0E4C6" w14:textId="77777777" w:rsidR="00A24500" w:rsidRPr="00A7572D" w:rsidRDefault="00A24500" w:rsidP="007F0EB7">
      <w:pPr>
        <w:pStyle w:val="RecNo"/>
        <w:rPr>
          <w:lang w:val="es-ES"/>
        </w:rPr>
      </w:pPr>
      <w:r w:rsidRPr="00A7572D">
        <w:rPr>
          <w:lang w:val="es-ES"/>
        </w:rPr>
        <w:t>RECOMENDACIÓN UIT</w:t>
      </w:r>
      <w:r w:rsidRPr="00A7572D">
        <w:rPr>
          <w:lang w:val="es-ES"/>
        </w:rPr>
        <w:noBreakHyphen/>
        <w:t>R M.633</w:t>
      </w:r>
      <w:r w:rsidRPr="00A7572D">
        <w:rPr>
          <w:lang w:val="es-ES"/>
        </w:rPr>
        <w:noBreakHyphen/>
        <w:t>4</w:t>
      </w:r>
    </w:p>
    <w:p w14:paraId="0713F4C7" w14:textId="77777777" w:rsidR="00A24500" w:rsidRPr="00A7572D" w:rsidRDefault="00A24500" w:rsidP="00E401FB">
      <w:pPr>
        <w:pStyle w:val="Rectitle"/>
        <w:rPr>
          <w:lang w:val="es-ES" w:eastAsia="es-ES"/>
        </w:rPr>
      </w:pPr>
      <w:r w:rsidRPr="00A7572D">
        <w:rPr>
          <w:lang w:val="es-ES" w:eastAsia="es-ES"/>
        </w:rPr>
        <w:t>Características de transmisión de un sistema de radiobalizas de localización de siniestros por satélite (RLS por satélite) que utiliza un sistema de satélites en la banda de 406 MHz</w:t>
      </w:r>
    </w:p>
    <w:p w14:paraId="1F9C3711" w14:textId="77777777" w:rsidR="00A24500" w:rsidRPr="00A7572D" w:rsidRDefault="00A24500" w:rsidP="007F0EB7">
      <w:pPr>
        <w:pStyle w:val="Recdate"/>
        <w:rPr>
          <w:lang w:val="es-ES"/>
        </w:rPr>
      </w:pPr>
      <w:r w:rsidRPr="00A7572D">
        <w:rPr>
          <w:lang w:val="es-ES"/>
        </w:rPr>
        <w:t>(1986-1990-2000-2004-2010)</w:t>
      </w:r>
    </w:p>
    <w:p w14:paraId="66457C8E" w14:textId="77777777" w:rsidR="00A24500" w:rsidRPr="00A7572D" w:rsidRDefault="00A24500" w:rsidP="007F0EB7">
      <w:pPr>
        <w:pStyle w:val="Normalaftertitle"/>
        <w:rPr>
          <w:szCs w:val="24"/>
          <w:lang w:val="es-ES"/>
        </w:rPr>
      </w:pPr>
      <w:r w:rsidRPr="00A7572D">
        <w:rPr>
          <w:szCs w:val="24"/>
          <w:lang w:val="es-ES"/>
        </w:rPr>
        <w:t>La OMI la utiliza para apoyar las normas de funcionamiento de las RLS.</w:t>
      </w:r>
    </w:p>
    <w:p w14:paraId="2A09C0A5" w14:textId="77777777" w:rsidR="00A24500" w:rsidRPr="00A7572D" w:rsidRDefault="00A24500" w:rsidP="007F0EB7">
      <w:pPr>
        <w:pStyle w:val="RecNo"/>
        <w:rPr>
          <w:lang w:val="es-ES"/>
        </w:rPr>
      </w:pPr>
      <w:r w:rsidRPr="00A7572D">
        <w:rPr>
          <w:lang w:val="es-ES"/>
        </w:rPr>
        <w:t>RECOMENDACIÓN uit</w:t>
      </w:r>
      <w:r w:rsidRPr="00A7572D">
        <w:rPr>
          <w:lang w:val="es-ES"/>
        </w:rPr>
        <w:noBreakHyphen/>
        <w:t>R M.690</w:t>
      </w:r>
      <w:r w:rsidRPr="00A7572D">
        <w:rPr>
          <w:lang w:val="es-ES"/>
        </w:rPr>
        <w:noBreakHyphen/>
        <w:t>3</w:t>
      </w:r>
    </w:p>
    <w:p w14:paraId="7B146A7D" w14:textId="77777777" w:rsidR="00A24500" w:rsidRPr="00A7572D" w:rsidRDefault="00A24500" w:rsidP="00E401FB">
      <w:pPr>
        <w:pStyle w:val="Rectitle"/>
        <w:rPr>
          <w:lang w:val="es-ES" w:eastAsia="es-ES"/>
        </w:rPr>
      </w:pPr>
      <w:r w:rsidRPr="00A7572D">
        <w:rPr>
          <w:lang w:val="es-ES" w:eastAsia="es-ES"/>
        </w:rPr>
        <w:t>Características técnicas de las radiobalizas de localización de siniestros (RLS) que funcionan con frecuencias portadoras de 121,5 MHz y 243 MHz</w:t>
      </w:r>
    </w:p>
    <w:p w14:paraId="73A8A4F5" w14:textId="77777777" w:rsidR="00A24500" w:rsidRPr="00A7572D" w:rsidRDefault="00A24500" w:rsidP="007F0EB7">
      <w:pPr>
        <w:pStyle w:val="Recdate"/>
        <w:rPr>
          <w:lang w:val="es-ES"/>
        </w:rPr>
      </w:pPr>
      <w:r w:rsidRPr="00A7572D">
        <w:rPr>
          <w:lang w:val="es-ES"/>
        </w:rPr>
        <w:t>(1990-1995-2012-2015)</w:t>
      </w:r>
    </w:p>
    <w:p w14:paraId="06474A8F" w14:textId="7D563559" w:rsidR="00A24500" w:rsidRPr="00A7572D" w:rsidRDefault="00A24500" w:rsidP="007F0EB7">
      <w:pPr>
        <w:pStyle w:val="Normalaftertitle"/>
        <w:rPr>
          <w:szCs w:val="24"/>
          <w:lang w:val="es-ES" w:eastAsia="es-ES"/>
        </w:rPr>
      </w:pPr>
      <w:r w:rsidRPr="00A7572D">
        <w:rPr>
          <w:iCs/>
          <w:szCs w:val="24"/>
          <w:lang w:val="es-ES" w:eastAsia="es-ES"/>
        </w:rPr>
        <w:t xml:space="preserve">La OMI la necesita para definir las características de la señal de radiorrecalada para la RLS por satélite prescrita en el </w:t>
      </w:r>
      <w:r w:rsidR="00C8557B" w:rsidRPr="00A7572D">
        <w:rPr>
          <w:iCs/>
          <w:szCs w:val="24"/>
          <w:lang w:val="es-ES" w:eastAsia="es-ES"/>
        </w:rPr>
        <w:t>Capítulo </w:t>
      </w:r>
      <w:r w:rsidRPr="00A7572D">
        <w:rPr>
          <w:iCs/>
          <w:szCs w:val="24"/>
          <w:lang w:val="es-ES" w:eastAsia="es-ES"/>
        </w:rPr>
        <w:t xml:space="preserve">IV del Convenio SOLAS. Es probable que la comunidad </w:t>
      </w:r>
      <w:r w:rsidRPr="00A7572D">
        <w:rPr>
          <w:szCs w:val="24"/>
          <w:lang w:val="es-ES" w:eastAsia="es-ES"/>
        </w:rPr>
        <w:t>marítima la siga utilizando durante cierto tiempo para las RLS y los dispositivos de hombre al agua.</w:t>
      </w:r>
    </w:p>
    <w:p w14:paraId="4CDEDFF3" w14:textId="77777777" w:rsidR="00A24500" w:rsidRPr="00A7572D" w:rsidRDefault="00A24500" w:rsidP="007F0EB7">
      <w:pPr>
        <w:pStyle w:val="RecNo"/>
        <w:rPr>
          <w:lang w:val="es-ES"/>
        </w:rPr>
      </w:pPr>
      <w:r w:rsidRPr="00A7572D">
        <w:rPr>
          <w:lang w:val="es-ES"/>
        </w:rPr>
        <w:t>RECOMENDACIÓN uit</w:t>
      </w:r>
      <w:r w:rsidRPr="00A7572D">
        <w:rPr>
          <w:lang w:val="es-ES"/>
        </w:rPr>
        <w:noBreakHyphen/>
        <w:t>R M.1084</w:t>
      </w:r>
      <w:r w:rsidRPr="00A7572D">
        <w:rPr>
          <w:lang w:val="es-ES"/>
        </w:rPr>
        <w:noBreakHyphen/>
        <w:t>5</w:t>
      </w:r>
    </w:p>
    <w:p w14:paraId="14E841F7" w14:textId="2E5CBF1C" w:rsidR="00A24500" w:rsidRPr="00A7572D" w:rsidRDefault="00A24500" w:rsidP="00E401FB">
      <w:pPr>
        <w:pStyle w:val="Rectitle"/>
        <w:rPr>
          <w:lang w:val="es-ES" w:eastAsia="es-ES"/>
        </w:rPr>
      </w:pPr>
      <w:r w:rsidRPr="00A7572D">
        <w:rPr>
          <w:lang w:val="es-ES" w:eastAsia="es-ES"/>
        </w:rPr>
        <w:t>Soluciones provisionales para utilización más eficaz de la banda</w:t>
      </w:r>
      <w:r w:rsidR="00E401FB" w:rsidRPr="00A7572D">
        <w:rPr>
          <w:lang w:val="es-ES" w:eastAsia="es-ES"/>
        </w:rPr>
        <w:br/>
      </w:r>
      <w:r w:rsidRPr="00A7572D">
        <w:rPr>
          <w:lang w:val="es-ES" w:eastAsia="es-ES"/>
        </w:rPr>
        <w:t>156</w:t>
      </w:r>
      <w:r w:rsidRPr="00A7572D">
        <w:rPr>
          <w:lang w:val="es-ES" w:eastAsia="es-ES"/>
        </w:rPr>
        <w:noBreakHyphen/>
        <w:t>174 MHz por las estaciones del servicio móvil marítimo</w:t>
      </w:r>
    </w:p>
    <w:p w14:paraId="11340341" w14:textId="77777777" w:rsidR="00A24500" w:rsidRPr="00A7572D" w:rsidRDefault="00A24500" w:rsidP="007F0EB7">
      <w:pPr>
        <w:pStyle w:val="Recdate"/>
        <w:rPr>
          <w:lang w:val="es-ES"/>
        </w:rPr>
      </w:pPr>
      <w:r w:rsidRPr="00A7572D">
        <w:rPr>
          <w:lang w:val="es-ES"/>
        </w:rPr>
        <w:t>(1994-1995-1997-1998-2001-2012)</w:t>
      </w:r>
    </w:p>
    <w:p w14:paraId="6DB6F8C1" w14:textId="77777777" w:rsidR="00A24500" w:rsidRPr="00A7572D" w:rsidRDefault="00A24500" w:rsidP="007F0EB7">
      <w:pPr>
        <w:pStyle w:val="Normalaftertitle"/>
        <w:rPr>
          <w:szCs w:val="24"/>
          <w:lang w:val="es-ES"/>
        </w:rPr>
      </w:pPr>
      <w:r w:rsidRPr="00A7572D">
        <w:rPr>
          <w:szCs w:val="24"/>
          <w:lang w:val="es-ES"/>
        </w:rPr>
        <w:t>La OMI la utiliza para describir los canales de ondas métricas.</w:t>
      </w:r>
    </w:p>
    <w:p w14:paraId="74028A69" w14:textId="77777777" w:rsidR="00A24500" w:rsidRPr="00A7572D" w:rsidRDefault="00A24500" w:rsidP="007F0EB7">
      <w:pPr>
        <w:pStyle w:val="RecNo"/>
        <w:rPr>
          <w:lang w:val="es-ES"/>
        </w:rPr>
      </w:pPr>
      <w:r w:rsidRPr="00A7572D">
        <w:rPr>
          <w:lang w:val="es-ES"/>
        </w:rPr>
        <w:lastRenderedPageBreak/>
        <w:t>RECOMENDACIÓN UIT</w:t>
      </w:r>
      <w:r w:rsidRPr="00A7572D">
        <w:rPr>
          <w:lang w:val="es-ES"/>
        </w:rPr>
        <w:noBreakHyphen/>
        <w:t>R M.1171</w:t>
      </w:r>
      <w:r w:rsidRPr="00A7572D">
        <w:rPr>
          <w:lang w:val="es-ES"/>
        </w:rPr>
        <w:noBreakHyphen/>
        <w:t>0</w:t>
      </w:r>
    </w:p>
    <w:p w14:paraId="20679B4A" w14:textId="77777777" w:rsidR="00A24500" w:rsidRPr="00A7572D" w:rsidRDefault="00A24500" w:rsidP="00E401FB">
      <w:pPr>
        <w:pStyle w:val="Rectitle"/>
        <w:rPr>
          <w:lang w:val="es-ES" w:eastAsia="es-ES"/>
        </w:rPr>
      </w:pPr>
      <w:r w:rsidRPr="00A7572D">
        <w:rPr>
          <w:lang w:val="es-ES" w:eastAsia="es-ES"/>
        </w:rPr>
        <w:t>Procedimientos de radiotelefonía en el servicio móvil marítimo</w:t>
      </w:r>
    </w:p>
    <w:p w14:paraId="1359985B" w14:textId="77777777" w:rsidR="00A24500" w:rsidRPr="00A7572D" w:rsidRDefault="00A24500" w:rsidP="007F0EB7">
      <w:pPr>
        <w:pStyle w:val="Recdate"/>
        <w:rPr>
          <w:lang w:val="es-ES"/>
        </w:rPr>
      </w:pPr>
      <w:r w:rsidRPr="00A7572D">
        <w:rPr>
          <w:lang w:val="es-ES"/>
        </w:rPr>
        <w:t>(1995)</w:t>
      </w:r>
    </w:p>
    <w:p w14:paraId="1EFDA1CB" w14:textId="77777777" w:rsidR="00A24500" w:rsidRPr="00A7572D" w:rsidRDefault="00A24500" w:rsidP="007F0EB7">
      <w:pPr>
        <w:pStyle w:val="Normalaftertitle"/>
        <w:rPr>
          <w:szCs w:val="24"/>
          <w:lang w:val="es-ES"/>
        </w:rPr>
      </w:pPr>
      <w:r w:rsidRPr="00A7572D">
        <w:rPr>
          <w:iCs/>
          <w:szCs w:val="24"/>
          <w:lang w:val="es-ES" w:eastAsia="es-ES"/>
        </w:rPr>
        <w:t>La OMI y la comunidad marítima la requerirán mientras las estaciones costeras ofrezcan un servicio público de correspondencia. No obstante, el número de estas estaciones costeras va en descenso.</w:t>
      </w:r>
    </w:p>
    <w:p w14:paraId="14C183BA" w14:textId="77777777" w:rsidR="00A24500" w:rsidRPr="00A7572D" w:rsidRDefault="00A24500" w:rsidP="007F0EB7">
      <w:pPr>
        <w:pStyle w:val="RecNo"/>
        <w:rPr>
          <w:lang w:val="es-ES"/>
        </w:rPr>
      </w:pPr>
      <w:r w:rsidRPr="00A7572D">
        <w:rPr>
          <w:lang w:val="es-ES"/>
        </w:rPr>
        <w:t>RECOMENDACIÓN UIT</w:t>
      </w:r>
      <w:r w:rsidRPr="00A7572D">
        <w:rPr>
          <w:lang w:val="es-ES"/>
        </w:rPr>
        <w:noBreakHyphen/>
        <w:t>R M.1172</w:t>
      </w:r>
      <w:r w:rsidRPr="00A7572D">
        <w:rPr>
          <w:lang w:val="es-ES"/>
        </w:rPr>
        <w:noBreakHyphen/>
        <w:t>0</w:t>
      </w:r>
    </w:p>
    <w:p w14:paraId="65F72F04" w14:textId="77777777" w:rsidR="00A24500" w:rsidRPr="00A7572D" w:rsidRDefault="00A24500" w:rsidP="00E401FB">
      <w:pPr>
        <w:pStyle w:val="Rectitle"/>
        <w:rPr>
          <w:lang w:val="es-ES" w:eastAsia="es-ES"/>
        </w:rPr>
      </w:pPr>
      <w:r w:rsidRPr="00A7572D">
        <w:rPr>
          <w:lang w:val="es-ES" w:eastAsia="es-ES"/>
        </w:rPr>
        <w:t>Abreviaturas y señales diversas que habrán de utilizarse para las radiocomunicaciones en el servicio móvil marítimo</w:t>
      </w:r>
    </w:p>
    <w:p w14:paraId="0C5AD6D8" w14:textId="77777777" w:rsidR="00A24500" w:rsidRPr="00A7572D" w:rsidRDefault="00A24500" w:rsidP="007F0EB7">
      <w:pPr>
        <w:pStyle w:val="Recdate"/>
        <w:rPr>
          <w:lang w:val="es-ES"/>
        </w:rPr>
      </w:pPr>
      <w:r w:rsidRPr="00A7572D">
        <w:rPr>
          <w:lang w:val="es-ES"/>
        </w:rPr>
        <w:t>(1995)</w:t>
      </w:r>
    </w:p>
    <w:p w14:paraId="180D2C99" w14:textId="77777777" w:rsidR="00A24500" w:rsidRPr="00A7572D" w:rsidRDefault="00A24500" w:rsidP="007F0EB7">
      <w:pPr>
        <w:pStyle w:val="Normalaftertitle"/>
        <w:rPr>
          <w:szCs w:val="24"/>
          <w:lang w:val="es-ES"/>
        </w:rPr>
      </w:pPr>
      <w:r w:rsidRPr="00A7572D">
        <w:rPr>
          <w:szCs w:val="24"/>
          <w:lang w:val="es-ES"/>
        </w:rPr>
        <w:t>La comunidad marítima la requiere.</w:t>
      </w:r>
    </w:p>
    <w:p w14:paraId="328EA50B" w14:textId="77777777" w:rsidR="00A24500" w:rsidRPr="00A7572D" w:rsidRDefault="00A24500" w:rsidP="007F0EB7">
      <w:pPr>
        <w:pStyle w:val="RecNo"/>
        <w:rPr>
          <w:lang w:val="es-ES"/>
        </w:rPr>
      </w:pPr>
      <w:r w:rsidRPr="00A7572D">
        <w:rPr>
          <w:lang w:val="es-ES"/>
        </w:rPr>
        <w:t>RECOMENDACIÓN UIT</w:t>
      </w:r>
      <w:r w:rsidRPr="00A7572D">
        <w:rPr>
          <w:lang w:val="es-ES"/>
        </w:rPr>
        <w:noBreakHyphen/>
        <w:t>R M.1173</w:t>
      </w:r>
      <w:r w:rsidRPr="00A7572D">
        <w:rPr>
          <w:lang w:val="es-ES"/>
        </w:rPr>
        <w:noBreakHyphen/>
        <w:t>1</w:t>
      </w:r>
    </w:p>
    <w:p w14:paraId="301C15F2" w14:textId="77777777" w:rsidR="00A24500" w:rsidRPr="00A7572D" w:rsidRDefault="00A24500" w:rsidP="00E401FB">
      <w:pPr>
        <w:pStyle w:val="Rectitle"/>
        <w:rPr>
          <w:lang w:val="es-ES" w:eastAsia="es-ES"/>
        </w:rPr>
      </w:pPr>
      <w:r w:rsidRPr="00A7572D">
        <w:rPr>
          <w:lang w:val="es-ES" w:eastAsia="es-ES"/>
        </w:rPr>
        <w:t>Características técnicas de los transmisores de banda lateral única utilizados para la radiotelefonía en el servicio móvil marítimo, en las bandas comprendidas entre 1 606,5 kHz (1 605 kHz en la Región 2) y 4 000 kHz y entre 4 000 kHz y 27 500 kHz</w:t>
      </w:r>
    </w:p>
    <w:p w14:paraId="70F6F9A3" w14:textId="77777777" w:rsidR="00A24500" w:rsidRPr="00A7572D" w:rsidRDefault="00A24500" w:rsidP="007F0EB7">
      <w:pPr>
        <w:pStyle w:val="Recdate"/>
        <w:rPr>
          <w:lang w:val="es-ES"/>
        </w:rPr>
      </w:pPr>
      <w:r w:rsidRPr="00A7572D">
        <w:rPr>
          <w:lang w:val="es-ES"/>
        </w:rPr>
        <w:t>(1995-2012)</w:t>
      </w:r>
    </w:p>
    <w:p w14:paraId="5573CB1A" w14:textId="77777777" w:rsidR="00A24500" w:rsidRPr="00A7572D" w:rsidRDefault="00A24500" w:rsidP="007F0EB7">
      <w:pPr>
        <w:pStyle w:val="Normalaftertitle"/>
        <w:rPr>
          <w:iCs/>
          <w:szCs w:val="24"/>
          <w:lang w:val="es-ES" w:eastAsia="es-ES"/>
        </w:rPr>
      </w:pPr>
      <w:r w:rsidRPr="00A7572D">
        <w:rPr>
          <w:iCs/>
          <w:szCs w:val="24"/>
          <w:lang w:val="es-ES" w:eastAsia="es-ES"/>
        </w:rPr>
        <w:t>Tanto la OMI como la comunidad marítima la requieren, y es probable que así sea en el futuro.</w:t>
      </w:r>
    </w:p>
    <w:p w14:paraId="77281E7D" w14:textId="77777777" w:rsidR="00A24500" w:rsidRPr="00A7572D" w:rsidRDefault="00A24500" w:rsidP="007F0EB7">
      <w:pPr>
        <w:pStyle w:val="RecNo"/>
        <w:rPr>
          <w:lang w:val="es-ES"/>
        </w:rPr>
      </w:pPr>
      <w:r w:rsidRPr="00A7572D">
        <w:rPr>
          <w:lang w:val="es-ES"/>
        </w:rPr>
        <w:t>RECOMENDACIÓN UIT</w:t>
      </w:r>
      <w:r w:rsidRPr="00A7572D">
        <w:rPr>
          <w:lang w:val="es-ES"/>
        </w:rPr>
        <w:noBreakHyphen/>
        <w:t>R M.1174</w:t>
      </w:r>
      <w:r w:rsidRPr="00A7572D">
        <w:rPr>
          <w:lang w:val="es-ES"/>
        </w:rPr>
        <w:noBreakHyphen/>
        <w:t>3</w:t>
      </w:r>
    </w:p>
    <w:p w14:paraId="39AE3A3C" w14:textId="77777777" w:rsidR="00A24500" w:rsidRPr="00A7572D" w:rsidRDefault="00A24500" w:rsidP="00E401FB">
      <w:pPr>
        <w:pStyle w:val="Rectitle"/>
        <w:rPr>
          <w:lang w:val="es-ES" w:eastAsia="es-ES"/>
        </w:rPr>
      </w:pPr>
      <w:r w:rsidRPr="00A7572D">
        <w:rPr>
          <w:lang w:val="es-ES" w:eastAsia="es-ES"/>
        </w:rPr>
        <w:t>Características técnicas de los equipos utilizados para las comunicaciones a bordo de barcos en las bandas comprendidas entre 450 y 470 MHz</w:t>
      </w:r>
    </w:p>
    <w:p w14:paraId="5F291491" w14:textId="77777777" w:rsidR="00A24500" w:rsidRPr="00A7572D" w:rsidRDefault="00A24500" w:rsidP="007F0EB7">
      <w:pPr>
        <w:pStyle w:val="Recdate"/>
        <w:rPr>
          <w:lang w:val="es-ES"/>
        </w:rPr>
      </w:pPr>
      <w:r w:rsidRPr="00A7572D">
        <w:rPr>
          <w:lang w:val="es-ES"/>
        </w:rPr>
        <w:t>(1995-1998-2004-2015)</w:t>
      </w:r>
    </w:p>
    <w:p w14:paraId="148C9980" w14:textId="77777777" w:rsidR="00A24500" w:rsidRPr="00A7572D" w:rsidRDefault="00A24500" w:rsidP="007F0EB7">
      <w:pPr>
        <w:pStyle w:val="Normalaftertitle"/>
        <w:rPr>
          <w:szCs w:val="24"/>
          <w:lang w:val="es-ES"/>
        </w:rPr>
      </w:pPr>
      <w:r w:rsidRPr="00A7572D">
        <w:rPr>
          <w:szCs w:val="24"/>
          <w:lang w:val="es-ES"/>
        </w:rPr>
        <w:t xml:space="preserve">La comunidad marítima la requiere </w:t>
      </w:r>
      <w:r w:rsidRPr="00A7572D">
        <w:rPr>
          <w:rFonts w:eastAsia="SimSun"/>
          <w:szCs w:val="24"/>
          <w:lang w:val="es-ES" w:eastAsia="es-ES"/>
        </w:rPr>
        <w:t>y resulta útil para la OMI</w:t>
      </w:r>
      <w:r w:rsidRPr="00A7572D">
        <w:rPr>
          <w:szCs w:val="24"/>
          <w:lang w:val="es-ES"/>
        </w:rPr>
        <w:t xml:space="preserve">. </w:t>
      </w:r>
    </w:p>
    <w:p w14:paraId="49A28E2E" w14:textId="77777777" w:rsidR="00A24500" w:rsidRPr="00A7572D" w:rsidRDefault="00A24500" w:rsidP="00E401FB">
      <w:pPr>
        <w:pStyle w:val="RecNo"/>
        <w:rPr>
          <w:lang w:val="es-ES"/>
        </w:rPr>
      </w:pPr>
      <w:r w:rsidRPr="00A7572D">
        <w:rPr>
          <w:lang w:val="es-ES"/>
        </w:rPr>
        <w:lastRenderedPageBreak/>
        <w:t>RECOMENDACIÓN UIT</w:t>
      </w:r>
      <w:r w:rsidRPr="00A7572D">
        <w:rPr>
          <w:lang w:val="es-ES"/>
        </w:rPr>
        <w:noBreakHyphen/>
        <w:t>R M.1638</w:t>
      </w:r>
      <w:r w:rsidRPr="00A7572D">
        <w:rPr>
          <w:lang w:val="es-ES"/>
        </w:rPr>
        <w:noBreakHyphen/>
        <w:t>0</w:t>
      </w:r>
    </w:p>
    <w:p w14:paraId="23CE8459" w14:textId="30F04E04" w:rsidR="00A24500" w:rsidRPr="00A7572D" w:rsidRDefault="00A24500" w:rsidP="00E401FB">
      <w:pPr>
        <w:pStyle w:val="Rectitle"/>
        <w:rPr>
          <w:lang w:val="es-ES" w:eastAsia="es-ES"/>
        </w:rPr>
      </w:pPr>
      <w:r w:rsidRPr="00A7572D">
        <w:rPr>
          <w:lang w:val="es-ES" w:eastAsia="es-ES"/>
        </w:rPr>
        <w:t>Características y criterios de protección de los estudios sobre el uso compartido de bandas de los radares de radiolocalización,</w:t>
      </w:r>
      <w:r w:rsidR="00E401FB" w:rsidRPr="00A7572D">
        <w:rPr>
          <w:lang w:val="es-ES" w:eastAsia="es-ES"/>
        </w:rPr>
        <w:br/>
      </w:r>
      <w:r w:rsidRPr="00A7572D">
        <w:rPr>
          <w:lang w:val="es-ES" w:eastAsia="es-ES"/>
        </w:rPr>
        <w:t>radionavegación aeronáutica y meteorológicos que funcionan</w:t>
      </w:r>
      <w:r w:rsidR="00E401FB" w:rsidRPr="00A7572D">
        <w:rPr>
          <w:lang w:val="es-ES" w:eastAsia="es-ES"/>
        </w:rPr>
        <w:br/>
      </w:r>
      <w:r w:rsidRPr="00A7572D">
        <w:rPr>
          <w:lang w:val="es-ES" w:eastAsia="es-ES"/>
        </w:rPr>
        <w:t>en las bandas de frecuencia entre 5 250 y 5 850 MHz</w:t>
      </w:r>
    </w:p>
    <w:p w14:paraId="62823502" w14:textId="77777777" w:rsidR="00A24500" w:rsidRPr="00A7572D" w:rsidRDefault="00A24500" w:rsidP="007F0EB7">
      <w:pPr>
        <w:pStyle w:val="Recdate"/>
        <w:rPr>
          <w:lang w:val="es-ES"/>
        </w:rPr>
      </w:pPr>
      <w:r w:rsidRPr="00A7572D">
        <w:rPr>
          <w:lang w:val="es-ES"/>
        </w:rPr>
        <w:t>(2003)</w:t>
      </w:r>
    </w:p>
    <w:p w14:paraId="66B639AC" w14:textId="77777777" w:rsidR="00A24500" w:rsidRPr="00A7572D" w:rsidRDefault="00A24500" w:rsidP="007F0EB7">
      <w:pPr>
        <w:pStyle w:val="Normalaftertitle"/>
        <w:rPr>
          <w:szCs w:val="24"/>
          <w:lang w:val="es-ES"/>
        </w:rPr>
      </w:pPr>
      <w:r w:rsidRPr="00A7572D">
        <w:rPr>
          <w:iCs/>
          <w:szCs w:val="24"/>
          <w:lang w:val="es-ES" w:eastAsia="es-ES"/>
        </w:rPr>
        <w:t>La OMI no la necesita, pero es posible que la comunidad marítima la requiera en los casos en los que se utilicen radares en esta banda.</w:t>
      </w:r>
    </w:p>
    <w:p w14:paraId="77CF78B0" w14:textId="77777777" w:rsidR="00A24500" w:rsidRPr="00A7572D" w:rsidRDefault="00A24500" w:rsidP="00A24500">
      <w:pPr>
        <w:keepNext/>
        <w:keepLines/>
        <w:spacing w:before="0"/>
        <w:jc w:val="center"/>
        <w:rPr>
          <w:caps/>
          <w:sz w:val="22"/>
          <w:szCs w:val="22"/>
          <w:lang w:val="es-ES"/>
        </w:rPr>
      </w:pPr>
      <w:r w:rsidRPr="00A7572D">
        <w:rPr>
          <w:caps/>
          <w:sz w:val="22"/>
          <w:szCs w:val="22"/>
          <w:lang w:val="es-ES"/>
        </w:rPr>
        <w:br w:type="page"/>
      </w:r>
    </w:p>
    <w:p w14:paraId="6D55E5C8" w14:textId="77777777" w:rsidR="00A24500" w:rsidRPr="00A7572D" w:rsidRDefault="00A24500" w:rsidP="007F0EB7">
      <w:pPr>
        <w:pStyle w:val="AnnexNo"/>
        <w:rPr>
          <w:lang w:val="es-ES"/>
        </w:rPr>
      </w:pPr>
      <w:r w:rsidRPr="00A7572D">
        <w:rPr>
          <w:lang w:val="es-ES"/>
        </w:rPr>
        <w:lastRenderedPageBreak/>
        <w:t>Anexo 2</w:t>
      </w:r>
    </w:p>
    <w:p w14:paraId="0CEA2648" w14:textId="77777777" w:rsidR="00A24500" w:rsidRPr="00A7572D" w:rsidRDefault="00A24500" w:rsidP="007F0EB7">
      <w:pPr>
        <w:pStyle w:val="ResNo"/>
        <w:rPr>
          <w:rFonts w:eastAsia="SimSun"/>
          <w:lang w:val="es-ES"/>
        </w:rPr>
      </w:pPr>
      <w:r w:rsidRPr="00A7572D">
        <w:rPr>
          <w:rFonts w:eastAsia="SimSun"/>
          <w:lang w:val="es-ES"/>
        </w:rPr>
        <w:t>RESOLUCIÓN 13 (Rev.CMR</w:t>
      </w:r>
      <w:r w:rsidRPr="00A7572D">
        <w:rPr>
          <w:rFonts w:eastAsia="SimSun"/>
          <w:lang w:val="es-ES"/>
        </w:rPr>
        <w:noBreakHyphen/>
        <w:t>97)</w:t>
      </w:r>
    </w:p>
    <w:p w14:paraId="4B5AD4F0" w14:textId="72EEDAD8" w:rsidR="00A24500" w:rsidRPr="00A7572D" w:rsidRDefault="00A24500" w:rsidP="007F0EB7">
      <w:pPr>
        <w:pStyle w:val="Restitle"/>
        <w:rPr>
          <w:lang w:val="es-ES"/>
        </w:rPr>
      </w:pPr>
      <w:r w:rsidRPr="00A7572D">
        <w:rPr>
          <w:lang w:val="es-ES"/>
        </w:rPr>
        <w:t>Formación de los distintivos de llamada y</w:t>
      </w:r>
      <w:r w:rsidR="00E401FB" w:rsidRPr="00A7572D">
        <w:rPr>
          <w:lang w:val="es-ES"/>
        </w:rPr>
        <w:br/>
      </w:r>
      <w:r w:rsidRPr="00A7572D">
        <w:rPr>
          <w:lang w:val="es-ES"/>
        </w:rPr>
        <w:t>atribución de nuevas series internacionales</w:t>
      </w:r>
    </w:p>
    <w:p w14:paraId="1EB889D2" w14:textId="77777777" w:rsidR="00A24500" w:rsidRPr="00A7572D" w:rsidRDefault="00A24500" w:rsidP="007F0EB7">
      <w:pPr>
        <w:pStyle w:val="Normalaftertitle"/>
        <w:rPr>
          <w:szCs w:val="24"/>
          <w:lang w:val="es-ES"/>
        </w:rPr>
      </w:pPr>
      <w:r w:rsidRPr="00A7572D">
        <w:rPr>
          <w:szCs w:val="24"/>
          <w:lang w:val="es-ES"/>
        </w:rPr>
        <w:t>Mantener.</w:t>
      </w:r>
    </w:p>
    <w:p w14:paraId="20352C1D" w14:textId="77777777" w:rsidR="00A24500" w:rsidRPr="00A7572D" w:rsidRDefault="00A24500" w:rsidP="007F0EB7">
      <w:pPr>
        <w:pStyle w:val="ResNo"/>
        <w:rPr>
          <w:rFonts w:eastAsia="SimSun"/>
          <w:lang w:val="es-ES"/>
        </w:rPr>
      </w:pPr>
      <w:r w:rsidRPr="00A7572D">
        <w:rPr>
          <w:rFonts w:eastAsia="SimSun"/>
          <w:lang w:val="es-ES"/>
        </w:rPr>
        <w:t>RESOLUCIÓN 18 (Rev.CMR</w:t>
      </w:r>
      <w:r w:rsidRPr="00A7572D">
        <w:rPr>
          <w:rFonts w:eastAsia="SimSun"/>
          <w:lang w:val="es-ES"/>
        </w:rPr>
        <w:noBreakHyphen/>
        <w:t>15)</w:t>
      </w:r>
    </w:p>
    <w:p w14:paraId="582DE228" w14:textId="1E0FB8C0" w:rsidR="00A24500" w:rsidRPr="00A7572D" w:rsidRDefault="00A24500" w:rsidP="007F0EB7">
      <w:pPr>
        <w:pStyle w:val="Restitle"/>
        <w:rPr>
          <w:lang w:val="es-ES"/>
        </w:rPr>
      </w:pPr>
      <w:r w:rsidRPr="00A7572D">
        <w:rPr>
          <w:lang w:val="es-ES"/>
        </w:rPr>
        <w:t>Relativa al procedimiento que ha de utilizarse para identificar y</w:t>
      </w:r>
      <w:r w:rsidR="00E401FB" w:rsidRPr="00A7572D">
        <w:rPr>
          <w:lang w:val="es-ES"/>
        </w:rPr>
        <w:br/>
      </w:r>
      <w:r w:rsidRPr="00A7572D">
        <w:rPr>
          <w:lang w:val="es-ES"/>
        </w:rPr>
        <w:t>anunciar la posición de los barcos y aeronaves de Estados</w:t>
      </w:r>
      <w:r w:rsidR="00E401FB" w:rsidRPr="00A7572D">
        <w:rPr>
          <w:lang w:val="es-ES"/>
        </w:rPr>
        <w:br/>
      </w:r>
      <w:r w:rsidRPr="00A7572D">
        <w:rPr>
          <w:lang w:val="es-ES"/>
        </w:rPr>
        <w:t>que no sean partes en un conflicto armado</w:t>
      </w:r>
    </w:p>
    <w:p w14:paraId="77EC6C48" w14:textId="77777777" w:rsidR="00A24500" w:rsidRPr="00A7572D" w:rsidRDefault="00A24500" w:rsidP="007F0EB7">
      <w:pPr>
        <w:pStyle w:val="Normalaftertitle"/>
        <w:rPr>
          <w:szCs w:val="24"/>
          <w:lang w:val="es-ES"/>
        </w:rPr>
      </w:pPr>
      <w:r w:rsidRPr="00A7572D">
        <w:rPr>
          <w:szCs w:val="24"/>
          <w:lang w:val="es-ES"/>
        </w:rPr>
        <w:t>Mantener.</w:t>
      </w:r>
    </w:p>
    <w:p w14:paraId="43B8C1ED" w14:textId="77777777" w:rsidR="00A24500" w:rsidRPr="00A7572D" w:rsidRDefault="00A24500" w:rsidP="007F0EB7">
      <w:pPr>
        <w:pStyle w:val="ResNo"/>
        <w:rPr>
          <w:rFonts w:eastAsia="SimSun"/>
          <w:lang w:val="es-ES"/>
        </w:rPr>
      </w:pPr>
      <w:r w:rsidRPr="00A7572D">
        <w:rPr>
          <w:rFonts w:eastAsia="SimSun"/>
          <w:lang w:val="es-ES"/>
        </w:rPr>
        <w:t>RESOLUCIÓN 205 (Rev.CMR</w:t>
      </w:r>
      <w:r w:rsidRPr="00A7572D">
        <w:rPr>
          <w:rFonts w:eastAsia="SimSun"/>
          <w:lang w:val="es-ES"/>
        </w:rPr>
        <w:noBreakHyphen/>
        <w:t>15)</w:t>
      </w:r>
    </w:p>
    <w:p w14:paraId="3C0030A5" w14:textId="77777777" w:rsidR="00A24500" w:rsidRPr="00A7572D" w:rsidRDefault="00A24500" w:rsidP="007F0EB7">
      <w:pPr>
        <w:pStyle w:val="Restitle"/>
        <w:rPr>
          <w:lang w:val="es-ES"/>
        </w:rPr>
      </w:pPr>
      <w:r w:rsidRPr="00A7572D">
        <w:rPr>
          <w:lang w:val="es-ES"/>
        </w:rPr>
        <w:t xml:space="preserve">Protección de los sistemas del servicio móvil por satélite que funcionan en la banda de frecuencias 406-406,1 MHz </w:t>
      </w:r>
    </w:p>
    <w:p w14:paraId="185BE24F" w14:textId="77777777" w:rsidR="00A24500" w:rsidRPr="00A7572D" w:rsidRDefault="00A24500" w:rsidP="007F0EB7">
      <w:pPr>
        <w:pStyle w:val="Normalaftertitle"/>
        <w:rPr>
          <w:szCs w:val="24"/>
          <w:lang w:val="es-ES"/>
        </w:rPr>
      </w:pPr>
      <w:r w:rsidRPr="00A7572D">
        <w:rPr>
          <w:szCs w:val="24"/>
          <w:lang w:val="es-ES"/>
        </w:rPr>
        <w:t>Mantener.</w:t>
      </w:r>
    </w:p>
    <w:p w14:paraId="2DAB8AAC" w14:textId="77777777" w:rsidR="00A24500" w:rsidRPr="00A7572D" w:rsidRDefault="00A24500" w:rsidP="007F0EB7">
      <w:pPr>
        <w:pStyle w:val="ResNo"/>
        <w:rPr>
          <w:rFonts w:eastAsia="SimSun"/>
          <w:lang w:val="es-ES"/>
        </w:rPr>
      </w:pPr>
      <w:r w:rsidRPr="00A7572D">
        <w:rPr>
          <w:rFonts w:eastAsia="SimSun"/>
          <w:lang w:val="es-ES"/>
        </w:rPr>
        <w:t>RESOLUCIÓN 207 (Rev.CMR</w:t>
      </w:r>
      <w:r w:rsidRPr="00A7572D">
        <w:rPr>
          <w:rFonts w:eastAsia="SimSun"/>
          <w:lang w:val="es-ES"/>
        </w:rPr>
        <w:noBreakHyphen/>
        <w:t>15)</w:t>
      </w:r>
    </w:p>
    <w:p w14:paraId="2A110039" w14:textId="5FD51A0E" w:rsidR="00A24500" w:rsidRPr="00A7572D" w:rsidRDefault="00A24500" w:rsidP="007F0EB7">
      <w:pPr>
        <w:pStyle w:val="Restitle"/>
        <w:rPr>
          <w:lang w:val="es-ES"/>
        </w:rPr>
      </w:pPr>
      <w:r w:rsidRPr="00A7572D">
        <w:rPr>
          <w:lang w:val="es-ES"/>
        </w:rPr>
        <w:t>Medidas para hacer frente a la utilización no autorizada de frecuencias</w:t>
      </w:r>
      <w:r w:rsidR="00E401FB" w:rsidRPr="00A7572D">
        <w:rPr>
          <w:lang w:val="es-ES"/>
        </w:rPr>
        <w:br/>
      </w:r>
      <w:r w:rsidRPr="00A7572D">
        <w:rPr>
          <w:lang w:val="es-ES"/>
        </w:rPr>
        <w:t>en las bandas de frecuencias atribuidas al servicio móvil marítimo y al</w:t>
      </w:r>
      <w:r w:rsidR="00E401FB" w:rsidRPr="00A7572D">
        <w:rPr>
          <w:lang w:val="es-ES"/>
        </w:rPr>
        <w:br/>
      </w:r>
      <w:r w:rsidRPr="00A7572D">
        <w:rPr>
          <w:lang w:val="es-ES"/>
        </w:rPr>
        <w:t>servicio móvil aeronáutico (R) y a las interferencias</w:t>
      </w:r>
      <w:r w:rsidR="00E401FB" w:rsidRPr="00A7572D">
        <w:rPr>
          <w:lang w:val="es-ES"/>
        </w:rPr>
        <w:br/>
      </w:r>
      <w:r w:rsidRPr="00A7572D">
        <w:rPr>
          <w:lang w:val="es-ES"/>
        </w:rPr>
        <w:t>causadas a las mismas</w:t>
      </w:r>
    </w:p>
    <w:p w14:paraId="31073854" w14:textId="77777777" w:rsidR="00A24500" w:rsidRPr="00A7572D" w:rsidRDefault="00A24500" w:rsidP="007F0EB7">
      <w:pPr>
        <w:pStyle w:val="Normalaftertitle"/>
        <w:rPr>
          <w:szCs w:val="24"/>
          <w:lang w:val="es-ES"/>
        </w:rPr>
      </w:pPr>
      <w:r w:rsidRPr="00A7572D">
        <w:rPr>
          <w:szCs w:val="24"/>
          <w:lang w:val="es-ES"/>
        </w:rPr>
        <w:t>Mantener.</w:t>
      </w:r>
    </w:p>
    <w:p w14:paraId="5390ED06" w14:textId="77777777" w:rsidR="00A24500" w:rsidRPr="00A7572D" w:rsidRDefault="00A24500" w:rsidP="007F0EB7">
      <w:pPr>
        <w:pStyle w:val="ResNo"/>
        <w:rPr>
          <w:rFonts w:eastAsia="SimSun"/>
          <w:lang w:val="es-ES"/>
        </w:rPr>
      </w:pPr>
      <w:r w:rsidRPr="00A7572D">
        <w:rPr>
          <w:rFonts w:eastAsia="SimSun"/>
          <w:lang w:val="es-ES"/>
        </w:rPr>
        <w:t>RESOLUCIÓN 222 (REV.cmr</w:t>
      </w:r>
      <w:r w:rsidRPr="00A7572D">
        <w:rPr>
          <w:rFonts w:eastAsia="SimSun"/>
          <w:lang w:val="es-ES"/>
        </w:rPr>
        <w:noBreakHyphen/>
        <w:t>12)</w:t>
      </w:r>
    </w:p>
    <w:p w14:paraId="6B51C3D4" w14:textId="77777777" w:rsidR="00A24500" w:rsidRPr="00A7572D" w:rsidRDefault="00A24500" w:rsidP="007F0EB7">
      <w:pPr>
        <w:pStyle w:val="Restitle"/>
        <w:rPr>
          <w:lang w:val="es-ES"/>
        </w:rPr>
      </w:pPr>
      <w:r w:rsidRPr="00A7572D">
        <w:rPr>
          <w:lang w:val="es-ES"/>
        </w:rPr>
        <w:t>Utilización de las bandas de frecuencias 1 525</w:t>
      </w:r>
      <w:r w:rsidRPr="00A7572D">
        <w:rPr>
          <w:lang w:val="es-ES"/>
        </w:rPr>
        <w:noBreakHyphen/>
        <w:t>1 559 MHz y 1 626,5</w:t>
      </w:r>
      <w:r w:rsidRPr="00A7572D">
        <w:rPr>
          <w:lang w:val="es-ES"/>
        </w:rPr>
        <w:noBreakHyphen/>
        <w:t>1 660,5 MHz por el servicio móvil por satélite y procedimientos para garantizar el acceso al espectro a largo plazo para el servicio móvil aeronáutico por satélite (R)</w:t>
      </w:r>
    </w:p>
    <w:p w14:paraId="382B16DB" w14:textId="77777777" w:rsidR="00A24500" w:rsidRPr="00A7572D" w:rsidRDefault="00A24500" w:rsidP="007F0EB7">
      <w:pPr>
        <w:pStyle w:val="Normalaftertitle"/>
        <w:rPr>
          <w:szCs w:val="24"/>
          <w:lang w:val="es-ES"/>
        </w:rPr>
      </w:pPr>
      <w:r w:rsidRPr="00A7572D">
        <w:rPr>
          <w:szCs w:val="24"/>
          <w:lang w:val="es-ES"/>
        </w:rPr>
        <w:t>Mantener.</w:t>
      </w:r>
    </w:p>
    <w:p w14:paraId="15249FDC" w14:textId="77777777" w:rsidR="00A24500" w:rsidRPr="00A7572D" w:rsidRDefault="00A24500" w:rsidP="007F0EB7">
      <w:pPr>
        <w:pStyle w:val="ResNo"/>
        <w:rPr>
          <w:rFonts w:eastAsia="SimSun"/>
          <w:lang w:val="es-ES"/>
        </w:rPr>
      </w:pPr>
      <w:r w:rsidRPr="00A7572D">
        <w:rPr>
          <w:rFonts w:eastAsia="SimSun"/>
          <w:lang w:val="es-ES"/>
        </w:rPr>
        <w:lastRenderedPageBreak/>
        <w:t>RESOLUCIÓN 331 (REV.cmr</w:t>
      </w:r>
      <w:r w:rsidRPr="00A7572D">
        <w:rPr>
          <w:rFonts w:eastAsia="SimSun"/>
          <w:lang w:val="es-ES"/>
        </w:rPr>
        <w:noBreakHyphen/>
        <w:t>12)</w:t>
      </w:r>
    </w:p>
    <w:p w14:paraId="06C5EA65" w14:textId="77777777" w:rsidR="00A24500" w:rsidRPr="00A7572D" w:rsidRDefault="00A24500" w:rsidP="007F0EB7">
      <w:pPr>
        <w:pStyle w:val="Restitle"/>
        <w:rPr>
          <w:lang w:val="es-ES"/>
        </w:rPr>
      </w:pPr>
      <w:r w:rsidRPr="00A7572D">
        <w:rPr>
          <w:lang w:val="es-ES"/>
        </w:rPr>
        <w:t>Explotación del Sistema Mundial de Socorro y Seguridad Marítimos (SMSSM)</w:t>
      </w:r>
    </w:p>
    <w:p w14:paraId="19856D88" w14:textId="77777777" w:rsidR="00A24500" w:rsidRPr="00A7572D" w:rsidRDefault="00A24500" w:rsidP="007F0EB7">
      <w:pPr>
        <w:pStyle w:val="Normalaftertitle"/>
        <w:rPr>
          <w:szCs w:val="24"/>
          <w:lang w:val="es-ES"/>
        </w:rPr>
      </w:pPr>
      <w:r w:rsidRPr="00A7572D">
        <w:rPr>
          <w:szCs w:val="24"/>
          <w:lang w:val="es-ES"/>
        </w:rPr>
        <w:t>Mantener.</w:t>
      </w:r>
    </w:p>
    <w:p w14:paraId="3E2FBFB9" w14:textId="77777777" w:rsidR="00A24500" w:rsidRPr="00A7572D" w:rsidRDefault="00A24500" w:rsidP="007F0EB7">
      <w:pPr>
        <w:pStyle w:val="ResNo"/>
        <w:rPr>
          <w:rFonts w:eastAsia="SimSun"/>
          <w:lang w:val="es-ES"/>
        </w:rPr>
      </w:pPr>
      <w:r w:rsidRPr="00A7572D">
        <w:rPr>
          <w:rFonts w:eastAsia="SimSun"/>
          <w:lang w:val="es-ES"/>
        </w:rPr>
        <w:t>RESOLUCIÓN 339 (REV.CMR</w:t>
      </w:r>
      <w:r w:rsidRPr="00A7572D">
        <w:rPr>
          <w:rFonts w:eastAsia="SimSun"/>
          <w:lang w:val="es-ES"/>
        </w:rPr>
        <w:noBreakHyphen/>
        <w:t>07)</w:t>
      </w:r>
    </w:p>
    <w:p w14:paraId="10101F36" w14:textId="77777777" w:rsidR="00A24500" w:rsidRPr="00A7572D" w:rsidRDefault="00A24500" w:rsidP="007F0EB7">
      <w:pPr>
        <w:pStyle w:val="Restitle"/>
        <w:rPr>
          <w:lang w:val="es-ES"/>
        </w:rPr>
      </w:pPr>
      <w:r w:rsidRPr="00A7572D">
        <w:rPr>
          <w:lang w:val="es-ES"/>
        </w:rPr>
        <w:t>Coordinación de los servicios NAVTEX</w:t>
      </w:r>
    </w:p>
    <w:p w14:paraId="2D7C32AF" w14:textId="77777777" w:rsidR="00A24500" w:rsidRPr="00A7572D" w:rsidRDefault="00A24500" w:rsidP="007F0EB7">
      <w:pPr>
        <w:pStyle w:val="Normalaftertitle"/>
        <w:rPr>
          <w:szCs w:val="24"/>
          <w:lang w:val="es-ES"/>
        </w:rPr>
      </w:pPr>
      <w:r w:rsidRPr="00A7572D">
        <w:rPr>
          <w:szCs w:val="24"/>
          <w:lang w:val="es-ES"/>
        </w:rPr>
        <w:t>Mantener.</w:t>
      </w:r>
    </w:p>
    <w:p w14:paraId="7843778F" w14:textId="77777777" w:rsidR="00A24500" w:rsidRPr="00A7572D" w:rsidRDefault="00A24500" w:rsidP="007F0EB7">
      <w:pPr>
        <w:pStyle w:val="ResNo"/>
        <w:rPr>
          <w:rFonts w:eastAsia="SimSun"/>
          <w:lang w:val="es-ES"/>
        </w:rPr>
      </w:pPr>
      <w:r w:rsidRPr="00A7572D">
        <w:rPr>
          <w:rFonts w:eastAsia="SimSun"/>
          <w:lang w:val="es-ES"/>
        </w:rPr>
        <w:t>RESOLUCIÓN 343 (REV.CMR</w:t>
      </w:r>
      <w:r w:rsidRPr="00A7572D">
        <w:rPr>
          <w:rFonts w:eastAsia="SimSun"/>
          <w:lang w:val="es-ES"/>
        </w:rPr>
        <w:noBreakHyphen/>
        <w:t>12)</w:t>
      </w:r>
    </w:p>
    <w:p w14:paraId="172C5562" w14:textId="77777777" w:rsidR="00A24500" w:rsidRPr="00A7572D" w:rsidRDefault="00A24500" w:rsidP="007F0EB7">
      <w:pPr>
        <w:pStyle w:val="Restitle"/>
        <w:rPr>
          <w:lang w:val="es-ES"/>
        </w:rPr>
      </w:pPr>
      <w:r w:rsidRPr="00A7572D">
        <w:rPr>
          <w:lang w:val="es-ES"/>
        </w:rPr>
        <w:t>Certificación marítima para el personal de estaciones de barco y de estaciones terrenas de barco que no están provistas obligatoriamente de equipos de radiocomunicaciones</w:t>
      </w:r>
    </w:p>
    <w:p w14:paraId="5F60C11D" w14:textId="77777777" w:rsidR="00A24500" w:rsidRPr="00A7572D" w:rsidRDefault="00A24500" w:rsidP="007F0EB7">
      <w:pPr>
        <w:pStyle w:val="Normalaftertitle"/>
        <w:rPr>
          <w:i/>
          <w:iCs/>
          <w:szCs w:val="24"/>
          <w:lang w:val="es-ES" w:eastAsia="es-ES"/>
        </w:rPr>
      </w:pPr>
      <w:r w:rsidRPr="00A7572D">
        <w:rPr>
          <w:iCs/>
          <w:szCs w:val="24"/>
          <w:lang w:val="es-ES" w:eastAsia="es-ES"/>
        </w:rPr>
        <w:t>Mantener para garantizar las operaciones comunes entre los buques regidos por los convenios y los que no lo están</w:t>
      </w:r>
      <w:r w:rsidRPr="00A7572D">
        <w:rPr>
          <w:i/>
          <w:iCs/>
          <w:szCs w:val="24"/>
          <w:lang w:val="es-ES" w:eastAsia="es-ES"/>
        </w:rPr>
        <w:t>.</w:t>
      </w:r>
    </w:p>
    <w:p w14:paraId="4F90F828" w14:textId="77777777" w:rsidR="00A24500" w:rsidRPr="00A7572D" w:rsidRDefault="00A24500" w:rsidP="007F0EB7">
      <w:pPr>
        <w:pStyle w:val="ResNo"/>
        <w:rPr>
          <w:rFonts w:eastAsia="SimSun"/>
          <w:lang w:val="es-ES"/>
        </w:rPr>
      </w:pPr>
      <w:r w:rsidRPr="00A7572D">
        <w:rPr>
          <w:rFonts w:eastAsia="SimSun"/>
          <w:lang w:val="es-ES"/>
        </w:rPr>
        <w:t>RESOLUCIÓN 344 (REV.CMR</w:t>
      </w:r>
      <w:r w:rsidRPr="00A7572D">
        <w:rPr>
          <w:rFonts w:eastAsia="SimSun"/>
          <w:lang w:val="es-ES"/>
        </w:rPr>
        <w:noBreakHyphen/>
        <w:t>12)</w:t>
      </w:r>
    </w:p>
    <w:p w14:paraId="461C109B" w14:textId="77777777" w:rsidR="00A24500" w:rsidRPr="00A7572D" w:rsidRDefault="00A24500" w:rsidP="007F0EB7">
      <w:pPr>
        <w:pStyle w:val="Restitle"/>
        <w:rPr>
          <w:lang w:val="es-ES"/>
        </w:rPr>
      </w:pPr>
      <w:r w:rsidRPr="00A7572D">
        <w:rPr>
          <w:lang w:val="es-ES"/>
        </w:rPr>
        <w:t>Gestión del recurso de numeración de identidades marítimas</w:t>
      </w:r>
    </w:p>
    <w:p w14:paraId="04520AC0" w14:textId="77777777" w:rsidR="00A24500" w:rsidRPr="00A7572D" w:rsidRDefault="00A24500" w:rsidP="007F0EB7">
      <w:pPr>
        <w:pStyle w:val="Normalaftertitle"/>
        <w:rPr>
          <w:szCs w:val="24"/>
          <w:lang w:val="es-ES"/>
        </w:rPr>
      </w:pPr>
      <w:r w:rsidRPr="00A7572D">
        <w:rPr>
          <w:szCs w:val="24"/>
          <w:lang w:val="es-ES"/>
        </w:rPr>
        <w:t>Mantener.</w:t>
      </w:r>
    </w:p>
    <w:p w14:paraId="0CDFB222" w14:textId="77777777" w:rsidR="00A24500" w:rsidRPr="00A7572D" w:rsidRDefault="00A24500" w:rsidP="007F0EB7">
      <w:pPr>
        <w:pStyle w:val="ResNo"/>
        <w:rPr>
          <w:rFonts w:eastAsia="SimSun"/>
          <w:lang w:val="es-ES"/>
        </w:rPr>
      </w:pPr>
      <w:r w:rsidRPr="00A7572D">
        <w:rPr>
          <w:rFonts w:eastAsia="SimSun"/>
          <w:lang w:val="es-ES"/>
        </w:rPr>
        <w:t>RESOLUCIÓN 349 (REV.CMR</w:t>
      </w:r>
      <w:r w:rsidRPr="00A7572D">
        <w:rPr>
          <w:rFonts w:eastAsia="SimSun"/>
          <w:lang w:val="es-ES"/>
        </w:rPr>
        <w:noBreakHyphen/>
        <w:t>12)</w:t>
      </w:r>
    </w:p>
    <w:p w14:paraId="269B2320" w14:textId="77777777" w:rsidR="00A24500" w:rsidRPr="00A7572D" w:rsidRDefault="00A24500" w:rsidP="007F0EB7">
      <w:pPr>
        <w:pStyle w:val="Restitle"/>
        <w:rPr>
          <w:lang w:val="es-ES"/>
        </w:rPr>
      </w:pPr>
      <w:r w:rsidRPr="00A7572D">
        <w:rPr>
          <w:lang w:val="es-ES"/>
        </w:rPr>
        <w:t>Procedimientos operativos para cancelar falsas alertas de socorro en el Sistema mundial de socorro y seguridad marítimos</w:t>
      </w:r>
    </w:p>
    <w:p w14:paraId="0426D8DB" w14:textId="77777777" w:rsidR="00A24500" w:rsidRPr="00A7572D" w:rsidRDefault="00A24500" w:rsidP="007F0EB7">
      <w:pPr>
        <w:pStyle w:val="Normalaftertitle"/>
        <w:rPr>
          <w:szCs w:val="24"/>
          <w:lang w:val="es-ES"/>
        </w:rPr>
      </w:pPr>
      <w:r w:rsidRPr="00A7572D">
        <w:rPr>
          <w:szCs w:val="24"/>
          <w:lang w:val="es-ES"/>
        </w:rPr>
        <w:t>Mantener.</w:t>
      </w:r>
    </w:p>
    <w:p w14:paraId="53E59899" w14:textId="77777777" w:rsidR="00A24500" w:rsidRPr="00A7572D" w:rsidRDefault="00A24500" w:rsidP="007F0EB7">
      <w:pPr>
        <w:pStyle w:val="ResNo"/>
        <w:rPr>
          <w:rFonts w:eastAsia="SimSun"/>
          <w:lang w:val="es-ES"/>
        </w:rPr>
      </w:pPr>
      <w:r w:rsidRPr="00A7572D">
        <w:rPr>
          <w:rFonts w:eastAsia="SimSun"/>
          <w:lang w:val="es-ES"/>
        </w:rPr>
        <w:t>RESOLUCIÓN 352 (CMR</w:t>
      </w:r>
      <w:r w:rsidRPr="00A7572D">
        <w:rPr>
          <w:rFonts w:eastAsia="SimSun"/>
          <w:lang w:val="es-ES"/>
        </w:rPr>
        <w:noBreakHyphen/>
        <w:t>03)</w:t>
      </w:r>
    </w:p>
    <w:p w14:paraId="0E4DED7B" w14:textId="77777777" w:rsidR="00A24500" w:rsidRPr="00A7572D" w:rsidRDefault="00A24500" w:rsidP="007F0EB7">
      <w:pPr>
        <w:pStyle w:val="Restitle"/>
        <w:rPr>
          <w:lang w:val="es-ES"/>
        </w:rPr>
      </w:pPr>
      <w:r w:rsidRPr="00A7572D">
        <w:rPr>
          <w:lang w:val="es-ES"/>
        </w:rPr>
        <w:t>Utilización de las frecuencias portadoras 12 290 kHz y 16 420 kHz para llamadas relacionadas con la seguridad hacia los centros de coordinación de salvamento y desde éstos</w:t>
      </w:r>
    </w:p>
    <w:p w14:paraId="2A3A69B5" w14:textId="77777777" w:rsidR="00A24500" w:rsidRPr="00A7572D" w:rsidRDefault="00A24500" w:rsidP="007F0EB7">
      <w:pPr>
        <w:pStyle w:val="Normalaftertitle"/>
        <w:rPr>
          <w:szCs w:val="24"/>
          <w:lang w:val="es-ES"/>
        </w:rPr>
      </w:pPr>
      <w:r w:rsidRPr="00A7572D">
        <w:rPr>
          <w:szCs w:val="24"/>
          <w:lang w:val="es-ES"/>
        </w:rPr>
        <w:t>Mantener.</w:t>
      </w:r>
    </w:p>
    <w:p w14:paraId="02B364EB" w14:textId="77777777" w:rsidR="00A24500" w:rsidRPr="00A7572D" w:rsidRDefault="00A24500" w:rsidP="007F0EB7">
      <w:pPr>
        <w:pStyle w:val="ResNo"/>
        <w:rPr>
          <w:rFonts w:eastAsia="SimSun"/>
          <w:lang w:val="es-ES"/>
        </w:rPr>
      </w:pPr>
      <w:r w:rsidRPr="00A7572D">
        <w:rPr>
          <w:rFonts w:eastAsia="SimSun"/>
          <w:lang w:val="es-ES"/>
        </w:rPr>
        <w:lastRenderedPageBreak/>
        <w:t>RESOLUCIÓN 354 (CMR</w:t>
      </w:r>
      <w:r w:rsidRPr="00A7572D">
        <w:rPr>
          <w:rFonts w:eastAsia="SimSun"/>
          <w:lang w:val="es-ES"/>
        </w:rPr>
        <w:noBreakHyphen/>
        <w:t>07)</w:t>
      </w:r>
    </w:p>
    <w:p w14:paraId="418678F5" w14:textId="77777777" w:rsidR="00A24500" w:rsidRPr="00A7572D" w:rsidRDefault="00A24500" w:rsidP="007F0EB7">
      <w:pPr>
        <w:pStyle w:val="Restitle"/>
        <w:rPr>
          <w:lang w:val="es-ES"/>
        </w:rPr>
      </w:pPr>
      <w:r w:rsidRPr="00A7572D">
        <w:rPr>
          <w:lang w:val="es-ES"/>
        </w:rPr>
        <w:t>Procedimientos de radiotelefonía de socorro y seguridad a 2 182 kHz</w:t>
      </w:r>
    </w:p>
    <w:p w14:paraId="19FF8988" w14:textId="77777777" w:rsidR="00A24500" w:rsidRPr="00A7572D" w:rsidRDefault="00A24500" w:rsidP="007F0EB7">
      <w:pPr>
        <w:pStyle w:val="Normalaftertitle"/>
        <w:rPr>
          <w:szCs w:val="24"/>
          <w:lang w:val="es-ES"/>
        </w:rPr>
      </w:pPr>
      <w:r w:rsidRPr="00A7572D">
        <w:rPr>
          <w:szCs w:val="24"/>
          <w:lang w:val="es-ES"/>
        </w:rPr>
        <w:t>Mantener.</w:t>
      </w:r>
    </w:p>
    <w:p w14:paraId="27152EBC" w14:textId="77777777" w:rsidR="00A24500" w:rsidRPr="00A7572D" w:rsidRDefault="00A24500" w:rsidP="007F0EB7">
      <w:pPr>
        <w:pStyle w:val="ResNo"/>
        <w:rPr>
          <w:rFonts w:eastAsia="SimSun"/>
          <w:lang w:val="es-ES"/>
        </w:rPr>
      </w:pPr>
      <w:r w:rsidRPr="00A7572D">
        <w:rPr>
          <w:rFonts w:eastAsia="SimSun"/>
          <w:lang w:val="es-ES"/>
        </w:rPr>
        <w:t>RESOLUCIÓN 356 (CMR</w:t>
      </w:r>
      <w:r w:rsidRPr="00A7572D">
        <w:rPr>
          <w:rFonts w:eastAsia="SimSun"/>
          <w:lang w:val="es-ES"/>
        </w:rPr>
        <w:noBreakHyphen/>
        <w:t>07)</w:t>
      </w:r>
    </w:p>
    <w:p w14:paraId="3035CD46" w14:textId="77777777" w:rsidR="00A24500" w:rsidRPr="00A7572D" w:rsidRDefault="00A24500" w:rsidP="007F0EB7">
      <w:pPr>
        <w:pStyle w:val="Restitle"/>
        <w:rPr>
          <w:lang w:val="es-ES"/>
        </w:rPr>
      </w:pPr>
      <w:r w:rsidRPr="00A7572D">
        <w:rPr>
          <w:lang w:val="es-ES"/>
        </w:rPr>
        <w:t>Registro de la UIT sobre información del servicio marítimo</w:t>
      </w:r>
    </w:p>
    <w:p w14:paraId="6CBCD3A3" w14:textId="77777777" w:rsidR="00A24500" w:rsidRPr="00A7572D" w:rsidRDefault="00A24500" w:rsidP="007F0EB7">
      <w:pPr>
        <w:pStyle w:val="Normalaftertitle"/>
        <w:rPr>
          <w:szCs w:val="24"/>
          <w:lang w:val="es-ES"/>
        </w:rPr>
      </w:pPr>
      <w:r w:rsidRPr="00A7572D">
        <w:rPr>
          <w:szCs w:val="24"/>
          <w:lang w:val="es-ES"/>
        </w:rPr>
        <w:t>Mantener.</w:t>
      </w:r>
    </w:p>
    <w:p w14:paraId="37150AD9" w14:textId="3152F4EF" w:rsidR="00A24500" w:rsidRPr="00A7572D" w:rsidRDefault="00A24500" w:rsidP="007F0EB7">
      <w:pPr>
        <w:pStyle w:val="ResNo"/>
        <w:rPr>
          <w:rFonts w:eastAsia="SimSun"/>
          <w:lang w:val="es-ES"/>
        </w:rPr>
      </w:pPr>
      <w:r w:rsidRPr="00A7572D">
        <w:rPr>
          <w:rFonts w:eastAsia="SimSun"/>
          <w:lang w:val="es-ES"/>
        </w:rPr>
        <w:t>RESOLUCIÓN 359 (REV.CMR</w:t>
      </w:r>
      <w:r w:rsidRPr="00A7572D">
        <w:rPr>
          <w:rFonts w:eastAsia="SimSun"/>
          <w:lang w:val="es-ES"/>
        </w:rPr>
        <w:noBreakHyphen/>
        <w:t>15)</w:t>
      </w:r>
    </w:p>
    <w:p w14:paraId="73F57E3B" w14:textId="77777777" w:rsidR="00A24500" w:rsidRPr="00A7572D" w:rsidRDefault="00A24500" w:rsidP="007F0EB7">
      <w:pPr>
        <w:pStyle w:val="Restitle"/>
        <w:rPr>
          <w:lang w:val="es-ES"/>
        </w:rPr>
      </w:pPr>
      <w:r w:rsidRPr="00A7572D">
        <w:rPr>
          <w:lang w:val="es-ES"/>
        </w:rPr>
        <w:t>Consideración de disposiciones reglamentarias para actualizar y modernizar el sistema mundial de socorro y seguridad marítimos</w:t>
      </w:r>
    </w:p>
    <w:p w14:paraId="7BFAE593" w14:textId="77777777" w:rsidR="00A24500" w:rsidRPr="00A7572D" w:rsidRDefault="00A24500" w:rsidP="007F0EB7">
      <w:pPr>
        <w:pStyle w:val="Normalaftertitle"/>
        <w:rPr>
          <w:szCs w:val="24"/>
          <w:lang w:val="es-ES"/>
        </w:rPr>
      </w:pPr>
      <w:r w:rsidRPr="00A7572D">
        <w:rPr>
          <w:szCs w:val="24"/>
          <w:lang w:val="es-ES"/>
        </w:rPr>
        <w:t>A reserva del punto 1.8 del orden del día.</w:t>
      </w:r>
    </w:p>
    <w:p w14:paraId="19BF6F92" w14:textId="21616B02" w:rsidR="00A24500" w:rsidRPr="00A7572D" w:rsidRDefault="00A24500" w:rsidP="007F0EB7">
      <w:pPr>
        <w:pStyle w:val="ResNo"/>
        <w:rPr>
          <w:rFonts w:eastAsia="SimSun"/>
          <w:lang w:val="es-ES"/>
        </w:rPr>
      </w:pPr>
      <w:r w:rsidRPr="00A7572D">
        <w:rPr>
          <w:rFonts w:eastAsia="SimSun"/>
          <w:lang w:val="es-ES"/>
        </w:rPr>
        <w:t>RESOLUCIÓN 360 (REV.CMR</w:t>
      </w:r>
      <w:r w:rsidRPr="00A7572D">
        <w:rPr>
          <w:rFonts w:eastAsia="SimSun"/>
          <w:lang w:val="es-ES"/>
        </w:rPr>
        <w:noBreakHyphen/>
        <w:t>15)</w:t>
      </w:r>
    </w:p>
    <w:p w14:paraId="777912A5" w14:textId="1CC93EBE" w:rsidR="00A24500" w:rsidRPr="00A7572D" w:rsidRDefault="00A24500" w:rsidP="007F0EB7">
      <w:pPr>
        <w:pStyle w:val="Restitle"/>
        <w:rPr>
          <w:rFonts w:eastAsia="SimSun"/>
          <w:lang w:val="es-ES" w:eastAsia="es-ES"/>
        </w:rPr>
      </w:pPr>
      <w:r w:rsidRPr="00A7572D">
        <w:rPr>
          <w:rFonts w:eastAsia="SimSun"/>
          <w:lang w:val="es-ES" w:eastAsia="es-ES"/>
        </w:rPr>
        <w:t>Consideración de disposiciones reglamentarias y atribuciones de espectro al servicio móvil marítimo por satélite para habilitar la componente de satélite</w:t>
      </w:r>
      <w:r w:rsidR="00E401FB" w:rsidRPr="00A7572D">
        <w:rPr>
          <w:rFonts w:eastAsia="SimSun"/>
          <w:lang w:val="es-ES" w:eastAsia="es-ES"/>
        </w:rPr>
        <w:br/>
      </w:r>
      <w:r w:rsidRPr="00A7572D">
        <w:rPr>
          <w:rFonts w:eastAsia="SimSun"/>
          <w:lang w:val="es-ES" w:eastAsia="es-ES"/>
        </w:rPr>
        <w:t xml:space="preserve">del sistema de intercambio de datos en las bandas de ondas métricas y las radiocomunicaciones marítimas avanzadas </w:t>
      </w:r>
    </w:p>
    <w:p w14:paraId="300F6D5D" w14:textId="77777777" w:rsidR="00A24500" w:rsidRPr="00A7572D" w:rsidRDefault="00A24500" w:rsidP="007F0EB7">
      <w:pPr>
        <w:pStyle w:val="Normalaftertitle"/>
        <w:rPr>
          <w:szCs w:val="24"/>
          <w:lang w:val="es-ES"/>
        </w:rPr>
      </w:pPr>
      <w:r w:rsidRPr="00A7572D">
        <w:rPr>
          <w:szCs w:val="24"/>
          <w:lang w:val="es-ES"/>
        </w:rPr>
        <w:t>A reserva del punto 1.9.2 del orden del día.</w:t>
      </w:r>
    </w:p>
    <w:p w14:paraId="5F936E12" w14:textId="77777777" w:rsidR="00A24500" w:rsidRPr="00A7572D" w:rsidRDefault="00A24500" w:rsidP="007F0EB7">
      <w:pPr>
        <w:pStyle w:val="ResNo"/>
        <w:rPr>
          <w:rFonts w:eastAsia="SimSun"/>
          <w:lang w:val="es-ES"/>
        </w:rPr>
      </w:pPr>
      <w:r w:rsidRPr="00A7572D">
        <w:rPr>
          <w:rFonts w:eastAsia="SimSun"/>
          <w:lang w:val="es-ES"/>
        </w:rPr>
        <w:t>RESOLUCIÓN 361 (CMR</w:t>
      </w:r>
      <w:r w:rsidRPr="00A7572D">
        <w:rPr>
          <w:rFonts w:eastAsia="SimSun"/>
          <w:lang w:val="es-ES"/>
        </w:rPr>
        <w:noBreakHyphen/>
        <w:t>15)</w:t>
      </w:r>
    </w:p>
    <w:p w14:paraId="38771BC0" w14:textId="77777777" w:rsidR="00A24500" w:rsidRPr="00A7572D" w:rsidRDefault="00A24500" w:rsidP="007F0EB7">
      <w:pPr>
        <w:pStyle w:val="Restitle"/>
        <w:rPr>
          <w:rFonts w:eastAsia="SimSun"/>
          <w:lang w:val="es-ES" w:eastAsia="es-ES"/>
        </w:rPr>
      </w:pPr>
      <w:r w:rsidRPr="00A7572D">
        <w:rPr>
          <w:rFonts w:eastAsia="SimSun"/>
          <w:lang w:val="es-ES" w:eastAsia="es-ES"/>
        </w:rPr>
        <w:t>Consideración de disposiciones reglamentarias para la modernización del sistema mundial de socorro y seguridad marítimos y la implantación de la navegación electrónica</w:t>
      </w:r>
    </w:p>
    <w:p w14:paraId="0D7B091F" w14:textId="77777777" w:rsidR="00A24500" w:rsidRPr="00A7572D" w:rsidRDefault="00A24500" w:rsidP="007F0EB7">
      <w:pPr>
        <w:pStyle w:val="Normalaftertitle"/>
        <w:rPr>
          <w:szCs w:val="24"/>
          <w:lang w:val="es-ES"/>
        </w:rPr>
      </w:pPr>
      <w:r w:rsidRPr="00A7572D">
        <w:rPr>
          <w:szCs w:val="24"/>
          <w:lang w:val="es-ES"/>
        </w:rPr>
        <w:t>En el orden del día preliminar de la CMR</w:t>
      </w:r>
      <w:r w:rsidRPr="00A7572D">
        <w:rPr>
          <w:szCs w:val="24"/>
          <w:lang w:val="es-ES"/>
        </w:rPr>
        <w:noBreakHyphen/>
        <w:t>23.</w:t>
      </w:r>
    </w:p>
    <w:p w14:paraId="261B6974" w14:textId="77777777" w:rsidR="00A24500" w:rsidRPr="00A7572D" w:rsidRDefault="00A24500" w:rsidP="007F0EB7">
      <w:pPr>
        <w:pStyle w:val="ResNo"/>
        <w:rPr>
          <w:rFonts w:eastAsia="SimSun"/>
          <w:lang w:val="es-ES"/>
        </w:rPr>
      </w:pPr>
      <w:r w:rsidRPr="00A7572D">
        <w:rPr>
          <w:rFonts w:eastAsia="SimSun"/>
          <w:lang w:val="es-ES"/>
        </w:rPr>
        <w:t>RESOLUCIÓN 362 (CMR</w:t>
      </w:r>
      <w:r w:rsidRPr="00A7572D">
        <w:rPr>
          <w:rFonts w:eastAsia="SimSun"/>
          <w:lang w:val="es-ES"/>
        </w:rPr>
        <w:noBreakHyphen/>
        <w:t>15)</w:t>
      </w:r>
    </w:p>
    <w:p w14:paraId="6FA15E5F" w14:textId="77777777" w:rsidR="00A24500" w:rsidRPr="00A7572D" w:rsidRDefault="00A24500" w:rsidP="007F0EB7">
      <w:pPr>
        <w:pStyle w:val="Restitle"/>
        <w:rPr>
          <w:rFonts w:eastAsia="SimSun"/>
          <w:lang w:val="es-ES" w:eastAsia="es-ES"/>
        </w:rPr>
      </w:pPr>
      <w:r w:rsidRPr="00A7572D">
        <w:rPr>
          <w:rFonts w:eastAsia="SimSun"/>
          <w:lang w:val="es-ES" w:eastAsia="es-ES"/>
        </w:rPr>
        <w:t>Dispositivos autónomos de radiocomunicaciones marítimas que funcionan en la banda de frecuencias 156</w:t>
      </w:r>
      <w:r w:rsidRPr="00A7572D">
        <w:rPr>
          <w:rFonts w:eastAsia="SimSun"/>
          <w:lang w:val="es-ES" w:eastAsia="es-ES"/>
        </w:rPr>
        <w:noBreakHyphen/>
        <w:t>162,05 MHz</w:t>
      </w:r>
    </w:p>
    <w:p w14:paraId="685BA03E" w14:textId="77777777" w:rsidR="00A24500" w:rsidRPr="00A7572D" w:rsidRDefault="00A24500" w:rsidP="007F0EB7">
      <w:pPr>
        <w:pStyle w:val="Normalaftertitle"/>
        <w:rPr>
          <w:szCs w:val="24"/>
          <w:lang w:val="es-ES"/>
        </w:rPr>
      </w:pPr>
      <w:r w:rsidRPr="00A7572D">
        <w:rPr>
          <w:szCs w:val="24"/>
          <w:lang w:val="es-ES"/>
        </w:rPr>
        <w:t>A reserva del punto 1.9.1 del orden del día</w:t>
      </w:r>
    </w:p>
    <w:p w14:paraId="35541E7F" w14:textId="1288B3AB" w:rsidR="00A24500" w:rsidRPr="00A7572D" w:rsidRDefault="00A24500" w:rsidP="007F0EB7">
      <w:pPr>
        <w:pStyle w:val="ResNo"/>
        <w:rPr>
          <w:rFonts w:eastAsia="SimSun"/>
          <w:lang w:val="es-ES"/>
        </w:rPr>
      </w:pPr>
      <w:r w:rsidRPr="00A7572D">
        <w:rPr>
          <w:rFonts w:eastAsia="SimSun"/>
          <w:lang w:val="es-ES"/>
        </w:rPr>
        <w:lastRenderedPageBreak/>
        <w:t>RESOLUCIÓN 612 (Rev.CMR</w:t>
      </w:r>
      <w:r w:rsidRPr="00A7572D">
        <w:rPr>
          <w:rFonts w:eastAsia="SimSun"/>
          <w:lang w:val="es-ES"/>
        </w:rPr>
        <w:noBreakHyphen/>
        <w:t>12)</w:t>
      </w:r>
    </w:p>
    <w:p w14:paraId="088A5F99" w14:textId="08E27672" w:rsidR="00A24500" w:rsidRPr="00A7572D" w:rsidRDefault="00A24500" w:rsidP="007F0EB7">
      <w:pPr>
        <w:pStyle w:val="Restitle"/>
        <w:rPr>
          <w:rFonts w:eastAsia="SimSun"/>
          <w:lang w:val="es-ES" w:eastAsia="es-ES"/>
        </w:rPr>
      </w:pPr>
      <w:r w:rsidRPr="00A7572D">
        <w:rPr>
          <w:rFonts w:eastAsia="SimSun"/>
          <w:lang w:val="es-ES" w:eastAsia="es-ES"/>
        </w:rPr>
        <w:t>Utilización del servicio de radiolocalización entre 3 y 50 MHz para</w:t>
      </w:r>
      <w:r w:rsidR="00E401FB" w:rsidRPr="00A7572D">
        <w:rPr>
          <w:rFonts w:eastAsia="SimSun"/>
          <w:lang w:val="es-ES" w:eastAsia="es-ES"/>
        </w:rPr>
        <w:br/>
      </w:r>
      <w:r w:rsidRPr="00A7572D">
        <w:rPr>
          <w:rFonts w:eastAsia="SimSun"/>
          <w:lang w:val="es-ES" w:eastAsia="es-ES"/>
        </w:rPr>
        <w:t>prestar apoyo al funcionamiento de los radares oceanográficos</w:t>
      </w:r>
    </w:p>
    <w:p w14:paraId="7C807E35" w14:textId="77777777" w:rsidR="00A24500" w:rsidRPr="00A7572D" w:rsidRDefault="00A24500" w:rsidP="007F0EB7">
      <w:pPr>
        <w:pStyle w:val="Normalaftertitle"/>
        <w:rPr>
          <w:szCs w:val="24"/>
          <w:lang w:val="es-ES"/>
        </w:rPr>
      </w:pPr>
      <w:r w:rsidRPr="00A7572D">
        <w:rPr>
          <w:szCs w:val="24"/>
          <w:lang w:val="es-ES"/>
        </w:rPr>
        <w:t>Mantener.</w:t>
      </w:r>
    </w:p>
    <w:p w14:paraId="2C6BE0A2" w14:textId="77777777" w:rsidR="00A24500" w:rsidRPr="00A7572D" w:rsidRDefault="00A24500" w:rsidP="007F0EB7">
      <w:pPr>
        <w:pStyle w:val="RecNo"/>
        <w:rPr>
          <w:lang w:val="es-ES"/>
        </w:rPr>
      </w:pPr>
      <w:r w:rsidRPr="00A7572D">
        <w:rPr>
          <w:lang w:val="es-ES"/>
        </w:rPr>
        <w:t>RECOMENDACIÓN 7 (Rev.CMR</w:t>
      </w:r>
      <w:r w:rsidRPr="00A7572D">
        <w:rPr>
          <w:lang w:val="es-ES"/>
        </w:rPr>
        <w:noBreakHyphen/>
        <w:t>97)</w:t>
      </w:r>
    </w:p>
    <w:p w14:paraId="1D4C10EF" w14:textId="77777777" w:rsidR="00A24500" w:rsidRPr="00A7572D" w:rsidRDefault="00A24500" w:rsidP="007F0EB7">
      <w:pPr>
        <w:pStyle w:val="Rectitle"/>
        <w:rPr>
          <w:rFonts w:eastAsia="SimSun"/>
          <w:lang w:val="es-ES" w:eastAsia="es-ES"/>
        </w:rPr>
      </w:pPr>
      <w:r w:rsidRPr="00A7572D">
        <w:rPr>
          <w:rFonts w:eastAsia="SimSun"/>
          <w:lang w:val="es-ES" w:eastAsia="es-ES"/>
        </w:rPr>
        <w:t>Adopción de formularios normalizados para las licencias de las estaciones de barco y estaciones terrenas de barco, estaciones de aeronave y estaciones terrenas de aeronave</w:t>
      </w:r>
    </w:p>
    <w:p w14:paraId="4BFD8FEC" w14:textId="77777777" w:rsidR="00A24500" w:rsidRPr="00A7572D" w:rsidRDefault="00A24500" w:rsidP="007F0EB7">
      <w:pPr>
        <w:pStyle w:val="Normalaftertitle"/>
        <w:rPr>
          <w:szCs w:val="24"/>
          <w:lang w:val="es-ES"/>
        </w:rPr>
      </w:pPr>
      <w:r w:rsidRPr="00A7572D">
        <w:rPr>
          <w:szCs w:val="24"/>
          <w:lang w:val="es-ES"/>
        </w:rPr>
        <w:t>Mantener.</w:t>
      </w:r>
    </w:p>
    <w:p w14:paraId="337BA3ED" w14:textId="77777777" w:rsidR="00A24500" w:rsidRPr="00A7572D" w:rsidRDefault="00A24500" w:rsidP="007F0EB7">
      <w:pPr>
        <w:pStyle w:val="RecNo"/>
        <w:rPr>
          <w:lang w:val="es-ES"/>
        </w:rPr>
      </w:pPr>
      <w:r w:rsidRPr="00A7572D">
        <w:rPr>
          <w:lang w:val="es-ES"/>
        </w:rPr>
        <w:t>RECOMENDACIÓN 37 (cMR</w:t>
      </w:r>
      <w:r w:rsidRPr="00A7572D">
        <w:rPr>
          <w:lang w:val="es-ES"/>
        </w:rPr>
        <w:noBreakHyphen/>
        <w:t>03)</w:t>
      </w:r>
    </w:p>
    <w:p w14:paraId="7898FCC3" w14:textId="77777777" w:rsidR="00A24500" w:rsidRPr="00A7572D" w:rsidRDefault="00A24500" w:rsidP="007F0EB7">
      <w:pPr>
        <w:pStyle w:val="Rectitle"/>
        <w:rPr>
          <w:rFonts w:eastAsia="SimSun"/>
          <w:lang w:val="es-ES" w:eastAsia="es-ES"/>
        </w:rPr>
      </w:pPr>
      <w:r w:rsidRPr="00A7572D">
        <w:rPr>
          <w:rFonts w:eastAsia="SimSun"/>
          <w:lang w:val="es-ES" w:eastAsia="es-ES"/>
        </w:rPr>
        <w:t>Procedimientos operacionales para la utilización de las estaciones terrenas a bordo de barcos (ESV)</w:t>
      </w:r>
    </w:p>
    <w:p w14:paraId="652D1B7F" w14:textId="77777777" w:rsidR="00A24500" w:rsidRPr="00A7572D" w:rsidRDefault="00A24500" w:rsidP="007F0EB7">
      <w:pPr>
        <w:pStyle w:val="Normalaftertitle"/>
        <w:rPr>
          <w:szCs w:val="24"/>
          <w:lang w:val="es-ES"/>
        </w:rPr>
      </w:pPr>
      <w:r w:rsidRPr="00A7572D">
        <w:rPr>
          <w:szCs w:val="24"/>
          <w:lang w:val="es-ES"/>
        </w:rPr>
        <w:t>Mantener.</w:t>
      </w:r>
    </w:p>
    <w:p w14:paraId="152CC57C" w14:textId="77777777" w:rsidR="00A24500" w:rsidRPr="00A7572D" w:rsidRDefault="00A24500" w:rsidP="007F0EB7">
      <w:pPr>
        <w:pStyle w:val="RecNo"/>
        <w:rPr>
          <w:lang w:val="es-ES"/>
        </w:rPr>
      </w:pPr>
      <w:r w:rsidRPr="00A7572D">
        <w:rPr>
          <w:lang w:val="es-ES"/>
        </w:rPr>
        <w:t>RECOMENDACIÓN 316 (</w:t>
      </w:r>
      <w:r w:rsidRPr="00A7572D">
        <w:rPr>
          <w:rFonts w:eastAsia="SimSun"/>
          <w:lang w:val="es-ES"/>
        </w:rPr>
        <w:t>Rev</w:t>
      </w:r>
      <w:r w:rsidRPr="00A7572D">
        <w:rPr>
          <w:lang w:val="es-ES"/>
        </w:rPr>
        <w:t>.MOB</w:t>
      </w:r>
      <w:r w:rsidRPr="00A7572D">
        <w:rPr>
          <w:lang w:val="es-ES"/>
        </w:rPr>
        <w:noBreakHyphen/>
        <w:t>87)</w:t>
      </w:r>
    </w:p>
    <w:p w14:paraId="43E80E4A" w14:textId="77777777" w:rsidR="00A24500" w:rsidRPr="00A7572D" w:rsidRDefault="00A24500" w:rsidP="007F0EB7">
      <w:pPr>
        <w:pStyle w:val="Rectitle"/>
        <w:rPr>
          <w:rFonts w:eastAsia="SimSun"/>
          <w:bCs/>
          <w:lang w:val="es-ES"/>
        </w:rPr>
      </w:pPr>
      <w:r w:rsidRPr="00A7572D">
        <w:rPr>
          <w:rFonts w:eastAsia="SimSun"/>
          <w:lang w:val="es-ES" w:eastAsia="es-ES"/>
        </w:rPr>
        <w:t>Uso de estaciones terrenas de barcos en los puertos y otras aguas bajo jurisdicción nacional</w:t>
      </w:r>
    </w:p>
    <w:p w14:paraId="16D2AF92" w14:textId="2161F924" w:rsidR="00A24500" w:rsidRPr="00A7572D" w:rsidRDefault="00A24500" w:rsidP="007F0EB7">
      <w:pPr>
        <w:pStyle w:val="Normalaftertitle"/>
        <w:rPr>
          <w:szCs w:val="24"/>
          <w:lang w:val="es-ES"/>
        </w:rPr>
      </w:pPr>
      <w:r w:rsidRPr="00A7572D">
        <w:rPr>
          <w:szCs w:val="24"/>
          <w:lang w:val="es-ES"/>
        </w:rPr>
        <w:t>Enmendar.</w:t>
      </w:r>
    </w:p>
    <w:p w14:paraId="24650ACD" w14:textId="77777777" w:rsidR="007F0EB7" w:rsidRPr="00A7572D" w:rsidRDefault="007F0EB7" w:rsidP="0032202E">
      <w:pPr>
        <w:pStyle w:val="Reasons"/>
        <w:rPr>
          <w:lang w:val="es-ES"/>
        </w:rPr>
      </w:pPr>
    </w:p>
    <w:p w14:paraId="535C10A5" w14:textId="77777777" w:rsidR="007F0EB7" w:rsidRPr="00A7572D" w:rsidRDefault="007F0EB7">
      <w:pPr>
        <w:jc w:val="center"/>
        <w:rPr>
          <w:lang w:val="es-ES"/>
        </w:rPr>
      </w:pPr>
      <w:r w:rsidRPr="00A7572D">
        <w:rPr>
          <w:lang w:val="es-ES"/>
        </w:rPr>
        <w:t>______________</w:t>
      </w:r>
    </w:p>
    <w:p w14:paraId="469F9FC3" w14:textId="77777777" w:rsidR="007F0EB7" w:rsidRPr="00A7572D" w:rsidRDefault="007F0EB7" w:rsidP="007F0EB7">
      <w:pPr>
        <w:rPr>
          <w:lang w:val="es-ES"/>
        </w:rPr>
      </w:pPr>
      <w:bookmarkStart w:id="14" w:name="_GoBack"/>
      <w:bookmarkEnd w:id="14"/>
    </w:p>
    <w:sectPr w:rsidR="007F0EB7" w:rsidRPr="00A7572D">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D53A" w14:textId="77777777" w:rsidR="00085F41" w:rsidRDefault="00085F41">
      <w:r>
        <w:separator/>
      </w:r>
    </w:p>
  </w:endnote>
  <w:endnote w:type="continuationSeparator" w:id="0">
    <w:p w14:paraId="179806B4" w14:textId="77777777" w:rsidR="00085F41" w:rsidRDefault="0008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BD9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E425E" w14:textId="49DB04C6" w:rsidR="0077084A" w:rsidRPr="00615DA7" w:rsidRDefault="0077084A">
    <w:pPr>
      <w:ind w:right="360"/>
    </w:pPr>
    <w:r>
      <w:fldChar w:fldCharType="begin"/>
    </w:r>
    <w:r w:rsidRPr="00615DA7">
      <w:instrText xml:space="preserve"> FILENAME \p  \* MERGEFORMAT </w:instrText>
    </w:r>
    <w:r>
      <w:fldChar w:fldCharType="separate"/>
    </w:r>
    <w:r w:rsidR="00F84E60">
      <w:rPr>
        <w:noProof/>
      </w:rPr>
      <w:t>P:\ESP\ITU-R\CONF-R\CMR19\000\017S.docx</w:t>
    </w:r>
    <w:r>
      <w:fldChar w:fldCharType="end"/>
    </w:r>
    <w:r w:rsidRPr="00615DA7">
      <w:tab/>
    </w:r>
    <w:r>
      <w:fldChar w:fldCharType="begin"/>
    </w:r>
    <w:r>
      <w:instrText xml:space="preserve"> SAVEDATE \@ DD.MM.YY </w:instrText>
    </w:r>
    <w:r>
      <w:fldChar w:fldCharType="separate"/>
    </w:r>
    <w:r w:rsidR="002046B0">
      <w:rPr>
        <w:noProof/>
      </w:rPr>
      <w:t>30.08.19</w:t>
    </w:r>
    <w:r>
      <w:fldChar w:fldCharType="end"/>
    </w:r>
    <w:r w:rsidRPr="00615DA7">
      <w:tab/>
    </w:r>
    <w:r>
      <w:fldChar w:fldCharType="begin"/>
    </w:r>
    <w:r>
      <w:instrText xml:space="preserve"> PRINTDATE \@ DD.MM.YY </w:instrText>
    </w:r>
    <w:r>
      <w:fldChar w:fldCharType="separate"/>
    </w:r>
    <w:r w:rsidR="00F84E60">
      <w:rPr>
        <w:noProof/>
      </w:rPr>
      <w:t>29.08.19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F2E" w14:textId="3E509DBE" w:rsidR="0077084A" w:rsidRDefault="00180365" w:rsidP="007F0EB7">
    <w:pPr>
      <w:pStyle w:val="Footer"/>
      <w:rPr>
        <w:lang w:val="en-US"/>
      </w:rPr>
    </w:pPr>
    <w:r>
      <w:fldChar w:fldCharType="begin"/>
    </w:r>
    <w:r>
      <w:instrText xml:space="preserve"> FILENAME \p  \* MERGEFORMAT </w:instrText>
    </w:r>
    <w:r>
      <w:fldChar w:fldCharType="separate"/>
    </w:r>
    <w:r w:rsidR="00F84E60">
      <w:t>P:\ESP\ITU-R\CONF-R\CMR19\000\017S.docx</w:t>
    </w:r>
    <w:r>
      <w:fldChar w:fldCharType="end"/>
    </w:r>
    <w:r w:rsidR="007F0EB7">
      <w:t xml:space="preserve"> (459911)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8B70" w14:textId="77777777" w:rsidR="001E6AFE" w:rsidRDefault="001E6AFE" w:rsidP="001E6AFE">
    <w:pPr>
      <w:pStyle w:val="Footer"/>
      <w:rPr>
        <w:lang w:val="en-US"/>
      </w:rPr>
    </w:pPr>
    <w:fldSimple w:instr=" FILENAME \p  \* MERGEFORMAT ">
      <w:r>
        <w:t>P:\ESP\ITU-R\CONF-R\CMR19\000\017S.docx</w:t>
      </w:r>
    </w:fldSimple>
    <w:r>
      <w:t xml:space="preserve"> (459911)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B4A6" w14:textId="77777777" w:rsidR="00085F41" w:rsidRDefault="00085F41">
      <w:r>
        <w:rPr>
          <w:b/>
        </w:rPr>
        <w:t>_______________</w:t>
      </w:r>
    </w:p>
  </w:footnote>
  <w:footnote w:type="continuationSeparator" w:id="0">
    <w:p w14:paraId="03993B07" w14:textId="77777777" w:rsidR="00085F41" w:rsidRDefault="0008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697D" w14:textId="1F0466A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80365">
      <w:rPr>
        <w:rStyle w:val="PageNumber"/>
        <w:noProof/>
      </w:rPr>
      <w:t>17</w:t>
    </w:r>
    <w:r>
      <w:rPr>
        <w:rStyle w:val="PageNumber"/>
      </w:rPr>
      <w:fldChar w:fldCharType="end"/>
    </w:r>
  </w:p>
  <w:p w14:paraId="0E6B922A" w14:textId="3C95ED84" w:rsidR="0077084A" w:rsidRDefault="00C918CF" w:rsidP="00A4450C">
    <w:pPr>
      <w:pStyle w:val="Header"/>
      <w:rPr>
        <w:lang w:val="en-US"/>
      </w:rPr>
    </w:pPr>
    <w:r>
      <w:rPr>
        <w:lang w:val="en-US"/>
      </w:rPr>
      <w:t>CMR19/</w:t>
    </w:r>
    <w:r w:rsidR="007F0EB7">
      <w:rPr>
        <w:lang w:val="en-US"/>
      </w:rPr>
      <w:t>17</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9145222"/>
    <w:multiLevelType w:val="hybridMultilevel"/>
    <w:tmpl w:val="52D2DAF2"/>
    <w:lvl w:ilvl="0" w:tplc="08090001">
      <w:start w:val="1"/>
      <w:numFmt w:val="bullet"/>
      <w:lvlText w:val=""/>
      <w:lvlJc w:val="left"/>
      <w:pPr>
        <w:ind w:left="3539" w:hanging="420"/>
      </w:pPr>
      <w:rPr>
        <w:rFonts w:ascii="Symbol" w:hAnsi="Symbol" w:hint="default"/>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41"/>
    <w:rsid w:val="00013812"/>
    <w:rsid w:val="00085F41"/>
    <w:rsid w:val="00087AE8"/>
    <w:rsid w:val="000D1059"/>
    <w:rsid w:val="000E45E1"/>
    <w:rsid w:val="000E5BF9"/>
    <w:rsid w:val="000F0E6D"/>
    <w:rsid w:val="00121170"/>
    <w:rsid w:val="00123CC5"/>
    <w:rsid w:val="00130059"/>
    <w:rsid w:val="0015142D"/>
    <w:rsid w:val="001616DC"/>
    <w:rsid w:val="00163962"/>
    <w:rsid w:val="00180365"/>
    <w:rsid w:val="00191A97"/>
    <w:rsid w:val="001C41FA"/>
    <w:rsid w:val="001E2B52"/>
    <w:rsid w:val="001E3F27"/>
    <w:rsid w:val="001E6AFE"/>
    <w:rsid w:val="002046B0"/>
    <w:rsid w:val="00236D2A"/>
    <w:rsid w:val="00255F12"/>
    <w:rsid w:val="00262C09"/>
    <w:rsid w:val="00280126"/>
    <w:rsid w:val="002A791F"/>
    <w:rsid w:val="002C1B26"/>
    <w:rsid w:val="002E701F"/>
    <w:rsid w:val="0032680B"/>
    <w:rsid w:val="00363A65"/>
    <w:rsid w:val="00377704"/>
    <w:rsid w:val="003C2508"/>
    <w:rsid w:val="003D0AA3"/>
    <w:rsid w:val="00440962"/>
    <w:rsid w:val="0044541C"/>
    <w:rsid w:val="00454553"/>
    <w:rsid w:val="004B124A"/>
    <w:rsid w:val="00532097"/>
    <w:rsid w:val="0058350F"/>
    <w:rsid w:val="005F2605"/>
    <w:rsid w:val="00615DA7"/>
    <w:rsid w:val="00662BA0"/>
    <w:rsid w:val="00692AAE"/>
    <w:rsid w:val="006D6E67"/>
    <w:rsid w:val="006F4023"/>
    <w:rsid w:val="00701C20"/>
    <w:rsid w:val="007354E9"/>
    <w:rsid w:val="007542C0"/>
    <w:rsid w:val="00765578"/>
    <w:rsid w:val="0077084A"/>
    <w:rsid w:val="007A1F7E"/>
    <w:rsid w:val="007C2317"/>
    <w:rsid w:val="007D330A"/>
    <w:rsid w:val="007F0EB7"/>
    <w:rsid w:val="00825AF7"/>
    <w:rsid w:val="00866AE6"/>
    <w:rsid w:val="008B2C95"/>
    <w:rsid w:val="008B5A71"/>
    <w:rsid w:val="008D6968"/>
    <w:rsid w:val="0094091F"/>
    <w:rsid w:val="009538D2"/>
    <w:rsid w:val="00973754"/>
    <w:rsid w:val="009A599E"/>
    <w:rsid w:val="009C0BED"/>
    <w:rsid w:val="009E11EC"/>
    <w:rsid w:val="009F6FD5"/>
    <w:rsid w:val="00A118DB"/>
    <w:rsid w:val="00A24500"/>
    <w:rsid w:val="00A4450C"/>
    <w:rsid w:val="00A53E11"/>
    <w:rsid w:val="00A7572D"/>
    <w:rsid w:val="00AA5E6C"/>
    <w:rsid w:val="00AE5677"/>
    <w:rsid w:val="00AF2F78"/>
    <w:rsid w:val="00B44B84"/>
    <w:rsid w:val="00B52D55"/>
    <w:rsid w:val="00B95DD9"/>
    <w:rsid w:val="00BE2E80"/>
    <w:rsid w:val="00BE5EDD"/>
    <w:rsid w:val="00BE6A1F"/>
    <w:rsid w:val="00C104EC"/>
    <w:rsid w:val="00C126C4"/>
    <w:rsid w:val="00C63EB5"/>
    <w:rsid w:val="00C8286D"/>
    <w:rsid w:val="00C8557B"/>
    <w:rsid w:val="00C918CF"/>
    <w:rsid w:val="00CC01E0"/>
    <w:rsid w:val="00CE60D2"/>
    <w:rsid w:val="00D0288A"/>
    <w:rsid w:val="00D04D3F"/>
    <w:rsid w:val="00D405F7"/>
    <w:rsid w:val="00D72A5D"/>
    <w:rsid w:val="00DC2DC1"/>
    <w:rsid w:val="00DC629B"/>
    <w:rsid w:val="00E262F1"/>
    <w:rsid w:val="00E401FB"/>
    <w:rsid w:val="00E71D14"/>
    <w:rsid w:val="00F1195C"/>
    <w:rsid w:val="00F53B28"/>
    <w:rsid w:val="00F8150C"/>
    <w:rsid w:val="00F84E6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C091CB"/>
  <w15:docId w15:val="{4DD1A6D6-68E7-4F2D-AD0D-7C310FD9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NormalaftertitleChar">
    <w:name w:val="Normal after title Char"/>
    <w:basedOn w:val="DefaultParagraphFont"/>
    <w:link w:val="Normalaftertitle"/>
    <w:locked/>
    <w:rsid w:val="00A24500"/>
    <w:rPr>
      <w:rFonts w:ascii="Times New Roman" w:hAnsi="Times New Roman"/>
      <w:sz w:val="24"/>
      <w:lang w:val="es-ES_tradnl" w:eastAsia="en-US"/>
    </w:rPr>
  </w:style>
  <w:style w:type="paragraph" w:customStyle="1" w:styleId="e">
    <w:name w:val="e"/>
    <w:basedOn w:val="enumlev1"/>
    <w:rsid w:val="00440962"/>
    <w:rPr>
      <w:sz w:val="22"/>
      <w:lang w:val="es-ES"/>
    </w:rPr>
  </w:style>
  <w:style w:type="paragraph" w:styleId="BalloonText">
    <w:name w:val="Balloon Text"/>
    <w:basedOn w:val="Normal"/>
    <w:link w:val="BalloonTextChar"/>
    <w:semiHidden/>
    <w:unhideWhenUsed/>
    <w:rsid w:val="00615D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A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la-aism.org/product/vhd-data-exchange-system-vdes-overview-11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6514-6D26-4DE1-AD4A-6B3DB58D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TotalTime>
  <Pages>17</Pages>
  <Words>4314</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Soriano, Manuel</dc:creator>
  <cp:keywords/>
  <cp:lastModifiedBy>Ferrer, Jacqueline</cp:lastModifiedBy>
  <cp:revision>3</cp:revision>
  <cp:lastPrinted>2019-08-29T14:39:00Z</cp:lastPrinted>
  <dcterms:created xsi:type="dcterms:W3CDTF">2019-08-30T09:48:00Z</dcterms:created>
  <dcterms:modified xsi:type="dcterms:W3CDTF">2019-08-30T09:49:00Z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