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834D7" w14:paraId="214AD456" w14:textId="77777777">
        <w:trPr>
          <w:cantSplit/>
        </w:trPr>
        <w:tc>
          <w:tcPr>
            <w:tcW w:w="6911" w:type="dxa"/>
          </w:tcPr>
          <w:p w14:paraId="404599A9" w14:textId="77777777" w:rsidR="00A066F1" w:rsidRPr="000834D7" w:rsidRDefault="00241FA2" w:rsidP="00116C7A">
            <w:pPr>
              <w:spacing w:before="400" w:after="48" w:line="240" w:lineRule="atLeast"/>
              <w:rPr>
                <w:rFonts w:ascii="Verdana" w:hAnsi="Verdana"/>
                <w:position w:val="6"/>
              </w:rPr>
            </w:pPr>
            <w:r w:rsidRPr="000834D7">
              <w:rPr>
                <w:rFonts w:ascii="Verdana" w:hAnsi="Verdana" w:cs="Times"/>
                <w:b/>
                <w:position w:val="6"/>
                <w:sz w:val="22"/>
                <w:szCs w:val="22"/>
              </w:rPr>
              <w:t>World Radiocommunication Conference (WRC-1</w:t>
            </w:r>
            <w:r w:rsidR="000E463E" w:rsidRPr="000834D7">
              <w:rPr>
                <w:rFonts w:ascii="Verdana" w:hAnsi="Verdana" w:cs="Times"/>
                <w:b/>
                <w:position w:val="6"/>
                <w:sz w:val="22"/>
                <w:szCs w:val="22"/>
              </w:rPr>
              <w:t>9</w:t>
            </w:r>
            <w:r w:rsidRPr="000834D7">
              <w:rPr>
                <w:rFonts w:ascii="Verdana" w:hAnsi="Verdana" w:cs="Times"/>
                <w:b/>
                <w:position w:val="6"/>
                <w:sz w:val="22"/>
                <w:szCs w:val="22"/>
              </w:rPr>
              <w:t>)</w:t>
            </w:r>
            <w:r w:rsidRPr="000834D7">
              <w:rPr>
                <w:rFonts w:ascii="Verdana" w:hAnsi="Verdana" w:cs="Times"/>
                <w:b/>
                <w:position w:val="6"/>
                <w:sz w:val="26"/>
                <w:szCs w:val="26"/>
              </w:rPr>
              <w:br/>
            </w:r>
            <w:r w:rsidR="00116C7A" w:rsidRPr="000834D7">
              <w:rPr>
                <w:rFonts w:ascii="Verdana" w:hAnsi="Verdana"/>
                <w:b/>
                <w:bCs/>
                <w:position w:val="6"/>
                <w:sz w:val="18"/>
                <w:szCs w:val="18"/>
              </w:rPr>
              <w:t>Sharm el-Sheikh, Egypt</w:t>
            </w:r>
            <w:r w:rsidRPr="000834D7">
              <w:rPr>
                <w:rFonts w:ascii="Verdana" w:hAnsi="Verdana"/>
                <w:b/>
                <w:bCs/>
                <w:position w:val="6"/>
                <w:sz w:val="18"/>
                <w:szCs w:val="18"/>
              </w:rPr>
              <w:t xml:space="preserve">, </w:t>
            </w:r>
            <w:r w:rsidR="000E463E" w:rsidRPr="000834D7">
              <w:rPr>
                <w:rFonts w:ascii="Verdana" w:hAnsi="Verdana"/>
                <w:b/>
                <w:bCs/>
                <w:position w:val="6"/>
                <w:sz w:val="18"/>
                <w:szCs w:val="18"/>
              </w:rPr>
              <w:t xml:space="preserve">28 October </w:t>
            </w:r>
            <w:r w:rsidRPr="000834D7">
              <w:rPr>
                <w:rFonts w:ascii="Verdana" w:hAnsi="Verdana"/>
                <w:b/>
                <w:bCs/>
                <w:position w:val="6"/>
                <w:sz w:val="18"/>
                <w:szCs w:val="18"/>
              </w:rPr>
              <w:t>–</w:t>
            </w:r>
            <w:r w:rsidR="000E463E" w:rsidRPr="000834D7">
              <w:rPr>
                <w:rFonts w:ascii="Verdana" w:hAnsi="Verdana"/>
                <w:b/>
                <w:bCs/>
                <w:position w:val="6"/>
                <w:sz w:val="18"/>
                <w:szCs w:val="18"/>
              </w:rPr>
              <w:t xml:space="preserve"> </w:t>
            </w:r>
            <w:r w:rsidRPr="000834D7">
              <w:rPr>
                <w:rFonts w:ascii="Verdana" w:hAnsi="Verdana"/>
                <w:b/>
                <w:bCs/>
                <w:position w:val="6"/>
                <w:sz w:val="18"/>
                <w:szCs w:val="18"/>
              </w:rPr>
              <w:t>2</w:t>
            </w:r>
            <w:r w:rsidR="000E463E" w:rsidRPr="000834D7">
              <w:rPr>
                <w:rFonts w:ascii="Verdana" w:hAnsi="Verdana"/>
                <w:b/>
                <w:bCs/>
                <w:position w:val="6"/>
                <w:sz w:val="18"/>
                <w:szCs w:val="18"/>
              </w:rPr>
              <w:t>2</w:t>
            </w:r>
            <w:r w:rsidRPr="000834D7">
              <w:rPr>
                <w:rFonts w:ascii="Verdana" w:hAnsi="Verdana"/>
                <w:b/>
                <w:bCs/>
                <w:position w:val="6"/>
                <w:sz w:val="18"/>
                <w:szCs w:val="18"/>
              </w:rPr>
              <w:t xml:space="preserve"> November 201</w:t>
            </w:r>
            <w:r w:rsidR="000E463E" w:rsidRPr="000834D7">
              <w:rPr>
                <w:rFonts w:ascii="Verdana" w:hAnsi="Verdana"/>
                <w:b/>
                <w:bCs/>
                <w:position w:val="6"/>
                <w:sz w:val="18"/>
                <w:szCs w:val="18"/>
              </w:rPr>
              <w:t>9</w:t>
            </w:r>
          </w:p>
        </w:tc>
        <w:tc>
          <w:tcPr>
            <w:tcW w:w="3120" w:type="dxa"/>
          </w:tcPr>
          <w:p w14:paraId="4924BBF0" w14:textId="77777777" w:rsidR="00A066F1" w:rsidRPr="000834D7" w:rsidRDefault="005F04D8" w:rsidP="003B2284">
            <w:pPr>
              <w:spacing w:before="0" w:line="240" w:lineRule="atLeast"/>
              <w:jc w:val="right"/>
            </w:pPr>
            <w:r w:rsidRPr="000834D7">
              <w:rPr>
                <w:noProof/>
                <w:lang w:eastAsia="en-GB"/>
              </w:rPr>
              <w:drawing>
                <wp:inline distT="0" distB="0" distL="0" distR="0" wp14:anchorId="07BD6E94" wp14:editId="0947C7F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0834D7" w14:paraId="7A365AAF" w14:textId="77777777">
        <w:trPr>
          <w:cantSplit/>
        </w:trPr>
        <w:tc>
          <w:tcPr>
            <w:tcW w:w="6911" w:type="dxa"/>
            <w:tcBorders>
              <w:bottom w:val="single" w:sz="12" w:space="0" w:color="auto"/>
            </w:tcBorders>
          </w:tcPr>
          <w:p w14:paraId="4EC09B2B" w14:textId="77777777" w:rsidR="00A066F1" w:rsidRPr="000834D7"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E0D95BD" w14:textId="77777777" w:rsidR="00A066F1" w:rsidRPr="000834D7" w:rsidRDefault="00A066F1" w:rsidP="00A066F1">
            <w:pPr>
              <w:spacing w:before="0" w:line="240" w:lineRule="atLeast"/>
              <w:rPr>
                <w:rFonts w:ascii="Verdana" w:hAnsi="Verdana"/>
                <w:szCs w:val="24"/>
              </w:rPr>
            </w:pPr>
          </w:p>
        </w:tc>
      </w:tr>
      <w:tr w:rsidR="00A066F1" w:rsidRPr="000834D7" w14:paraId="4AC5A287" w14:textId="77777777">
        <w:trPr>
          <w:cantSplit/>
        </w:trPr>
        <w:tc>
          <w:tcPr>
            <w:tcW w:w="6911" w:type="dxa"/>
            <w:tcBorders>
              <w:top w:val="single" w:sz="12" w:space="0" w:color="auto"/>
            </w:tcBorders>
          </w:tcPr>
          <w:p w14:paraId="1241E26A" w14:textId="77777777" w:rsidR="00A066F1" w:rsidRPr="000834D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497B349" w14:textId="77777777" w:rsidR="00A066F1" w:rsidRPr="000834D7" w:rsidRDefault="00A066F1" w:rsidP="00A066F1">
            <w:pPr>
              <w:spacing w:before="0" w:line="240" w:lineRule="atLeast"/>
              <w:rPr>
                <w:rFonts w:ascii="Verdana" w:hAnsi="Verdana"/>
                <w:sz w:val="20"/>
              </w:rPr>
            </w:pPr>
          </w:p>
        </w:tc>
      </w:tr>
      <w:tr w:rsidR="00A066F1" w:rsidRPr="000834D7" w14:paraId="291E63AB" w14:textId="77777777">
        <w:trPr>
          <w:cantSplit/>
          <w:trHeight w:val="23"/>
        </w:trPr>
        <w:tc>
          <w:tcPr>
            <w:tcW w:w="6911" w:type="dxa"/>
            <w:shd w:val="clear" w:color="auto" w:fill="auto"/>
          </w:tcPr>
          <w:p w14:paraId="1AF8F8ED" w14:textId="77777777" w:rsidR="00A066F1" w:rsidRPr="000834D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0834D7">
              <w:rPr>
                <w:rFonts w:ascii="Verdana" w:hAnsi="Verdana"/>
                <w:sz w:val="20"/>
                <w:szCs w:val="20"/>
              </w:rPr>
              <w:t>PLENARY MEETING</w:t>
            </w:r>
          </w:p>
        </w:tc>
        <w:tc>
          <w:tcPr>
            <w:tcW w:w="3120" w:type="dxa"/>
          </w:tcPr>
          <w:p w14:paraId="5C725471" w14:textId="77777777" w:rsidR="00A066F1" w:rsidRPr="000834D7" w:rsidRDefault="00E55816" w:rsidP="00AA666F">
            <w:pPr>
              <w:tabs>
                <w:tab w:val="left" w:pos="851"/>
              </w:tabs>
              <w:spacing w:before="0" w:line="240" w:lineRule="atLeast"/>
              <w:rPr>
                <w:rFonts w:ascii="Verdana" w:hAnsi="Verdana"/>
                <w:sz w:val="20"/>
              </w:rPr>
            </w:pPr>
            <w:r w:rsidRPr="000834D7">
              <w:rPr>
                <w:rFonts w:ascii="Verdana" w:hAnsi="Verdana"/>
                <w:b/>
                <w:sz w:val="20"/>
              </w:rPr>
              <w:t>Addendum 12 to</w:t>
            </w:r>
            <w:r w:rsidRPr="000834D7">
              <w:rPr>
                <w:rFonts w:ascii="Verdana" w:hAnsi="Verdana"/>
                <w:b/>
                <w:sz w:val="20"/>
              </w:rPr>
              <w:br/>
              <w:t>Document 24</w:t>
            </w:r>
            <w:r w:rsidR="00A066F1" w:rsidRPr="000834D7">
              <w:rPr>
                <w:rFonts w:ascii="Verdana" w:hAnsi="Verdana"/>
                <w:b/>
                <w:sz w:val="20"/>
              </w:rPr>
              <w:t>-</w:t>
            </w:r>
            <w:r w:rsidR="005E10C9" w:rsidRPr="000834D7">
              <w:rPr>
                <w:rFonts w:ascii="Verdana" w:hAnsi="Verdana"/>
                <w:b/>
                <w:sz w:val="20"/>
              </w:rPr>
              <w:t>E</w:t>
            </w:r>
          </w:p>
        </w:tc>
      </w:tr>
      <w:tr w:rsidR="00A066F1" w:rsidRPr="000834D7" w14:paraId="4A6219B2" w14:textId="77777777">
        <w:trPr>
          <w:cantSplit/>
          <w:trHeight w:val="23"/>
        </w:trPr>
        <w:tc>
          <w:tcPr>
            <w:tcW w:w="6911" w:type="dxa"/>
            <w:shd w:val="clear" w:color="auto" w:fill="auto"/>
          </w:tcPr>
          <w:p w14:paraId="0DE27130" w14:textId="77777777" w:rsidR="00A066F1" w:rsidRPr="000834D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31CFEA7" w14:textId="77777777" w:rsidR="00A066F1" w:rsidRPr="000834D7" w:rsidRDefault="00420873" w:rsidP="00A066F1">
            <w:pPr>
              <w:tabs>
                <w:tab w:val="left" w:pos="993"/>
              </w:tabs>
              <w:spacing w:before="0"/>
              <w:rPr>
                <w:rFonts w:ascii="Verdana" w:hAnsi="Verdana"/>
                <w:sz w:val="20"/>
              </w:rPr>
            </w:pPr>
            <w:r w:rsidRPr="000834D7">
              <w:rPr>
                <w:rFonts w:ascii="Verdana" w:hAnsi="Verdana"/>
                <w:b/>
                <w:sz w:val="20"/>
              </w:rPr>
              <w:t>20 September 2019</w:t>
            </w:r>
          </w:p>
        </w:tc>
      </w:tr>
      <w:tr w:rsidR="00A066F1" w:rsidRPr="000834D7" w14:paraId="1959F978" w14:textId="77777777">
        <w:trPr>
          <w:cantSplit/>
          <w:trHeight w:val="23"/>
        </w:trPr>
        <w:tc>
          <w:tcPr>
            <w:tcW w:w="6911" w:type="dxa"/>
            <w:shd w:val="clear" w:color="auto" w:fill="auto"/>
          </w:tcPr>
          <w:p w14:paraId="30809104" w14:textId="77777777" w:rsidR="00A066F1" w:rsidRPr="000834D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F4807A4" w14:textId="77777777" w:rsidR="00A066F1" w:rsidRPr="000834D7" w:rsidRDefault="00E55816" w:rsidP="006C2788">
            <w:pPr>
              <w:tabs>
                <w:tab w:val="left" w:pos="993"/>
              </w:tabs>
              <w:spacing w:before="0"/>
              <w:rPr>
                <w:rFonts w:ascii="Verdana" w:hAnsi="Verdana"/>
                <w:b/>
                <w:sz w:val="20"/>
              </w:rPr>
            </w:pPr>
            <w:r w:rsidRPr="000834D7">
              <w:rPr>
                <w:rFonts w:ascii="Verdana" w:hAnsi="Verdana"/>
                <w:b/>
                <w:sz w:val="20"/>
              </w:rPr>
              <w:t>Original: English</w:t>
            </w:r>
          </w:p>
        </w:tc>
      </w:tr>
      <w:tr w:rsidR="00A066F1" w:rsidRPr="000834D7" w14:paraId="208E625B" w14:textId="77777777" w:rsidTr="00025864">
        <w:trPr>
          <w:cantSplit/>
          <w:trHeight w:val="23"/>
        </w:trPr>
        <w:tc>
          <w:tcPr>
            <w:tcW w:w="10031" w:type="dxa"/>
            <w:gridSpan w:val="2"/>
            <w:shd w:val="clear" w:color="auto" w:fill="auto"/>
          </w:tcPr>
          <w:p w14:paraId="2BC430BC" w14:textId="77777777" w:rsidR="00A066F1" w:rsidRPr="000834D7" w:rsidRDefault="00A066F1" w:rsidP="00A066F1">
            <w:pPr>
              <w:tabs>
                <w:tab w:val="left" w:pos="993"/>
              </w:tabs>
              <w:spacing w:before="0"/>
              <w:rPr>
                <w:rFonts w:ascii="Verdana" w:hAnsi="Verdana"/>
                <w:b/>
                <w:sz w:val="20"/>
              </w:rPr>
            </w:pPr>
          </w:p>
        </w:tc>
      </w:tr>
      <w:tr w:rsidR="00E55816" w:rsidRPr="000834D7" w14:paraId="2D66F238" w14:textId="77777777" w:rsidTr="00025864">
        <w:trPr>
          <w:cantSplit/>
          <w:trHeight w:val="23"/>
        </w:trPr>
        <w:tc>
          <w:tcPr>
            <w:tcW w:w="10031" w:type="dxa"/>
            <w:gridSpan w:val="2"/>
            <w:shd w:val="clear" w:color="auto" w:fill="auto"/>
          </w:tcPr>
          <w:p w14:paraId="11601088" w14:textId="75F0DA36" w:rsidR="00E55816" w:rsidRPr="000834D7" w:rsidRDefault="00884D60" w:rsidP="00E55816">
            <w:pPr>
              <w:pStyle w:val="Source"/>
            </w:pPr>
            <w:r w:rsidRPr="000834D7">
              <w:t xml:space="preserve">Asia-Pacific </w:t>
            </w:r>
            <w:r w:rsidR="00D63804" w:rsidRPr="000834D7">
              <w:t>Telecommunity</w:t>
            </w:r>
            <w:r w:rsidRPr="000834D7">
              <w:t xml:space="preserve"> Common Proposals</w:t>
            </w:r>
          </w:p>
        </w:tc>
      </w:tr>
      <w:tr w:rsidR="00E55816" w:rsidRPr="000834D7" w14:paraId="4E2CBCDB" w14:textId="77777777" w:rsidTr="00025864">
        <w:trPr>
          <w:cantSplit/>
          <w:trHeight w:val="23"/>
        </w:trPr>
        <w:tc>
          <w:tcPr>
            <w:tcW w:w="10031" w:type="dxa"/>
            <w:gridSpan w:val="2"/>
            <w:shd w:val="clear" w:color="auto" w:fill="auto"/>
          </w:tcPr>
          <w:p w14:paraId="61672CC0" w14:textId="77777777" w:rsidR="00E55816" w:rsidRPr="000834D7" w:rsidRDefault="007D5320" w:rsidP="00E55816">
            <w:pPr>
              <w:pStyle w:val="Title1"/>
            </w:pPr>
            <w:r w:rsidRPr="000834D7">
              <w:t>Proposals for the work of the conference</w:t>
            </w:r>
          </w:p>
        </w:tc>
      </w:tr>
      <w:tr w:rsidR="00E55816" w:rsidRPr="000834D7" w14:paraId="7081D8E2" w14:textId="77777777" w:rsidTr="00025864">
        <w:trPr>
          <w:cantSplit/>
          <w:trHeight w:val="23"/>
        </w:trPr>
        <w:tc>
          <w:tcPr>
            <w:tcW w:w="10031" w:type="dxa"/>
            <w:gridSpan w:val="2"/>
            <w:shd w:val="clear" w:color="auto" w:fill="auto"/>
          </w:tcPr>
          <w:p w14:paraId="2556081C" w14:textId="77777777" w:rsidR="00E55816" w:rsidRPr="000834D7" w:rsidRDefault="00E55816" w:rsidP="00E55816">
            <w:pPr>
              <w:pStyle w:val="Title2"/>
            </w:pPr>
          </w:p>
        </w:tc>
      </w:tr>
      <w:tr w:rsidR="00A538A6" w:rsidRPr="000834D7" w14:paraId="4AAE9DCF" w14:textId="77777777" w:rsidTr="00025864">
        <w:trPr>
          <w:cantSplit/>
          <w:trHeight w:val="23"/>
        </w:trPr>
        <w:tc>
          <w:tcPr>
            <w:tcW w:w="10031" w:type="dxa"/>
            <w:gridSpan w:val="2"/>
            <w:shd w:val="clear" w:color="auto" w:fill="auto"/>
          </w:tcPr>
          <w:p w14:paraId="406A5794" w14:textId="77777777" w:rsidR="00A538A6" w:rsidRPr="000834D7" w:rsidRDefault="004B13CB" w:rsidP="004B13CB">
            <w:pPr>
              <w:pStyle w:val="Agendaitem"/>
              <w:rPr>
                <w:lang w:val="en-GB"/>
              </w:rPr>
            </w:pPr>
            <w:r w:rsidRPr="000834D7">
              <w:rPr>
                <w:lang w:val="en-GB"/>
              </w:rPr>
              <w:t>Agenda item 1.12</w:t>
            </w:r>
          </w:p>
        </w:tc>
      </w:tr>
    </w:tbl>
    <w:bookmarkEnd w:id="5"/>
    <w:bookmarkEnd w:id="6"/>
    <w:p w14:paraId="27E8EE42" w14:textId="77777777" w:rsidR="005118F7" w:rsidRPr="000834D7" w:rsidRDefault="00BD7210" w:rsidP="00AB5478">
      <w:pPr>
        <w:overflowPunct/>
        <w:autoSpaceDE/>
        <w:autoSpaceDN/>
        <w:adjustRightInd/>
        <w:textAlignment w:val="auto"/>
      </w:pPr>
      <w:r w:rsidRPr="000834D7">
        <w:t>1.12</w:t>
      </w:r>
      <w:r w:rsidRPr="000834D7">
        <w:tab/>
        <w:t xml:space="preserve">to consider possible global or regional harmonized frequency bands, to the maximum extent possible, for the implementation of evolving Intelligent Transport Systems (ITS) under existing mobile-service allocations, in accordance with Resolution </w:t>
      </w:r>
      <w:r w:rsidRPr="000834D7">
        <w:rPr>
          <w:b/>
          <w:bCs/>
        </w:rPr>
        <w:t>237 (WRC-15)</w:t>
      </w:r>
      <w:r w:rsidRPr="000834D7">
        <w:t>;</w:t>
      </w:r>
    </w:p>
    <w:p w14:paraId="2E092E92" w14:textId="77777777" w:rsidR="00EE75DB" w:rsidRPr="000834D7" w:rsidRDefault="00EE75DB" w:rsidP="00EE75DB">
      <w:pPr>
        <w:pStyle w:val="Headingb"/>
        <w:rPr>
          <w:lang w:val="en-GB"/>
        </w:rPr>
      </w:pPr>
      <w:r w:rsidRPr="000834D7">
        <w:rPr>
          <w:lang w:val="en-GB"/>
        </w:rPr>
        <w:t>Introduction</w:t>
      </w:r>
    </w:p>
    <w:p w14:paraId="314C73A7" w14:textId="7A36BF77" w:rsidR="00EE75DB" w:rsidRPr="000834D7" w:rsidRDefault="00EE75DB" w:rsidP="00EE75DB">
      <w:r w:rsidRPr="000834D7">
        <w:t>APT Members are of the view that there are needs for harmonization of spectrum use in existing mobile service allocations for evolving ITS. APT Members support possible harmonization of frequency bands in existing mobile service allocations for the implementation of evolving ITS. APT Members support the consideration of the frequency band 5 850-5 925 MHz, or parts thereof, as global harmonized frequency band for evolving ITS. APT Members also support the consideration of examples of ITS frequency bands in current use, as listed in the Annex of Recommendation ITU</w:t>
      </w:r>
      <w:r w:rsidR="000834D7" w:rsidRPr="000834D7">
        <w:noBreakHyphen/>
      </w:r>
      <w:r w:rsidRPr="000834D7">
        <w:t>R M.2121 for regional harmonized ITS frequency bands.</w:t>
      </w:r>
    </w:p>
    <w:p w14:paraId="5CFD94A0" w14:textId="77777777" w:rsidR="00EE75DB" w:rsidRPr="000834D7" w:rsidRDefault="00EE75DB" w:rsidP="00EE75DB">
      <w:r w:rsidRPr="000834D7">
        <w:t xml:space="preserve">APT Members agreed that no changes to the Table of Frequency Allocations are required for harmonization of spectrum use for ITS. </w:t>
      </w:r>
    </w:p>
    <w:p w14:paraId="073B987E" w14:textId="77777777" w:rsidR="00EE75DB" w:rsidRPr="000834D7" w:rsidRDefault="00EE75DB" w:rsidP="00EE75DB">
      <w:r w:rsidRPr="000834D7">
        <w:t xml:space="preserve">APT Members are also of the view that evolving ITS should not be restricted to, nor exclude, any particular evolving ITS technology including LTE based V2X and its evolution technologies. </w:t>
      </w:r>
    </w:p>
    <w:p w14:paraId="1455CF80" w14:textId="77777777" w:rsidR="00EE75DB" w:rsidRPr="000834D7" w:rsidRDefault="00EE75DB" w:rsidP="00EE75DB">
      <w:r w:rsidRPr="000834D7">
        <w:t>APT Members are also of the view that the use of frequency bands by ITS should not adversely affect other primary services to which these frequency bands are allocated should not claim protection from other primary services including FSS earth station uplinks.</w:t>
      </w:r>
    </w:p>
    <w:p w14:paraId="3B061E0B" w14:textId="77777777" w:rsidR="00EE75DB" w:rsidRPr="000834D7" w:rsidRDefault="00EE75DB" w:rsidP="00EE75DB">
      <w:r w:rsidRPr="000834D7">
        <w:t xml:space="preserve">APT Members support the suppression of Resolution </w:t>
      </w:r>
      <w:r w:rsidRPr="000834D7">
        <w:rPr>
          <w:b/>
          <w:bCs/>
        </w:rPr>
        <w:t>237 (WRC-15)</w:t>
      </w:r>
      <w:r w:rsidRPr="000834D7">
        <w:t>.</w:t>
      </w:r>
    </w:p>
    <w:p w14:paraId="74BB5CD7" w14:textId="77777777" w:rsidR="00241FA2" w:rsidRPr="000834D7" w:rsidRDefault="00EE75DB" w:rsidP="00D63804">
      <w:pPr>
        <w:pStyle w:val="Headingb"/>
        <w:pageBreakBefore/>
        <w:rPr>
          <w:lang w:val="en-GB"/>
        </w:rPr>
      </w:pPr>
      <w:r w:rsidRPr="000834D7">
        <w:rPr>
          <w:lang w:val="en-GB"/>
        </w:rPr>
        <w:lastRenderedPageBreak/>
        <w:t>Proposals</w:t>
      </w:r>
    </w:p>
    <w:p w14:paraId="4ECEDD2B" w14:textId="77777777" w:rsidR="008D4AB2" w:rsidRPr="000834D7" w:rsidRDefault="00BD7210">
      <w:pPr>
        <w:pStyle w:val="Proposal"/>
      </w:pPr>
      <w:r w:rsidRPr="000834D7">
        <w:rPr>
          <w:u w:val="single"/>
        </w:rPr>
        <w:t>NOC</w:t>
      </w:r>
      <w:r w:rsidRPr="000834D7">
        <w:tab/>
        <w:t>ACP/24A12/1</w:t>
      </w:r>
    </w:p>
    <w:p w14:paraId="71079030" w14:textId="77777777" w:rsidR="000632E5" w:rsidRPr="000834D7" w:rsidRDefault="00BD7210" w:rsidP="000632E5">
      <w:pPr>
        <w:pStyle w:val="Volumetitle"/>
      </w:pPr>
      <w:r w:rsidRPr="000834D7">
        <w:t>ARTICLES</w:t>
      </w:r>
    </w:p>
    <w:p w14:paraId="4A336BE9" w14:textId="77777777" w:rsidR="008D4AB2" w:rsidRPr="000834D7" w:rsidRDefault="00BD7210">
      <w:pPr>
        <w:pStyle w:val="Reasons"/>
      </w:pPr>
      <w:r w:rsidRPr="000834D7">
        <w:rPr>
          <w:b/>
        </w:rPr>
        <w:t>Reasons:</w:t>
      </w:r>
      <w:r w:rsidRPr="000834D7">
        <w:tab/>
      </w:r>
      <w:r w:rsidR="001C6094" w:rsidRPr="000834D7">
        <w:t>The global or regional harmonization framework proposed through a WRC Resolution, which does not contain any regulatory provisions, shall not have any modifications or changes to the Articles of the Radio Regulations, and allows for the continuation of work through ITU-R studies.</w:t>
      </w:r>
    </w:p>
    <w:p w14:paraId="31BFA7D5" w14:textId="77777777" w:rsidR="008D4AB2" w:rsidRPr="000834D7" w:rsidRDefault="00BD7210">
      <w:pPr>
        <w:pStyle w:val="Proposal"/>
      </w:pPr>
      <w:r w:rsidRPr="000834D7">
        <w:rPr>
          <w:u w:val="single"/>
        </w:rPr>
        <w:t>NOC</w:t>
      </w:r>
      <w:r w:rsidRPr="000834D7">
        <w:tab/>
        <w:t>ACP/24A12/2</w:t>
      </w:r>
    </w:p>
    <w:p w14:paraId="20965638" w14:textId="77777777" w:rsidR="008B2E84" w:rsidRPr="000834D7" w:rsidRDefault="00BD7210" w:rsidP="008B2E84">
      <w:pPr>
        <w:pStyle w:val="ArtNo"/>
        <w:spacing w:before="0"/>
      </w:pPr>
      <w:bookmarkStart w:id="7" w:name="_Toc451865291"/>
      <w:r w:rsidRPr="000834D7">
        <w:t xml:space="preserve">ARTICLE </w:t>
      </w:r>
      <w:r w:rsidRPr="000834D7">
        <w:rPr>
          <w:rStyle w:val="href"/>
          <w:rFonts w:eastAsiaTheme="majorEastAsia"/>
          <w:color w:val="000000"/>
        </w:rPr>
        <w:t>5</w:t>
      </w:r>
      <w:bookmarkEnd w:id="7"/>
    </w:p>
    <w:p w14:paraId="427672E4" w14:textId="77777777" w:rsidR="008B2E84" w:rsidRPr="000834D7" w:rsidRDefault="00BD7210" w:rsidP="008B2E84">
      <w:pPr>
        <w:pStyle w:val="Arttitle"/>
      </w:pPr>
      <w:bookmarkStart w:id="8" w:name="_Toc327956583"/>
      <w:bookmarkStart w:id="9" w:name="_Toc451865292"/>
      <w:r w:rsidRPr="000834D7">
        <w:t>Frequency allocations</w:t>
      </w:r>
      <w:bookmarkEnd w:id="8"/>
      <w:bookmarkEnd w:id="9"/>
    </w:p>
    <w:p w14:paraId="552278C8" w14:textId="77777777" w:rsidR="008D4AB2" w:rsidRPr="000834D7" w:rsidRDefault="00BD7210">
      <w:pPr>
        <w:pStyle w:val="Reasons"/>
      </w:pPr>
      <w:r w:rsidRPr="000834D7">
        <w:rPr>
          <w:b/>
        </w:rPr>
        <w:t>Reasons:</w:t>
      </w:r>
      <w:r w:rsidRPr="000834D7">
        <w:tab/>
      </w:r>
      <w:r w:rsidR="001C6094" w:rsidRPr="000834D7">
        <w:t>The global or regional harmonization framework proposed through a WRC Resolution, which does not contain any regulatory provisions, shall not have any modifications or changes to the Articles of the Radio Regulations, and allows for the continuation of work through ITU-R studies.</w:t>
      </w:r>
    </w:p>
    <w:p w14:paraId="26807656" w14:textId="77777777" w:rsidR="008D4AB2" w:rsidRPr="000834D7" w:rsidRDefault="00BD7210">
      <w:pPr>
        <w:pStyle w:val="Proposal"/>
      </w:pPr>
      <w:r w:rsidRPr="000834D7">
        <w:rPr>
          <w:u w:val="single"/>
        </w:rPr>
        <w:t>NOC</w:t>
      </w:r>
      <w:r w:rsidRPr="000834D7">
        <w:tab/>
        <w:t>ACP/24A12/3</w:t>
      </w:r>
    </w:p>
    <w:p w14:paraId="29488760" w14:textId="77777777" w:rsidR="00796ED6" w:rsidRPr="000834D7" w:rsidRDefault="00BD7210" w:rsidP="00D124A2">
      <w:pPr>
        <w:pStyle w:val="Volumetitle"/>
      </w:pPr>
      <w:bookmarkStart w:id="10" w:name="_Toc327956568"/>
      <w:r w:rsidRPr="000834D7">
        <w:t>APPENDICES</w:t>
      </w:r>
      <w:bookmarkEnd w:id="10"/>
    </w:p>
    <w:p w14:paraId="5E7E4850" w14:textId="77777777" w:rsidR="008D4AB2" w:rsidRPr="000834D7" w:rsidRDefault="00BD7210">
      <w:pPr>
        <w:pStyle w:val="Reasons"/>
      </w:pPr>
      <w:r w:rsidRPr="000834D7">
        <w:rPr>
          <w:b/>
        </w:rPr>
        <w:t>Reasons:</w:t>
      </w:r>
      <w:r w:rsidRPr="000834D7">
        <w:tab/>
      </w:r>
      <w:r w:rsidR="001C6094" w:rsidRPr="000834D7">
        <w:t>The global or regional harmonization framework proposed through a WRC Resolution, which does not contain any regulatory provisions, shall not have any modifications or changes to the Appendices of the Radio Regulations, and allows for the continuation of work through ITU-R studies.</w:t>
      </w:r>
    </w:p>
    <w:p w14:paraId="2DA9081F" w14:textId="77777777" w:rsidR="008D4AB2" w:rsidRPr="000834D7" w:rsidRDefault="00BD7210">
      <w:pPr>
        <w:pStyle w:val="Proposal"/>
      </w:pPr>
      <w:r w:rsidRPr="000834D7">
        <w:t>SUP</w:t>
      </w:r>
      <w:r w:rsidRPr="000834D7">
        <w:tab/>
        <w:t>ACP/24A12/4</w:t>
      </w:r>
      <w:r w:rsidRPr="000834D7">
        <w:rPr>
          <w:vanish/>
          <w:color w:val="7F7F7F" w:themeColor="text1" w:themeTint="80"/>
          <w:vertAlign w:val="superscript"/>
        </w:rPr>
        <w:t>#49725</w:t>
      </w:r>
    </w:p>
    <w:p w14:paraId="48A945AF" w14:textId="77777777" w:rsidR="001962A2" w:rsidRPr="000834D7" w:rsidRDefault="00BD7210" w:rsidP="00130FDA">
      <w:pPr>
        <w:pStyle w:val="ResNo"/>
      </w:pPr>
      <w:bookmarkStart w:id="11" w:name="_Toc450048690"/>
      <w:r w:rsidRPr="000834D7">
        <w:t xml:space="preserve">RESOLUTION </w:t>
      </w:r>
      <w:r w:rsidRPr="000834D7">
        <w:rPr>
          <w:rStyle w:val="href"/>
          <w:caps w:val="0"/>
        </w:rPr>
        <w:t>237</w:t>
      </w:r>
      <w:r w:rsidRPr="000834D7">
        <w:t xml:space="preserve"> (WRC-15)</w:t>
      </w:r>
      <w:bookmarkEnd w:id="11"/>
    </w:p>
    <w:p w14:paraId="20E31BCC" w14:textId="77777777" w:rsidR="001962A2" w:rsidRPr="000834D7" w:rsidRDefault="00BD7210" w:rsidP="00130FDA">
      <w:pPr>
        <w:pStyle w:val="Restitle"/>
        <w:rPr>
          <w:rFonts w:eastAsia="SimSun"/>
          <w:lang w:eastAsia="ja-JP"/>
        </w:rPr>
      </w:pPr>
      <w:bookmarkStart w:id="12" w:name="_Toc450048691"/>
      <w:r w:rsidRPr="000834D7">
        <w:t>Intelligent Transport Systems</w:t>
      </w:r>
      <w:r w:rsidRPr="000834D7">
        <w:rPr>
          <w:rFonts w:eastAsia="SimSun"/>
          <w:lang w:eastAsia="ja-JP"/>
        </w:rPr>
        <w:t xml:space="preserve"> applications</w:t>
      </w:r>
      <w:bookmarkEnd w:id="12"/>
    </w:p>
    <w:p w14:paraId="43AE370D" w14:textId="77777777" w:rsidR="008D4AB2" w:rsidRPr="000834D7" w:rsidRDefault="00BD7210">
      <w:pPr>
        <w:pStyle w:val="Reasons"/>
      </w:pPr>
      <w:r w:rsidRPr="000834D7">
        <w:rPr>
          <w:b/>
        </w:rPr>
        <w:t>Reasons:</w:t>
      </w:r>
      <w:r w:rsidRPr="000834D7">
        <w:tab/>
      </w:r>
      <w:r w:rsidR="001C6094" w:rsidRPr="000834D7">
        <w:t>No longer needed after WRC-19.</w:t>
      </w:r>
    </w:p>
    <w:p w14:paraId="0D82D4AD" w14:textId="77777777" w:rsidR="008D4AB2" w:rsidRPr="000834D7" w:rsidRDefault="00BD7210">
      <w:pPr>
        <w:pStyle w:val="Proposal"/>
      </w:pPr>
      <w:r w:rsidRPr="000834D7">
        <w:t>ADD</w:t>
      </w:r>
      <w:r w:rsidRPr="000834D7">
        <w:tab/>
        <w:t>ACP/24A12/5</w:t>
      </w:r>
      <w:r w:rsidRPr="000834D7">
        <w:rPr>
          <w:vanish/>
          <w:color w:val="7F7F7F" w:themeColor="text1" w:themeTint="80"/>
          <w:vertAlign w:val="superscript"/>
        </w:rPr>
        <w:t>#49726</w:t>
      </w:r>
    </w:p>
    <w:p w14:paraId="6F25BA5A" w14:textId="77777777" w:rsidR="001C6094" w:rsidRPr="000834D7" w:rsidRDefault="001C6094" w:rsidP="001C6094">
      <w:pPr>
        <w:pStyle w:val="ResNo"/>
      </w:pPr>
      <w:r w:rsidRPr="000834D7">
        <w:t>Draft New Resolution [ACP-A112] (WRC-19)</w:t>
      </w:r>
    </w:p>
    <w:p w14:paraId="156AEFCE" w14:textId="77777777" w:rsidR="001C6094" w:rsidRPr="000834D7" w:rsidRDefault="001C6094" w:rsidP="001C6094">
      <w:pPr>
        <w:pStyle w:val="Restitle"/>
      </w:pPr>
      <w:r w:rsidRPr="000834D7">
        <w:t>Harmonization of frequency bands for evolving Intelligent Transport Systems applications under mobile service allocations</w:t>
      </w:r>
    </w:p>
    <w:p w14:paraId="427E74E6" w14:textId="77777777" w:rsidR="001C6094" w:rsidRPr="000834D7" w:rsidRDefault="001C6094" w:rsidP="001C6094">
      <w:pPr>
        <w:spacing w:before="280"/>
      </w:pPr>
      <w:r w:rsidRPr="000834D7">
        <w:t>The World Radiocommunication Conference (Sharm el-Sheikh, 2019),</w:t>
      </w:r>
    </w:p>
    <w:p w14:paraId="085764D7" w14:textId="77777777" w:rsidR="001C6094" w:rsidRPr="000834D7" w:rsidRDefault="001C6094" w:rsidP="001C6094">
      <w:pPr>
        <w:pStyle w:val="Call"/>
      </w:pPr>
      <w:r w:rsidRPr="000834D7">
        <w:t>considering</w:t>
      </w:r>
    </w:p>
    <w:p w14:paraId="1BC431F2" w14:textId="77777777" w:rsidR="001C6094" w:rsidRPr="000834D7" w:rsidRDefault="001C6094" w:rsidP="001C6094">
      <w:r w:rsidRPr="000834D7">
        <w:rPr>
          <w:i/>
          <w:iCs/>
        </w:rPr>
        <w:t>a)</w:t>
      </w:r>
      <w:r w:rsidRPr="000834D7">
        <w:tab/>
        <w:t xml:space="preserve">that information and communication technologies are integrated in a vehicle system to provide </w:t>
      </w:r>
      <w:r w:rsidRPr="000834D7">
        <w:rPr>
          <w:lang w:eastAsia="zh-CN"/>
        </w:rPr>
        <w:t xml:space="preserve">evolving </w:t>
      </w:r>
      <w:r w:rsidRPr="000834D7">
        <w:t xml:space="preserve">Intelligent Transport Systems (ITS) communication applications for the purpose of improving traffic management and assisting safer driving; </w:t>
      </w:r>
    </w:p>
    <w:p w14:paraId="50BCE056" w14:textId="77777777" w:rsidR="001C6094" w:rsidRPr="000834D7" w:rsidRDefault="001C6094" w:rsidP="001C6094">
      <w:r w:rsidRPr="000834D7">
        <w:rPr>
          <w:i/>
          <w:iCs/>
        </w:rPr>
        <w:lastRenderedPageBreak/>
        <w:t>b)</w:t>
      </w:r>
      <w:r w:rsidRPr="000834D7">
        <w:tab/>
        <w:t xml:space="preserve">that there is a need for consideration of spectrum harmonization for </w:t>
      </w:r>
      <w:r w:rsidRPr="000834D7">
        <w:rPr>
          <w:lang w:eastAsia="zh-CN"/>
        </w:rPr>
        <w:t xml:space="preserve">evolving </w:t>
      </w:r>
      <w:r w:rsidRPr="000834D7">
        <w:t xml:space="preserve">ITS applications, which are being used globally or regionally; </w:t>
      </w:r>
    </w:p>
    <w:p w14:paraId="78F731C2" w14:textId="77777777" w:rsidR="001C6094" w:rsidRPr="000834D7" w:rsidRDefault="001C6094" w:rsidP="001C6094">
      <w:r w:rsidRPr="000834D7">
        <w:rPr>
          <w:i/>
          <w:iCs/>
        </w:rPr>
        <w:t>c)</w:t>
      </w:r>
      <w:r w:rsidRPr="000834D7">
        <w:tab/>
        <w:t xml:space="preserve">that there is a need to integrate various technologies, including radiocommunications, into land transportation systems; </w:t>
      </w:r>
    </w:p>
    <w:p w14:paraId="3E3CDC9B" w14:textId="77777777" w:rsidR="001C6094" w:rsidRPr="000834D7" w:rsidRDefault="001C6094" w:rsidP="001C6094">
      <w:r w:rsidRPr="000834D7">
        <w:rPr>
          <w:i/>
          <w:iCs/>
        </w:rPr>
        <w:t>d)</w:t>
      </w:r>
      <w:r w:rsidRPr="000834D7">
        <w:tab/>
        <w:t xml:space="preserve">that many new connected vehicles use intelligent technologies in the vehicles’ combined advanced traffic management, advanced traveller information, advanced public transportation management systems and/or advanced fleet management systems to improve traffic management; </w:t>
      </w:r>
    </w:p>
    <w:p w14:paraId="3FE80D56" w14:textId="77777777" w:rsidR="001C6094" w:rsidRPr="000834D7" w:rsidRDefault="001C6094" w:rsidP="001C6094">
      <w:r w:rsidRPr="000834D7">
        <w:rPr>
          <w:i/>
          <w:iCs/>
        </w:rPr>
        <w:t>e)</w:t>
      </w:r>
      <w:r w:rsidRPr="000834D7">
        <w:tab/>
        <w:t>that future vehicular radiocommunication technologies and ITS broadcast systems are emerging;</w:t>
      </w:r>
    </w:p>
    <w:p w14:paraId="44546CB7" w14:textId="77777777" w:rsidR="001C6094" w:rsidRPr="000834D7" w:rsidRDefault="001C6094" w:rsidP="001C6094">
      <w:r w:rsidRPr="000834D7">
        <w:rPr>
          <w:i/>
          <w:iCs/>
        </w:rPr>
        <w:t>f)</w:t>
      </w:r>
      <w:r w:rsidRPr="000834D7">
        <w:tab/>
        <w:t>that some administrations have harmonized frequency bands for ITS radiocommunication applications;</w:t>
      </w:r>
    </w:p>
    <w:p w14:paraId="75DB8577" w14:textId="77777777" w:rsidR="001C6094" w:rsidRPr="000834D7" w:rsidRDefault="001C6094" w:rsidP="001C6094">
      <w:r w:rsidRPr="000834D7">
        <w:rPr>
          <w:i/>
          <w:iCs/>
        </w:rPr>
        <w:t>g)</w:t>
      </w:r>
      <w:r w:rsidRPr="000834D7">
        <w:tab/>
        <w:t>that under certain circumstances, FSS earth station uplinks may create potential interference to ITS stations which may have operational issues while in close proximity;</w:t>
      </w:r>
    </w:p>
    <w:p w14:paraId="019C1009" w14:textId="77777777" w:rsidR="001C6094" w:rsidRPr="000834D7" w:rsidRDefault="001C6094" w:rsidP="001C6094">
      <w:r w:rsidRPr="000834D7">
        <w:rPr>
          <w:i/>
          <w:iCs/>
          <w:lang w:eastAsia="ja-JP"/>
        </w:rPr>
        <w:t>h)</w:t>
      </w:r>
      <w:r w:rsidRPr="000834D7">
        <w:rPr>
          <w:lang w:eastAsia="ja-JP"/>
        </w:rPr>
        <w:tab/>
      </w:r>
      <w:r w:rsidRPr="000834D7">
        <w:t>that</w:t>
      </w:r>
      <w:r w:rsidRPr="000834D7">
        <w:rPr>
          <w:lang w:eastAsia="ja-JP"/>
        </w:rPr>
        <w:t xml:space="preserve"> the compatibility between ITS stations and FSS space stations is achievable for certain ITS stations as an interferer,</w:t>
      </w:r>
    </w:p>
    <w:p w14:paraId="5B1FC8AA" w14:textId="77777777" w:rsidR="001C6094" w:rsidRPr="000834D7" w:rsidRDefault="001C6094" w:rsidP="001C6094">
      <w:pPr>
        <w:pStyle w:val="Call"/>
      </w:pPr>
      <w:r w:rsidRPr="000834D7">
        <w:t>recognizing</w:t>
      </w:r>
    </w:p>
    <w:p w14:paraId="6D61FFB7" w14:textId="77777777" w:rsidR="001C6094" w:rsidRPr="000834D7" w:rsidRDefault="001C6094" w:rsidP="001C6094">
      <w:r w:rsidRPr="000834D7">
        <w:rPr>
          <w:i/>
        </w:rPr>
        <w:t>a)</w:t>
      </w:r>
      <w:r w:rsidRPr="000834D7">
        <w:rPr>
          <w:i/>
        </w:rPr>
        <w:tab/>
      </w:r>
      <w:r w:rsidRPr="000834D7">
        <w:t>that harmonized spectrum and international standards would facilitate worldwide deployment of evolving ITS radiocommunications and provide for economies of scale in bringing evolving ITS equipment and services to the public;</w:t>
      </w:r>
    </w:p>
    <w:p w14:paraId="639C129A" w14:textId="77777777" w:rsidR="001C6094" w:rsidRPr="000834D7" w:rsidRDefault="001C6094" w:rsidP="001C6094">
      <w:r w:rsidRPr="000834D7">
        <w:rPr>
          <w:i/>
          <w:iCs/>
        </w:rPr>
        <w:t>b)</w:t>
      </w:r>
      <w:r w:rsidRPr="000834D7">
        <w:tab/>
        <w:t>that the designation of those harmonized frequency bands</w:t>
      </w:r>
      <w:r w:rsidRPr="000834D7">
        <w:rPr>
          <w:rFonts w:eastAsia="SimSun"/>
          <w:lang w:eastAsia="zh-CN"/>
        </w:rPr>
        <w:t>,</w:t>
      </w:r>
      <w:r w:rsidRPr="000834D7">
        <w:t xml:space="preserve"> or parts thereof</w:t>
      </w:r>
      <w:r w:rsidRPr="000834D7">
        <w:rPr>
          <w:rFonts w:eastAsia="SimSun"/>
          <w:lang w:eastAsia="zh-CN"/>
        </w:rPr>
        <w:t>,</w:t>
      </w:r>
      <w:r w:rsidRPr="000834D7">
        <w:t xml:space="preserve"> for evolving ITS does not preclude the use of these bands/frequencies by any other application of the services to which they are allocated and does not establish priority in applying and using the Radio Regulations;</w:t>
      </w:r>
    </w:p>
    <w:p w14:paraId="75829959" w14:textId="77777777" w:rsidR="001C6094" w:rsidRPr="000834D7" w:rsidRDefault="001C6094" w:rsidP="001C6094">
      <w:r w:rsidRPr="000834D7">
        <w:rPr>
          <w:i/>
        </w:rPr>
        <w:t>c)</w:t>
      </w:r>
      <w:r w:rsidRPr="000834D7">
        <w:tab/>
        <w:t>that in those harmonized frequency bands or parts thereof for ITS, there are existing services whose protection needs to be ensured;</w:t>
      </w:r>
    </w:p>
    <w:p w14:paraId="2E41F1C1" w14:textId="77777777" w:rsidR="001C6094" w:rsidRPr="000834D7" w:rsidRDefault="001C6094" w:rsidP="001C6094">
      <w:r w:rsidRPr="000834D7">
        <w:rPr>
          <w:i/>
        </w:rPr>
        <w:t>d)</w:t>
      </w:r>
      <w:r w:rsidRPr="000834D7">
        <w:tab/>
        <w:t>that a certain country in Region 3 operates an ITS system around 5.8 GHz as described in Recommendation ITU</w:t>
      </w:r>
      <w:r w:rsidRPr="000834D7">
        <w:noBreakHyphen/>
        <w:t>R M.1453;</w:t>
      </w:r>
    </w:p>
    <w:p w14:paraId="32E44DDC" w14:textId="77777777" w:rsidR="001C6094" w:rsidRPr="000834D7" w:rsidRDefault="001C6094" w:rsidP="001C6094">
      <w:pPr>
        <w:rPr>
          <w:lang w:eastAsia="ja-JP"/>
        </w:rPr>
      </w:pPr>
      <w:r w:rsidRPr="000834D7">
        <w:rPr>
          <w:i/>
          <w:iCs/>
        </w:rPr>
        <w:t>e)</w:t>
      </w:r>
      <w:r w:rsidRPr="000834D7">
        <w:tab/>
        <w:t xml:space="preserve">that </w:t>
      </w:r>
      <w:r w:rsidRPr="000834D7">
        <w:rPr>
          <w:lang w:eastAsia="ja-JP"/>
        </w:rPr>
        <w:t>evolving ITS also becomes important in helping to reduce road traffic problems such as congestion and accidents</w:t>
      </w:r>
      <w:r w:rsidRPr="000834D7">
        <w:t>;</w:t>
      </w:r>
    </w:p>
    <w:p w14:paraId="7B8BB51A" w14:textId="77777777" w:rsidR="001C6094" w:rsidRPr="000834D7" w:rsidRDefault="001C6094" w:rsidP="001C6094">
      <w:pPr>
        <w:rPr>
          <w:lang w:eastAsia="zh-CN"/>
        </w:rPr>
      </w:pPr>
      <w:r w:rsidRPr="000834D7">
        <w:rPr>
          <w:i/>
          <w:iCs/>
          <w:lang w:eastAsia="ja-JP"/>
        </w:rPr>
        <w:t>f)</w:t>
      </w:r>
      <w:r w:rsidRPr="000834D7">
        <w:rPr>
          <w:lang w:eastAsia="ja-JP"/>
        </w:rPr>
        <w:tab/>
        <w:t>that ITU-R studies on evolving ITS technologies</w:t>
      </w:r>
      <w:r w:rsidRPr="000834D7">
        <w:rPr>
          <w:lang w:eastAsia="zh-CN"/>
        </w:rPr>
        <w:t xml:space="preserve"> </w:t>
      </w:r>
      <w:r w:rsidRPr="000834D7">
        <w:rPr>
          <w:lang w:eastAsia="ja-JP"/>
        </w:rPr>
        <w:t>(</w:t>
      </w:r>
      <w:r w:rsidRPr="000834D7">
        <w:rPr>
          <w:lang w:eastAsia="zh-CN"/>
        </w:rPr>
        <w:t>e.g.</w:t>
      </w:r>
      <w:r w:rsidRPr="000834D7">
        <w:rPr>
          <w:iCs/>
        </w:rPr>
        <w:t> </w:t>
      </w:r>
      <w:r w:rsidRPr="000834D7">
        <w:rPr>
          <w:lang w:eastAsia="ja-JP"/>
        </w:rPr>
        <w:t>WAVE</w:t>
      </w:r>
      <w:r w:rsidRPr="000834D7">
        <w:rPr>
          <w:lang w:eastAsia="zh-CN"/>
        </w:rPr>
        <w:t xml:space="preserve">, </w:t>
      </w:r>
      <w:r w:rsidRPr="000834D7">
        <w:rPr>
          <w:lang w:eastAsia="ja-JP"/>
        </w:rPr>
        <w:t>ETSI ITS-G5</w:t>
      </w:r>
      <w:r w:rsidRPr="000834D7">
        <w:rPr>
          <w:lang w:eastAsia="zh-CN"/>
        </w:rPr>
        <w:t xml:space="preserve">, </w:t>
      </w:r>
      <w:r w:rsidRPr="000834D7">
        <w:rPr>
          <w:lang w:eastAsia="ja-JP"/>
        </w:rPr>
        <w:t>LTE</w:t>
      </w:r>
      <w:r w:rsidRPr="000834D7">
        <w:rPr>
          <w:lang w:eastAsia="ja-JP"/>
        </w:rPr>
        <w:noBreakHyphen/>
        <w:t xml:space="preserve">based V2X, ITS Connect) </w:t>
      </w:r>
      <w:r w:rsidRPr="000834D7">
        <w:rPr>
          <w:lang w:eastAsia="ko-KR"/>
        </w:rPr>
        <w:t>are meant to</w:t>
      </w:r>
      <w:r w:rsidRPr="000834D7">
        <w:rPr>
          <w:lang w:eastAsia="zh-CN"/>
        </w:rPr>
        <w:t xml:space="preserve"> address road safety and efficiency-related matters,</w:t>
      </w:r>
    </w:p>
    <w:p w14:paraId="39AFB1E3" w14:textId="77777777" w:rsidR="001C6094" w:rsidRPr="000834D7" w:rsidRDefault="001C6094" w:rsidP="001C6094">
      <w:pPr>
        <w:pStyle w:val="Call"/>
        <w:rPr>
          <w:rFonts w:eastAsia="MS Mincho"/>
          <w:lang w:eastAsia="zh-CN"/>
        </w:rPr>
      </w:pPr>
      <w:r w:rsidRPr="000834D7">
        <w:t>noting</w:t>
      </w:r>
    </w:p>
    <w:p w14:paraId="24482CA8" w14:textId="77777777" w:rsidR="001C6094" w:rsidRPr="000834D7" w:rsidRDefault="001C6094" w:rsidP="001C6094">
      <w:r w:rsidRPr="000834D7">
        <w:rPr>
          <w:i/>
        </w:rPr>
        <w:t>a)</w:t>
      </w:r>
      <w:r w:rsidRPr="000834D7">
        <w:tab/>
        <w:t>that the guidelines for radio interface requirements of ITS are described in</w:t>
      </w:r>
      <w:r w:rsidRPr="000834D7">
        <w:rPr>
          <w:lang w:eastAsia="ja-JP"/>
        </w:rPr>
        <w:t xml:space="preserve"> </w:t>
      </w:r>
      <w:r w:rsidRPr="000834D7">
        <w:t>Recommendation ITU</w:t>
      </w:r>
      <w:r w:rsidRPr="000834D7">
        <w:noBreakHyphen/>
        <w:t>R M.1890;</w:t>
      </w:r>
    </w:p>
    <w:p w14:paraId="7FE5DEAD" w14:textId="77777777" w:rsidR="001C6094" w:rsidRPr="000834D7" w:rsidRDefault="001C6094" w:rsidP="001C6094">
      <w:r w:rsidRPr="000834D7">
        <w:rPr>
          <w:i/>
          <w:iCs/>
          <w:lang w:eastAsia="zh-CN"/>
        </w:rPr>
        <w:t>b)</w:t>
      </w:r>
      <w:r w:rsidRPr="000834D7">
        <w:rPr>
          <w:lang w:eastAsia="zh-CN"/>
        </w:rPr>
        <w:tab/>
      </w:r>
      <w:r w:rsidRPr="000834D7">
        <w:t>that outlines of technologies and characteristics for dedicated short-range communications at 5.8 GHz are described in Recommendation ITU</w:t>
      </w:r>
      <w:r w:rsidRPr="000834D7">
        <w:noBreakHyphen/>
        <w:t>R M.1453;</w:t>
      </w:r>
    </w:p>
    <w:p w14:paraId="309C9526" w14:textId="77777777" w:rsidR="001C6094" w:rsidRPr="000834D7" w:rsidRDefault="001C6094" w:rsidP="001C6094">
      <w:r w:rsidRPr="000834D7">
        <w:rPr>
          <w:i/>
        </w:rPr>
        <w:t>c)</w:t>
      </w:r>
      <w:r w:rsidRPr="000834D7">
        <w:rPr>
          <w:i/>
        </w:rPr>
        <w:tab/>
      </w:r>
      <w:r w:rsidRPr="000834D7">
        <w:t>that some administrations in each of the three Regions have deployed radiocommunication local area networks in the frequency band 5 725-5 850 MHz and some administrations are considering allowing radiocommunication local area networks in the frequency band 5 850-5 925 MHz;</w:t>
      </w:r>
    </w:p>
    <w:p w14:paraId="0212A7DA" w14:textId="77777777" w:rsidR="001C6094" w:rsidRPr="000834D7" w:rsidRDefault="001C6094" w:rsidP="001C6094">
      <w:r w:rsidRPr="000834D7">
        <w:rPr>
          <w:i/>
          <w:iCs/>
          <w:lang w:eastAsia="zh-CN"/>
        </w:rPr>
        <w:lastRenderedPageBreak/>
        <w:t>d)</w:t>
      </w:r>
      <w:r w:rsidRPr="000834D7">
        <w:rPr>
          <w:lang w:eastAsia="zh-CN"/>
        </w:rPr>
        <w:tab/>
      </w:r>
      <w:r w:rsidRPr="000834D7">
        <w:t>that studies, feasibility tests, and actual operation of advanced evolving ITS radiocommunications have been actively conducted towards the realization of traffic safety and a reduction of environmental impact as described in Report ITU</w:t>
      </w:r>
      <w:r w:rsidRPr="000834D7">
        <w:noBreakHyphen/>
        <w:t>R M.2228;</w:t>
      </w:r>
    </w:p>
    <w:p w14:paraId="20BE0FE4" w14:textId="77777777" w:rsidR="001C6094" w:rsidRPr="000834D7" w:rsidRDefault="001C6094" w:rsidP="001C6094">
      <w:r w:rsidRPr="000834D7">
        <w:rPr>
          <w:i/>
          <w:iCs/>
        </w:rPr>
        <w:t>e)</w:t>
      </w:r>
      <w:r w:rsidRPr="000834D7">
        <w:rPr>
          <w:lang w:eastAsia="zh-CN"/>
        </w:rPr>
        <w:tab/>
      </w:r>
      <w:r w:rsidRPr="000834D7">
        <w:t>that radio interface standards of vehicle-to-vehicle and vehicle-to-infrastructure communications for evolving ITS applications are described in Recommendation ITU</w:t>
      </w:r>
      <w:r w:rsidRPr="000834D7">
        <w:noBreakHyphen/>
        <w:t>R M.2084;</w:t>
      </w:r>
    </w:p>
    <w:p w14:paraId="3674726D" w14:textId="77777777" w:rsidR="001C6094" w:rsidRPr="000834D7" w:rsidRDefault="001C6094" w:rsidP="001C6094">
      <w:pPr>
        <w:rPr>
          <w:lang w:eastAsia="zh-CN"/>
        </w:rPr>
      </w:pPr>
      <w:r w:rsidRPr="000834D7">
        <w:rPr>
          <w:i/>
          <w:iCs/>
        </w:rPr>
        <w:t>f)</w:t>
      </w:r>
      <w:r w:rsidRPr="000834D7">
        <w:tab/>
        <w:t xml:space="preserve">that </w:t>
      </w:r>
      <w:r w:rsidRPr="000834D7">
        <w:rPr>
          <w:lang w:eastAsia="zh-CN"/>
        </w:rPr>
        <w:t xml:space="preserve">ITS usage in ITU </w:t>
      </w:r>
      <w:r w:rsidRPr="000834D7">
        <w:t>Member</w:t>
      </w:r>
      <w:r w:rsidRPr="000834D7">
        <w:rPr>
          <w:lang w:eastAsia="zh-CN"/>
        </w:rPr>
        <w:t xml:space="preserve"> States is described in Report ITU</w:t>
      </w:r>
      <w:r w:rsidRPr="000834D7">
        <w:rPr>
          <w:lang w:eastAsia="zh-CN"/>
        </w:rPr>
        <w:noBreakHyphen/>
        <w:t>R M.2445;</w:t>
      </w:r>
    </w:p>
    <w:p w14:paraId="2C568CDA" w14:textId="77777777" w:rsidR="001C6094" w:rsidRPr="000834D7" w:rsidRDefault="001C6094" w:rsidP="001C6094">
      <w:pPr>
        <w:rPr>
          <w:lang w:eastAsia="zh-CN"/>
        </w:rPr>
      </w:pPr>
      <w:r w:rsidRPr="000834D7">
        <w:rPr>
          <w:i/>
          <w:lang w:eastAsia="zh-CN"/>
        </w:rPr>
        <w:t>g</w:t>
      </w:r>
      <w:r w:rsidRPr="000834D7">
        <w:rPr>
          <w:i/>
          <w:iCs/>
          <w:lang w:eastAsia="zh-CN"/>
        </w:rPr>
        <w:t>)</w:t>
      </w:r>
      <w:r w:rsidRPr="000834D7">
        <w:rPr>
          <w:lang w:eastAsia="zh-CN"/>
        </w:rPr>
        <w:tab/>
        <w:t>that some administrations have considered that ITS devices cannot claim protection from FSS earth station uplinks in 5 850-5 925 MHz in order to facilitate coexistence, in which case ITS devices deployed need to cope with the interference created by FSS earth station uplinks;</w:t>
      </w:r>
    </w:p>
    <w:p w14:paraId="0F664517" w14:textId="77777777" w:rsidR="001C6094" w:rsidRPr="000834D7" w:rsidRDefault="001C6094" w:rsidP="001C6094">
      <w:pPr>
        <w:rPr>
          <w:rFonts w:eastAsia="MS Mincho"/>
        </w:rPr>
      </w:pPr>
      <w:r w:rsidRPr="000834D7">
        <w:rPr>
          <w:i/>
          <w:iCs/>
        </w:rPr>
        <w:t>h)</w:t>
      </w:r>
      <w:r w:rsidRPr="000834D7">
        <w:tab/>
        <w:t>that some administrations in Region 1, in the spirit of Article </w:t>
      </w:r>
      <w:r w:rsidRPr="000834D7">
        <w:rPr>
          <w:b/>
          <w:bCs/>
        </w:rPr>
        <w:t>6</w:t>
      </w:r>
      <w:r w:rsidRPr="000834D7">
        <w:t>, have applied a coordinated approach by which when they deploy ITS stations, protection cannot be claimed from FSS earth station uplinks in 5 850-5 925 MHz;</w:t>
      </w:r>
    </w:p>
    <w:p w14:paraId="6175382E" w14:textId="215C2BB2" w:rsidR="001C6094" w:rsidRPr="000834D7" w:rsidRDefault="00D63804" w:rsidP="001C6094">
      <w:r w:rsidRPr="000834D7">
        <w:rPr>
          <w:i/>
        </w:rPr>
        <w:t>i</w:t>
      </w:r>
      <w:r w:rsidR="001C6094" w:rsidRPr="000834D7">
        <w:rPr>
          <w:i/>
        </w:rPr>
        <w:t>)</w:t>
      </w:r>
      <w:r w:rsidR="001C6094" w:rsidRPr="000834D7">
        <w:rPr>
          <w:i/>
        </w:rPr>
        <w:tab/>
      </w:r>
      <w:r w:rsidR="001C6094" w:rsidRPr="000834D7">
        <w:t>that the latest version of Recommendation ITU</w:t>
      </w:r>
      <w:r w:rsidR="001C6094" w:rsidRPr="000834D7">
        <w:noBreakHyphen/>
        <w:t>R M.2121 provides frequency bands for evolving ITS systems,</w:t>
      </w:r>
    </w:p>
    <w:p w14:paraId="68F918B9" w14:textId="77777777" w:rsidR="001C6094" w:rsidRPr="000834D7" w:rsidRDefault="001C6094" w:rsidP="001C6094">
      <w:pPr>
        <w:pStyle w:val="Call"/>
      </w:pPr>
      <w:r w:rsidRPr="000834D7">
        <w:t>emphasizing</w:t>
      </w:r>
    </w:p>
    <w:p w14:paraId="37364D25" w14:textId="77777777" w:rsidR="001C6094" w:rsidRPr="000834D7" w:rsidRDefault="001C6094" w:rsidP="001C6094">
      <w:r w:rsidRPr="000834D7">
        <w:t>that the provisions of Nos. </w:t>
      </w:r>
      <w:r w:rsidRPr="000834D7">
        <w:rPr>
          <w:b/>
          <w:bCs/>
        </w:rPr>
        <w:t>1.59</w:t>
      </w:r>
      <w:r w:rsidRPr="000834D7">
        <w:t xml:space="preserve"> and </w:t>
      </w:r>
      <w:r w:rsidRPr="000834D7">
        <w:rPr>
          <w:b/>
          <w:bCs/>
        </w:rPr>
        <w:t>4.10</w:t>
      </w:r>
      <w:r w:rsidRPr="000834D7">
        <w:t xml:space="preserve"> do not apply to evolving ITS applications under mobile-service allocations,</w:t>
      </w:r>
    </w:p>
    <w:p w14:paraId="393A5969" w14:textId="77777777" w:rsidR="001C6094" w:rsidRPr="000834D7" w:rsidRDefault="001C6094" w:rsidP="001C6094">
      <w:pPr>
        <w:pStyle w:val="Call"/>
      </w:pPr>
      <w:r w:rsidRPr="000834D7">
        <w:t>resolves</w:t>
      </w:r>
    </w:p>
    <w:p w14:paraId="0E84EA3D" w14:textId="77777777" w:rsidR="001C6094" w:rsidRPr="000834D7" w:rsidRDefault="001C6094" w:rsidP="001C6094">
      <w:r w:rsidRPr="000834D7">
        <w:t>to encourage administrations to consider globally or regionally harmonized frequency bands or parts thereof</w:t>
      </w:r>
      <w:r w:rsidRPr="000834D7">
        <w:rPr>
          <w:lang w:eastAsia="zh-CN"/>
        </w:rPr>
        <w:t xml:space="preserve">, which are listed in the most recent version of </w:t>
      </w:r>
      <w:r w:rsidRPr="000834D7">
        <w:t>Recommendation ITU</w:t>
      </w:r>
      <w:r w:rsidRPr="000834D7">
        <w:noBreakHyphen/>
        <w:t xml:space="preserve">R M.2121, when planning and deploying evolving ITS applications, taking into account </w:t>
      </w:r>
      <w:r w:rsidRPr="000834D7">
        <w:rPr>
          <w:i/>
        </w:rPr>
        <w:t xml:space="preserve">recognizing b) </w:t>
      </w:r>
      <w:r w:rsidRPr="000834D7">
        <w:t>above,</w:t>
      </w:r>
    </w:p>
    <w:p w14:paraId="1C1AD884" w14:textId="77777777" w:rsidR="001C6094" w:rsidRPr="000834D7" w:rsidRDefault="001C6094" w:rsidP="001C6094">
      <w:pPr>
        <w:pStyle w:val="Call"/>
        <w:rPr>
          <w:rFonts w:eastAsia="MS Mincho"/>
          <w:lang w:eastAsia="ja-JP"/>
        </w:rPr>
      </w:pPr>
      <w:r w:rsidRPr="000834D7">
        <w:rPr>
          <w:rFonts w:eastAsia="MS Mincho"/>
          <w:lang w:eastAsia="ja-JP"/>
        </w:rPr>
        <w:t>invites ITU-R</w:t>
      </w:r>
    </w:p>
    <w:p w14:paraId="4CF0F5D3" w14:textId="77777777" w:rsidR="001C6094" w:rsidRPr="000834D7" w:rsidRDefault="001C6094" w:rsidP="001C6094">
      <w:pPr>
        <w:rPr>
          <w:rFonts w:eastAsiaTheme="minorHAnsi"/>
          <w:i/>
          <w:iCs/>
          <w:sz w:val="28"/>
        </w:rPr>
      </w:pPr>
      <w:r w:rsidRPr="000834D7">
        <w:rPr>
          <w:rFonts w:eastAsiaTheme="minorHAnsi"/>
        </w:rPr>
        <w:t>to continue the studies on different ITS aspects, including harmonization of spectrum,</w:t>
      </w:r>
    </w:p>
    <w:p w14:paraId="5313907E" w14:textId="77777777" w:rsidR="001C6094" w:rsidRPr="000834D7" w:rsidRDefault="001C6094" w:rsidP="001C6094">
      <w:pPr>
        <w:pStyle w:val="Call"/>
      </w:pPr>
      <w:r w:rsidRPr="000834D7">
        <w:t>instructs the Director of the Radiocommunication Bureau</w:t>
      </w:r>
    </w:p>
    <w:p w14:paraId="309B20BE" w14:textId="77777777" w:rsidR="001C6094" w:rsidRPr="000834D7" w:rsidRDefault="001C6094" w:rsidP="001C6094">
      <w:pPr>
        <w:rPr>
          <w:rFonts w:eastAsiaTheme="minorHAnsi"/>
        </w:rPr>
      </w:pPr>
      <w:r w:rsidRPr="000834D7">
        <w:rPr>
          <w:rFonts w:eastAsiaTheme="minorHAnsi"/>
        </w:rPr>
        <w:t>1</w:t>
      </w:r>
      <w:r w:rsidRPr="000834D7">
        <w:rPr>
          <w:rFonts w:eastAsiaTheme="minorHAnsi"/>
        </w:rPr>
        <w:tab/>
        <w:t>to report to the Radiocommunication Assembly 2023 on the implementation of this Resolution through the relevant ITU-R Study Groups, for the adoption of any necessary actions;</w:t>
      </w:r>
    </w:p>
    <w:p w14:paraId="4A43F33D" w14:textId="77777777" w:rsidR="001C6094" w:rsidRPr="000834D7" w:rsidRDefault="001C6094" w:rsidP="001C6094">
      <w:pPr>
        <w:rPr>
          <w:rFonts w:ascii="Calibri" w:eastAsiaTheme="minorHAnsi" w:hAnsi="Calibri"/>
        </w:rPr>
      </w:pPr>
      <w:r w:rsidRPr="000834D7">
        <w:rPr>
          <w:rFonts w:eastAsiaTheme="minorHAnsi"/>
        </w:rPr>
        <w:t>2</w:t>
      </w:r>
      <w:r w:rsidRPr="000834D7">
        <w:rPr>
          <w:rFonts w:eastAsiaTheme="minorHAnsi"/>
        </w:rPr>
        <w:tab/>
        <w:t xml:space="preserve">to support administrations in their work towards the harmonization of spectrum for ITS applications pursuant to the </w:t>
      </w:r>
      <w:r w:rsidRPr="000834D7">
        <w:rPr>
          <w:rFonts w:eastAsiaTheme="minorHAnsi"/>
          <w:i/>
        </w:rPr>
        <w:t>resolves</w:t>
      </w:r>
      <w:r w:rsidRPr="000834D7">
        <w:rPr>
          <w:rFonts w:eastAsiaTheme="minorHAnsi"/>
        </w:rPr>
        <w:t xml:space="preserve"> and this Resolution,</w:t>
      </w:r>
    </w:p>
    <w:p w14:paraId="2BD73950" w14:textId="77777777" w:rsidR="001C6094" w:rsidRPr="000834D7" w:rsidRDefault="001C6094" w:rsidP="001C6094">
      <w:pPr>
        <w:pStyle w:val="Call"/>
      </w:pPr>
      <w:r w:rsidRPr="000834D7">
        <w:t>invites Member States and Sector Members</w:t>
      </w:r>
    </w:p>
    <w:p w14:paraId="7ABE76D8" w14:textId="77777777" w:rsidR="001C6094" w:rsidRPr="000834D7" w:rsidRDefault="001C6094" w:rsidP="001C6094">
      <w:pPr>
        <w:ind w:left="-5"/>
      </w:pPr>
      <w:r w:rsidRPr="000834D7">
        <w:t>to take into account, as necessary, possible coexistence issues between ITS stations and FSS earth stations operating in the 5 850-5 925 MHz frequency band,</w:t>
      </w:r>
    </w:p>
    <w:p w14:paraId="77E232ED" w14:textId="77777777" w:rsidR="001C6094" w:rsidRPr="000834D7" w:rsidRDefault="001C6094" w:rsidP="001C6094">
      <w:pPr>
        <w:pStyle w:val="Call"/>
      </w:pPr>
      <w:r w:rsidRPr="000834D7">
        <w:t>invites Member States, Sector Members, Associates and Academia</w:t>
      </w:r>
    </w:p>
    <w:p w14:paraId="3BC8B50B" w14:textId="77777777" w:rsidR="001C6094" w:rsidRPr="000834D7" w:rsidRDefault="001C6094" w:rsidP="001C6094">
      <w:pPr>
        <w:ind w:left="-5"/>
      </w:pPr>
      <w:r w:rsidRPr="000834D7">
        <w:t>to actively contribute to the ITU</w:t>
      </w:r>
      <w:r w:rsidRPr="000834D7">
        <w:noBreakHyphen/>
        <w:t>R studies on ITS,</w:t>
      </w:r>
    </w:p>
    <w:p w14:paraId="1DD64615" w14:textId="77777777" w:rsidR="001C6094" w:rsidRPr="000834D7" w:rsidRDefault="001C6094" w:rsidP="001C6094">
      <w:pPr>
        <w:pStyle w:val="Call"/>
      </w:pPr>
      <w:r w:rsidRPr="000834D7">
        <w:t>instructs the Secretary-General</w:t>
      </w:r>
    </w:p>
    <w:p w14:paraId="404B5A5D" w14:textId="77777777" w:rsidR="001C6094" w:rsidRPr="000834D7" w:rsidRDefault="001C6094" w:rsidP="001C6094">
      <w:pPr>
        <w:rPr>
          <w:b/>
        </w:rPr>
      </w:pPr>
      <w:r w:rsidRPr="000834D7">
        <w:t>to bring this Resolution to the attention of relevant international and regional organizations dealing with ITS.</w:t>
      </w:r>
    </w:p>
    <w:p w14:paraId="25D6673F" w14:textId="77777777" w:rsidR="008D4AB2" w:rsidRPr="000834D7" w:rsidRDefault="00BD7210">
      <w:pPr>
        <w:pStyle w:val="Reasons"/>
      </w:pPr>
      <w:r w:rsidRPr="000834D7">
        <w:rPr>
          <w:b/>
        </w:rPr>
        <w:t>Reasons:</w:t>
      </w:r>
      <w:r w:rsidRPr="000834D7">
        <w:tab/>
      </w:r>
      <w:r w:rsidR="001C6094" w:rsidRPr="000834D7">
        <w:t>This Resolution provides a framework for Member States and others to deploy on the basis of global or regional harmonization for ITS applications through a new WRC Resolution by referring to the most recent version of Recommendation ITU-R M.2121, and allows for the development of ITU-R Recommendations and Reports within the Study Groups.</w:t>
      </w:r>
      <w:bookmarkStart w:id="13" w:name="_GoBack"/>
      <w:bookmarkEnd w:id="13"/>
    </w:p>
    <w:p w14:paraId="16103B3E" w14:textId="244DD35C" w:rsidR="001C6094" w:rsidRPr="00D63804" w:rsidRDefault="001C6094" w:rsidP="00D63804">
      <w:pPr>
        <w:jc w:val="center"/>
      </w:pPr>
      <w:r w:rsidRPr="000834D7">
        <w:lastRenderedPageBreak/>
        <w:t>______________</w:t>
      </w:r>
    </w:p>
    <w:sectPr w:rsidR="001C6094" w:rsidRPr="00D6380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6707E" w14:textId="77777777" w:rsidR="00AE514B" w:rsidRDefault="00AE514B">
      <w:r>
        <w:separator/>
      </w:r>
    </w:p>
  </w:endnote>
  <w:endnote w:type="continuationSeparator" w:id="0">
    <w:p w14:paraId="04C32B2F"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5D1B" w14:textId="77777777" w:rsidR="00E45D05" w:rsidRDefault="00E45D05">
    <w:pPr>
      <w:framePr w:wrap="around" w:vAnchor="text" w:hAnchor="margin" w:xAlign="right" w:y="1"/>
    </w:pPr>
    <w:r>
      <w:fldChar w:fldCharType="begin"/>
    </w:r>
    <w:r>
      <w:instrText xml:space="preserve">PAGE  </w:instrText>
    </w:r>
    <w:r>
      <w:fldChar w:fldCharType="end"/>
    </w:r>
  </w:p>
  <w:p w14:paraId="4BAD9CE4" w14:textId="2B08E8F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67A62">
      <w:rPr>
        <w:noProof/>
        <w:lang w:val="en-US"/>
      </w:rPr>
      <w:t>P:\ENG\ITU-R\CONF-R\CMR19\000\024ADD12E.docx</w:t>
    </w:r>
    <w:r>
      <w:fldChar w:fldCharType="end"/>
    </w:r>
    <w:r w:rsidRPr="0041348E">
      <w:rPr>
        <w:lang w:val="en-US"/>
      </w:rPr>
      <w:tab/>
    </w:r>
    <w:r>
      <w:fldChar w:fldCharType="begin"/>
    </w:r>
    <w:r>
      <w:instrText xml:space="preserve"> SAVEDATE \@ DD.MM.YY </w:instrText>
    </w:r>
    <w:r>
      <w:fldChar w:fldCharType="separate"/>
    </w:r>
    <w:r w:rsidR="00E67A62">
      <w:rPr>
        <w:noProof/>
      </w:rPr>
      <w:t>30.09.19</w:t>
    </w:r>
    <w:r>
      <w:fldChar w:fldCharType="end"/>
    </w:r>
    <w:r w:rsidRPr="0041348E">
      <w:rPr>
        <w:lang w:val="en-US"/>
      </w:rPr>
      <w:tab/>
    </w:r>
    <w:r>
      <w:fldChar w:fldCharType="begin"/>
    </w:r>
    <w:r>
      <w:instrText xml:space="preserve"> PRINTDATE \@ DD.MM.YY </w:instrText>
    </w:r>
    <w:r>
      <w:fldChar w:fldCharType="separate"/>
    </w:r>
    <w:r w:rsidR="00E67A62">
      <w:rPr>
        <w:noProof/>
      </w:rPr>
      <w:t>01.10.19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D331F" w14:textId="44D60438" w:rsidR="00E45D05" w:rsidRDefault="00E45D05" w:rsidP="009B1EA1">
    <w:pPr>
      <w:pStyle w:val="Footer"/>
    </w:pPr>
    <w:r>
      <w:fldChar w:fldCharType="begin"/>
    </w:r>
    <w:r w:rsidRPr="0041348E">
      <w:rPr>
        <w:lang w:val="en-US"/>
      </w:rPr>
      <w:instrText xml:space="preserve"> FILENAME \p  \* MERGEFORMAT </w:instrText>
    </w:r>
    <w:r>
      <w:fldChar w:fldCharType="separate"/>
    </w:r>
    <w:r w:rsidR="00E67A62">
      <w:rPr>
        <w:lang w:val="en-US"/>
      </w:rPr>
      <w:t>P:\ENG\ITU-R\CONF-R\CMR19\000\024ADD12E.docx</w:t>
    </w:r>
    <w:r>
      <w:fldChar w:fldCharType="end"/>
    </w:r>
    <w:r w:rsidR="00D63804">
      <w:t xml:space="preserve"> (461106)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D4BD8" w14:textId="24B4277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E67A62">
      <w:rPr>
        <w:lang w:val="en-US"/>
      </w:rPr>
      <w:t>P:\ENG\ITU-R\CONF-R\CMR19\000\024ADD12E.docx</w:t>
    </w:r>
    <w:r>
      <w:fldChar w:fldCharType="end"/>
    </w:r>
    <w:r w:rsidR="00D63804">
      <w:t xml:space="preserve"> (461106)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ED194" w14:textId="77777777" w:rsidR="00AE514B" w:rsidRDefault="00AE514B">
      <w:r>
        <w:rPr>
          <w:b/>
        </w:rPr>
        <w:t>_______________</w:t>
      </w:r>
    </w:p>
  </w:footnote>
  <w:footnote w:type="continuationSeparator" w:id="0">
    <w:p w14:paraId="5406F672"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24CF7" w14:textId="77777777" w:rsidR="00E45D05" w:rsidRDefault="00A066F1" w:rsidP="00187BD9">
    <w:pPr>
      <w:pStyle w:val="Header"/>
    </w:pPr>
    <w:r>
      <w:fldChar w:fldCharType="begin"/>
    </w:r>
    <w:r>
      <w:instrText xml:space="preserve"> PAGE  \* MERGEFORMAT </w:instrText>
    </w:r>
    <w:r>
      <w:fldChar w:fldCharType="separate"/>
    </w:r>
    <w:r w:rsidR="006C2788">
      <w:rPr>
        <w:noProof/>
      </w:rPr>
      <w:t>4</w:t>
    </w:r>
    <w:r>
      <w:fldChar w:fldCharType="end"/>
    </w:r>
  </w:p>
  <w:p w14:paraId="3E4F8004" w14:textId="77777777" w:rsidR="00A066F1" w:rsidRPr="00A066F1" w:rsidRDefault="00187BD9" w:rsidP="00241FA2">
    <w:pPr>
      <w:pStyle w:val="Header"/>
    </w:pPr>
    <w:r>
      <w:t>CMR1</w:t>
    </w:r>
    <w:r w:rsidR="00202756">
      <w:t>9</w:t>
    </w:r>
    <w:r w:rsidR="00A066F1">
      <w:t>/</w:t>
    </w:r>
    <w:bookmarkStart w:id="14" w:name="OLE_LINK1"/>
    <w:bookmarkStart w:id="15" w:name="OLE_LINK2"/>
    <w:bookmarkStart w:id="16" w:name="OLE_LINK3"/>
    <w:r w:rsidR="00EB55C6">
      <w:t>24(Add.12)</w:t>
    </w:r>
    <w:bookmarkEnd w:id="14"/>
    <w:bookmarkEnd w:id="15"/>
    <w:bookmarkEnd w:id="16"/>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34D7"/>
    <w:rsid w:val="00086491"/>
    <w:rsid w:val="00090AF5"/>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C6094"/>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C3712"/>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C2788"/>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D4AB2"/>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BD7210"/>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6380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63EAF"/>
    <w:rsid w:val="00E67A62"/>
    <w:rsid w:val="00E976C1"/>
    <w:rsid w:val="00EA12E5"/>
    <w:rsid w:val="00EB55C6"/>
    <w:rsid w:val="00EE75DB"/>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F7C41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R16-WRC19-C-0024!A12!MSW-E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24DF2-38FF-4C11-8C89-C5E7536547CD}">
  <ds:schemaRefs>
    <ds:schemaRef ds:uri="http://schemas.microsoft.com/office/2006/documentManagement/types"/>
    <ds:schemaRef ds:uri="http://www.w3.org/XML/1998/namespace"/>
    <ds:schemaRef ds:uri="http://purl.org/dc/dcmitype/"/>
    <ds:schemaRef ds:uri="32a1a8c5-2265-4ebc-b7a0-2071e2c5c9bb"/>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996b2e75-67fd-4955-a3b0-5ab9934cb50b"/>
    <ds:schemaRef ds:uri="http://purl.org/dc/te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8AAC3DBF-DD7F-4DAA-894C-210BFF9B84F4}">
  <ds:schemaRefs>
    <ds:schemaRef ds:uri="http://schemas.microsoft.com/sharepoint/v3/contenttype/forms"/>
  </ds:schemaRefs>
</ds:datastoreItem>
</file>

<file path=customXml/itemProps5.xml><?xml version="1.0" encoding="utf-8"?>
<ds:datastoreItem xmlns:ds="http://schemas.openxmlformats.org/officeDocument/2006/customXml" ds:itemID="{EDBE54C5-14DB-4826-A0E2-6267F265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1294</Words>
  <Characters>7645</Characters>
  <Application>Microsoft Office Word</Application>
  <DocSecurity>0</DocSecurity>
  <Lines>153</Lines>
  <Paragraphs>77</Paragraphs>
  <ScaleCrop>false</ScaleCrop>
  <HeadingPairs>
    <vt:vector size="2" baseType="variant">
      <vt:variant>
        <vt:lpstr>Title</vt:lpstr>
      </vt:variant>
      <vt:variant>
        <vt:i4>1</vt:i4>
      </vt:variant>
    </vt:vector>
  </HeadingPairs>
  <TitlesOfParts>
    <vt:vector size="1" baseType="lpstr">
      <vt:lpstr>R16-WRC19-C-0024!A12!MSW-E</vt:lpstr>
    </vt:vector>
  </TitlesOfParts>
  <Manager>General Secretariat - Pool</Manager>
  <Company>International Telecommunication Union (ITU)</Company>
  <LinksUpToDate>false</LinksUpToDate>
  <CharactersWithSpaces>8869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R16-WRC19-C-0024!A12!MSW-E</dc:title>
  <dc:subject>World Radiocommunication Conference - 2019</dc:subject>
  <dc:creator>Documents Proposals Manager (DPM)</dc:creator>
  <cp:keywords>DPM_v2019.9.20.1_prod</cp:keywords>
  <dc:description>Uploaded on 2015.07.06</dc:description>
  <cp:lastModifiedBy>English</cp:lastModifiedBy>
  <cp:revision>9</cp:revision>
  <cp:lastPrinted>2019-10-01T14:05:00Z</cp:lastPrinted>
  <dcterms:created xsi:type="dcterms:W3CDTF">2019-09-23T12:19:00Z</dcterms:created>
  <dcterms:modified xsi:type="dcterms:W3CDTF">2019-10-01T14:05:00Z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