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6368010" w14:textId="77777777" w:rsidTr="00F55E63">
        <w:trPr>
          <w:cantSplit/>
          <w:trHeight w:val="20"/>
        </w:trPr>
        <w:tc>
          <w:tcPr>
            <w:tcW w:w="6619" w:type="dxa"/>
          </w:tcPr>
          <w:p w14:paraId="6ECE926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5D2E20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91C0D0D" wp14:editId="742DA38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243A71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3DBA4E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52098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7BE203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86E795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1320A3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E3798" w:rsidRPr="00F545E4" w14:paraId="050EAD09" w14:textId="77777777" w:rsidTr="00F55E63">
        <w:trPr>
          <w:cantSplit/>
        </w:trPr>
        <w:tc>
          <w:tcPr>
            <w:tcW w:w="6619" w:type="dxa"/>
          </w:tcPr>
          <w:p w14:paraId="13E6C815" w14:textId="77777777" w:rsidR="007E3798" w:rsidRPr="00F545E4" w:rsidRDefault="007E3798" w:rsidP="007E379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79688E6" w14:textId="61B4FB54" w:rsidR="007E3798" w:rsidRPr="00F545E4" w:rsidRDefault="007E3798" w:rsidP="007E379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eastAsia="SimSun" w:hAnsi="Verdana"/>
              </w:rPr>
              <w:t>13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 xml:space="preserve">24-A </w:t>
            </w:r>
          </w:p>
        </w:tc>
      </w:tr>
      <w:tr w:rsidR="007E3798" w:rsidRPr="00F545E4" w14:paraId="5A5D111D" w14:textId="77777777" w:rsidTr="00F55E63">
        <w:trPr>
          <w:cantSplit/>
        </w:trPr>
        <w:tc>
          <w:tcPr>
            <w:tcW w:w="6619" w:type="dxa"/>
          </w:tcPr>
          <w:p w14:paraId="1F10DEB4" w14:textId="77777777" w:rsidR="007E3798" w:rsidRPr="00F545E4" w:rsidRDefault="007E3798" w:rsidP="007E379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3C6E37" w14:textId="3D82FC42" w:rsidR="007E3798" w:rsidRPr="00F545E4" w:rsidRDefault="007E3798" w:rsidP="007E379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7E3798" w:rsidRPr="00F545E4" w14:paraId="19FE59A0" w14:textId="77777777" w:rsidTr="00F55E63">
        <w:trPr>
          <w:cantSplit/>
        </w:trPr>
        <w:tc>
          <w:tcPr>
            <w:tcW w:w="6619" w:type="dxa"/>
          </w:tcPr>
          <w:p w14:paraId="3F667D45" w14:textId="77777777" w:rsidR="007E3798" w:rsidRPr="00F545E4" w:rsidRDefault="007E3798" w:rsidP="007E3798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9E0A3F2" w14:textId="587A306A" w:rsidR="007E3798" w:rsidRPr="00F545E4" w:rsidRDefault="007E3798" w:rsidP="007E3798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03F7784E" w14:textId="77777777" w:rsidTr="00F55E63">
        <w:trPr>
          <w:cantSplit/>
        </w:trPr>
        <w:tc>
          <w:tcPr>
            <w:tcW w:w="9672" w:type="dxa"/>
            <w:gridSpan w:val="2"/>
          </w:tcPr>
          <w:p w14:paraId="4DC11961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C87D63F" w14:textId="77777777" w:rsidTr="00F55E63">
        <w:trPr>
          <w:cantSplit/>
        </w:trPr>
        <w:tc>
          <w:tcPr>
            <w:tcW w:w="9672" w:type="dxa"/>
            <w:gridSpan w:val="2"/>
          </w:tcPr>
          <w:p w14:paraId="47CF088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E3798" w14:paraId="6F0FE935" w14:textId="77777777" w:rsidTr="00F55E63">
        <w:trPr>
          <w:cantSplit/>
        </w:trPr>
        <w:tc>
          <w:tcPr>
            <w:tcW w:w="9672" w:type="dxa"/>
            <w:gridSpan w:val="2"/>
          </w:tcPr>
          <w:p w14:paraId="3233249A" w14:textId="38517A23" w:rsidR="007E3798" w:rsidRPr="00BD6EF3" w:rsidRDefault="007E3798" w:rsidP="007E3798">
            <w:pPr>
              <w:pStyle w:val="Title1"/>
              <w:spacing w:before="240"/>
              <w:rPr>
                <w:rtl/>
              </w:rPr>
            </w:pPr>
            <w:r w:rsidRPr="00CF5320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5276ACB4" w14:textId="77777777" w:rsidTr="00F55E63">
        <w:trPr>
          <w:cantSplit/>
        </w:trPr>
        <w:tc>
          <w:tcPr>
            <w:tcW w:w="9672" w:type="dxa"/>
            <w:gridSpan w:val="2"/>
          </w:tcPr>
          <w:p w14:paraId="5072781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136858D" w14:textId="77777777" w:rsidTr="00F55E63">
        <w:trPr>
          <w:cantSplit/>
        </w:trPr>
        <w:tc>
          <w:tcPr>
            <w:tcW w:w="9672" w:type="dxa"/>
            <w:gridSpan w:val="2"/>
          </w:tcPr>
          <w:p w14:paraId="2DCC49C3" w14:textId="69E72BDE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E3798">
              <w:rPr>
                <w:rFonts w:hint="cs"/>
                <w:rtl/>
                <w:lang w:val="en-US"/>
              </w:rPr>
              <w:t xml:space="preserve"> </w:t>
            </w:r>
            <w:r w:rsidR="007E3798" w:rsidRPr="00723691">
              <w:rPr>
                <w:rFonts w:eastAsia="SimSun"/>
                <w:lang w:eastAsia="zh-CN" w:bidi="ar-SY"/>
              </w:rPr>
              <w:t>13.1</w:t>
            </w:r>
            <w:bookmarkStart w:id="1" w:name="_GoBack"/>
            <w:bookmarkEnd w:id="1"/>
          </w:p>
        </w:tc>
      </w:tr>
    </w:tbl>
    <w:p w14:paraId="73AE1F2D" w14:textId="78862DF0" w:rsidR="001D597A" w:rsidRDefault="00477209" w:rsidP="008213CF">
      <w:pPr>
        <w:rPr>
          <w:rFonts w:eastAsia="SimSun"/>
          <w:rtl/>
          <w:lang w:eastAsia="zh-CN" w:bidi="ar-EG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F0B5ADB" w14:textId="7D95F407" w:rsidR="004C56A7" w:rsidRPr="004C56A7" w:rsidRDefault="004C56A7" w:rsidP="00080CFB">
      <w:pPr>
        <w:spacing w:after="120"/>
        <w:rPr>
          <w:rFonts w:eastAsia="SimSun"/>
          <w:lang w:val="en-GB" w:eastAsia="zh-CN"/>
        </w:rPr>
      </w:pPr>
      <w:r>
        <w:rPr>
          <w:rFonts w:eastAsia="SimSun" w:hint="cs"/>
          <w:rtl/>
          <w:lang w:eastAsia="zh-CN"/>
        </w:rPr>
        <w:t>تُقدم</w:t>
      </w:r>
      <w:r w:rsidR="00EA3E05" w:rsidRPr="00EA3E05">
        <w:rPr>
          <w:rFonts w:eastAsia="SimSun" w:hint="cs"/>
          <w:rtl/>
          <w:lang w:eastAsia="zh-CN"/>
        </w:rPr>
        <w:t xml:space="preserve"> المقترحات المشتركة المقدمة من </w:t>
      </w:r>
      <w:r w:rsidR="00EA3E05" w:rsidRPr="00EA3E05">
        <w:rPr>
          <w:rFonts w:eastAsia="SimSun"/>
          <w:rtl/>
          <w:lang w:eastAsia="zh-CN"/>
        </w:rPr>
        <w:t>جماعة آسيا والمحيط الهادئ للاتصالات</w:t>
      </w:r>
      <w:r w:rsidR="00EA3E05" w:rsidRPr="00EA3E05">
        <w:rPr>
          <w:rFonts w:eastAsia="SimSun" w:hint="eastAsia"/>
          <w:rtl/>
          <w:lang w:eastAsia="zh-CN" w:bidi="ar-EG"/>
        </w:rPr>
        <w:t> </w:t>
      </w:r>
      <w:r w:rsidR="00EA3E05" w:rsidRPr="00EA3E05">
        <w:rPr>
          <w:rFonts w:eastAsia="SimSun"/>
          <w:lang w:eastAsia="zh-CN" w:bidi="ar-EG"/>
        </w:rPr>
        <w:t>(ACP)</w:t>
      </w:r>
      <w:r w:rsidR="00EA3E05" w:rsidRPr="00EA3E05">
        <w:rPr>
          <w:rFonts w:eastAsia="SimSun" w:hint="cs"/>
          <w:rtl/>
          <w:lang w:eastAsia="zh-CN"/>
        </w:rPr>
        <w:t xml:space="preserve"> بشأن </w:t>
      </w:r>
      <w:r w:rsidR="00EA3E05" w:rsidRPr="00EA3E05">
        <w:rPr>
          <w:rFonts w:eastAsia="SimSun"/>
          <w:rtl/>
          <w:lang w:eastAsia="zh-CN"/>
        </w:rPr>
        <w:t>بند جدول الأعمال</w:t>
      </w:r>
      <w:r w:rsidR="00EA3E05" w:rsidRPr="00EA3E05">
        <w:rPr>
          <w:rFonts w:eastAsia="SimSun" w:hint="cs"/>
          <w:rtl/>
          <w:lang w:eastAsia="zh-CN"/>
        </w:rPr>
        <w:t xml:space="preserve"> </w:t>
      </w:r>
      <w:r w:rsidR="00DF0A57" w:rsidRPr="00DF0A57">
        <w:rPr>
          <w:rFonts w:eastAsia="SimSun"/>
          <w:lang w:eastAsia="zh-CN" w:bidi="ar-EG"/>
        </w:rPr>
        <w:t>13.1</w:t>
      </w:r>
      <w:r w:rsidR="00DF0A57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 xml:space="preserve">للمؤتمر العالمي للاتصالات الراديوية لعام </w:t>
      </w:r>
      <w:r>
        <w:rPr>
          <w:rFonts w:eastAsia="SimSun"/>
          <w:lang w:val="fr-FR" w:eastAsia="zh-CN" w:bidi="ar-EG"/>
        </w:rPr>
        <w:t>2019</w:t>
      </w:r>
      <w:r>
        <w:rPr>
          <w:rFonts w:eastAsia="SimSun" w:hint="cs"/>
          <w:rtl/>
          <w:lang w:eastAsia="zh-CN"/>
        </w:rPr>
        <w:t xml:space="preserve"> </w:t>
      </w:r>
      <w:r>
        <w:rPr>
          <w:rFonts w:eastAsia="SimSun"/>
          <w:lang w:eastAsia="zh-CN"/>
        </w:rPr>
        <w:t>(WRC-19)</w:t>
      </w:r>
      <w:r>
        <w:rPr>
          <w:rFonts w:eastAsia="SimSun" w:hint="cs"/>
          <w:rtl/>
          <w:lang w:eastAsia="zh-CN"/>
        </w:rPr>
        <w:t xml:space="preserve"> </w:t>
      </w:r>
      <w:r w:rsidR="00EA3E05" w:rsidRPr="00EA3E05">
        <w:rPr>
          <w:rFonts w:eastAsia="SimSun" w:hint="cs"/>
          <w:rtl/>
          <w:lang w:eastAsia="zh-CN"/>
        </w:rPr>
        <w:t xml:space="preserve">في شكل إضافات </w:t>
      </w:r>
      <w:r>
        <w:rPr>
          <w:rFonts w:eastAsia="SimSun" w:hint="cs"/>
          <w:rtl/>
          <w:lang w:eastAsia="zh-CN"/>
        </w:rPr>
        <w:t>ل</w:t>
      </w:r>
      <w:r w:rsidRPr="00EA3E05">
        <w:rPr>
          <w:rFonts w:eastAsia="SimSun" w:hint="cs"/>
          <w:rtl/>
          <w:lang w:eastAsia="zh-CN"/>
        </w:rPr>
        <w:t>هذه الوثيقة</w:t>
      </w:r>
      <w:r w:rsidR="00EA3E05" w:rsidRPr="00EA3E05">
        <w:rPr>
          <w:rFonts w:eastAsia="SimSun" w:hint="cs"/>
          <w:rtl/>
          <w:lang w:eastAsia="zh-CN"/>
        </w:rPr>
        <w:t>. و</w:t>
      </w:r>
      <w:r w:rsidRPr="004C56A7">
        <w:rPr>
          <w:rFonts w:eastAsia="SimSun" w:hint="cs"/>
          <w:rtl/>
          <w:lang w:eastAsia="zh-CN" w:bidi="ar"/>
        </w:rPr>
        <w:t xml:space="preserve">أُعدت </w:t>
      </w:r>
      <w:r>
        <w:rPr>
          <w:rFonts w:eastAsia="SimSun" w:hint="cs"/>
          <w:rtl/>
          <w:lang w:eastAsia="zh-CN" w:bidi="ar"/>
        </w:rPr>
        <w:t>مختلف الإضافات استناداً إلى</w:t>
      </w:r>
      <w:r w:rsidRPr="004C56A7">
        <w:rPr>
          <w:rFonts w:eastAsia="SimSun" w:hint="cs"/>
          <w:rtl/>
          <w:lang w:eastAsia="zh-CN" w:bidi="ar"/>
        </w:rPr>
        <w:t xml:space="preserve"> النطاقات </w:t>
      </w:r>
      <w:r>
        <w:rPr>
          <w:rFonts w:eastAsia="SimSun" w:hint="cs"/>
          <w:rtl/>
          <w:lang w:eastAsia="zh-CN" w:bidi="ar"/>
        </w:rPr>
        <w:t xml:space="preserve">التي سيُنظر فيها في إطار </w:t>
      </w:r>
      <w:r w:rsidRPr="004C56A7">
        <w:rPr>
          <w:rFonts w:eastAsia="SimSun" w:hint="cs"/>
          <w:rtl/>
          <w:lang w:eastAsia="zh-CN" w:bidi="ar"/>
        </w:rPr>
        <w:t xml:space="preserve">هذا البند من جدول الأعمال. </w:t>
      </w:r>
      <w:r>
        <w:rPr>
          <w:rFonts w:eastAsia="SimSun" w:hint="cs"/>
          <w:rtl/>
          <w:lang w:eastAsia="zh-CN" w:bidi="ar"/>
        </w:rPr>
        <w:t>و</w:t>
      </w:r>
      <w:r w:rsidRPr="004C56A7">
        <w:rPr>
          <w:rFonts w:eastAsia="SimSun" w:hint="cs"/>
          <w:rtl/>
          <w:lang w:eastAsia="zh-CN" w:bidi="ar"/>
        </w:rPr>
        <w:t xml:space="preserve">علاوة على ذلك، </w:t>
      </w:r>
      <w:r>
        <w:rPr>
          <w:rFonts w:eastAsia="SimSun" w:hint="cs"/>
          <w:rtl/>
          <w:lang w:eastAsia="zh-CN" w:bidi="ar"/>
        </w:rPr>
        <w:t>يُقدم</w:t>
      </w:r>
      <w:r w:rsidRPr="004C56A7">
        <w:rPr>
          <w:rFonts w:hint="cs"/>
          <w:rtl/>
          <w:lang w:val="en-GB" w:eastAsia="zh-CN"/>
        </w:rPr>
        <w:t xml:space="preserve"> </w:t>
      </w:r>
      <w:r w:rsidRPr="004C56A7">
        <w:rPr>
          <w:rFonts w:eastAsia="SimSun" w:hint="cs"/>
          <w:rtl/>
          <w:lang w:eastAsia="zh-CN"/>
        </w:rPr>
        <w:t xml:space="preserve">المقترح المشترك المقدم من </w:t>
      </w:r>
      <w:r w:rsidRPr="004C56A7">
        <w:rPr>
          <w:rFonts w:eastAsia="SimSun"/>
          <w:rtl/>
          <w:lang w:eastAsia="zh-CN"/>
        </w:rPr>
        <w:t>جماعة آسيا والمحيط الهادئ للاتصالات</w:t>
      </w:r>
      <w:r w:rsidRPr="004C56A7">
        <w:rPr>
          <w:rFonts w:eastAsia="SimSun" w:hint="cs"/>
          <w:rtl/>
          <w:lang w:eastAsia="zh-CN" w:bidi="ar"/>
        </w:rPr>
        <w:t xml:space="preserve"> بشأن معالجة مسألة القدرة المشعة </w:t>
      </w:r>
      <w:r>
        <w:rPr>
          <w:rFonts w:eastAsia="SimSun" w:hint="cs"/>
          <w:rtl/>
          <w:lang w:eastAsia="zh-CN" w:bidi="ar"/>
        </w:rPr>
        <w:t>الإجمالية</w:t>
      </w:r>
      <w:r w:rsidRPr="004C56A7">
        <w:rPr>
          <w:rFonts w:eastAsia="SimSun" w:hint="cs"/>
          <w:rtl/>
          <w:lang w:eastAsia="zh-CN" w:bidi="ar"/>
        </w:rPr>
        <w:t xml:space="preserve"> </w:t>
      </w:r>
      <w:r w:rsidR="00280F85">
        <w:rPr>
          <w:rFonts w:eastAsia="SimSun"/>
          <w:lang w:eastAsia="zh-CN" w:bidi="ar"/>
        </w:rPr>
        <w:t>(TRP)</w:t>
      </w:r>
      <w:r w:rsidRPr="004C56A7">
        <w:rPr>
          <w:rFonts w:eastAsia="SimSun" w:hint="cs"/>
          <w:rtl/>
          <w:lang w:eastAsia="zh-CN" w:bidi="ar"/>
        </w:rPr>
        <w:t xml:space="preserve"> في إضافة منفصلة. </w:t>
      </w:r>
      <w:r>
        <w:rPr>
          <w:rFonts w:eastAsia="SimSun" w:hint="cs"/>
          <w:rtl/>
          <w:lang w:eastAsia="zh-CN" w:bidi="ar"/>
        </w:rPr>
        <w:t xml:space="preserve">ويُبيّن الجدول التالي </w:t>
      </w:r>
      <w:r w:rsidR="00106C31">
        <w:rPr>
          <w:rFonts w:eastAsia="SimSun" w:hint="cs"/>
          <w:rtl/>
          <w:lang w:eastAsia="zh-CN"/>
        </w:rPr>
        <w:t>قائمة</w:t>
      </w:r>
      <w:r>
        <w:rPr>
          <w:rFonts w:eastAsia="SimSun" w:hint="cs"/>
          <w:rtl/>
          <w:lang w:eastAsia="zh-CN" w:bidi="ar"/>
        </w:rPr>
        <w:t xml:space="preserve"> </w:t>
      </w:r>
      <w:r w:rsidR="00106C31">
        <w:rPr>
          <w:rFonts w:eastAsia="SimSun" w:hint="cs"/>
          <w:rtl/>
          <w:lang w:eastAsia="zh-CN" w:bidi="ar"/>
        </w:rPr>
        <w:t>ب</w:t>
      </w:r>
      <w:r w:rsidRPr="004C56A7">
        <w:rPr>
          <w:rFonts w:eastAsia="SimSun" w:hint="cs"/>
          <w:rtl/>
          <w:lang w:eastAsia="zh-CN"/>
        </w:rPr>
        <w:t>المقترح</w:t>
      </w:r>
      <w:r>
        <w:rPr>
          <w:rFonts w:eastAsia="SimSun" w:hint="cs"/>
          <w:rtl/>
          <w:lang w:eastAsia="zh-CN"/>
        </w:rPr>
        <w:t>ات</w:t>
      </w:r>
      <w:r w:rsidRPr="004C56A7">
        <w:rPr>
          <w:rFonts w:eastAsia="SimSun" w:hint="cs"/>
          <w:rtl/>
          <w:lang w:eastAsia="zh-CN"/>
        </w:rPr>
        <w:t xml:space="preserve"> المشترك</w:t>
      </w:r>
      <w:r>
        <w:rPr>
          <w:rFonts w:eastAsia="SimSun" w:hint="cs"/>
          <w:rtl/>
          <w:lang w:eastAsia="zh-CN"/>
        </w:rPr>
        <w:t>ة</w:t>
      </w:r>
      <w:r w:rsidRPr="004C56A7">
        <w:rPr>
          <w:rFonts w:eastAsia="SimSun" w:hint="cs"/>
          <w:rtl/>
          <w:lang w:eastAsia="zh-CN"/>
        </w:rPr>
        <w:t xml:space="preserve"> المقدم</w:t>
      </w:r>
      <w:r>
        <w:rPr>
          <w:rFonts w:eastAsia="SimSun" w:hint="cs"/>
          <w:rtl/>
          <w:lang w:eastAsia="zh-CN"/>
        </w:rPr>
        <w:t>ة</w:t>
      </w:r>
      <w:r w:rsidRPr="004C56A7">
        <w:rPr>
          <w:rFonts w:eastAsia="SimSun" w:hint="cs"/>
          <w:rtl/>
          <w:lang w:eastAsia="zh-CN"/>
        </w:rPr>
        <w:t xml:space="preserve"> من </w:t>
      </w:r>
      <w:r w:rsidRPr="004C56A7">
        <w:rPr>
          <w:rFonts w:eastAsia="SimSun"/>
          <w:rtl/>
          <w:lang w:eastAsia="zh-CN"/>
        </w:rPr>
        <w:t>جماعة آسيا والمحيط الهادئ للاتصالات</w:t>
      </w:r>
      <w:r w:rsidR="00F211FD">
        <w:rPr>
          <w:rFonts w:eastAsia="SimSun" w:hint="cs"/>
          <w:rtl/>
          <w:lang w:eastAsia="zh-CN"/>
        </w:rPr>
        <w:t xml:space="preserve"> </w:t>
      </w:r>
      <w:r w:rsidR="00106C31">
        <w:rPr>
          <w:rFonts w:eastAsia="SimSun" w:hint="cs"/>
          <w:rtl/>
          <w:lang w:eastAsia="zh-CN"/>
        </w:rPr>
        <w:t xml:space="preserve">والواردة </w:t>
      </w:r>
      <w:r w:rsidR="00F211FD">
        <w:rPr>
          <w:rFonts w:eastAsia="SimSun" w:hint="cs"/>
          <w:rtl/>
          <w:lang w:eastAsia="zh-CN"/>
        </w:rPr>
        <w:t>في الإضافات</w:t>
      </w:r>
      <w:r w:rsidR="00106C31">
        <w:rPr>
          <w:rFonts w:eastAsia="SimSun" w:hint="cs"/>
          <w:rtl/>
          <w:lang w:eastAsia="zh-CN"/>
        </w:rPr>
        <w:t xml:space="preserve"> المختلفة:</w:t>
      </w:r>
    </w:p>
    <w:tbl>
      <w:tblPr>
        <w:tblStyle w:val="TableGrid"/>
        <w:bidiVisual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49"/>
        <w:gridCol w:w="3870"/>
        <w:gridCol w:w="3210"/>
      </w:tblGrid>
      <w:tr w:rsidR="00515E04" w14:paraId="5FDD8C49" w14:textId="77777777" w:rsidTr="00080CFB">
        <w:tc>
          <w:tcPr>
            <w:tcW w:w="2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5D62DC" w14:textId="240F66CF" w:rsidR="00515E04" w:rsidRDefault="00EA3E05" w:rsidP="00515E04">
            <w:pPr>
              <w:pStyle w:val="Tablehead"/>
              <w:rPr>
                <w:rtl/>
                <w:lang w:bidi="ar-SA"/>
              </w:rPr>
            </w:pPr>
            <w:bookmarkStart w:id="2" w:name="_Hlk20995819"/>
            <w:r>
              <w:rPr>
                <w:rFonts w:hint="cs"/>
                <w:rtl/>
                <w:lang w:bidi="ar-SA"/>
              </w:rPr>
              <w:t>إضافة رقم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6677D" w14:textId="01CB830B" w:rsidR="00515E04" w:rsidRDefault="00515E04" w:rsidP="00515E04">
            <w:pPr>
              <w:pStyle w:val="Tablehead"/>
              <w:rPr>
                <w:rtl/>
              </w:rPr>
            </w:pPr>
            <w:r w:rsidRPr="00EA3E05">
              <w:rPr>
                <w:rFonts w:hint="cs"/>
                <w:spacing w:val="-2"/>
                <w:rtl/>
                <w:lang w:eastAsia="zh-CN"/>
              </w:rPr>
              <w:t>نطاق</w:t>
            </w:r>
            <w:r w:rsidR="00477209" w:rsidRPr="00EA3E05">
              <w:rPr>
                <w:rFonts w:hint="cs"/>
                <w:spacing w:val="-2"/>
                <w:rtl/>
                <w:lang w:eastAsia="zh-CN"/>
              </w:rPr>
              <w:t>ات</w:t>
            </w:r>
            <w:r w:rsidRPr="00EA3E05">
              <w:rPr>
                <w:rFonts w:hint="cs"/>
                <w:spacing w:val="-2"/>
                <w:rtl/>
                <w:lang w:eastAsia="zh-CN"/>
              </w:rPr>
              <w:t xml:space="preserve"> التردد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DD10E1" w14:textId="3014728B" w:rsidR="00515E04" w:rsidRDefault="00EA3E05" w:rsidP="00EA3E05">
            <w:pPr>
              <w:pStyle w:val="Tablehead"/>
              <w:rPr>
                <w:rtl/>
              </w:rPr>
            </w:pPr>
            <w:r>
              <w:rPr>
                <w:rFonts w:hint="cs"/>
                <w:rtl/>
                <w:lang w:val="en-GB" w:eastAsia="zh-CN"/>
              </w:rPr>
              <w:t xml:space="preserve">رقم المقترح المشترك المقدم من </w:t>
            </w:r>
            <w:r w:rsidRPr="00EA3E05">
              <w:rPr>
                <w:rtl/>
                <w:lang w:val="en-GB" w:eastAsia="zh-CN" w:bidi="ar-SA"/>
              </w:rPr>
              <w:t>جماعة آسيا والمحيط الهادئ للاتصالات</w:t>
            </w:r>
          </w:p>
        </w:tc>
      </w:tr>
      <w:tr w:rsidR="00EA3E05" w14:paraId="183F5D0F" w14:textId="77777777" w:rsidTr="00080CFB">
        <w:tc>
          <w:tcPr>
            <w:tcW w:w="2549" w:type="dxa"/>
            <w:shd w:val="clear" w:color="auto" w:fill="FFFFFF" w:themeFill="background1"/>
          </w:tcPr>
          <w:p w14:paraId="515BB2CC" w14:textId="055424FC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A1</w:t>
            </w:r>
          </w:p>
        </w:tc>
        <w:tc>
          <w:tcPr>
            <w:tcW w:w="3870" w:type="dxa"/>
            <w:shd w:val="clear" w:color="auto" w:fill="FFFFFF" w:themeFill="background1"/>
          </w:tcPr>
          <w:p w14:paraId="45E713A0" w14:textId="15D89D0E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</w:rPr>
              <w:t>GHz 27,5-24</w:t>
            </w:r>
            <w:r w:rsidR="00080CFB">
              <w:rPr>
                <w:spacing w:val="-2"/>
              </w:rPr>
              <w:t>,</w:t>
            </w:r>
            <w:r w:rsidRPr="006B049B">
              <w:rPr>
                <w:spacing w:val="-2"/>
              </w:rPr>
              <w:t>25</w:t>
            </w:r>
          </w:p>
        </w:tc>
        <w:tc>
          <w:tcPr>
            <w:tcW w:w="3210" w:type="dxa"/>
            <w:shd w:val="clear" w:color="auto" w:fill="FFFFFF" w:themeFill="background1"/>
          </w:tcPr>
          <w:p w14:paraId="4CE8C0F5" w14:textId="6A9B1B80" w:rsidR="00EA3E05" w:rsidRPr="006B049B" w:rsidRDefault="00C3402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>
              <w:t>A1/1</w:t>
            </w:r>
            <w:r w:rsidR="00866471">
              <w:t>-A13</w:t>
            </w:r>
            <w:r w:rsidR="00EA3E05" w:rsidRPr="006B049B">
              <w:rPr>
                <w:rFonts w:hint="cs"/>
                <w:rtl/>
              </w:rPr>
              <w:t xml:space="preserve"> إلى </w:t>
            </w:r>
            <w:r w:rsidR="00EA3E05" w:rsidRPr="006B049B">
              <w:t>6</w:t>
            </w:r>
          </w:p>
        </w:tc>
      </w:tr>
      <w:tr w:rsidR="00EA3E05" w14:paraId="64F55830" w14:textId="77777777" w:rsidTr="00080CFB">
        <w:tc>
          <w:tcPr>
            <w:tcW w:w="2549" w:type="dxa"/>
            <w:shd w:val="clear" w:color="auto" w:fill="FFFFFF" w:themeFill="background1"/>
          </w:tcPr>
          <w:p w14:paraId="51E1CB0F" w14:textId="081B8ABA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A2</w:t>
            </w:r>
          </w:p>
        </w:tc>
        <w:tc>
          <w:tcPr>
            <w:tcW w:w="3870" w:type="dxa"/>
            <w:shd w:val="clear" w:color="auto" w:fill="FFFFFF" w:themeFill="background1"/>
          </w:tcPr>
          <w:p w14:paraId="5E37EAA5" w14:textId="0A091642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</w:rPr>
              <w:t>GHz 33,4-31,8</w:t>
            </w:r>
          </w:p>
        </w:tc>
        <w:tc>
          <w:tcPr>
            <w:tcW w:w="3210" w:type="dxa"/>
            <w:shd w:val="clear" w:color="auto" w:fill="FFFFFF" w:themeFill="background1"/>
          </w:tcPr>
          <w:p w14:paraId="2231A0DF" w14:textId="537D3BE7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</w:rPr>
            </w:pPr>
            <w:r w:rsidRPr="006B049B">
              <w:t>A13-A2/1</w:t>
            </w:r>
          </w:p>
        </w:tc>
      </w:tr>
      <w:tr w:rsidR="00EA3E05" w14:paraId="60512D63" w14:textId="77777777" w:rsidTr="00080CFB">
        <w:tc>
          <w:tcPr>
            <w:tcW w:w="2549" w:type="dxa"/>
            <w:shd w:val="clear" w:color="auto" w:fill="FFFFFF" w:themeFill="background1"/>
          </w:tcPr>
          <w:p w14:paraId="334506B9" w14:textId="23A5B75F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A3</w:t>
            </w:r>
          </w:p>
        </w:tc>
        <w:tc>
          <w:tcPr>
            <w:tcW w:w="3870" w:type="dxa"/>
            <w:shd w:val="clear" w:color="auto" w:fill="FFFFFF" w:themeFill="background1"/>
          </w:tcPr>
          <w:p w14:paraId="7A1FC683" w14:textId="57296EB1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  <w:lang w:bidi="ar-EG"/>
              </w:rPr>
              <w:t>40,5-37</w:t>
            </w:r>
            <w:r w:rsidR="00080CFB">
              <w:rPr>
                <w:rFonts w:hint="cs"/>
                <w:spacing w:val="-2"/>
                <w:rtl/>
                <w:lang w:bidi="ar-EG"/>
              </w:rPr>
              <w:t xml:space="preserve"> و</w:t>
            </w:r>
            <w:r w:rsidRPr="006B049B">
              <w:rPr>
                <w:spacing w:val="-2"/>
                <w:lang w:bidi="ar-EG"/>
              </w:rPr>
              <w:t>42,5-40,5</w:t>
            </w:r>
            <w:r w:rsidRPr="006B049B">
              <w:rPr>
                <w:rFonts w:hint="cs"/>
                <w:spacing w:val="-2"/>
                <w:rtl/>
                <w:lang w:bidi="ar-EG"/>
              </w:rPr>
              <w:t xml:space="preserve"> و</w:t>
            </w:r>
            <w:r w:rsidRPr="006B049B">
              <w:rPr>
                <w:spacing w:val="-2"/>
                <w:lang w:bidi="ar-EG"/>
              </w:rPr>
              <w:t>GHz 43,5-42,5</w:t>
            </w:r>
          </w:p>
        </w:tc>
        <w:tc>
          <w:tcPr>
            <w:tcW w:w="3210" w:type="dxa"/>
            <w:shd w:val="clear" w:color="auto" w:fill="FFFFFF" w:themeFill="background1"/>
          </w:tcPr>
          <w:p w14:paraId="300F9197" w14:textId="49EEB180" w:rsidR="00EA3E05" w:rsidRPr="006B049B" w:rsidRDefault="00866471" w:rsidP="00080CFB">
            <w:pPr>
              <w:pStyle w:val="Tabletext"/>
              <w:ind w:left="170"/>
              <w:jc w:val="left"/>
              <w:rPr>
                <w:rtl/>
              </w:rPr>
            </w:pPr>
            <w:r>
              <w:t>A3/1-A13</w:t>
            </w:r>
            <w:r w:rsidR="00EA3E05" w:rsidRPr="006B049B">
              <w:rPr>
                <w:rFonts w:hint="cs"/>
                <w:rtl/>
              </w:rPr>
              <w:t xml:space="preserve"> إلى </w:t>
            </w:r>
            <w:r w:rsidR="00EA3E05" w:rsidRPr="006B049B">
              <w:t>5</w:t>
            </w:r>
          </w:p>
        </w:tc>
      </w:tr>
      <w:tr w:rsidR="00EA3E05" w14:paraId="608E450F" w14:textId="77777777" w:rsidTr="00080CFB">
        <w:tc>
          <w:tcPr>
            <w:tcW w:w="2549" w:type="dxa"/>
            <w:shd w:val="clear" w:color="auto" w:fill="FFFFFF" w:themeFill="background1"/>
          </w:tcPr>
          <w:p w14:paraId="25471F82" w14:textId="27787B06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A4</w:t>
            </w:r>
          </w:p>
        </w:tc>
        <w:tc>
          <w:tcPr>
            <w:tcW w:w="3870" w:type="dxa"/>
            <w:shd w:val="clear" w:color="auto" w:fill="FFFFFF" w:themeFill="background1"/>
          </w:tcPr>
          <w:p w14:paraId="34909153" w14:textId="5A6F6F9B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  <w:lang w:bidi="ar-EG"/>
              </w:rPr>
              <w:t>GHz 47-45,5</w:t>
            </w:r>
          </w:p>
        </w:tc>
        <w:tc>
          <w:tcPr>
            <w:tcW w:w="3210" w:type="dxa"/>
            <w:shd w:val="clear" w:color="auto" w:fill="FFFFFF" w:themeFill="background1"/>
          </w:tcPr>
          <w:p w14:paraId="2923E17D" w14:textId="6C74B10E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</w:rPr>
            </w:pPr>
            <w:r w:rsidRPr="006B049B">
              <w:t>A13-A4/1</w:t>
            </w:r>
          </w:p>
        </w:tc>
      </w:tr>
      <w:tr w:rsidR="00EA3E05" w14:paraId="11092402" w14:textId="77777777" w:rsidTr="00080CFB">
        <w:tc>
          <w:tcPr>
            <w:tcW w:w="2549" w:type="dxa"/>
            <w:shd w:val="clear" w:color="auto" w:fill="FFFFFF" w:themeFill="background1"/>
          </w:tcPr>
          <w:p w14:paraId="4CFC49AF" w14:textId="541461E8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A5</w:t>
            </w:r>
          </w:p>
        </w:tc>
        <w:tc>
          <w:tcPr>
            <w:tcW w:w="3870" w:type="dxa"/>
            <w:shd w:val="clear" w:color="auto" w:fill="FFFFFF" w:themeFill="background1"/>
          </w:tcPr>
          <w:p w14:paraId="05A3945F" w14:textId="14D0AB0F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</w:rPr>
              <w:t>GHz 47,2-47</w:t>
            </w:r>
          </w:p>
        </w:tc>
        <w:tc>
          <w:tcPr>
            <w:tcW w:w="3210" w:type="dxa"/>
            <w:shd w:val="clear" w:color="auto" w:fill="FFFFFF" w:themeFill="background1"/>
          </w:tcPr>
          <w:p w14:paraId="6F7FB329" w14:textId="09066889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</w:rPr>
            </w:pPr>
            <w:r w:rsidRPr="006B049B">
              <w:t>A13-A5/1</w:t>
            </w:r>
          </w:p>
        </w:tc>
      </w:tr>
      <w:tr w:rsidR="00EA3E05" w14:paraId="58A0D275" w14:textId="77777777" w:rsidTr="00080CFB">
        <w:tc>
          <w:tcPr>
            <w:tcW w:w="2549" w:type="dxa"/>
            <w:shd w:val="clear" w:color="auto" w:fill="FFFFFF" w:themeFill="background1"/>
          </w:tcPr>
          <w:p w14:paraId="26B71ACC" w14:textId="2CFCDB1F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A6</w:t>
            </w:r>
          </w:p>
        </w:tc>
        <w:tc>
          <w:tcPr>
            <w:tcW w:w="3870" w:type="dxa"/>
            <w:shd w:val="clear" w:color="auto" w:fill="FFFFFF" w:themeFill="background1"/>
          </w:tcPr>
          <w:p w14:paraId="598BD52E" w14:textId="44208AE8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spacing w:val="-2"/>
                <w:lang w:bidi="ar-EG"/>
              </w:rPr>
              <w:t>GHz 71-66</w:t>
            </w:r>
          </w:p>
        </w:tc>
        <w:tc>
          <w:tcPr>
            <w:tcW w:w="3210" w:type="dxa"/>
            <w:shd w:val="clear" w:color="auto" w:fill="FFFFFF" w:themeFill="background1"/>
          </w:tcPr>
          <w:p w14:paraId="647E3414" w14:textId="4D447EDC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</w:rPr>
            </w:pPr>
            <w:r w:rsidRPr="006B049B">
              <w:t>A13-A6/1</w:t>
            </w:r>
          </w:p>
        </w:tc>
      </w:tr>
      <w:tr w:rsidR="00EA3E05" w14:paraId="0409C9BB" w14:textId="77777777" w:rsidTr="00080CFB">
        <w:tc>
          <w:tcPr>
            <w:tcW w:w="2549" w:type="dxa"/>
            <w:shd w:val="clear" w:color="auto" w:fill="FFFFFF" w:themeFill="background1"/>
          </w:tcPr>
          <w:p w14:paraId="1A071FB1" w14:textId="7B6F05EE" w:rsidR="00EA3E05" w:rsidRPr="006B049B" w:rsidRDefault="00EA3E05" w:rsidP="00080CFB">
            <w:pPr>
              <w:pStyle w:val="Tabletext"/>
              <w:ind w:left="283"/>
              <w:jc w:val="left"/>
              <w:rPr>
                <w:rtl/>
                <w:lang w:bidi="ar-EG"/>
              </w:rPr>
            </w:pPr>
            <w:r w:rsidRPr="006B049B">
              <w:t>A7</w:t>
            </w:r>
          </w:p>
        </w:tc>
        <w:tc>
          <w:tcPr>
            <w:tcW w:w="3870" w:type="dxa"/>
            <w:shd w:val="clear" w:color="auto" w:fill="FFFFFF" w:themeFill="background1"/>
          </w:tcPr>
          <w:p w14:paraId="1E577A4E" w14:textId="0D143826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  <w:lang w:bidi="ar-EG"/>
              </w:rPr>
            </w:pPr>
            <w:r w:rsidRPr="006B049B">
              <w:rPr>
                <w:rFonts w:hint="cs"/>
                <w:spacing w:val="-2"/>
                <w:rtl/>
                <w:lang w:bidi="ar-EG"/>
              </w:rPr>
              <w:t xml:space="preserve">معالجة </w:t>
            </w:r>
            <w:r w:rsidRPr="006B049B">
              <w:rPr>
                <w:spacing w:val="-2"/>
                <w:rtl/>
              </w:rPr>
              <w:t>القدرة المشعة الإجمالية</w:t>
            </w:r>
          </w:p>
        </w:tc>
        <w:tc>
          <w:tcPr>
            <w:tcW w:w="3210" w:type="dxa"/>
            <w:shd w:val="clear" w:color="auto" w:fill="FFFFFF" w:themeFill="background1"/>
          </w:tcPr>
          <w:p w14:paraId="1CFBD43C" w14:textId="07E3AB85" w:rsidR="00EA3E05" w:rsidRPr="006B049B" w:rsidRDefault="00EA3E05" w:rsidP="00080CFB">
            <w:pPr>
              <w:pStyle w:val="Tabletext"/>
              <w:ind w:left="170"/>
              <w:jc w:val="left"/>
              <w:rPr>
                <w:rtl/>
              </w:rPr>
            </w:pPr>
            <w:r w:rsidRPr="006B049B">
              <w:t>A13-A7/1</w:t>
            </w:r>
          </w:p>
        </w:tc>
      </w:tr>
    </w:tbl>
    <w:bookmarkEnd w:id="2"/>
    <w:p w14:paraId="6A79EA94" w14:textId="77777777" w:rsidR="004040CC" w:rsidRPr="002F3E46" w:rsidRDefault="004040CC" w:rsidP="009A784F">
      <w:pPr>
        <w:pStyle w:val="Reasons"/>
        <w:spacing w:before="36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040CC" w:rsidRPr="002F3E46" w:rsidSect="009F561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C55F3" w14:textId="77777777" w:rsidR="00EA5D25" w:rsidRDefault="00EA5D25" w:rsidP="002919E1">
      <w:r>
        <w:separator/>
      </w:r>
    </w:p>
    <w:p w14:paraId="1DCA0A38" w14:textId="77777777" w:rsidR="00EA5D25" w:rsidRDefault="00EA5D25" w:rsidP="002919E1"/>
    <w:p w14:paraId="6AF6CFFF" w14:textId="77777777" w:rsidR="00EA5D25" w:rsidRDefault="00EA5D25" w:rsidP="002919E1"/>
    <w:p w14:paraId="199658AF" w14:textId="77777777" w:rsidR="00EA5D25" w:rsidRDefault="00EA5D25"/>
  </w:endnote>
  <w:endnote w:type="continuationSeparator" w:id="0">
    <w:p w14:paraId="7E836875" w14:textId="77777777" w:rsidR="00EA5D25" w:rsidRDefault="00EA5D25" w:rsidP="002919E1">
      <w:r>
        <w:continuationSeparator/>
      </w:r>
    </w:p>
    <w:p w14:paraId="124B5A26" w14:textId="77777777" w:rsidR="00EA5D25" w:rsidRDefault="00EA5D25" w:rsidP="002919E1"/>
    <w:p w14:paraId="6FCE3134" w14:textId="77777777" w:rsidR="00EA5D25" w:rsidRDefault="00EA5D25" w:rsidP="002919E1"/>
    <w:p w14:paraId="54428A1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CF54" w14:textId="18210C9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B79A3">
      <w:rPr>
        <w:noProof/>
      </w:rPr>
      <w:t>P:\ARA\ITU-R\CONF-R\CMR19\000\024ADD13A.docx</w:t>
    </w:r>
    <w:r>
      <w:fldChar w:fldCharType="end"/>
    </w:r>
    <w:proofErr w:type="gramStart"/>
    <w:r w:rsidRPr="00A809E8">
      <w:t xml:space="preserve">   (</w:t>
    </w:r>
    <w:proofErr w:type="gramEnd"/>
    <w:r w:rsidR="007E3798">
      <w:t>461108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F07D" w14:textId="15ECEFF3" w:rsidR="00281F5F" w:rsidRPr="007E3798" w:rsidRDefault="007E3798" w:rsidP="007E379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B79A3">
      <w:rPr>
        <w:noProof/>
      </w:rPr>
      <w:t>P:\ARA\ITU-R\CONF-R\CMR19\000\024ADD13A.docx</w:t>
    </w:r>
    <w:r>
      <w:fldChar w:fldCharType="end"/>
    </w:r>
    <w:proofErr w:type="gramStart"/>
    <w:r w:rsidRPr="00A809E8">
      <w:t xml:space="preserve">   (</w:t>
    </w:r>
    <w:proofErr w:type="gramEnd"/>
    <w:r>
      <w:t>461108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8342" w14:textId="77777777" w:rsidR="00EA5D25" w:rsidRDefault="00EA5D25" w:rsidP="002919E1">
      <w:r>
        <w:t>___________________</w:t>
      </w:r>
    </w:p>
  </w:footnote>
  <w:footnote w:type="continuationSeparator" w:id="0">
    <w:p w14:paraId="285C6843" w14:textId="77777777" w:rsidR="00EA5D25" w:rsidRDefault="00EA5D25" w:rsidP="002919E1">
      <w:r>
        <w:continuationSeparator/>
      </w:r>
    </w:p>
    <w:p w14:paraId="7C18A0C9" w14:textId="77777777" w:rsidR="00EA5D25" w:rsidRDefault="00EA5D25" w:rsidP="002919E1"/>
    <w:p w14:paraId="57DD460A" w14:textId="77777777" w:rsidR="00EA5D25" w:rsidRDefault="00EA5D25" w:rsidP="002919E1"/>
    <w:p w14:paraId="5ED4D3C2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562B" w14:textId="77777777" w:rsidR="00281F5F" w:rsidRDefault="00281F5F" w:rsidP="002919E1"/>
  <w:p w14:paraId="15565E28" w14:textId="77777777" w:rsidR="00281F5F" w:rsidRDefault="00281F5F" w:rsidP="002919E1"/>
  <w:p w14:paraId="2D66D04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05B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24(Add.13)-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21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58D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0F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E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0CFB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6C31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0F85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40CC"/>
    <w:rsid w:val="004147B9"/>
    <w:rsid w:val="00422C04"/>
    <w:rsid w:val="00423A40"/>
    <w:rsid w:val="00426144"/>
    <w:rsid w:val="004636E2"/>
    <w:rsid w:val="00470CBD"/>
    <w:rsid w:val="0047407D"/>
    <w:rsid w:val="00477209"/>
    <w:rsid w:val="004909DD"/>
    <w:rsid w:val="004A05E6"/>
    <w:rsid w:val="004A6230"/>
    <w:rsid w:val="004A6C66"/>
    <w:rsid w:val="004A7AA0"/>
    <w:rsid w:val="004B79A3"/>
    <w:rsid w:val="004C11BC"/>
    <w:rsid w:val="004C56A7"/>
    <w:rsid w:val="004C5C04"/>
    <w:rsid w:val="004D0448"/>
    <w:rsid w:val="004D4AE6"/>
    <w:rsid w:val="00505FCA"/>
    <w:rsid w:val="00510C2D"/>
    <w:rsid w:val="00515E04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049B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3798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6471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0825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784F"/>
    <w:rsid w:val="009D6348"/>
    <w:rsid w:val="009E5007"/>
    <w:rsid w:val="009E613F"/>
    <w:rsid w:val="009F042B"/>
    <w:rsid w:val="009F5617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5678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2A09"/>
    <w:rsid w:val="00B66817"/>
    <w:rsid w:val="00B71E3B"/>
    <w:rsid w:val="00B721D5"/>
    <w:rsid w:val="00B81CB5"/>
    <w:rsid w:val="00B8351F"/>
    <w:rsid w:val="00B86C44"/>
    <w:rsid w:val="00B9727C"/>
    <w:rsid w:val="00BA7D44"/>
    <w:rsid w:val="00BB02C0"/>
    <w:rsid w:val="00BD6291"/>
    <w:rsid w:val="00BD6EF3"/>
    <w:rsid w:val="00BE69C3"/>
    <w:rsid w:val="00C1165E"/>
    <w:rsid w:val="00C22074"/>
    <w:rsid w:val="00C2377B"/>
    <w:rsid w:val="00C34025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0A5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3E05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11FD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B1540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40CC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semiHidden/>
    <w:unhideWhenUsed/>
    <w:rsid w:val="004C56A7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56A7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ED1D-BCF5-4D00-9D02-CDC7EB2E50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38717A-82FB-4443-8DC7-1F0B2A490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F04AD-3297-494D-9DBC-C3657021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7F443-5E5E-426C-AFD5-5138F368013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85E27C-680E-49FA-BC96-FD1A9881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1137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R16-WRC19-C-0024!A13!MSW-A</vt:lpstr>
    </vt:vector>
  </TitlesOfParts>
  <Manager>General Secretariat - Pool</Manager>
  <Company>International Telecommunication Union (ITU)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R16-WRC19-C-0024!A13!MSW-A</dc:title>
  <dc:creator>Documents Proposals Manager (DPM)</dc:creator>
  <cp:keywords>DPM_v2019.9.25.1_prod</cp:keywords>
  <cp:lastModifiedBy>Riz, Imad</cp:lastModifiedBy>
  <cp:revision>6</cp:revision>
  <cp:lastPrinted>2019-10-16T10:13:00Z</cp:lastPrinted>
  <dcterms:created xsi:type="dcterms:W3CDTF">2019-10-11T10:06:00Z</dcterms:created>
  <dcterms:modified xsi:type="dcterms:W3CDTF">2019-10-16T10:14:00Z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