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622560" w14:paraId="203EB713" w14:textId="77777777" w:rsidTr="00CE24CD">
        <w:trPr>
          <w:cantSplit/>
        </w:trPr>
        <w:tc>
          <w:tcPr>
            <w:tcW w:w="6859" w:type="dxa"/>
          </w:tcPr>
          <w:p w14:paraId="3CDF31E6"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72" w:type="dxa"/>
          </w:tcPr>
          <w:p w14:paraId="598A0DC2"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val="en-US" w:eastAsia="zh-CN"/>
              </w:rPr>
              <w:drawing>
                <wp:inline distT="0" distB="0" distL="0" distR="0" wp14:anchorId="7A472B5C" wp14:editId="175771C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3F6FE3E" w14:textId="77777777" w:rsidTr="00CE24CD">
        <w:trPr>
          <w:cantSplit/>
        </w:trPr>
        <w:tc>
          <w:tcPr>
            <w:tcW w:w="6859" w:type="dxa"/>
            <w:tcBorders>
              <w:bottom w:val="single" w:sz="12" w:space="0" w:color="auto"/>
            </w:tcBorders>
          </w:tcPr>
          <w:p w14:paraId="21022773" w14:textId="77777777" w:rsidR="00622560" w:rsidRPr="00617BE4" w:rsidRDefault="00622560">
            <w:pPr>
              <w:spacing w:after="48" w:line="240" w:lineRule="atLeast"/>
              <w:rPr>
                <w:b/>
                <w:smallCaps/>
                <w:szCs w:val="24"/>
              </w:rPr>
            </w:pPr>
            <w:bookmarkStart w:id="1" w:name="dhead"/>
          </w:p>
        </w:tc>
        <w:tc>
          <w:tcPr>
            <w:tcW w:w="3172" w:type="dxa"/>
            <w:tcBorders>
              <w:bottom w:val="single" w:sz="12" w:space="0" w:color="auto"/>
            </w:tcBorders>
          </w:tcPr>
          <w:p w14:paraId="6AB02E8E" w14:textId="77777777" w:rsidR="00622560" w:rsidRPr="00622560" w:rsidRDefault="00622560" w:rsidP="00622560">
            <w:pPr>
              <w:spacing w:before="0" w:line="240" w:lineRule="atLeast"/>
              <w:rPr>
                <w:rFonts w:ascii="Verdana" w:hAnsi="Verdana"/>
                <w:sz w:val="20"/>
                <w:szCs w:val="24"/>
              </w:rPr>
            </w:pPr>
          </w:p>
        </w:tc>
      </w:tr>
      <w:tr w:rsidR="00622560" w:rsidRPr="00C324A8" w14:paraId="198DE1C4" w14:textId="77777777" w:rsidTr="00CE24CD">
        <w:trPr>
          <w:cantSplit/>
        </w:trPr>
        <w:tc>
          <w:tcPr>
            <w:tcW w:w="6859" w:type="dxa"/>
            <w:tcBorders>
              <w:top w:val="single" w:sz="12" w:space="0" w:color="auto"/>
            </w:tcBorders>
          </w:tcPr>
          <w:p w14:paraId="35843F48" w14:textId="77777777" w:rsidR="00622560" w:rsidRPr="00CB4E5A" w:rsidRDefault="00622560" w:rsidP="001B6360">
            <w:pPr>
              <w:spacing w:line="240" w:lineRule="atLeast"/>
              <w:rPr>
                <w:rFonts w:ascii="Verdana" w:hAnsi="Verdana"/>
                <w:b/>
                <w:bCs/>
                <w:sz w:val="20"/>
              </w:rPr>
            </w:pPr>
          </w:p>
        </w:tc>
        <w:tc>
          <w:tcPr>
            <w:tcW w:w="3172" w:type="dxa"/>
            <w:tcBorders>
              <w:top w:val="single" w:sz="12" w:space="0" w:color="auto"/>
            </w:tcBorders>
          </w:tcPr>
          <w:p w14:paraId="2D7C6DD2" w14:textId="77777777" w:rsidR="00622560" w:rsidRPr="00CB4E5A" w:rsidRDefault="00622560" w:rsidP="001B6360">
            <w:pPr>
              <w:spacing w:line="240" w:lineRule="atLeast"/>
              <w:rPr>
                <w:rFonts w:ascii="Verdana" w:hAnsi="Verdana"/>
                <w:b/>
                <w:bCs/>
                <w:sz w:val="20"/>
              </w:rPr>
            </w:pPr>
          </w:p>
        </w:tc>
      </w:tr>
      <w:tr w:rsidR="00622560" w:rsidRPr="00C324A8" w14:paraId="719471E5" w14:textId="77777777" w:rsidTr="00CE24CD">
        <w:trPr>
          <w:cantSplit/>
          <w:trHeight w:val="23"/>
        </w:trPr>
        <w:tc>
          <w:tcPr>
            <w:tcW w:w="6859" w:type="dxa"/>
          </w:tcPr>
          <w:p w14:paraId="731AD2D3"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72" w:type="dxa"/>
          </w:tcPr>
          <w:p w14:paraId="6716D27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(Add.21)(Add.6)</w:t>
            </w:r>
            <w:r w:rsidR="00622560" w:rsidRPr="00622560">
              <w:rPr>
                <w:rFonts w:ascii="Verdana" w:hAnsi="Verdana"/>
                <w:b/>
                <w:sz w:val="20"/>
              </w:rPr>
              <w:t>-</w:t>
            </w:r>
            <w:r w:rsidRPr="000273B7">
              <w:rPr>
                <w:rFonts w:ascii="Verdana" w:hAnsi="Verdana"/>
                <w:b/>
                <w:sz w:val="20"/>
              </w:rPr>
              <w:t>C</w:t>
            </w:r>
          </w:p>
        </w:tc>
      </w:tr>
      <w:bookmarkEnd w:id="1"/>
      <w:tr w:rsidR="008221A4" w:rsidRPr="00C324A8" w14:paraId="54C2BAE7" w14:textId="77777777" w:rsidTr="00CE24CD">
        <w:trPr>
          <w:cantSplit/>
          <w:trHeight w:val="23"/>
        </w:trPr>
        <w:tc>
          <w:tcPr>
            <w:tcW w:w="6859" w:type="dxa"/>
          </w:tcPr>
          <w:p w14:paraId="66E26283" w14:textId="77777777" w:rsidR="008221A4" w:rsidRPr="00C324A8" w:rsidRDefault="008221A4" w:rsidP="00A466E6">
            <w:pPr>
              <w:spacing w:before="0"/>
              <w:rPr>
                <w:rFonts w:ascii="Verdana" w:hAnsi="Verdana"/>
                <w:b/>
                <w:smallCaps/>
                <w:sz w:val="20"/>
              </w:rPr>
            </w:pPr>
          </w:p>
        </w:tc>
        <w:tc>
          <w:tcPr>
            <w:tcW w:w="3172" w:type="dxa"/>
          </w:tcPr>
          <w:p w14:paraId="15EA336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431F931A" w14:textId="77777777" w:rsidTr="00CE24CD">
        <w:trPr>
          <w:cantSplit/>
          <w:trHeight w:val="23"/>
        </w:trPr>
        <w:tc>
          <w:tcPr>
            <w:tcW w:w="6859" w:type="dxa"/>
          </w:tcPr>
          <w:p w14:paraId="4D890A81" w14:textId="77777777" w:rsidR="008221A4" w:rsidRPr="00CB4E5A" w:rsidRDefault="008221A4" w:rsidP="00A466E6">
            <w:pPr>
              <w:spacing w:before="0"/>
              <w:rPr>
                <w:rFonts w:ascii="Verdana" w:hAnsi="Verdana"/>
                <w:b/>
                <w:bCs/>
                <w:sz w:val="20"/>
              </w:rPr>
            </w:pPr>
          </w:p>
        </w:tc>
        <w:tc>
          <w:tcPr>
            <w:tcW w:w="3172" w:type="dxa"/>
          </w:tcPr>
          <w:p w14:paraId="1D64E7D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BAABDC6" w14:textId="77777777" w:rsidTr="00FE20CB">
        <w:trPr>
          <w:cantSplit/>
          <w:trHeight w:val="23"/>
        </w:trPr>
        <w:tc>
          <w:tcPr>
            <w:tcW w:w="10031" w:type="dxa"/>
            <w:gridSpan w:val="2"/>
          </w:tcPr>
          <w:p w14:paraId="2D5B1E6B" w14:textId="77777777" w:rsidR="008221A4" w:rsidRDefault="008221A4" w:rsidP="008221A4">
            <w:pPr>
              <w:spacing w:before="0" w:line="240" w:lineRule="atLeast"/>
              <w:rPr>
                <w:rFonts w:ascii="Verdana" w:hAnsi="Verdana"/>
                <w:b/>
                <w:bCs/>
                <w:sz w:val="20"/>
              </w:rPr>
            </w:pPr>
          </w:p>
        </w:tc>
      </w:tr>
      <w:tr w:rsidR="008221A4" w14:paraId="0EBC1DBD" w14:textId="77777777">
        <w:trPr>
          <w:cantSplit/>
        </w:trPr>
        <w:tc>
          <w:tcPr>
            <w:tcW w:w="10031" w:type="dxa"/>
            <w:gridSpan w:val="2"/>
          </w:tcPr>
          <w:p w14:paraId="003F12AD" w14:textId="77777777" w:rsidR="008221A4" w:rsidRDefault="008221A4" w:rsidP="008221A4">
            <w:pPr>
              <w:pStyle w:val="Source"/>
              <w:rPr>
                <w:lang w:eastAsia="zh-CN"/>
              </w:rPr>
            </w:pPr>
            <w:bookmarkStart w:id="2" w:name="dsource" w:colFirst="0" w:colLast="0"/>
            <w:r w:rsidRPr="000273B7">
              <w:rPr>
                <w:lang w:eastAsia="zh-CN"/>
              </w:rPr>
              <w:t>亚太电信组织共同提案</w:t>
            </w:r>
          </w:p>
        </w:tc>
      </w:tr>
      <w:tr w:rsidR="00767542" w14:paraId="63B4CD71" w14:textId="77777777">
        <w:trPr>
          <w:cantSplit/>
        </w:trPr>
        <w:tc>
          <w:tcPr>
            <w:tcW w:w="10031" w:type="dxa"/>
            <w:gridSpan w:val="2"/>
          </w:tcPr>
          <w:p w14:paraId="2FA4E368" w14:textId="59134ACD" w:rsidR="00767542" w:rsidRDefault="00767542" w:rsidP="008221A4">
            <w:pPr>
              <w:pStyle w:val="Title1"/>
            </w:pPr>
            <w:bookmarkStart w:id="3" w:name="dtitle1" w:colFirst="0" w:colLast="0"/>
            <w:bookmarkEnd w:id="2"/>
            <w:r>
              <w:rPr>
                <w:rFonts w:hint="eastAsia"/>
                <w:lang w:eastAsia="zh-CN"/>
              </w:rPr>
              <w:t>有关</w:t>
            </w:r>
            <w:r w:rsidRPr="000273B7">
              <w:t>大会工作</w:t>
            </w:r>
            <w:r>
              <w:rPr>
                <w:rFonts w:hint="eastAsia"/>
                <w:lang w:eastAsia="zh-CN"/>
              </w:rPr>
              <w:t>的</w:t>
            </w:r>
            <w:r w:rsidRPr="000273B7">
              <w:t>提案</w:t>
            </w:r>
          </w:p>
        </w:tc>
      </w:tr>
      <w:tr w:rsidR="00767542" w14:paraId="1C570774" w14:textId="77777777">
        <w:trPr>
          <w:cantSplit/>
        </w:trPr>
        <w:tc>
          <w:tcPr>
            <w:tcW w:w="10031" w:type="dxa"/>
            <w:gridSpan w:val="2"/>
          </w:tcPr>
          <w:p w14:paraId="2A3A5EE4" w14:textId="77777777" w:rsidR="00767542" w:rsidRDefault="00767542" w:rsidP="008221A4">
            <w:pPr>
              <w:pStyle w:val="Title2"/>
            </w:pPr>
            <w:bookmarkStart w:id="4" w:name="dtitle2" w:colFirst="0" w:colLast="0"/>
            <w:bookmarkEnd w:id="3"/>
          </w:p>
        </w:tc>
      </w:tr>
      <w:tr w:rsidR="00767542" w14:paraId="2813E387" w14:textId="77777777">
        <w:trPr>
          <w:cantSplit/>
        </w:trPr>
        <w:tc>
          <w:tcPr>
            <w:tcW w:w="10031" w:type="dxa"/>
            <w:gridSpan w:val="2"/>
          </w:tcPr>
          <w:p w14:paraId="51C5B093" w14:textId="77777777" w:rsidR="00767542" w:rsidRDefault="00767542" w:rsidP="008221A4">
            <w:pPr>
              <w:pStyle w:val="Agendaitem"/>
            </w:pPr>
            <w:bookmarkStart w:id="5" w:name="dtitle3" w:colFirst="0" w:colLast="0"/>
            <w:bookmarkEnd w:id="4"/>
            <w:r w:rsidRPr="000273B7">
              <w:t>议项</w:t>
            </w:r>
            <w:r w:rsidRPr="000273B7">
              <w:t>9.1(9.1.6)</w:t>
            </w:r>
          </w:p>
        </w:tc>
      </w:tr>
    </w:tbl>
    <w:bookmarkEnd w:id="5"/>
    <w:p w14:paraId="0EE69B70" w14:textId="77777777" w:rsidR="008B60D0" w:rsidRPr="00331A64" w:rsidRDefault="001518FE"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3FE5DAAC" w14:textId="77777777" w:rsidR="008B60D0" w:rsidRPr="00802ABF" w:rsidRDefault="001518FE"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7002E128" w14:textId="72CDDEEB" w:rsidR="008B60D0" w:rsidRDefault="001518FE" w:rsidP="00802ABF">
      <w:pPr>
        <w:rPr>
          <w:rFonts w:ascii="SimSun" w:hAnsi="SimSun" w:cs="SimSun"/>
          <w:lang w:val="en-US" w:eastAsia="zh-CN"/>
        </w:rPr>
      </w:pPr>
      <w:r>
        <w:rPr>
          <w:rFonts w:cstheme="majorBidi"/>
          <w:color w:val="000000"/>
          <w:szCs w:val="24"/>
          <w:lang w:eastAsia="zh-CN"/>
        </w:rPr>
        <w:t>9.1 (</w:t>
      </w:r>
      <w:r>
        <w:rPr>
          <w:rFonts w:hint="eastAsia"/>
          <w:lang w:val="en-US" w:eastAsia="zh-CN"/>
        </w:rPr>
        <w:t>9.1.</w:t>
      </w:r>
      <w:r>
        <w:rPr>
          <w:lang w:val="en-US" w:eastAsia="zh-CN"/>
        </w:rPr>
        <w:t>6)</w:t>
      </w:r>
      <w:r w:rsidRPr="008E50BE">
        <w:rPr>
          <w:lang w:val="en-US" w:eastAsia="zh-CN"/>
        </w:rPr>
        <w:tab/>
      </w:r>
      <w:bookmarkStart w:id="6" w:name="_Toc444767840"/>
      <w:r w:rsidRPr="00355824">
        <w:rPr>
          <w:rFonts w:ascii="SimSun" w:hAnsi="SimSun" w:cs="SimSun" w:hint="eastAsia"/>
          <w:lang w:val="en-US" w:eastAsia="zh-CN"/>
        </w:rPr>
        <w:t>第</w:t>
      </w:r>
      <w:r w:rsidRPr="00355824">
        <w:rPr>
          <w:b/>
          <w:bCs/>
          <w:lang w:val="en-US" w:eastAsia="zh-CN"/>
        </w:rPr>
        <w:t>958</w:t>
      </w:r>
      <w:r w:rsidRPr="00355824">
        <w:rPr>
          <w:rFonts w:ascii="SimSun" w:hAnsi="SimSun" w:cs="SimSun" w:hint="eastAsia"/>
          <w:lang w:val="en-US" w:eastAsia="zh-CN"/>
        </w:rPr>
        <w:t>号决议（</w:t>
      </w:r>
      <w:r w:rsidRPr="00355824">
        <w:rPr>
          <w:b/>
          <w:bCs/>
          <w:lang w:val="en-US" w:eastAsia="zh-CN"/>
        </w:rPr>
        <w:t>WRC-15</w:t>
      </w:r>
      <w:r w:rsidRPr="00355824">
        <w:rPr>
          <w:rFonts w:ascii="SimSun" w:hAnsi="SimSun" w:cs="SimSun" w:hint="eastAsia"/>
          <w:lang w:val="en-US" w:eastAsia="zh-CN"/>
        </w:rPr>
        <w:t>）</w:t>
      </w:r>
      <w:r w:rsidRPr="008E50BE">
        <w:rPr>
          <w:lang w:val="en-US" w:eastAsia="zh-CN"/>
        </w:rPr>
        <w:t>– 1)</w:t>
      </w:r>
      <w:r w:rsidRPr="008E50BE">
        <w:rPr>
          <w:rFonts w:ascii="SimSun" w:hAnsi="SimSun" w:cs="SimSun" w:hint="eastAsia"/>
          <w:lang w:val="en-US" w:eastAsia="zh-CN"/>
        </w:rPr>
        <w:t>有关电动汽车无线功率传输（</w:t>
      </w:r>
      <w:r w:rsidRPr="008E50BE">
        <w:rPr>
          <w:rFonts w:hint="eastAsia"/>
          <w:lang w:val="en-US" w:eastAsia="zh-CN"/>
        </w:rPr>
        <w:t>WPT</w:t>
      </w:r>
      <w:r w:rsidRPr="008E50BE">
        <w:rPr>
          <w:rFonts w:ascii="SimSun" w:hAnsi="SimSun" w:cs="SimSun" w:hint="eastAsia"/>
          <w:lang w:val="en-US" w:eastAsia="zh-CN"/>
        </w:rPr>
        <w:t>）的研究：</w:t>
      </w:r>
      <w:r w:rsidRPr="008E50BE">
        <w:rPr>
          <w:lang w:val="en-US" w:eastAsia="zh-CN"/>
        </w:rPr>
        <w:t>a)</w:t>
      </w:r>
      <w:r w:rsidRPr="008E50BE">
        <w:rPr>
          <w:rFonts w:ascii="SimSun" w:hAnsi="SimSun" w:cs="SimSun" w:hint="eastAsia"/>
          <w:lang w:val="en-US" w:eastAsia="zh-CN"/>
        </w:rPr>
        <w:t>评估电动汽车</w:t>
      </w:r>
      <w:r w:rsidRPr="008E50BE">
        <w:rPr>
          <w:rFonts w:hint="eastAsia"/>
          <w:lang w:val="en-US" w:eastAsia="zh-CN"/>
        </w:rPr>
        <w:t>WPT</w:t>
      </w:r>
      <w:r w:rsidRPr="008E50BE">
        <w:rPr>
          <w:rFonts w:ascii="SimSun" w:hAnsi="SimSun" w:cs="SimSun" w:hint="eastAsia"/>
          <w:lang w:val="en-US" w:eastAsia="zh-CN"/>
        </w:rPr>
        <w:t>对无线电通信业务的影响；</w:t>
      </w:r>
      <w:r w:rsidRPr="008E50BE">
        <w:rPr>
          <w:lang w:val="en-US" w:eastAsia="zh-CN"/>
        </w:rPr>
        <w:t>b)</w:t>
      </w:r>
      <w:r w:rsidRPr="008E50BE">
        <w:rPr>
          <w:rFonts w:ascii="SimSun" w:hAnsi="SimSun" w:cs="SimSun" w:hint="eastAsia"/>
          <w:lang w:val="en-US" w:eastAsia="zh-CN"/>
        </w:rPr>
        <w:t>研究适当的协调一致的频率范围，以便使电动汽车</w:t>
      </w:r>
      <w:r w:rsidRPr="008E50BE">
        <w:rPr>
          <w:lang w:val="en-US" w:eastAsia="zh-CN"/>
        </w:rPr>
        <w:t>WPT</w:t>
      </w:r>
      <w:r w:rsidRPr="008E50BE">
        <w:rPr>
          <w:rFonts w:ascii="SimSun" w:hAnsi="SimSun" w:cs="SimSun" w:hint="eastAsia"/>
          <w:lang w:val="en-US" w:eastAsia="zh-CN"/>
        </w:rPr>
        <w:t>对无线电通信业务的影响降低到最低水平。这些研究应考虑到，国际电工委员会（</w:t>
      </w:r>
      <w:r w:rsidRPr="008E50BE">
        <w:rPr>
          <w:lang w:val="en-US" w:eastAsia="zh-CN"/>
        </w:rPr>
        <w:t>IEC</w:t>
      </w:r>
      <w:r w:rsidRPr="008E50BE">
        <w:rPr>
          <w:rFonts w:ascii="SimSun" w:hAnsi="SimSun" w:cs="SimSun" w:hint="eastAsia"/>
          <w:lang w:val="en-US" w:eastAsia="zh-CN"/>
        </w:rPr>
        <w:t>）、国际标准化组织（</w:t>
      </w:r>
      <w:r w:rsidRPr="008E50BE">
        <w:rPr>
          <w:lang w:val="en-US" w:eastAsia="zh-CN"/>
        </w:rPr>
        <w:t>ISO</w:t>
      </w:r>
      <w:r w:rsidRPr="008E50BE">
        <w:rPr>
          <w:rFonts w:ascii="SimSun" w:hAnsi="SimSun" w:cs="SimSun" w:hint="eastAsia"/>
          <w:lang w:val="en-US" w:eastAsia="zh-CN"/>
        </w:rPr>
        <w:t>）和美国汽车工程师学会（</w:t>
      </w:r>
      <w:r w:rsidRPr="008E50BE">
        <w:rPr>
          <w:lang w:val="en-US" w:eastAsia="zh-CN"/>
        </w:rPr>
        <w:t>SAE</w:t>
      </w:r>
      <w:r w:rsidRPr="008E50BE">
        <w:rPr>
          <w:rFonts w:ascii="SimSun" w:hAnsi="SimSun" w:cs="SimSun" w:hint="eastAsia"/>
          <w:lang w:val="en-US" w:eastAsia="zh-CN"/>
        </w:rPr>
        <w:t>）正在批准一系列旨在实现电动汽车</w:t>
      </w:r>
      <w:r w:rsidRPr="008E50BE">
        <w:rPr>
          <w:lang w:val="en-US" w:eastAsia="zh-CN"/>
        </w:rPr>
        <w:t>WPT</w:t>
      </w:r>
      <w:r w:rsidRPr="008E50BE">
        <w:rPr>
          <w:rFonts w:ascii="SimSun" w:hAnsi="SimSun" w:cs="SimSun" w:hint="eastAsia"/>
          <w:lang w:val="en-US" w:eastAsia="zh-CN"/>
        </w:rPr>
        <w:t>技术的全球和区域性统一的标准。</w:t>
      </w:r>
    </w:p>
    <w:p w14:paraId="5EEDD76D" w14:textId="77777777" w:rsidR="001518FE" w:rsidRPr="00802ABF" w:rsidRDefault="001518FE" w:rsidP="00802ABF">
      <w:pPr>
        <w:rPr>
          <w:rFonts w:cstheme="majorBidi"/>
          <w:szCs w:val="24"/>
          <w:lang w:val="en-US" w:eastAsia="zh-CN"/>
        </w:rPr>
      </w:pPr>
    </w:p>
    <w:p w14:paraId="4EDE4446" w14:textId="6417633B" w:rsidR="001343F3" w:rsidRPr="001343F3" w:rsidRDefault="00767542" w:rsidP="001343F3">
      <w:pPr>
        <w:pStyle w:val="Headingb"/>
        <w:keepNext w:val="0"/>
        <w:rPr>
          <w:rFonts w:ascii="Times New Roman Bold" w:eastAsia="Times New Roman" w:hAnsi="Times New Roman Bold" w:cs="Times New Roman Bold"/>
          <w:lang w:val="fr-CH" w:eastAsia="ja-JP"/>
        </w:rPr>
      </w:pPr>
      <w:r>
        <w:rPr>
          <w:rFonts w:ascii="SimSun" w:hAnsi="SimSun" w:cs="SimSun" w:hint="eastAsia"/>
          <w:lang w:val="fr-CH" w:eastAsia="zh-CN"/>
        </w:rPr>
        <w:t>引言</w:t>
      </w:r>
    </w:p>
    <w:p w14:paraId="3FEE195B" w14:textId="76C9CCAF" w:rsidR="001343F3" w:rsidRPr="00767542" w:rsidRDefault="001343F3" w:rsidP="00721F5F">
      <w:pPr>
        <w:tabs>
          <w:tab w:val="clear" w:pos="1134"/>
          <w:tab w:val="clear" w:pos="1871"/>
          <w:tab w:val="clear" w:pos="2268"/>
        </w:tabs>
        <w:overflowPunct/>
        <w:autoSpaceDE/>
        <w:autoSpaceDN/>
        <w:adjustRightInd/>
        <w:ind w:firstLineChars="200" w:firstLine="480"/>
        <w:textAlignment w:val="auto"/>
        <w:rPr>
          <w:rFonts w:eastAsia="Times New Roman"/>
          <w:lang w:val="fr-CH" w:eastAsia="ja-JP"/>
        </w:rPr>
      </w:pPr>
      <w:r w:rsidRPr="00767542">
        <w:rPr>
          <w:rFonts w:eastAsia="Times New Roman" w:hint="eastAsia"/>
          <w:lang w:val="fr-CH" w:eastAsia="ja-JP"/>
        </w:rPr>
        <w:t>APT</w:t>
      </w:r>
      <w:r w:rsidR="00767542">
        <w:rPr>
          <w:rFonts w:ascii="SimSun" w:hAnsi="SimSun" w:cs="SimSun" w:hint="eastAsia"/>
          <w:lang w:val="en-NZ" w:eastAsia="zh-CN"/>
        </w:rPr>
        <w:t>成员认为必须保护所有无线电通信业务免受可能由</w:t>
      </w:r>
      <w:r w:rsidR="00767542" w:rsidRPr="00767542">
        <w:rPr>
          <w:rFonts w:eastAsia="Times New Roman"/>
          <w:lang w:val="fr-CH" w:eastAsia="ja-JP"/>
        </w:rPr>
        <w:t>WPT</w:t>
      </w:r>
      <w:r w:rsidR="00767542" w:rsidRPr="00767542">
        <w:rPr>
          <w:rFonts w:eastAsia="Times New Roman" w:hint="eastAsia"/>
          <w:lang w:val="fr-CH" w:eastAsia="ja-JP"/>
        </w:rPr>
        <w:t>-EV</w:t>
      </w:r>
      <w:r w:rsidR="00767542">
        <w:rPr>
          <w:rFonts w:ascii="SimSun" w:hAnsi="SimSun" w:cs="SimSun" w:hint="eastAsia"/>
          <w:lang w:val="fr-CH" w:eastAsia="zh-CN"/>
        </w:rPr>
        <w:t>通过基本频率和无用发射产生的有害干扰。</w:t>
      </w:r>
    </w:p>
    <w:p w14:paraId="2C4F8F6D" w14:textId="36BE52B5" w:rsidR="001343F3" w:rsidRPr="00767542" w:rsidRDefault="001343F3" w:rsidP="00721F5F">
      <w:pPr>
        <w:tabs>
          <w:tab w:val="clear" w:pos="1134"/>
          <w:tab w:val="clear" w:pos="1871"/>
          <w:tab w:val="clear" w:pos="2268"/>
        </w:tabs>
        <w:overflowPunct/>
        <w:autoSpaceDE/>
        <w:autoSpaceDN/>
        <w:adjustRightInd/>
        <w:ind w:firstLineChars="200" w:firstLine="480"/>
        <w:textAlignment w:val="auto"/>
        <w:rPr>
          <w:rFonts w:eastAsia="Times New Roman"/>
          <w:lang w:val="fr-CH" w:eastAsia="ja-JP"/>
        </w:rPr>
      </w:pPr>
      <w:r w:rsidRPr="00767542">
        <w:rPr>
          <w:rFonts w:eastAsia="Times New Roman" w:hint="eastAsia"/>
          <w:lang w:val="fr-CH" w:eastAsia="ja-JP"/>
        </w:rPr>
        <w:t>APT</w:t>
      </w:r>
      <w:r w:rsidR="00767542">
        <w:rPr>
          <w:rFonts w:ascii="SimSun" w:hAnsi="SimSun" w:cs="SimSun" w:hint="eastAsia"/>
          <w:lang w:val="en-NZ" w:eastAsia="zh-CN"/>
        </w:rPr>
        <w:t>成员认为</w:t>
      </w:r>
      <w:r w:rsidR="00767542" w:rsidRPr="00767542">
        <w:rPr>
          <w:rFonts w:ascii="SimSun" w:hAnsi="SimSun" w:cs="SimSun" w:hint="eastAsia"/>
          <w:lang w:val="fr-CH" w:eastAsia="zh-CN"/>
        </w:rPr>
        <w:t>，</w:t>
      </w:r>
      <w:r w:rsidR="00767542" w:rsidRPr="00355824">
        <w:rPr>
          <w:rFonts w:ascii="SimSun" w:hAnsi="SimSun" w:cs="SimSun" w:hint="eastAsia"/>
          <w:lang w:val="en-US" w:eastAsia="zh-CN"/>
        </w:rPr>
        <w:t>第</w:t>
      </w:r>
      <w:r w:rsidR="00767542" w:rsidRPr="00767542">
        <w:rPr>
          <w:b/>
          <w:bCs/>
          <w:lang w:val="fr-CH" w:eastAsia="zh-CN"/>
        </w:rPr>
        <w:t>958</w:t>
      </w:r>
      <w:r w:rsidR="00767542" w:rsidRPr="00355824">
        <w:rPr>
          <w:rFonts w:ascii="SimSun" w:hAnsi="SimSun" w:cs="SimSun" w:hint="eastAsia"/>
          <w:lang w:val="en-US" w:eastAsia="zh-CN"/>
        </w:rPr>
        <w:t>号决议</w:t>
      </w:r>
      <w:r w:rsidR="00767542" w:rsidRPr="00767542">
        <w:rPr>
          <w:rFonts w:ascii="SimSun" w:hAnsi="SimSun" w:cs="SimSun" w:hint="eastAsia"/>
          <w:lang w:val="fr-CH" w:eastAsia="zh-CN"/>
        </w:rPr>
        <w:t>（</w:t>
      </w:r>
      <w:r w:rsidR="00767542" w:rsidRPr="00767542">
        <w:rPr>
          <w:b/>
          <w:bCs/>
          <w:lang w:val="fr-CH" w:eastAsia="zh-CN"/>
        </w:rPr>
        <w:t>WRC-15</w:t>
      </w:r>
      <w:r w:rsidR="00767542" w:rsidRPr="00767542">
        <w:rPr>
          <w:rFonts w:ascii="SimSun" w:hAnsi="SimSun" w:cs="SimSun" w:hint="eastAsia"/>
          <w:lang w:val="fr-CH" w:eastAsia="zh-CN"/>
        </w:rPr>
        <w:t>）</w:t>
      </w:r>
      <w:r w:rsidR="00767542">
        <w:rPr>
          <w:rFonts w:hint="eastAsia"/>
          <w:lang w:val="fr-CH" w:eastAsia="zh-CN"/>
        </w:rPr>
        <w:t>附件中的项目</w:t>
      </w:r>
      <w:r w:rsidR="00767542" w:rsidRPr="00767542">
        <w:rPr>
          <w:lang w:val="fr-CH" w:eastAsia="zh-CN"/>
        </w:rPr>
        <w:t>1)</w:t>
      </w:r>
      <w:r w:rsidR="00767542">
        <w:rPr>
          <w:rFonts w:hint="eastAsia"/>
          <w:lang w:val="fr-CH" w:eastAsia="zh-CN"/>
        </w:rPr>
        <w:t>应当废止，且</w:t>
      </w:r>
      <w:r w:rsidRPr="00767542">
        <w:rPr>
          <w:rFonts w:eastAsia="Times New Roman" w:hint="eastAsia"/>
          <w:lang w:val="fr-CH" w:eastAsia="ja-JP"/>
        </w:rPr>
        <w:t>ITU-R</w:t>
      </w:r>
      <w:r w:rsidR="00767542">
        <w:rPr>
          <w:rFonts w:ascii="SimSun" w:hAnsi="SimSun" w:cs="SimSun" w:hint="eastAsia"/>
          <w:lang w:val="fr-CH" w:eastAsia="zh-CN"/>
        </w:rPr>
        <w:t>有关</w:t>
      </w:r>
      <w:r w:rsidRPr="00767542">
        <w:rPr>
          <w:rFonts w:eastAsia="Times New Roman" w:hint="eastAsia"/>
          <w:lang w:val="fr-CH" w:eastAsia="ja-JP"/>
        </w:rPr>
        <w:t>WPT-EV</w:t>
      </w:r>
      <w:r w:rsidR="00767542">
        <w:rPr>
          <w:rFonts w:ascii="SimSun" w:hAnsi="SimSun" w:cs="SimSun" w:hint="eastAsia"/>
          <w:lang w:val="fr-CH" w:eastAsia="zh-CN"/>
        </w:rPr>
        <w:t>的研究，包括有关无用发射的研究，应在最新版本的</w:t>
      </w:r>
      <w:r w:rsidR="00767542" w:rsidRPr="00767542">
        <w:rPr>
          <w:rFonts w:eastAsia="Times New Roman" w:hint="eastAsia"/>
          <w:lang w:val="fr-CH" w:eastAsia="ja-JP"/>
        </w:rPr>
        <w:t>ITU-R 210/1</w:t>
      </w:r>
      <w:r w:rsidR="00767542">
        <w:rPr>
          <w:rFonts w:ascii="SimSun" w:hAnsi="SimSun" w:cs="SimSun" w:hint="eastAsia"/>
          <w:lang w:val="fr-CH" w:eastAsia="zh-CN"/>
        </w:rPr>
        <w:t>号课题内继续开展。</w:t>
      </w:r>
    </w:p>
    <w:p w14:paraId="033E1A80" w14:textId="3E77AA6B" w:rsidR="001343F3" w:rsidRPr="00767542" w:rsidRDefault="001343F3" w:rsidP="00721F5F">
      <w:pPr>
        <w:tabs>
          <w:tab w:val="clear" w:pos="1134"/>
          <w:tab w:val="clear" w:pos="1871"/>
          <w:tab w:val="clear" w:pos="2268"/>
        </w:tabs>
        <w:overflowPunct/>
        <w:autoSpaceDE/>
        <w:autoSpaceDN/>
        <w:adjustRightInd/>
        <w:ind w:firstLineChars="200" w:firstLine="480"/>
        <w:textAlignment w:val="auto"/>
        <w:rPr>
          <w:rFonts w:eastAsia="Times New Roman"/>
          <w:lang w:val="fr-CH" w:eastAsia="ja-JP"/>
        </w:rPr>
      </w:pPr>
      <w:r w:rsidRPr="00767542">
        <w:rPr>
          <w:rFonts w:eastAsia="Times New Roman" w:hint="eastAsia"/>
          <w:lang w:val="fr-CH" w:eastAsia="ja-JP"/>
        </w:rPr>
        <w:t>APT</w:t>
      </w:r>
      <w:r w:rsidR="00767542">
        <w:rPr>
          <w:rFonts w:ascii="SimSun" w:hAnsi="SimSun" w:cs="SimSun" w:hint="eastAsia"/>
          <w:lang w:val="en-NZ" w:eastAsia="zh-CN"/>
        </w:rPr>
        <w:t>成员认为</w:t>
      </w:r>
      <w:r w:rsidR="00767542" w:rsidRPr="00767542">
        <w:rPr>
          <w:rFonts w:eastAsia="Times New Roman" w:hint="eastAsia"/>
          <w:lang w:val="fr-CH" w:eastAsia="ja-JP"/>
        </w:rPr>
        <w:t>WRC-19</w:t>
      </w:r>
      <w:r w:rsidR="00767542">
        <w:rPr>
          <w:rFonts w:ascii="SimSun" w:hAnsi="SimSun" w:cs="SimSun" w:hint="eastAsia"/>
          <w:lang w:val="en-NZ" w:eastAsia="zh-CN"/>
        </w:rPr>
        <w:t>期间没有必要修改《无线电规则》相关部分。</w:t>
      </w:r>
    </w:p>
    <w:p w14:paraId="008B4212" w14:textId="0FD19B59" w:rsidR="001343F3" w:rsidRPr="00767542" w:rsidRDefault="00767542" w:rsidP="00721F5F">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iCs/>
          <w:color w:val="800000"/>
          <w:sz w:val="22"/>
          <w:highlight w:val="cyan"/>
          <w:lang w:val="fr-CH" w:eastAsia="ja-JP"/>
        </w:rPr>
      </w:pPr>
      <w:r w:rsidRPr="00767542">
        <w:rPr>
          <w:rFonts w:eastAsia="Times New Roman" w:hint="eastAsia"/>
          <w:lang w:val="fr-CH" w:eastAsia="ja-JP"/>
        </w:rPr>
        <w:t>APT</w:t>
      </w:r>
      <w:r>
        <w:rPr>
          <w:rFonts w:ascii="SimSun" w:hAnsi="SimSun" w:cs="SimSun" w:hint="eastAsia"/>
          <w:lang w:val="en-NZ" w:eastAsia="zh-CN"/>
        </w:rPr>
        <w:t>成员认为</w:t>
      </w:r>
      <w:r w:rsidR="001343F3" w:rsidRPr="00767542">
        <w:rPr>
          <w:rFonts w:hint="eastAsia"/>
          <w:iCs/>
          <w:szCs w:val="24"/>
          <w:lang w:val="fr-CH" w:eastAsia="ja-JP"/>
        </w:rPr>
        <w:t>ITU-R</w:t>
      </w:r>
      <w:r w:rsidR="001343F3" w:rsidRPr="001343F3">
        <w:rPr>
          <w:rFonts w:hint="eastAsia"/>
          <w:iCs/>
          <w:szCs w:val="24"/>
          <w:lang w:val="en-US" w:eastAsia="ja-JP"/>
        </w:rPr>
        <w:t>将需要继续与</w:t>
      </w:r>
      <w:r w:rsidR="001343F3" w:rsidRPr="001343F3">
        <w:rPr>
          <w:rFonts w:hint="eastAsia"/>
          <w:iCs/>
          <w:szCs w:val="24"/>
          <w:lang w:val="en-US" w:eastAsia="zh-CN"/>
        </w:rPr>
        <w:t>各</w:t>
      </w:r>
      <w:r>
        <w:rPr>
          <w:rFonts w:hint="eastAsia"/>
          <w:iCs/>
          <w:szCs w:val="24"/>
          <w:lang w:val="fr-CH" w:eastAsia="zh-CN"/>
        </w:rPr>
        <w:t>标准制定组织</w:t>
      </w:r>
      <w:r w:rsidR="001343F3" w:rsidRPr="001343F3">
        <w:rPr>
          <w:rFonts w:hint="eastAsia"/>
          <w:iCs/>
          <w:szCs w:val="24"/>
          <w:lang w:val="en-US" w:eastAsia="ja-JP"/>
        </w:rPr>
        <w:t>密切合作</w:t>
      </w:r>
      <w:r w:rsidR="001343F3" w:rsidRPr="00767542">
        <w:rPr>
          <w:rFonts w:hint="eastAsia"/>
          <w:iCs/>
          <w:szCs w:val="24"/>
          <w:lang w:val="fr-CH" w:eastAsia="zh-CN"/>
        </w:rPr>
        <w:t>，</w:t>
      </w:r>
      <w:r w:rsidR="001343F3" w:rsidRPr="001343F3">
        <w:rPr>
          <w:rFonts w:hint="eastAsia"/>
          <w:iCs/>
          <w:szCs w:val="24"/>
          <w:lang w:val="en-US" w:eastAsia="zh-CN"/>
        </w:rPr>
        <w:t>以</w:t>
      </w:r>
      <w:r w:rsidR="001343F3" w:rsidRPr="001343F3">
        <w:rPr>
          <w:rFonts w:hint="eastAsia"/>
          <w:iCs/>
          <w:szCs w:val="24"/>
          <w:lang w:val="en-US" w:eastAsia="ja-JP"/>
        </w:rPr>
        <w:t>确保</w:t>
      </w:r>
      <w:r>
        <w:rPr>
          <w:rFonts w:hint="eastAsia"/>
          <w:iCs/>
          <w:szCs w:val="24"/>
          <w:lang w:val="en-US" w:eastAsia="zh-CN"/>
        </w:rPr>
        <w:t>将</w:t>
      </w:r>
      <w:r w:rsidR="001343F3" w:rsidRPr="001343F3">
        <w:rPr>
          <w:rFonts w:hint="eastAsia"/>
          <w:iCs/>
          <w:szCs w:val="24"/>
          <w:lang w:val="en-US" w:eastAsia="ja-JP"/>
        </w:rPr>
        <w:t>适当的频率范围和技术</w:t>
      </w:r>
      <w:r w:rsidR="001343F3" w:rsidRPr="001343F3">
        <w:rPr>
          <w:rFonts w:hint="eastAsia"/>
          <w:iCs/>
          <w:szCs w:val="24"/>
          <w:lang w:val="en-US" w:eastAsia="zh-CN"/>
        </w:rPr>
        <w:t>限值</w:t>
      </w:r>
      <w:r w:rsidR="001343F3" w:rsidRPr="001343F3">
        <w:rPr>
          <w:rFonts w:hint="eastAsia"/>
          <w:iCs/>
          <w:szCs w:val="24"/>
          <w:lang w:val="en-US" w:eastAsia="ja-JP"/>
        </w:rPr>
        <w:t>被纳入标准</w:t>
      </w:r>
      <w:r>
        <w:rPr>
          <w:rFonts w:hint="eastAsia"/>
          <w:iCs/>
          <w:szCs w:val="24"/>
          <w:lang w:val="en-US" w:eastAsia="zh-CN"/>
        </w:rPr>
        <w:t>从而</w:t>
      </w:r>
      <w:r w:rsidR="001343F3" w:rsidRPr="001343F3">
        <w:rPr>
          <w:rFonts w:hint="eastAsia"/>
          <w:iCs/>
          <w:szCs w:val="24"/>
          <w:lang w:val="en-US" w:eastAsia="ja-JP"/>
        </w:rPr>
        <w:t>保护无线电通信业务。</w:t>
      </w:r>
    </w:p>
    <w:p w14:paraId="32B5DD6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End w:id="6"/>
    </w:p>
    <w:p w14:paraId="26B7BE3B" w14:textId="77777777" w:rsidR="00721F5F" w:rsidRPr="001343F3" w:rsidRDefault="00721F5F" w:rsidP="00721F5F">
      <w:pPr>
        <w:pStyle w:val="Headingb"/>
        <w:keepNext w:val="0"/>
        <w:rPr>
          <w:rFonts w:ascii="Times New Roman Bold" w:eastAsia="Times New Roman" w:hAnsi="Times New Roman Bold" w:cs="Times New Roman Bold"/>
          <w:lang w:val="fr-CH" w:eastAsia="ja-JP"/>
        </w:rPr>
      </w:pPr>
      <w:r>
        <w:rPr>
          <w:rFonts w:ascii="SimSun" w:hAnsi="SimSun" w:cs="SimSun" w:hint="eastAsia"/>
          <w:lang w:val="fr-CH" w:eastAsia="zh-CN"/>
        </w:rPr>
        <w:lastRenderedPageBreak/>
        <w:t>提案</w:t>
      </w:r>
    </w:p>
    <w:p w14:paraId="05FB375F" w14:textId="77777777" w:rsidR="002017FD" w:rsidRDefault="001518FE">
      <w:pPr>
        <w:pStyle w:val="Proposal"/>
        <w:rPr>
          <w:lang w:eastAsia="zh-CN"/>
        </w:rPr>
      </w:pPr>
      <w:r>
        <w:rPr>
          <w:u w:val="single"/>
          <w:lang w:eastAsia="zh-CN"/>
        </w:rPr>
        <w:t>NOC</w:t>
      </w:r>
      <w:r>
        <w:rPr>
          <w:lang w:eastAsia="zh-CN"/>
        </w:rPr>
        <w:tab/>
        <w:t>ACP/24A21A6/1</w:t>
      </w:r>
    </w:p>
    <w:p w14:paraId="1187FC86" w14:textId="77777777" w:rsidR="00F56974" w:rsidRPr="00A46D14" w:rsidRDefault="001518FE" w:rsidP="00A46D14">
      <w:pPr>
        <w:pStyle w:val="Volumetitle"/>
        <w:keepNext w:val="0"/>
        <w:keepLines w:val="0"/>
        <w:spacing w:before="120"/>
        <w:rPr>
          <w:rFonts w:eastAsia="Times New Roman"/>
          <w:b/>
          <w:bCs/>
          <w:caps w:val="0"/>
          <w:szCs w:val="28"/>
        </w:rPr>
      </w:pPr>
      <w:r w:rsidRPr="00A46D14">
        <w:rPr>
          <w:rFonts w:ascii="SimSun" w:hAnsi="SimSun" w:cs="SimSun" w:hint="eastAsia"/>
          <w:b/>
          <w:bCs/>
          <w:caps w:val="0"/>
          <w:szCs w:val="28"/>
        </w:rPr>
        <w:t>条款</w:t>
      </w:r>
    </w:p>
    <w:p w14:paraId="28EF5F52" w14:textId="1216D3E4" w:rsidR="002017FD" w:rsidRDefault="001518FE">
      <w:pPr>
        <w:pStyle w:val="Reasons"/>
        <w:rPr>
          <w:lang w:eastAsia="zh-CN"/>
        </w:rPr>
      </w:pPr>
      <w:r>
        <w:rPr>
          <w:b/>
          <w:lang w:eastAsia="zh-CN"/>
        </w:rPr>
        <w:t>理由：</w:t>
      </w:r>
      <w:r>
        <w:rPr>
          <w:lang w:eastAsia="zh-CN"/>
        </w:rPr>
        <w:tab/>
      </w:r>
      <w:r w:rsidR="00767542">
        <w:rPr>
          <w:rFonts w:hint="eastAsia"/>
          <w:lang w:eastAsia="zh-CN"/>
        </w:rPr>
        <w:t>鉴于</w:t>
      </w:r>
      <w:r w:rsidR="001343F3" w:rsidRPr="001343F3">
        <w:rPr>
          <w:rFonts w:hint="eastAsia"/>
          <w:lang w:eastAsia="zh-CN"/>
        </w:rPr>
        <w:t>ITU-R</w:t>
      </w:r>
      <w:r w:rsidR="00767542">
        <w:rPr>
          <w:rFonts w:hint="eastAsia"/>
          <w:lang w:eastAsia="zh-CN"/>
        </w:rPr>
        <w:t>根据</w:t>
      </w:r>
      <w:r w:rsidR="00767542" w:rsidRPr="00355824">
        <w:rPr>
          <w:rFonts w:ascii="SimSun" w:hAnsi="SimSun" w:cs="SimSun" w:hint="eastAsia"/>
          <w:lang w:val="en-US" w:eastAsia="zh-CN"/>
        </w:rPr>
        <w:t>第</w:t>
      </w:r>
      <w:r w:rsidR="00767542" w:rsidRPr="00767542">
        <w:rPr>
          <w:b/>
          <w:bCs/>
          <w:lang w:val="fr-CH" w:eastAsia="zh-CN"/>
        </w:rPr>
        <w:t>958</w:t>
      </w:r>
      <w:r w:rsidR="00767542" w:rsidRPr="00355824">
        <w:rPr>
          <w:rFonts w:ascii="SimSun" w:hAnsi="SimSun" w:cs="SimSun" w:hint="eastAsia"/>
          <w:lang w:val="en-US" w:eastAsia="zh-CN"/>
        </w:rPr>
        <w:t>号决议</w:t>
      </w:r>
      <w:r w:rsidR="00767542" w:rsidRPr="00767542">
        <w:rPr>
          <w:rFonts w:ascii="SimSun" w:hAnsi="SimSun" w:cs="SimSun" w:hint="eastAsia"/>
          <w:lang w:val="fr-CH" w:eastAsia="zh-CN"/>
        </w:rPr>
        <w:t>（</w:t>
      </w:r>
      <w:r w:rsidR="00767542" w:rsidRPr="00767542">
        <w:rPr>
          <w:b/>
          <w:bCs/>
          <w:lang w:val="fr-CH" w:eastAsia="zh-CN"/>
        </w:rPr>
        <w:t>WRC-15</w:t>
      </w:r>
      <w:r w:rsidR="00767542" w:rsidRPr="00767542">
        <w:rPr>
          <w:rFonts w:ascii="SimSun" w:hAnsi="SimSun" w:cs="SimSun" w:hint="eastAsia"/>
          <w:lang w:val="fr-CH" w:eastAsia="zh-CN"/>
        </w:rPr>
        <w:t>）</w:t>
      </w:r>
      <w:r w:rsidR="00767542">
        <w:rPr>
          <w:rFonts w:hint="eastAsia"/>
          <w:lang w:val="fr-CH" w:eastAsia="zh-CN"/>
        </w:rPr>
        <w:t>开展的研究尚未结束，因此</w:t>
      </w:r>
      <w:r w:rsidR="00767542" w:rsidRPr="00767542">
        <w:rPr>
          <w:rFonts w:eastAsia="Times New Roman" w:hint="eastAsia"/>
          <w:lang w:val="fr-CH" w:eastAsia="ja-JP"/>
        </w:rPr>
        <w:t>WRC-19</w:t>
      </w:r>
      <w:r w:rsidR="00767542">
        <w:rPr>
          <w:rFonts w:ascii="SimSun" w:hAnsi="SimSun" w:cs="SimSun" w:hint="eastAsia"/>
          <w:lang w:val="en-NZ" w:eastAsia="zh-CN"/>
        </w:rPr>
        <w:t>期间没有必要修改《无线电规则》相关部分。</w:t>
      </w:r>
    </w:p>
    <w:p w14:paraId="0228A0F0" w14:textId="77777777" w:rsidR="00895F03" w:rsidRPr="00F13368" w:rsidRDefault="001518FE" w:rsidP="001500D3">
      <w:pPr>
        <w:pStyle w:val="ResNo"/>
        <w:rPr>
          <w:lang w:eastAsia="zh-CN"/>
        </w:rPr>
      </w:pPr>
      <w:bookmarkStart w:id="7"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7"/>
    </w:p>
    <w:p w14:paraId="6BB2C9FD" w14:textId="77777777" w:rsidR="00895F03" w:rsidRPr="00F13368" w:rsidRDefault="001518FE" w:rsidP="001500D3">
      <w:pPr>
        <w:pStyle w:val="Restitle"/>
        <w:rPr>
          <w:lang w:eastAsia="zh-CN"/>
        </w:rPr>
      </w:pPr>
      <w:bookmarkStart w:id="8" w:name="_Toc450722787"/>
      <w:bookmarkStart w:id="9"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8"/>
      <w:bookmarkEnd w:id="9"/>
    </w:p>
    <w:p w14:paraId="44FBCE99" w14:textId="77777777" w:rsidR="002017FD" w:rsidRDefault="001518FE">
      <w:pPr>
        <w:pStyle w:val="Proposal"/>
      </w:pPr>
      <w:r>
        <w:t>MOD</w:t>
      </w:r>
      <w:r>
        <w:tab/>
        <w:t>ACP/24A21A6/2</w:t>
      </w:r>
    </w:p>
    <w:p w14:paraId="0B318C57" w14:textId="77777777" w:rsidR="00895F03" w:rsidRPr="00F13368" w:rsidRDefault="001518FE"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14:paraId="06E1A765" w14:textId="77777777" w:rsidR="00895F03" w:rsidRPr="00F13368" w:rsidRDefault="001518FE"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14:paraId="19DF939A" w14:textId="443CA2D9" w:rsidR="00895F03" w:rsidRPr="00F13368" w:rsidDel="001343F3" w:rsidRDefault="001518FE" w:rsidP="00895F03">
      <w:pPr>
        <w:rPr>
          <w:del w:id="10" w:author="LI, Ziqian" w:date="2019-09-26T14:33:00Z"/>
          <w:lang w:eastAsia="zh-CN"/>
        </w:rPr>
      </w:pPr>
      <w:del w:id="11" w:author="LI, Ziqian" w:date="2019-09-26T14:33:00Z">
        <w:r w:rsidRPr="00F13368" w:rsidDel="001343F3">
          <w:rPr>
            <w:lang w:eastAsia="zh-CN"/>
          </w:rPr>
          <w:delText>1)</w:delText>
        </w:r>
        <w:r w:rsidRPr="00F13368" w:rsidDel="001343F3">
          <w:rPr>
            <w:lang w:eastAsia="zh-CN"/>
          </w:rPr>
          <w:tab/>
        </w:r>
        <w:r w:rsidRPr="00F13368" w:rsidDel="001343F3">
          <w:rPr>
            <w:rFonts w:hint="eastAsia"/>
            <w:lang w:eastAsia="zh-CN"/>
          </w:rPr>
          <w:delText>有关电动汽车无线</w:delText>
        </w:r>
        <w:r w:rsidDel="001343F3">
          <w:rPr>
            <w:rFonts w:hint="eastAsia"/>
            <w:lang w:eastAsia="zh-CN"/>
          </w:rPr>
          <w:delText>功率</w:delText>
        </w:r>
        <w:r w:rsidRPr="00F13368" w:rsidDel="001343F3">
          <w:rPr>
            <w:rFonts w:hint="eastAsia"/>
            <w:lang w:eastAsia="zh-CN"/>
          </w:rPr>
          <w:delText>传输（</w:delText>
        </w:r>
        <w:r w:rsidRPr="00F13368" w:rsidDel="001343F3">
          <w:rPr>
            <w:rFonts w:hint="eastAsia"/>
            <w:lang w:eastAsia="zh-CN"/>
          </w:rPr>
          <w:delText>WPT</w:delText>
        </w:r>
        <w:r w:rsidRPr="00F13368" w:rsidDel="001343F3">
          <w:rPr>
            <w:rFonts w:hint="eastAsia"/>
            <w:lang w:eastAsia="zh-CN"/>
          </w:rPr>
          <w:delText>）的研究：</w:delText>
        </w:r>
      </w:del>
    </w:p>
    <w:p w14:paraId="312E407B" w14:textId="78A844C0" w:rsidR="00895F03" w:rsidRPr="00F13368" w:rsidDel="001343F3" w:rsidRDefault="001518FE" w:rsidP="00895F03">
      <w:pPr>
        <w:pStyle w:val="enumlev1"/>
        <w:rPr>
          <w:del w:id="12" w:author="LI, Ziqian" w:date="2019-09-26T14:33:00Z"/>
          <w:lang w:eastAsia="zh-CN"/>
        </w:rPr>
      </w:pPr>
      <w:del w:id="13" w:author="LI, Ziqian" w:date="2019-09-26T14:33:00Z">
        <w:r w:rsidRPr="00F13368" w:rsidDel="001343F3">
          <w:rPr>
            <w:lang w:eastAsia="zh-CN"/>
          </w:rPr>
          <w:delText>a)</w:delText>
        </w:r>
        <w:r w:rsidRPr="00F13368" w:rsidDel="001343F3">
          <w:rPr>
            <w:lang w:eastAsia="zh-CN"/>
          </w:rPr>
          <w:tab/>
        </w:r>
        <w:r w:rsidRPr="00F13368" w:rsidDel="001343F3">
          <w:rPr>
            <w:rFonts w:hint="eastAsia"/>
            <w:lang w:eastAsia="zh-CN"/>
          </w:rPr>
          <w:delText>评估电动汽车</w:delText>
        </w:r>
        <w:r w:rsidRPr="00F13368" w:rsidDel="001343F3">
          <w:rPr>
            <w:rFonts w:hint="eastAsia"/>
            <w:lang w:eastAsia="zh-CN"/>
          </w:rPr>
          <w:delText>WPT</w:delText>
        </w:r>
        <w:r w:rsidRPr="00F13368" w:rsidDel="001343F3">
          <w:rPr>
            <w:rFonts w:hint="eastAsia"/>
            <w:lang w:eastAsia="zh-CN"/>
          </w:rPr>
          <w:delText>对无线电通信业务的影响；</w:delText>
        </w:r>
      </w:del>
    </w:p>
    <w:p w14:paraId="566C77BD" w14:textId="767CF719" w:rsidR="00895F03" w:rsidRPr="00F13368" w:rsidDel="001343F3" w:rsidRDefault="001518FE" w:rsidP="00895F03">
      <w:pPr>
        <w:pStyle w:val="enumlev1"/>
        <w:rPr>
          <w:del w:id="14" w:author="LI, Ziqian" w:date="2019-09-26T14:33:00Z"/>
          <w:lang w:eastAsia="zh-CN"/>
        </w:rPr>
      </w:pPr>
      <w:del w:id="15" w:author="LI, Ziqian" w:date="2019-09-26T14:33:00Z">
        <w:r w:rsidRPr="00F13368" w:rsidDel="001343F3">
          <w:rPr>
            <w:lang w:eastAsia="zh-CN"/>
          </w:rPr>
          <w:delText>b)</w:delText>
        </w:r>
        <w:r w:rsidRPr="00F13368" w:rsidDel="001343F3">
          <w:rPr>
            <w:lang w:eastAsia="zh-CN"/>
          </w:rPr>
          <w:tab/>
        </w:r>
        <w:r w:rsidRPr="00F13368" w:rsidDel="001343F3">
          <w:rPr>
            <w:rFonts w:hint="eastAsia"/>
            <w:lang w:eastAsia="zh-CN"/>
          </w:rPr>
          <w:delText>研究</w:delText>
        </w:r>
        <w:r w:rsidDel="001343F3">
          <w:rPr>
            <w:rFonts w:hint="eastAsia"/>
            <w:lang w:eastAsia="zh-CN"/>
          </w:rPr>
          <w:delText>适当的协调一致的频率范围，以便使电动汽车</w:delText>
        </w:r>
        <w:r w:rsidDel="001343F3">
          <w:rPr>
            <w:rFonts w:hint="eastAsia"/>
            <w:lang w:eastAsia="zh-CN"/>
          </w:rPr>
          <w:delText>WPT</w:delText>
        </w:r>
        <w:r w:rsidDel="001343F3">
          <w:rPr>
            <w:rFonts w:hint="eastAsia"/>
            <w:lang w:eastAsia="zh-CN"/>
          </w:rPr>
          <w:delText>对无线电通信业务的影响降低到最低水平。</w:delText>
        </w:r>
      </w:del>
    </w:p>
    <w:p w14:paraId="1A3A6B53" w14:textId="65A8F4B9" w:rsidR="00895F03" w:rsidRPr="00F13368" w:rsidDel="001343F3" w:rsidRDefault="001518FE" w:rsidP="00895F03">
      <w:pPr>
        <w:ind w:firstLineChars="200" w:firstLine="480"/>
        <w:rPr>
          <w:del w:id="16" w:author="LI, Ziqian" w:date="2019-09-26T14:33:00Z"/>
          <w:lang w:eastAsia="zh-CN"/>
        </w:rPr>
      </w:pPr>
      <w:del w:id="17" w:author="LI, Ziqian" w:date="2019-09-26T14:33:00Z">
        <w:r w:rsidDel="001343F3">
          <w:rPr>
            <w:rFonts w:hint="eastAsia"/>
            <w:lang w:eastAsia="zh-CN"/>
          </w:rPr>
          <w:delText>这些研究应考虑到，</w:delText>
        </w:r>
        <w:r w:rsidDel="001343F3">
          <w:rPr>
            <w:color w:val="000000"/>
            <w:lang w:eastAsia="zh-CN"/>
          </w:rPr>
          <w:delText>国际电工委员会（</w:delText>
        </w:r>
        <w:r w:rsidDel="001343F3">
          <w:rPr>
            <w:color w:val="000000"/>
            <w:lang w:eastAsia="zh-CN"/>
          </w:rPr>
          <w:delText>IEC</w:delText>
        </w:r>
        <w:r w:rsidDel="001343F3">
          <w:rPr>
            <w:color w:val="000000"/>
            <w:lang w:eastAsia="zh-CN"/>
          </w:rPr>
          <w:delText>）、国际标准化组织（</w:delText>
        </w:r>
        <w:r w:rsidDel="001343F3">
          <w:rPr>
            <w:color w:val="000000"/>
            <w:lang w:eastAsia="zh-CN"/>
          </w:rPr>
          <w:delText>ISO</w:delText>
        </w:r>
        <w:r w:rsidDel="001343F3">
          <w:rPr>
            <w:color w:val="000000"/>
            <w:lang w:eastAsia="zh-CN"/>
          </w:rPr>
          <w:delText>）和美国汽车工程师学会（</w:delText>
        </w:r>
        <w:r w:rsidDel="001343F3">
          <w:rPr>
            <w:color w:val="000000"/>
            <w:lang w:eastAsia="zh-CN"/>
          </w:rPr>
          <w:delText>SAE</w:delText>
        </w:r>
        <w:r w:rsidDel="001343F3">
          <w:rPr>
            <w:color w:val="000000"/>
            <w:lang w:eastAsia="zh-CN"/>
          </w:rPr>
          <w:delText>）正在批准一系列旨在实现电动汽车</w:delText>
        </w:r>
        <w:r w:rsidDel="001343F3">
          <w:rPr>
            <w:color w:val="000000"/>
            <w:lang w:eastAsia="zh-CN"/>
          </w:rPr>
          <w:delText>WPT</w:delText>
        </w:r>
        <w:r w:rsidDel="001343F3">
          <w:rPr>
            <w:color w:val="000000"/>
            <w:lang w:eastAsia="zh-CN"/>
          </w:rPr>
          <w:delText>技术的全球和区域性统一的标</w:delText>
        </w:r>
        <w:r w:rsidDel="001343F3">
          <w:rPr>
            <w:rFonts w:ascii="SimSun" w:hAnsi="SimSun" w:cs="SimSun" w:hint="eastAsia"/>
            <w:color w:val="000000"/>
            <w:lang w:eastAsia="zh-CN"/>
          </w:rPr>
          <w:delText>准。</w:delText>
        </w:r>
      </w:del>
    </w:p>
    <w:p w14:paraId="4E340493" w14:textId="57076606" w:rsidR="00895F03" w:rsidRPr="00F13368" w:rsidRDefault="001518FE" w:rsidP="00895F03">
      <w:pPr>
        <w:rPr>
          <w:lang w:eastAsia="zh-CN"/>
        </w:rPr>
      </w:pPr>
      <w:del w:id="18" w:author="LI, Ziqian" w:date="2019-09-26T14:34:00Z">
        <w:r w:rsidRPr="00F13368" w:rsidDel="001343F3">
          <w:rPr>
            <w:lang w:eastAsia="zh-CN"/>
          </w:rPr>
          <w:delText>2</w:delText>
        </w:r>
      </w:del>
      <w:ins w:id="19" w:author="LI, Ziqian" w:date="2019-09-26T14:34:00Z">
        <w:r w:rsidR="001343F3">
          <w:rPr>
            <w:lang w:eastAsia="zh-CN"/>
          </w:rPr>
          <w:t>1</w:t>
        </w:r>
      </w:ins>
      <w:r w:rsidRPr="00F13368">
        <w:rPr>
          <w:lang w:eastAsia="zh-CN"/>
        </w:rPr>
        <w:t>)</w:t>
      </w:r>
      <w:r w:rsidRPr="00F13368">
        <w:rPr>
          <w:lang w:eastAsia="zh-CN"/>
        </w:rPr>
        <w:tab/>
      </w:r>
      <w:r w:rsidRPr="00F13368">
        <w:rPr>
          <w:rFonts w:hint="eastAsia"/>
          <w:lang w:eastAsia="zh-CN"/>
        </w:rPr>
        <w:t>开展研究，审议</w:t>
      </w:r>
      <w:r>
        <w:rPr>
          <w:rFonts w:hint="eastAsia"/>
          <w:lang w:eastAsia="zh-CN"/>
        </w:rPr>
        <w:t>：</w:t>
      </w:r>
    </w:p>
    <w:p w14:paraId="3CA068CC" w14:textId="77777777" w:rsidR="00895F03" w:rsidRPr="00F13368" w:rsidRDefault="001518FE" w:rsidP="00895F03">
      <w:pPr>
        <w:pStyle w:val="enumlev1"/>
        <w:rPr>
          <w:lang w:eastAsia="zh-CN"/>
        </w:rPr>
      </w:pPr>
      <w:r w:rsidRPr="00F13368">
        <w:rPr>
          <w:lang w:eastAsia="zh-CN"/>
        </w:rPr>
        <w:t>a)</w:t>
      </w:r>
      <w:r w:rsidRPr="00F13368">
        <w:rPr>
          <w:lang w:eastAsia="zh-CN"/>
        </w:rPr>
        <w:tab/>
      </w:r>
      <w:r w:rsidRPr="00F13368">
        <w:rPr>
          <w:rFonts w:hint="eastAsia"/>
          <w:lang w:eastAsia="zh-CN"/>
        </w:rPr>
        <w:t>是否有必要采取可能的补充措施，以限制有关终端</w:t>
      </w:r>
      <w:r>
        <w:rPr>
          <w:rFonts w:hint="eastAsia"/>
          <w:lang w:eastAsia="zh-CN"/>
        </w:rPr>
        <w:t>的向</w:t>
      </w:r>
      <w:r w:rsidRPr="00F13368">
        <w:rPr>
          <w:rFonts w:hint="eastAsia"/>
          <w:lang w:eastAsia="zh-CN"/>
        </w:rPr>
        <w:t>根据第</w:t>
      </w:r>
      <w:r w:rsidRPr="00F13368">
        <w:rPr>
          <w:rFonts w:hint="eastAsia"/>
          <w:b/>
          <w:bCs/>
          <w:lang w:eastAsia="zh-CN"/>
        </w:rPr>
        <w:t>18.1</w:t>
      </w:r>
      <w:r w:rsidRPr="00F13368">
        <w:rPr>
          <w:rFonts w:hint="eastAsia"/>
          <w:lang w:eastAsia="zh-CN"/>
        </w:rPr>
        <w:t>款获得</w:t>
      </w:r>
      <w:r>
        <w:rPr>
          <w:rFonts w:hint="eastAsia"/>
          <w:lang w:eastAsia="zh-CN"/>
        </w:rPr>
        <w:t>许可</w:t>
      </w:r>
      <w:r w:rsidRPr="00F13368">
        <w:rPr>
          <w:rFonts w:hint="eastAsia"/>
          <w:lang w:eastAsia="zh-CN"/>
        </w:rPr>
        <w:t>终端的上行链路发射；</w:t>
      </w:r>
    </w:p>
    <w:p w14:paraId="70E13B70" w14:textId="77777777" w:rsidR="00895F03" w:rsidRPr="00F13368" w:rsidRDefault="001518FE" w:rsidP="00895F03">
      <w:pPr>
        <w:pStyle w:val="enumlev1"/>
        <w:rPr>
          <w:lang w:eastAsia="zh-CN"/>
        </w:rPr>
      </w:pPr>
      <w:r w:rsidRPr="00F13368">
        <w:rPr>
          <w:rFonts w:asciiTheme="majorBidi" w:hAnsiTheme="majorBidi" w:cstheme="majorBidi"/>
          <w:szCs w:val="24"/>
          <w:lang w:eastAsia="zh-CN"/>
        </w:rPr>
        <w:t>b)</w:t>
      </w:r>
      <w:r w:rsidRPr="00F13368">
        <w:rPr>
          <w:rFonts w:asciiTheme="majorBidi" w:hAnsiTheme="majorBidi" w:cstheme="majorBidi"/>
          <w:szCs w:val="24"/>
          <w:lang w:eastAsia="zh-CN"/>
        </w:rPr>
        <w:tab/>
      </w:r>
      <w:r w:rsidRPr="00F13368">
        <w:rPr>
          <w:rFonts w:asciiTheme="majorBidi" w:hAnsiTheme="majorBidi" w:cstheme="majorBidi" w:hint="eastAsia"/>
          <w:szCs w:val="24"/>
          <w:lang w:eastAsia="zh-CN"/>
        </w:rPr>
        <w:t>根据</w:t>
      </w:r>
      <w:r w:rsidRPr="00F13368">
        <w:rPr>
          <w:rFonts w:asciiTheme="majorBidi" w:hAnsiTheme="majorBidi" w:cstheme="majorBidi" w:hint="eastAsia"/>
          <w:szCs w:val="24"/>
          <w:lang w:eastAsia="zh-CN"/>
        </w:rPr>
        <w:t>ITU-R</w:t>
      </w:r>
      <w:r w:rsidRPr="00F13368">
        <w:rPr>
          <w:rFonts w:asciiTheme="majorBidi" w:hAnsiTheme="majorBidi" w:cstheme="majorBidi" w:hint="eastAsia"/>
          <w:szCs w:val="24"/>
          <w:lang w:eastAsia="zh-CN"/>
        </w:rPr>
        <w:t>第</w:t>
      </w:r>
      <w:r w:rsidRPr="00F13368">
        <w:rPr>
          <w:rFonts w:asciiTheme="majorBidi" w:hAnsiTheme="majorBidi" w:cstheme="majorBidi" w:hint="eastAsia"/>
          <w:szCs w:val="24"/>
          <w:lang w:eastAsia="zh-CN"/>
        </w:rPr>
        <w:t>64</w:t>
      </w:r>
      <w:r w:rsidRPr="00F13368">
        <w:rPr>
          <w:rFonts w:asciiTheme="majorBidi" w:hAnsiTheme="majorBidi" w:cstheme="majorBidi" w:hint="eastAsia"/>
          <w:szCs w:val="24"/>
          <w:lang w:eastAsia="zh-CN"/>
        </w:rPr>
        <w:t>号决议（</w:t>
      </w:r>
      <w:r w:rsidRPr="00F13368">
        <w:rPr>
          <w:rFonts w:asciiTheme="majorBidi" w:hAnsiTheme="majorBidi" w:cstheme="majorBidi" w:hint="eastAsia"/>
          <w:szCs w:val="24"/>
          <w:lang w:eastAsia="zh-CN"/>
        </w:rPr>
        <w:t>RA-15</w:t>
      </w:r>
      <w:r w:rsidRPr="00F13368">
        <w:rPr>
          <w:rFonts w:asciiTheme="majorBidi" w:hAnsiTheme="majorBidi" w:cstheme="majorBidi" w:hint="eastAsia"/>
          <w:szCs w:val="24"/>
          <w:lang w:eastAsia="zh-CN"/>
        </w:rPr>
        <w:t>），</w:t>
      </w:r>
      <w:r w:rsidRPr="00F13368">
        <w:rPr>
          <w:rFonts w:asciiTheme="majorBidi" w:hAnsiTheme="majorBidi" w:cstheme="majorBidi"/>
          <w:szCs w:val="24"/>
          <w:lang w:eastAsia="zh-CN"/>
        </w:rPr>
        <w:t>研究</w:t>
      </w:r>
      <w:r w:rsidRPr="00F13368">
        <w:rPr>
          <w:rFonts w:asciiTheme="minorEastAsia" w:eastAsiaTheme="minorEastAsia" w:hAnsiTheme="minorEastAsia" w:cstheme="majorBidi" w:hint="eastAsia"/>
          <w:szCs w:val="24"/>
          <w:lang w:eastAsia="zh-CN"/>
        </w:rPr>
        <w:t>协助主管部门管理在</w:t>
      </w:r>
      <w:r w:rsidRPr="00F13368">
        <w:rPr>
          <w:rFonts w:asciiTheme="majorBidi" w:hAnsiTheme="majorBidi" w:cstheme="majorBidi" w:hint="eastAsia"/>
          <w:szCs w:val="24"/>
          <w:lang w:eastAsia="zh-CN"/>
        </w:rPr>
        <w:t>其境内所部署地球站</w:t>
      </w:r>
      <w:r w:rsidRPr="00F13368">
        <w:rPr>
          <w:rFonts w:asciiTheme="majorBidi" w:hAnsiTheme="majorBidi" w:cstheme="majorBidi"/>
          <w:szCs w:val="24"/>
          <w:lang w:eastAsia="zh-CN"/>
        </w:rPr>
        <w:t>终端</w:t>
      </w:r>
      <w:r w:rsidRPr="00F13368">
        <w:rPr>
          <w:rFonts w:asciiTheme="minorEastAsia" w:eastAsiaTheme="minorEastAsia" w:hAnsiTheme="minorEastAsia" w:cstheme="majorBidi" w:hint="eastAsia"/>
          <w:szCs w:val="24"/>
          <w:lang w:eastAsia="zh-CN"/>
        </w:rPr>
        <w:t>未经审批的操作的</w:t>
      </w:r>
      <w:r w:rsidRPr="00F13368">
        <w:rPr>
          <w:rFonts w:asciiTheme="majorBidi" w:hAnsiTheme="majorBidi" w:cstheme="majorBidi"/>
          <w:szCs w:val="24"/>
          <w:lang w:eastAsia="zh-CN"/>
        </w:rPr>
        <w:t>可行</w:t>
      </w:r>
      <w:r w:rsidRPr="00F13368">
        <w:rPr>
          <w:rFonts w:asciiTheme="majorBidi" w:hAnsiTheme="majorBidi" w:cstheme="majorBidi" w:hint="eastAsia"/>
          <w:szCs w:val="24"/>
          <w:lang w:eastAsia="zh-CN"/>
        </w:rPr>
        <w:t>方法</w:t>
      </w:r>
      <w:r w:rsidRPr="00F13368">
        <w:rPr>
          <w:rFonts w:asciiTheme="minorEastAsia" w:eastAsiaTheme="minorEastAsia" w:hAnsiTheme="minorEastAsia" w:cstheme="majorBidi" w:hint="eastAsia"/>
          <w:szCs w:val="24"/>
          <w:lang w:eastAsia="zh-CN"/>
        </w:rPr>
        <w:t>，以此作为指导其国家频谱管理</w:t>
      </w:r>
      <w:r>
        <w:rPr>
          <w:rFonts w:asciiTheme="minorEastAsia" w:eastAsiaTheme="minorEastAsia" w:hAnsiTheme="minorEastAsia" w:cstheme="majorBidi" w:hint="eastAsia"/>
          <w:szCs w:val="24"/>
          <w:lang w:eastAsia="zh-CN"/>
        </w:rPr>
        <w:t>工作</w:t>
      </w:r>
      <w:r w:rsidRPr="00F13368">
        <w:rPr>
          <w:rFonts w:asciiTheme="minorEastAsia" w:eastAsiaTheme="minorEastAsia" w:hAnsiTheme="minorEastAsia" w:cstheme="majorBidi" w:hint="eastAsia"/>
          <w:szCs w:val="24"/>
          <w:lang w:eastAsia="zh-CN"/>
        </w:rPr>
        <w:t>的工具</w:t>
      </w:r>
    </w:p>
    <w:p w14:paraId="0BB23605" w14:textId="5F951CE2" w:rsidR="00895F03" w:rsidRDefault="001518FE" w:rsidP="00895F03">
      <w:pPr>
        <w:rPr>
          <w:lang w:eastAsia="zh-CN"/>
        </w:rPr>
      </w:pPr>
      <w:del w:id="20" w:author="LI, Ziqian" w:date="2019-09-26T14:34:00Z">
        <w:r w:rsidRPr="00F13368" w:rsidDel="001343F3">
          <w:rPr>
            <w:lang w:eastAsia="zh-CN"/>
          </w:rPr>
          <w:delText>3</w:delText>
        </w:r>
      </w:del>
      <w:ins w:id="21" w:author="LI, Ziqian" w:date="2019-09-26T14:34:00Z">
        <w:r w:rsidR="001343F3">
          <w:rPr>
            <w:lang w:eastAsia="zh-CN"/>
          </w:rPr>
          <w:t>2</w:t>
        </w:r>
      </w:ins>
      <w:r w:rsidRPr="00F13368">
        <w:rPr>
          <w:lang w:eastAsia="zh-CN"/>
        </w:rPr>
        <w:t>)</w:t>
      </w:r>
      <w:r w:rsidRPr="00F13368">
        <w:rPr>
          <w:lang w:eastAsia="zh-CN"/>
        </w:rPr>
        <w:tab/>
      </w: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p w14:paraId="7C53ACA7" w14:textId="1A894E10" w:rsidR="001518FE" w:rsidRDefault="001518FE" w:rsidP="00411C49">
      <w:pPr>
        <w:pStyle w:val="Reasons"/>
        <w:rPr>
          <w:lang w:eastAsia="zh-CN"/>
        </w:rPr>
      </w:pPr>
      <w:r>
        <w:rPr>
          <w:b/>
          <w:lang w:eastAsia="zh-CN"/>
        </w:rPr>
        <w:t>理由：</w:t>
      </w:r>
      <w:r>
        <w:rPr>
          <w:lang w:eastAsia="zh-CN"/>
        </w:rPr>
        <w:tab/>
      </w:r>
      <w:r w:rsidR="00767542" w:rsidRPr="00355824">
        <w:rPr>
          <w:rFonts w:ascii="SimSun" w:hAnsi="SimSun" w:cs="SimSun" w:hint="eastAsia"/>
          <w:lang w:val="en-US" w:eastAsia="zh-CN"/>
        </w:rPr>
        <w:t>第</w:t>
      </w:r>
      <w:r w:rsidR="00767542" w:rsidRPr="00767542">
        <w:rPr>
          <w:b/>
          <w:bCs/>
          <w:lang w:val="fr-CH" w:eastAsia="zh-CN"/>
        </w:rPr>
        <w:t>958</w:t>
      </w:r>
      <w:r w:rsidR="00767542" w:rsidRPr="00355824">
        <w:rPr>
          <w:rFonts w:ascii="SimSun" w:hAnsi="SimSun" w:cs="SimSun" w:hint="eastAsia"/>
          <w:lang w:val="en-US" w:eastAsia="zh-CN"/>
        </w:rPr>
        <w:t>号决议</w:t>
      </w:r>
      <w:r w:rsidR="00767542" w:rsidRPr="00767542">
        <w:rPr>
          <w:rFonts w:ascii="SimSun" w:hAnsi="SimSun" w:cs="SimSun" w:hint="eastAsia"/>
          <w:lang w:val="fr-CH" w:eastAsia="zh-CN"/>
        </w:rPr>
        <w:t>（</w:t>
      </w:r>
      <w:r w:rsidR="00767542" w:rsidRPr="00767542">
        <w:rPr>
          <w:b/>
          <w:bCs/>
          <w:lang w:val="fr-CH" w:eastAsia="zh-CN"/>
        </w:rPr>
        <w:t>WRC-15</w:t>
      </w:r>
      <w:r w:rsidR="00767542" w:rsidRPr="00767542">
        <w:rPr>
          <w:rFonts w:ascii="SimSun" w:hAnsi="SimSun" w:cs="SimSun" w:hint="eastAsia"/>
          <w:lang w:val="fr-CH" w:eastAsia="zh-CN"/>
        </w:rPr>
        <w:t>）</w:t>
      </w:r>
      <w:r w:rsidR="00767542">
        <w:rPr>
          <w:rFonts w:hint="eastAsia"/>
          <w:lang w:val="fr-CH" w:eastAsia="zh-CN"/>
        </w:rPr>
        <w:t>附件中的项目</w:t>
      </w:r>
      <w:r w:rsidR="00767542" w:rsidRPr="00767542">
        <w:rPr>
          <w:lang w:val="fr-CH" w:eastAsia="zh-CN"/>
        </w:rPr>
        <w:t>1)</w:t>
      </w:r>
      <w:r w:rsidR="00767542">
        <w:rPr>
          <w:rFonts w:hint="eastAsia"/>
          <w:lang w:val="fr-CH" w:eastAsia="zh-CN"/>
        </w:rPr>
        <w:t>是用于筹备</w:t>
      </w:r>
      <w:r w:rsidR="00767542" w:rsidRPr="001343F3">
        <w:rPr>
          <w:rFonts w:hint="eastAsia"/>
          <w:lang w:val="en-NZ" w:eastAsia="zh-CN"/>
        </w:rPr>
        <w:t>WRC-19</w:t>
      </w:r>
      <w:r w:rsidR="00767542">
        <w:rPr>
          <w:rFonts w:hint="eastAsia"/>
          <w:lang w:val="en-NZ" w:eastAsia="zh-CN"/>
        </w:rPr>
        <w:t>，</w:t>
      </w:r>
      <w:r w:rsidR="00661E52">
        <w:rPr>
          <w:rFonts w:hint="eastAsia"/>
          <w:lang w:val="en-NZ" w:eastAsia="zh-CN"/>
        </w:rPr>
        <w:t>且</w:t>
      </w:r>
      <w:r w:rsidR="00661E52">
        <w:rPr>
          <w:rFonts w:ascii="SimSun" w:hAnsi="SimSun" w:cs="SimSun" w:hint="eastAsia"/>
          <w:lang w:val="fr-CH" w:eastAsia="zh-CN"/>
        </w:rPr>
        <w:t>有关</w:t>
      </w:r>
      <w:r w:rsidR="00661E52" w:rsidRPr="00767542">
        <w:rPr>
          <w:rFonts w:eastAsia="Times New Roman" w:hint="eastAsia"/>
          <w:lang w:val="fr-CH" w:eastAsia="ja-JP"/>
        </w:rPr>
        <w:t>WPT-EV</w:t>
      </w:r>
      <w:r w:rsidR="00661E52">
        <w:rPr>
          <w:rFonts w:ascii="SimSun" w:hAnsi="SimSun" w:cs="SimSun" w:hint="eastAsia"/>
          <w:lang w:val="fr-CH" w:eastAsia="zh-CN"/>
        </w:rPr>
        <w:t>的研究，应在最新版本的</w:t>
      </w:r>
      <w:r w:rsidR="00661E52" w:rsidRPr="00767542">
        <w:rPr>
          <w:rFonts w:eastAsia="Times New Roman" w:hint="eastAsia"/>
          <w:lang w:val="fr-CH" w:eastAsia="ja-JP"/>
        </w:rPr>
        <w:t>ITU-R 210/1</w:t>
      </w:r>
      <w:r w:rsidR="00661E52">
        <w:rPr>
          <w:rFonts w:ascii="SimSun" w:hAnsi="SimSun" w:cs="SimSun" w:hint="eastAsia"/>
          <w:lang w:val="fr-CH" w:eastAsia="zh-CN"/>
        </w:rPr>
        <w:t>号课题内继续开展。</w:t>
      </w:r>
    </w:p>
    <w:p w14:paraId="08DB0D09" w14:textId="77777777" w:rsidR="00A46D14" w:rsidRDefault="00A46D14">
      <w:pPr>
        <w:jc w:val="center"/>
      </w:pPr>
      <w:bookmarkStart w:id="22" w:name="_GoBack"/>
      <w:bookmarkEnd w:id="22"/>
      <w:r>
        <w:t>______________</w:t>
      </w:r>
    </w:p>
    <w:sectPr w:rsidR="00A46D14">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CEAF4" w14:textId="77777777" w:rsidR="00B6115E" w:rsidRDefault="00B6115E">
      <w:r>
        <w:separator/>
      </w:r>
    </w:p>
  </w:endnote>
  <w:endnote w:type="continuationSeparator" w:id="0">
    <w:p w14:paraId="713E9B9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3A24" w14:textId="7FC0CE8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21F5F">
      <w:rPr>
        <w:lang w:val="en-US"/>
      </w:rPr>
      <w:t>P:\CHI\ITU-R\CONF-R\CMR19\000\024ADD21ADD06C.docx</w:t>
    </w:r>
    <w:r>
      <w:fldChar w:fldCharType="end"/>
    </w:r>
    <w:r w:rsidR="00A01B52">
      <w:t xml:space="preserve"> (461112)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13C2" w14:textId="1AF625B8" w:rsidR="00B851D4" w:rsidRPr="00A01B52" w:rsidRDefault="00A01B52" w:rsidP="00A01B52">
    <w:pPr>
      <w:pStyle w:val="Footer"/>
      <w:rPr>
        <w:lang w:val="en-US"/>
      </w:rPr>
    </w:pPr>
    <w:r>
      <w:fldChar w:fldCharType="begin"/>
    </w:r>
    <w:r w:rsidRPr="00DA0469">
      <w:rPr>
        <w:lang w:val="en-US"/>
      </w:rPr>
      <w:instrText xml:space="preserve"> FILENAME \p \* MERGEFORMAT </w:instrText>
    </w:r>
    <w:r>
      <w:fldChar w:fldCharType="separate"/>
    </w:r>
    <w:r w:rsidR="00721F5F">
      <w:rPr>
        <w:lang w:val="en-US"/>
      </w:rPr>
      <w:t>P:\CHI\ITU-R\CONF-R\CMR19\000\024ADD21ADD06C.docx</w:t>
    </w:r>
    <w:r>
      <w:fldChar w:fldCharType="end"/>
    </w:r>
    <w:r>
      <w:t xml:space="preserve"> (461112)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4419" w14:textId="77777777" w:rsidR="00B6115E" w:rsidRDefault="00B6115E">
      <w:r>
        <w:t>____________________</w:t>
      </w:r>
    </w:p>
  </w:footnote>
  <w:footnote w:type="continuationSeparator" w:id="0">
    <w:p w14:paraId="5123E95A"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6F6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7825C0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24(Add.21)(Add.6)-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NZ"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343F3"/>
    <w:rsid w:val="001518FE"/>
    <w:rsid w:val="00166859"/>
    <w:rsid w:val="001765EC"/>
    <w:rsid w:val="001853E8"/>
    <w:rsid w:val="001A4E73"/>
    <w:rsid w:val="001B6360"/>
    <w:rsid w:val="001F4EA6"/>
    <w:rsid w:val="002017FD"/>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12705"/>
    <w:rsid w:val="00527E8A"/>
    <w:rsid w:val="00542E85"/>
    <w:rsid w:val="00547385"/>
    <w:rsid w:val="00562479"/>
    <w:rsid w:val="00576849"/>
    <w:rsid w:val="005A0ACB"/>
    <w:rsid w:val="005E08D2"/>
    <w:rsid w:val="005E7FD8"/>
    <w:rsid w:val="00622560"/>
    <w:rsid w:val="00644391"/>
    <w:rsid w:val="00647712"/>
    <w:rsid w:val="00661E52"/>
    <w:rsid w:val="00662E12"/>
    <w:rsid w:val="00691142"/>
    <w:rsid w:val="006B67CE"/>
    <w:rsid w:val="006C38ED"/>
    <w:rsid w:val="006E6182"/>
    <w:rsid w:val="006E6997"/>
    <w:rsid w:val="006F3C60"/>
    <w:rsid w:val="00721F5F"/>
    <w:rsid w:val="00736415"/>
    <w:rsid w:val="00767542"/>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01B52"/>
    <w:rsid w:val="00A31B14"/>
    <w:rsid w:val="00A323DC"/>
    <w:rsid w:val="00A466E6"/>
    <w:rsid w:val="00A46D14"/>
    <w:rsid w:val="00A815BE"/>
    <w:rsid w:val="00A93295"/>
    <w:rsid w:val="00AA5DA1"/>
    <w:rsid w:val="00AC2C94"/>
    <w:rsid w:val="00AE369F"/>
    <w:rsid w:val="00B026CB"/>
    <w:rsid w:val="00B417DD"/>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E24CD"/>
    <w:rsid w:val="00CF0AD7"/>
    <w:rsid w:val="00CF0BE1"/>
    <w:rsid w:val="00CF7C2B"/>
    <w:rsid w:val="00D52A14"/>
    <w:rsid w:val="00D5451C"/>
    <w:rsid w:val="00D6206A"/>
    <w:rsid w:val="00D74599"/>
    <w:rsid w:val="00DA0469"/>
    <w:rsid w:val="00DD13B7"/>
    <w:rsid w:val="00DF3B0C"/>
    <w:rsid w:val="00E14984"/>
    <w:rsid w:val="00E22A25"/>
    <w:rsid w:val="00E30C54"/>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1ACB0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d25ef3-f0c5-40eb-befe-edfe5b51312e">DPM</DPM_x0020_Author>
    <DPM_x0020_File_x0020_name xmlns="7ad25ef3-f0c5-40eb-befe-edfe5b51312e">R16-WRC19-C-0024!A21-A6!MSW-C</DPM_x0020_File_x0020_name>
    <DPM_x0020_Version xmlns="7ad25ef3-f0c5-40eb-befe-edfe5b51312e">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d25ef3-f0c5-40eb-befe-edfe5b51312e" targetNamespace="http://schemas.microsoft.com/office/2006/metadata/properties" ma:root="true" ma:fieldsID="d41af5c836d734370eb92e7ee5f83852" ns2:_="" ns3:_="">
    <xsd:import namespace="996b2e75-67fd-4955-a3b0-5ab9934cb50b"/>
    <xsd:import namespace="7ad25ef3-f0c5-40eb-befe-edfe5b5131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d25ef3-f0c5-40eb-befe-edfe5b5131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7ad25ef3-f0c5-40eb-befe-edfe5b51312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d25ef3-f0c5-40eb-befe-edfe5b5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873</Words>
  <Characters>505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R16-WRC19-C-0024!A21-A6!MSW-C</vt:lpstr>
    </vt:vector>
  </TitlesOfParts>
  <Manager>General Secretariat - Pool</Manager>
  <Company>International Telecommunication Union (ITU)</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R16-WRC19-C-0024!A21-A6!MSW-C</dc:title>
  <dc:subject>World Radiocommunication Conference - 2019</dc:subject>
  <dc:creator>Documents Proposals Manager (DPM)</dc:creator>
  <cp:keywords>DPM_v2019.9.25.1_prod</cp:keywords>
  <dc:description/>
  <cp:lastModifiedBy>Murphy, Margaret</cp:lastModifiedBy>
  <cp:revision>8</cp:revision>
  <cp:lastPrinted>2006-07-03T06:56:00Z</cp:lastPrinted>
  <dcterms:created xsi:type="dcterms:W3CDTF">2019-10-07T11:36:00Z</dcterms:created>
  <dcterms:modified xsi:type="dcterms:W3CDTF">2019-10-07T16:01:00Z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