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10BFC1EA" w14:textId="77777777" w:rsidTr="002F4613">
        <w:trPr>
          <w:cantSplit/>
        </w:trPr>
        <w:tc>
          <w:tcPr>
            <w:tcW w:w="6804" w:type="dxa"/>
          </w:tcPr>
          <w:p w14:paraId="2F169234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0FF3A2F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41A0021" wp14:editId="3483C3B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DCF1D6F" w14:textId="77777777" w:rsidTr="002F461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77EDBD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8C58D6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3BC2AD2" w14:textId="77777777" w:rsidTr="002F461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DA903D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804304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7FBE093" w14:textId="77777777" w:rsidTr="002F4613">
        <w:trPr>
          <w:cantSplit/>
          <w:trHeight w:val="23"/>
        </w:trPr>
        <w:tc>
          <w:tcPr>
            <w:tcW w:w="6804" w:type="dxa"/>
          </w:tcPr>
          <w:p w14:paraId="04C381C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5B56475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2CC44B7B" w14:textId="77777777" w:rsidTr="002F4613">
        <w:trPr>
          <w:cantSplit/>
          <w:trHeight w:val="23"/>
        </w:trPr>
        <w:tc>
          <w:tcPr>
            <w:tcW w:w="6804" w:type="dxa"/>
          </w:tcPr>
          <w:p w14:paraId="34E3269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094B673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F97D8B7" w14:textId="77777777" w:rsidTr="002F4613">
        <w:trPr>
          <w:cantSplit/>
          <w:trHeight w:val="23"/>
        </w:trPr>
        <w:tc>
          <w:tcPr>
            <w:tcW w:w="6804" w:type="dxa"/>
          </w:tcPr>
          <w:p w14:paraId="019069A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bookmarkStart w:id="4" w:name="_GoBack"/>
            <w:bookmarkEnd w:id="4"/>
          </w:p>
        </w:tc>
        <w:tc>
          <w:tcPr>
            <w:tcW w:w="3227" w:type="dxa"/>
          </w:tcPr>
          <w:p w14:paraId="1C3104F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EA36D0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F619BD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695BDF0" w14:textId="77777777">
        <w:trPr>
          <w:cantSplit/>
        </w:trPr>
        <w:tc>
          <w:tcPr>
            <w:tcW w:w="10031" w:type="dxa"/>
            <w:gridSpan w:val="2"/>
          </w:tcPr>
          <w:p w14:paraId="5E9A0A9B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49CFA357" w14:textId="77777777">
        <w:trPr>
          <w:cantSplit/>
        </w:trPr>
        <w:tc>
          <w:tcPr>
            <w:tcW w:w="10031" w:type="dxa"/>
            <w:gridSpan w:val="2"/>
          </w:tcPr>
          <w:p w14:paraId="49A49407" w14:textId="4E5CABD8" w:rsidR="008221A4" w:rsidRDefault="00474055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关于大会工作的提案</w:t>
            </w:r>
          </w:p>
        </w:tc>
      </w:tr>
      <w:tr w:rsidR="008221A4" w14:paraId="25EECC19" w14:textId="77777777">
        <w:trPr>
          <w:cantSplit/>
        </w:trPr>
        <w:tc>
          <w:tcPr>
            <w:tcW w:w="10031" w:type="dxa"/>
            <w:gridSpan w:val="2"/>
          </w:tcPr>
          <w:p w14:paraId="3DBA0F6E" w14:textId="77777777"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 w14:paraId="2E9CC205" w14:textId="77777777">
        <w:trPr>
          <w:cantSplit/>
        </w:trPr>
        <w:tc>
          <w:tcPr>
            <w:tcW w:w="10031" w:type="dxa"/>
            <w:gridSpan w:val="2"/>
          </w:tcPr>
          <w:p w14:paraId="5518AC74" w14:textId="77777777"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10</w:t>
            </w:r>
          </w:p>
        </w:tc>
      </w:tr>
    </w:tbl>
    <w:bookmarkEnd w:id="8"/>
    <w:p w14:paraId="4ECC1886" w14:textId="77777777" w:rsidR="008B60D0" w:rsidRDefault="008A2A55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41EE4D9D" w14:textId="72C6DBF5" w:rsidR="009B45F0" w:rsidRPr="007C18CF" w:rsidRDefault="00474055" w:rsidP="009B45F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6E245560" w14:textId="56B051D7" w:rsidR="009B45F0" w:rsidRPr="006C0266" w:rsidRDefault="00474055" w:rsidP="003135BD">
      <w:pPr>
        <w:ind w:firstLineChars="200" w:firstLine="480"/>
        <w:rPr>
          <w:lang w:val="en-AU" w:eastAsia="zh-CN"/>
        </w:rPr>
      </w:pPr>
      <w:r w:rsidRPr="00474055">
        <w:rPr>
          <w:rFonts w:hint="eastAsia"/>
          <w:lang w:val="en-AU" w:eastAsia="zh-CN"/>
        </w:rPr>
        <w:t>亚太电信组织</w:t>
      </w:r>
      <w:r>
        <w:rPr>
          <w:rFonts w:hint="eastAsia"/>
          <w:lang w:val="en-AU" w:eastAsia="zh-CN"/>
        </w:rPr>
        <w:t>（</w:t>
      </w:r>
      <w:r>
        <w:rPr>
          <w:rFonts w:hint="eastAsia"/>
          <w:lang w:val="en-AU" w:eastAsia="zh-CN"/>
        </w:rPr>
        <w:t>APT</w:t>
      </w:r>
      <w:r>
        <w:rPr>
          <w:rFonts w:hint="eastAsia"/>
          <w:lang w:val="en-AU" w:eastAsia="zh-CN"/>
        </w:rPr>
        <w:t>）成员支持将</w:t>
      </w:r>
      <w:r w:rsidRPr="00474055">
        <w:rPr>
          <w:rFonts w:hint="eastAsia"/>
          <w:lang w:val="en-AU" w:eastAsia="zh-CN"/>
        </w:rPr>
        <w:t>下述议项纳入</w:t>
      </w:r>
      <w:r>
        <w:rPr>
          <w:rFonts w:hint="eastAsia"/>
          <w:lang w:val="en-AU" w:eastAsia="zh-CN"/>
        </w:rPr>
        <w:t>WRC-23</w:t>
      </w:r>
      <w:r w:rsidRPr="00474055">
        <w:rPr>
          <w:rFonts w:hint="eastAsia"/>
          <w:lang w:val="en-AU" w:eastAsia="zh-CN"/>
        </w:rPr>
        <w:t>议程</w:t>
      </w:r>
      <w:r>
        <w:rPr>
          <w:rFonts w:hint="eastAsia"/>
          <w:lang w:val="en-AU" w:eastAsia="zh-CN"/>
        </w:rPr>
        <w:t>：</w:t>
      </w:r>
    </w:p>
    <w:p w14:paraId="02EC3FCF" w14:textId="068D7750" w:rsidR="009B45F0" w:rsidRPr="00B47B53" w:rsidRDefault="003135BD" w:rsidP="003135BD">
      <w:pPr>
        <w:pStyle w:val="enumlev1"/>
        <w:rPr>
          <w:highlight w:val="green"/>
          <w:lang w:val="en-AU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5B3CF6">
        <w:rPr>
          <w:rFonts w:hint="eastAsia"/>
          <w:lang w:eastAsia="zh-CN"/>
        </w:rPr>
        <w:t>考虑</w:t>
      </w:r>
      <w:r w:rsidR="00704FA3" w:rsidRPr="00A51105">
        <w:rPr>
          <w:rFonts w:hint="eastAsia"/>
          <w:lang w:eastAsia="zh-CN"/>
        </w:rPr>
        <w:t>在</w:t>
      </w:r>
      <w:r w:rsidR="00704FA3" w:rsidRPr="00A51105">
        <w:rPr>
          <w:rFonts w:eastAsia="Times New Roman" w:hint="eastAsia"/>
          <w:lang w:eastAsia="zh-CN"/>
        </w:rPr>
        <w:t>117.975-137 MHz</w:t>
      </w:r>
      <w:r w:rsidR="00704FA3" w:rsidRPr="00A51105">
        <w:rPr>
          <w:rFonts w:hint="eastAsia"/>
          <w:lang w:eastAsia="zh-CN"/>
        </w:rPr>
        <w:t>频段内</w:t>
      </w:r>
      <w:r w:rsidR="005B3CF6">
        <w:rPr>
          <w:rFonts w:hint="eastAsia"/>
          <w:lang w:eastAsia="zh-CN"/>
        </w:rPr>
        <w:t>对</w:t>
      </w:r>
      <w:r w:rsidR="00704FA3" w:rsidRPr="00A51105">
        <w:rPr>
          <w:rFonts w:hint="eastAsia"/>
          <w:lang w:eastAsia="zh-CN"/>
        </w:rPr>
        <w:t>航空</w:t>
      </w:r>
      <w:r w:rsidR="00704FA3" w:rsidRPr="00A51105">
        <w:rPr>
          <w:rFonts w:eastAsia="Times New Roman" w:hint="eastAsia"/>
          <w:lang w:eastAsia="zh-CN"/>
        </w:rPr>
        <w:t>VHF</w:t>
      </w:r>
      <w:r w:rsidR="003B47BC">
        <w:rPr>
          <w:rFonts w:hint="eastAsia"/>
          <w:lang w:eastAsia="zh-CN"/>
        </w:rPr>
        <w:t>应用</w:t>
      </w:r>
      <w:r w:rsidR="00704FA3" w:rsidRPr="00A51105">
        <w:rPr>
          <w:rFonts w:hint="eastAsia"/>
          <w:lang w:eastAsia="zh-CN"/>
        </w:rPr>
        <w:t>上行链路和下行链路</w:t>
      </w:r>
      <w:r w:rsidR="00704FA3">
        <w:rPr>
          <w:rFonts w:hint="eastAsia"/>
          <w:lang w:eastAsia="zh-CN"/>
        </w:rPr>
        <w:t>的</w:t>
      </w:r>
      <w:r w:rsidR="00704FA3" w:rsidRPr="0004487C">
        <w:rPr>
          <w:rFonts w:eastAsia="Times New Roman"/>
          <w:lang w:eastAsia="zh-CN"/>
        </w:rPr>
        <w:t>AMS(R)S</w:t>
      </w:r>
      <w:r w:rsidR="00704FA3">
        <w:rPr>
          <w:rFonts w:hint="eastAsia"/>
          <w:lang w:eastAsia="zh-CN"/>
        </w:rPr>
        <w:t>划分</w:t>
      </w:r>
      <w:r w:rsidR="005B3CF6">
        <w:rPr>
          <w:rFonts w:hint="eastAsia"/>
          <w:lang w:eastAsia="zh-CN"/>
        </w:rPr>
        <w:t>，同时确保不</w:t>
      </w:r>
      <w:r w:rsidR="003B47BC">
        <w:rPr>
          <w:rFonts w:hint="eastAsia"/>
          <w:lang w:eastAsia="zh-CN"/>
        </w:rPr>
        <w:t>对</w:t>
      </w:r>
      <w:r w:rsidR="003B47BC" w:rsidRPr="00A51105">
        <w:rPr>
          <w:rFonts w:hint="eastAsia"/>
          <w:lang w:eastAsia="zh-CN"/>
        </w:rPr>
        <w:t>相同和相邻</w:t>
      </w:r>
      <w:r w:rsidR="003B47BC">
        <w:rPr>
          <w:rFonts w:hint="eastAsia"/>
          <w:lang w:eastAsia="zh-CN"/>
        </w:rPr>
        <w:t>频段内</w:t>
      </w:r>
      <w:r w:rsidR="003B47BC" w:rsidRPr="00A51105">
        <w:rPr>
          <w:rFonts w:hint="eastAsia"/>
          <w:lang w:eastAsia="zh-CN"/>
        </w:rPr>
        <w:t>的</w:t>
      </w:r>
      <w:r w:rsidR="003B47BC">
        <w:rPr>
          <w:rFonts w:hint="eastAsia"/>
          <w:lang w:eastAsia="zh-CN"/>
        </w:rPr>
        <w:t>现有业务</w:t>
      </w:r>
      <w:r w:rsidR="00704FA3" w:rsidRPr="00A51105">
        <w:rPr>
          <w:rFonts w:hint="eastAsia"/>
          <w:lang w:eastAsia="zh-CN"/>
        </w:rPr>
        <w:t>造成</w:t>
      </w:r>
      <w:r w:rsidR="003B47BC">
        <w:rPr>
          <w:rFonts w:hint="eastAsia"/>
          <w:lang w:eastAsia="zh-CN"/>
        </w:rPr>
        <w:t>任何有害干扰或</w:t>
      </w:r>
      <w:r w:rsidR="00704FA3" w:rsidRPr="00A51105">
        <w:rPr>
          <w:rFonts w:hint="eastAsia"/>
          <w:lang w:eastAsia="zh-CN"/>
        </w:rPr>
        <w:t>施加任何</w:t>
      </w:r>
      <w:r w:rsidR="00704FA3">
        <w:rPr>
          <w:rFonts w:hint="eastAsia"/>
          <w:lang w:eastAsia="zh-CN"/>
        </w:rPr>
        <w:t>额外</w:t>
      </w:r>
      <w:r w:rsidR="00704FA3" w:rsidRPr="00A51105">
        <w:rPr>
          <w:rFonts w:hint="eastAsia"/>
          <w:lang w:eastAsia="zh-CN"/>
        </w:rPr>
        <w:t>限制，尤其是</w:t>
      </w:r>
      <w:r w:rsidR="003B47BC" w:rsidRPr="0004487C">
        <w:rPr>
          <w:rFonts w:hint="eastAsia"/>
          <w:kern w:val="2"/>
          <w:szCs w:val="24"/>
          <w:lang w:eastAsia="zh-CN"/>
        </w:rPr>
        <w:t>AM(R)S</w:t>
      </w:r>
      <w:r w:rsidR="00704FA3" w:rsidRPr="00A51105">
        <w:rPr>
          <w:rFonts w:hint="eastAsia"/>
          <w:lang w:eastAsia="zh-CN"/>
        </w:rPr>
        <w:t>（</w:t>
      </w:r>
      <w:r w:rsidR="00704FA3" w:rsidRPr="00A51105">
        <w:rPr>
          <w:rFonts w:eastAsia="Times New Roman" w:hint="eastAsia"/>
          <w:lang w:eastAsia="zh-CN"/>
        </w:rPr>
        <w:t>117.975-137</w:t>
      </w:r>
      <w:r w:rsidR="00A20E0B">
        <w:rPr>
          <w:rFonts w:eastAsia="Times New Roman"/>
          <w:lang w:eastAsia="zh-CN"/>
        </w:rPr>
        <w:t> </w:t>
      </w:r>
      <w:r w:rsidR="00704FA3" w:rsidRPr="00A51105">
        <w:rPr>
          <w:rFonts w:eastAsia="Times New Roman" w:hint="eastAsia"/>
          <w:lang w:eastAsia="zh-CN"/>
        </w:rPr>
        <w:t>MHz</w:t>
      </w:r>
      <w:r w:rsidR="00704FA3" w:rsidRPr="00A51105">
        <w:rPr>
          <w:rFonts w:hint="eastAsia"/>
          <w:lang w:eastAsia="zh-CN"/>
        </w:rPr>
        <w:t>）</w:t>
      </w:r>
      <w:r w:rsidR="003B47BC">
        <w:rPr>
          <w:rFonts w:hint="eastAsia"/>
          <w:lang w:eastAsia="zh-CN"/>
        </w:rPr>
        <w:t>和</w:t>
      </w:r>
      <w:r w:rsidR="003B47BC" w:rsidRPr="00A51105">
        <w:rPr>
          <w:rFonts w:eastAsia="Times New Roman" w:hint="eastAsia"/>
          <w:lang w:eastAsia="zh-CN"/>
        </w:rPr>
        <w:t>ARNS</w:t>
      </w:r>
      <w:r w:rsidR="00704FA3" w:rsidRPr="00A51105">
        <w:rPr>
          <w:rFonts w:hint="eastAsia"/>
          <w:lang w:eastAsia="zh-CN"/>
        </w:rPr>
        <w:t>（</w:t>
      </w:r>
      <w:r w:rsidR="00704FA3" w:rsidRPr="00A51105">
        <w:rPr>
          <w:rFonts w:eastAsia="Times New Roman" w:hint="eastAsia"/>
          <w:lang w:eastAsia="zh-CN"/>
        </w:rPr>
        <w:t>108-117.975</w:t>
      </w:r>
      <w:r w:rsidR="00A20E0B">
        <w:rPr>
          <w:rFonts w:eastAsia="Times New Roman"/>
          <w:lang w:eastAsia="zh-CN"/>
        </w:rPr>
        <w:t> </w:t>
      </w:r>
      <w:r w:rsidR="00704FA3" w:rsidRPr="00A51105">
        <w:rPr>
          <w:rFonts w:eastAsia="Times New Roman" w:hint="eastAsia"/>
          <w:lang w:eastAsia="zh-CN"/>
        </w:rPr>
        <w:t>MHz</w:t>
      </w:r>
      <w:r w:rsidR="00704FA3" w:rsidRPr="00A51105">
        <w:rPr>
          <w:rFonts w:hint="eastAsia"/>
          <w:lang w:eastAsia="zh-CN"/>
        </w:rPr>
        <w:t>）。</w:t>
      </w:r>
    </w:p>
    <w:p w14:paraId="29C1C06D" w14:textId="77777777" w:rsidR="002D6983" w:rsidRDefault="002D6983" w:rsidP="002D698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C58AC76" w14:textId="4038D84D" w:rsidR="009B45F0" w:rsidRPr="007C18CF" w:rsidRDefault="00474055" w:rsidP="009B45F0">
      <w:pPr>
        <w:pStyle w:val="Headingb"/>
        <w:rPr>
          <w:lang w:val="en-US"/>
        </w:rPr>
      </w:pPr>
      <w:r>
        <w:rPr>
          <w:rFonts w:hint="eastAsia"/>
          <w:lang w:val="en-US" w:eastAsia="zh-CN"/>
        </w:rPr>
        <w:lastRenderedPageBreak/>
        <w:t>提案</w:t>
      </w:r>
    </w:p>
    <w:p w14:paraId="04463DB2" w14:textId="77777777" w:rsidR="003E3D50" w:rsidRDefault="008A2A55">
      <w:pPr>
        <w:pStyle w:val="Proposal"/>
      </w:pPr>
      <w:r>
        <w:t>ADD</w:t>
      </w:r>
      <w:r>
        <w:tab/>
        <w:t>ACP/24A24A6/1</w:t>
      </w:r>
    </w:p>
    <w:p w14:paraId="15B98A31" w14:textId="5C08952E" w:rsidR="003E3D50" w:rsidRDefault="003B47BC">
      <w:pPr>
        <w:pStyle w:val="ResNo"/>
      </w:pPr>
      <w:r>
        <w:rPr>
          <w:rFonts w:hint="eastAsia"/>
          <w:lang w:eastAsia="zh-CN"/>
        </w:rPr>
        <w:t>第</w:t>
      </w:r>
      <w:r w:rsidR="009B45F0" w:rsidRPr="001469D4">
        <w:t>[ACP-A10-WRC23]</w:t>
      </w:r>
      <w:r>
        <w:rPr>
          <w:rFonts w:hint="eastAsia"/>
          <w:lang w:eastAsia="zh-CN"/>
        </w:rPr>
        <w:t>号新决议草案（</w:t>
      </w:r>
      <w:r w:rsidR="009B45F0" w:rsidRPr="001469D4">
        <w:t>WRC-19</w:t>
      </w:r>
      <w:r>
        <w:rPr>
          <w:rFonts w:hint="eastAsia"/>
          <w:lang w:eastAsia="zh-CN"/>
        </w:rPr>
        <w:t>）</w:t>
      </w:r>
    </w:p>
    <w:p w14:paraId="1524D6C3" w14:textId="05D950D2" w:rsidR="009B45F0" w:rsidRPr="00783738" w:rsidRDefault="00704FA3" w:rsidP="009B45F0">
      <w:pPr>
        <w:pStyle w:val="Restitle"/>
        <w:rPr>
          <w:rFonts w:eastAsia="MS Mincho"/>
          <w:bCs/>
          <w:highlight w:val="yellow"/>
          <w:lang w:eastAsia="zh-CN"/>
        </w:rPr>
      </w:pPr>
      <w:bookmarkStart w:id="9" w:name="_Toc450722771"/>
      <w:bookmarkStart w:id="10" w:name="_Toc451159272"/>
      <w:bookmarkStart w:id="11" w:name="_Toc319401926"/>
      <w:bookmarkStart w:id="12" w:name="_Toc450048857"/>
      <w:r w:rsidRPr="00D522F0">
        <w:rPr>
          <w:rFonts w:ascii="Times New Roman"/>
          <w:lang w:eastAsia="zh-CN"/>
        </w:rPr>
        <w:t>2023</w:t>
      </w:r>
      <w:r>
        <w:rPr>
          <w:rFonts w:ascii="Times New Roman"/>
          <w:lang w:eastAsia="zh-CN"/>
        </w:rPr>
        <w:t>年世界无线电通信大会</w:t>
      </w:r>
      <w:r w:rsidRPr="00D522F0">
        <w:rPr>
          <w:rFonts w:ascii="Times New Roman"/>
          <w:lang w:eastAsia="zh-CN"/>
        </w:rPr>
        <w:t>议程</w:t>
      </w:r>
      <w:bookmarkEnd w:id="9"/>
      <w:bookmarkEnd w:id="10"/>
      <w:bookmarkEnd w:id="11"/>
      <w:bookmarkEnd w:id="12"/>
    </w:p>
    <w:p w14:paraId="414FA79E" w14:textId="585BB873" w:rsidR="009B45F0" w:rsidRPr="00637F36" w:rsidRDefault="003B47BC" w:rsidP="009B45F0">
      <w:pPr>
        <w:pStyle w:val="Normalaftertitle0"/>
        <w:rPr>
          <w:lang w:eastAsia="zh-CN"/>
        </w:rPr>
      </w:pPr>
      <w:r w:rsidRPr="00637F36">
        <w:rPr>
          <w:rFonts w:hint="eastAsia"/>
          <w:lang w:eastAsia="zh-CN"/>
        </w:rPr>
        <w:t>世界无线电通信大会（</w:t>
      </w:r>
      <w:r w:rsidRPr="00637F36">
        <w:rPr>
          <w:rFonts w:hint="eastAsia"/>
          <w:lang w:eastAsia="zh-CN"/>
        </w:rPr>
        <w:t>2019</w:t>
      </w:r>
      <w:r w:rsidRPr="00637F36">
        <w:rPr>
          <w:rFonts w:hint="eastAsia"/>
          <w:lang w:eastAsia="zh-CN"/>
        </w:rPr>
        <w:t>年，沙姆沙伊赫），</w:t>
      </w:r>
    </w:p>
    <w:p w14:paraId="27DE3BC1" w14:textId="77777777" w:rsidR="009B45F0" w:rsidRPr="001469D4" w:rsidRDefault="009B45F0" w:rsidP="009B45F0">
      <w:pPr>
        <w:rPr>
          <w:rFonts w:eastAsia="MS Mincho"/>
          <w:lang w:eastAsia="zh-CN"/>
        </w:rPr>
      </w:pPr>
      <w:r w:rsidRPr="001469D4">
        <w:rPr>
          <w:rFonts w:eastAsia="MS Mincho"/>
          <w:lang w:eastAsia="zh-CN"/>
        </w:rPr>
        <w:t>…</w:t>
      </w:r>
    </w:p>
    <w:p w14:paraId="13A72F69" w14:textId="56620BD5" w:rsidR="009B45F0" w:rsidRPr="00637F36" w:rsidRDefault="009B45F0" w:rsidP="009B45F0">
      <w:pPr>
        <w:rPr>
          <w:iCs/>
          <w:color w:val="000000"/>
          <w:lang w:eastAsia="zh-CN"/>
        </w:rPr>
      </w:pPr>
      <w:r w:rsidRPr="002D6983">
        <w:rPr>
          <w:rFonts w:eastAsia="BatangChe"/>
          <w:lang w:val="en-US" w:eastAsia="zh-CN"/>
        </w:rPr>
        <w:t>1.x</w:t>
      </w:r>
      <w:r w:rsidRPr="002D6983">
        <w:rPr>
          <w:rFonts w:eastAsia="MS Mincho"/>
          <w:kern w:val="2"/>
          <w:lang w:val="en-US" w:eastAsia="ja-JP"/>
        </w:rPr>
        <w:tab/>
      </w:r>
      <w:proofErr w:type="gramStart"/>
      <w:r w:rsidR="003B47BC" w:rsidRPr="00637F36">
        <w:rPr>
          <w:rFonts w:hint="eastAsia"/>
          <w:iCs/>
          <w:lang w:eastAsia="zh-CN"/>
        </w:rPr>
        <w:t>根据第</w:t>
      </w:r>
      <w:r w:rsidR="003B47BC" w:rsidRPr="00637F36">
        <w:rPr>
          <w:b/>
          <w:iCs/>
          <w:lang w:eastAsia="zh-CN"/>
        </w:rPr>
        <w:t>[</w:t>
      </w:r>
      <w:proofErr w:type="gramEnd"/>
      <w:r w:rsidR="003B47BC" w:rsidRPr="00637F36">
        <w:rPr>
          <w:b/>
          <w:iCs/>
          <w:lang w:eastAsia="zh-CN"/>
        </w:rPr>
        <w:t>ACP-F10-SPACE BASED VHF]</w:t>
      </w:r>
      <w:r w:rsidR="003B47BC" w:rsidRPr="00637F36">
        <w:rPr>
          <w:rFonts w:hint="eastAsia"/>
          <w:iCs/>
          <w:lang w:eastAsia="zh-CN"/>
        </w:rPr>
        <w:t>号新决议草案</w:t>
      </w:r>
      <w:r w:rsidR="002D6983" w:rsidRPr="002D6983">
        <w:rPr>
          <w:b/>
          <w:bCs/>
          <w:iCs/>
          <w:lang w:eastAsia="zh-CN"/>
        </w:rPr>
        <w:t>（</w:t>
      </w:r>
      <w:r w:rsidR="003B47BC" w:rsidRPr="002D6983">
        <w:rPr>
          <w:b/>
          <w:bCs/>
          <w:iCs/>
          <w:lang w:eastAsia="zh-CN"/>
        </w:rPr>
        <w:t>WRC-19</w:t>
      </w:r>
      <w:r w:rsidR="002D6983" w:rsidRPr="002D6983">
        <w:rPr>
          <w:b/>
          <w:bCs/>
          <w:iCs/>
          <w:lang w:eastAsia="zh-CN"/>
        </w:rPr>
        <w:t>）</w:t>
      </w:r>
      <w:r w:rsidR="003B47BC" w:rsidRPr="00637F36">
        <w:rPr>
          <w:rFonts w:hint="eastAsia"/>
          <w:iCs/>
          <w:lang w:eastAsia="zh-CN"/>
        </w:rPr>
        <w:t>，</w:t>
      </w:r>
      <w:r w:rsidR="009C4896" w:rsidRPr="00637F36">
        <w:rPr>
          <w:rFonts w:hint="eastAsia"/>
          <w:iCs/>
          <w:lang w:eastAsia="zh-CN"/>
        </w:rPr>
        <w:t>考虑</w:t>
      </w:r>
      <w:r w:rsidR="003B47BC" w:rsidRPr="00637F36">
        <w:rPr>
          <w:rFonts w:hint="eastAsia"/>
          <w:iCs/>
          <w:lang w:eastAsia="zh-CN"/>
        </w:rPr>
        <w:t>在</w:t>
      </w:r>
      <w:r w:rsidR="003B47BC" w:rsidRPr="00637F36">
        <w:rPr>
          <w:iCs/>
          <w:lang w:eastAsia="zh-CN"/>
        </w:rPr>
        <w:t>117.975-137</w:t>
      </w:r>
      <w:r w:rsidR="00B72C8D">
        <w:rPr>
          <w:iCs/>
          <w:lang w:eastAsia="zh-CN"/>
        </w:rPr>
        <w:t> </w:t>
      </w:r>
      <w:r w:rsidR="003B47BC" w:rsidRPr="00637F36">
        <w:rPr>
          <w:iCs/>
          <w:lang w:eastAsia="zh-CN"/>
        </w:rPr>
        <w:t>MHz</w:t>
      </w:r>
      <w:r w:rsidR="003B47BC" w:rsidRPr="00637F36">
        <w:rPr>
          <w:rFonts w:hint="eastAsia"/>
          <w:iCs/>
          <w:lang w:eastAsia="zh-CN"/>
        </w:rPr>
        <w:t>频段内</w:t>
      </w:r>
      <w:r w:rsidR="009C4896" w:rsidRPr="00637F36">
        <w:rPr>
          <w:rFonts w:hint="eastAsia"/>
          <w:iCs/>
          <w:lang w:eastAsia="zh-CN"/>
        </w:rPr>
        <w:t>对</w:t>
      </w:r>
      <w:r w:rsidR="003B47BC" w:rsidRPr="00637F36">
        <w:rPr>
          <w:rFonts w:hint="eastAsia"/>
          <w:iCs/>
          <w:lang w:eastAsia="zh-CN"/>
        </w:rPr>
        <w:t>航空</w:t>
      </w:r>
      <w:r w:rsidR="003B47BC" w:rsidRPr="00637F36">
        <w:rPr>
          <w:iCs/>
          <w:lang w:eastAsia="zh-CN"/>
        </w:rPr>
        <w:t>VHF</w:t>
      </w:r>
      <w:r w:rsidR="003B47BC" w:rsidRPr="00637F36">
        <w:rPr>
          <w:rFonts w:hint="eastAsia"/>
          <w:iCs/>
          <w:lang w:eastAsia="zh-CN"/>
        </w:rPr>
        <w:t>应用上行链路和下行链路的航空卫星移动（</w:t>
      </w:r>
      <w:r w:rsidR="003B47BC" w:rsidRPr="00637F36">
        <w:rPr>
          <w:rFonts w:hint="eastAsia"/>
          <w:iCs/>
          <w:lang w:eastAsia="zh-CN"/>
        </w:rPr>
        <w:t>R</w:t>
      </w:r>
      <w:r w:rsidR="003B47BC" w:rsidRPr="00637F36">
        <w:rPr>
          <w:rFonts w:hint="eastAsia"/>
          <w:iCs/>
          <w:lang w:eastAsia="zh-CN"/>
        </w:rPr>
        <w:t>）业务（</w:t>
      </w:r>
      <w:r w:rsidR="003B47BC" w:rsidRPr="00637F36">
        <w:rPr>
          <w:iCs/>
          <w:lang w:eastAsia="zh-CN"/>
        </w:rPr>
        <w:t>AMS(R)S</w:t>
      </w:r>
      <w:r w:rsidR="003B47BC" w:rsidRPr="00637F36">
        <w:rPr>
          <w:rFonts w:hint="eastAsia"/>
          <w:iCs/>
          <w:lang w:eastAsia="zh-CN"/>
        </w:rPr>
        <w:t>）划分，同时确保不对相同和</w:t>
      </w:r>
      <w:r w:rsidR="009C4896" w:rsidRPr="00637F36">
        <w:rPr>
          <w:rFonts w:hint="eastAsia"/>
          <w:iCs/>
          <w:lang w:eastAsia="zh-CN"/>
        </w:rPr>
        <w:t>相邻频段内的现有业务造成任何有害干扰或施加任何额外限制，尤其是</w:t>
      </w:r>
      <w:r w:rsidR="003B47BC" w:rsidRPr="00637F36">
        <w:rPr>
          <w:rFonts w:hint="eastAsia"/>
          <w:iCs/>
          <w:lang w:eastAsia="zh-CN"/>
        </w:rPr>
        <w:t>航空移动（</w:t>
      </w:r>
      <w:r w:rsidR="003B47BC" w:rsidRPr="00637F36">
        <w:rPr>
          <w:rFonts w:hint="eastAsia"/>
          <w:iCs/>
          <w:lang w:eastAsia="zh-CN"/>
        </w:rPr>
        <w:t>R</w:t>
      </w:r>
      <w:r w:rsidR="003B47BC" w:rsidRPr="00637F36">
        <w:rPr>
          <w:rFonts w:hint="eastAsia"/>
          <w:iCs/>
          <w:lang w:eastAsia="zh-CN"/>
        </w:rPr>
        <w:t>）业务（</w:t>
      </w:r>
      <w:r w:rsidR="003B47BC" w:rsidRPr="00637F36">
        <w:rPr>
          <w:rFonts w:hint="eastAsia"/>
          <w:iCs/>
          <w:lang w:eastAsia="zh-CN"/>
        </w:rPr>
        <w:t>AM(R)S</w:t>
      </w:r>
      <w:r w:rsidR="003B47BC" w:rsidRPr="00637F36">
        <w:rPr>
          <w:rFonts w:hint="eastAsia"/>
          <w:iCs/>
          <w:lang w:eastAsia="zh-CN"/>
        </w:rPr>
        <w:t>）（</w:t>
      </w:r>
      <w:r w:rsidR="003B47BC" w:rsidRPr="00637F36">
        <w:rPr>
          <w:iCs/>
          <w:lang w:eastAsia="zh-CN"/>
        </w:rPr>
        <w:t>117.975-137</w:t>
      </w:r>
      <w:r w:rsidR="00553953">
        <w:rPr>
          <w:iCs/>
          <w:lang w:eastAsia="zh-CN"/>
        </w:rPr>
        <w:t> </w:t>
      </w:r>
      <w:r w:rsidR="003B47BC" w:rsidRPr="00637F36">
        <w:rPr>
          <w:iCs/>
          <w:lang w:eastAsia="zh-CN"/>
        </w:rPr>
        <w:t>MHz</w:t>
      </w:r>
      <w:r w:rsidR="003B47BC" w:rsidRPr="00637F36">
        <w:rPr>
          <w:rFonts w:hint="eastAsia"/>
          <w:iCs/>
          <w:lang w:eastAsia="zh-CN"/>
        </w:rPr>
        <w:t>）和航空无线电导航业务（</w:t>
      </w:r>
      <w:r w:rsidR="003B47BC" w:rsidRPr="00637F36">
        <w:rPr>
          <w:rFonts w:hint="eastAsia"/>
          <w:iCs/>
          <w:lang w:eastAsia="zh-CN"/>
        </w:rPr>
        <w:t>ARNS</w:t>
      </w:r>
      <w:r w:rsidR="003B47BC" w:rsidRPr="00637F36">
        <w:rPr>
          <w:rFonts w:hint="eastAsia"/>
          <w:iCs/>
          <w:lang w:eastAsia="zh-CN"/>
        </w:rPr>
        <w:t>）（</w:t>
      </w:r>
      <w:r w:rsidR="003B47BC" w:rsidRPr="00637F36">
        <w:rPr>
          <w:iCs/>
          <w:lang w:eastAsia="zh-CN"/>
        </w:rPr>
        <w:t>108-117.975</w:t>
      </w:r>
      <w:r w:rsidR="00620768">
        <w:rPr>
          <w:iCs/>
          <w:lang w:eastAsia="zh-CN"/>
        </w:rPr>
        <w:t> </w:t>
      </w:r>
      <w:r w:rsidR="003B47BC" w:rsidRPr="00637F36">
        <w:rPr>
          <w:iCs/>
          <w:lang w:eastAsia="zh-CN"/>
        </w:rPr>
        <w:t>MHz</w:t>
      </w:r>
      <w:r w:rsidR="003B47BC" w:rsidRPr="00637F36">
        <w:rPr>
          <w:rFonts w:hint="eastAsia"/>
          <w:iCs/>
          <w:lang w:eastAsia="zh-CN"/>
        </w:rPr>
        <w:t>）。</w:t>
      </w:r>
    </w:p>
    <w:p w14:paraId="0FD28FE3" w14:textId="77777777" w:rsidR="009B45F0" w:rsidRPr="001469D4" w:rsidRDefault="009B45F0" w:rsidP="009B45F0">
      <w:pPr>
        <w:rPr>
          <w:lang w:val="en-US" w:eastAsia="zh-CN"/>
        </w:rPr>
      </w:pPr>
      <w:r w:rsidRPr="001469D4">
        <w:rPr>
          <w:iCs/>
          <w:color w:val="000000"/>
          <w:lang w:eastAsia="zh-CN"/>
        </w:rPr>
        <w:t>…</w:t>
      </w:r>
    </w:p>
    <w:p w14:paraId="1BE6A88C" w14:textId="722E6B3B" w:rsidR="009B45F0" w:rsidRPr="001469D4" w:rsidRDefault="009B45F0" w:rsidP="009B45F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B47EA">
        <w:rPr>
          <w:rFonts w:hint="eastAsia"/>
          <w:lang w:eastAsia="zh-CN"/>
        </w:rPr>
        <w:t>关于</w:t>
      </w:r>
      <w:r w:rsidR="009C4896" w:rsidRPr="00B63633">
        <w:rPr>
          <w:rFonts w:hint="eastAsia"/>
          <w:lang w:eastAsia="zh-CN"/>
        </w:rPr>
        <w:t>WRC-23</w:t>
      </w:r>
      <w:r w:rsidR="009C4896">
        <w:rPr>
          <w:rFonts w:hint="eastAsia"/>
          <w:lang w:eastAsia="zh-CN"/>
        </w:rPr>
        <w:t>新</w:t>
      </w:r>
      <w:r w:rsidR="009C4896" w:rsidRPr="00B63633">
        <w:rPr>
          <w:rFonts w:hint="eastAsia"/>
          <w:lang w:eastAsia="zh-CN"/>
        </w:rPr>
        <w:t>议项</w:t>
      </w:r>
      <w:r w:rsidR="009C4896">
        <w:rPr>
          <w:rFonts w:hint="eastAsia"/>
          <w:lang w:eastAsia="zh-CN"/>
        </w:rPr>
        <w:t>的</w:t>
      </w:r>
      <w:r w:rsidR="009C4896" w:rsidRPr="00B63633">
        <w:rPr>
          <w:rFonts w:hint="eastAsia"/>
          <w:lang w:eastAsia="zh-CN"/>
        </w:rPr>
        <w:t>提案</w:t>
      </w:r>
      <w:r w:rsidR="009C4896">
        <w:rPr>
          <w:rFonts w:hint="eastAsia"/>
          <w:lang w:eastAsia="zh-CN"/>
        </w:rPr>
        <w:t>，考虑</w:t>
      </w:r>
      <w:r w:rsidR="00B63633">
        <w:rPr>
          <w:rFonts w:hint="eastAsia"/>
          <w:lang w:eastAsia="zh-CN"/>
        </w:rPr>
        <w:t>在</w:t>
      </w:r>
      <w:r w:rsidR="00B63633" w:rsidRPr="00B63633">
        <w:rPr>
          <w:rFonts w:hint="eastAsia"/>
          <w:lang w:eastAsia="zh-CN"/>
        </w:rPr>
        <w:t>117.975-137</w:t>
      </w:r>
      <w:r w:rsidR="006023A3">
        <w:rPr>
          <w:lang w:eastAsia="zh-CN"/>
        </w:rPr>
        <w:t> </w:t>
      </w:r>
      <w:r w:rsidR="00B63633" w:rsidRPr="00B63633">
        <w:rPr>
          <w:rFonts w:hint="eastAsia"/>
          <w:lang w:eastAsia="zh-CN"/>
        </w:rPr>
        <w:t>MHz</w:t>
      </w:r>
      <w:r w:rsidR="00B63633">
        <w:rPr>
          <w:rFonts w:hint="eastAsia"/>
          <w:lang w:eastAsia="zh-CN"/>
        </w:rPr>
        <w:t>频段内上</w:t>
      </w:r>
      <w:r w:rsidR="00B63633" w:rsidRPr="00B63633">
        <w:rPr>
          <w:rFonts w:hint="eastAsia"/>
          <w:lang w:eastAsia="zh-CN"/>
        </w:rPr>
        <w:t>行链路和下行链路的</w:t>
      </w:r>
      <w:r w:rsidR="00B63633" w:rsidRPr="00B63633">
        <w:rPr>
          <w:rFonts w:hint="eastAsia"/>
          <w:lang w:eastAsia="zh-CN"/>
        </w:rPr>
        <w:t>AMS(R)S</w:t>
      </w:r>
      <w:r w:rsidR="00B63633" w:rsidRPr="00B63633">
        <w:rPr>
          <w:rFonts w:hint="eastAsia"/>
          <w:lang w:eastAsia="zh-CN"/>
        </w:rPr>
        <w:t>划分</w:t>
      </w:r>
      <w:r w:rsidR="00B63633">
        <w:rPr>
          <w:rFonts w:hint="eastAsia"/>
          <w:lang w:eastAsia="zh-CN"/>
        </w:rPr>
        <w:t>。</w:t>
      </w:r>
    </w:p>
    <w:p w14:paraId="76468867" w14:textId="77777777" w:rsidR="003E3D50" w:rsidRDefault="008A2A55">
      <w:pPr>
        <w:pStyle w:val="Proposal"/>
      </w:pPr>
      <w:r>
        <w:t>ADD</w:t>
      </w:r>
      <w:r>
        <w:tab/>
        <w:t>ACP/24A24A6/2</w:t>
      </w:r>
    </w:p>
    <w:p w14:paraId="0AEBC3C5" w14:textId="3FA81D02" w:rsidR="003E3D50" w:rsidRDefault="00B63633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9B45F0" w:rsidRPr="001469D4">
        <w:t>[ACP-F10-SPACE BASED VHF]</w:t>
      </w:r>
      <w:r>
        <w:rPr>
          <w:rFonts w:hint="eastAsia"/>
          <w:lang w:eastAsia="zh-CN"/>
        </w:rPr>
        <w:t>号新决议草案（</w:t>
      </w:r>
      <w:r w:rsidR="009B45F0" w:rsidRPr="001469D4">
        <w:t>WRC-19</w:t>
      </w:r>
      <w:r>
        <w:rPr>
          <w:rFonts w:hint="eastAsia"/>
          <w:lang w:eastAsia="zh-CN"/>
        </w:rPr>
        <w:t>）</w:t>
      </w:r>
    </w:p>
    <w:p w14:paraId="75B3CE5C" w14:textId="429457D0" w:rsidR="009B45F0" w:rsidRPr="00C35C3D" w:rsidRDefault="00B13F6F" w:rsidP="009B45F0">
      <w:pPr>
        <w:pStyle w:val="Restitle"/>
        <w:rPr>
          <w:highlight w:val="green"/>
          <w:lang w:eastAsia="zh-CN"/>
        </w:rPr>
      </w:pPr>
      <w:bookmarkStart w:id="13" w:name="_Hlk12221551"/>
      <w:r>
        <w:rPr>
          <w:rFonts w:asciiTheme="minorEastAsia" w:eastAsiaTheme="minorEastAsia" w:hAnsiTheme="minorEastAsia" w:hint="eastAsia"/>
          <w:lang w:val="en-US" w:eastAsia="zh-CN"/>
        </w:rPr>
        <w:t>在</w:t>
      </w:r>
      <w:r w:rsidRPr="00484E59">
        <w:rPr>
          <w:rFonts w:eastAsia="Times New Roman"/>
          <w:lang w:val="fr-CH" w:eastAsia="zh-CN"/>
        </w:rPr>
        <w:t>117.975-137</w:t>
      </w:r>
      <w:r w:rsidR="00413FF0">
        <w:rPr>
          <w:rFonts w:eastAsia="Times New Roman"/>
          <w:lang w:val="fr-CH" w:eastAsia="zh-CN"/>
        </w:rPr>
        <w:t> </w:t>
      </w:r>
      <w:r w:rsidRPr="00484E59">
        <w:rPr>
          <w:rFonts w:eastAsia="Times New Roman"/>
          <w:lang w:val="fr-CH" w:eastAsia="zh-CN"/>
        </w:rPr>
        <w:t>MHz</w:t>
      </w:r>
      <w:r>
        <w:rPr>
          <w:rFonts w:asciiTheme="minorEastAsia" w:eastAsiaTheme="minorEastAsia" w:hAnsiTheme="minorEastAsia" w:hint="eastAsia"/>
          <w:lang w:val="en-US" w:eastAsia="zh-CN"/>
        </w:rPr>
        <w:t>频段</w:t>
      </w:r>
      <w:r w:rsidR="00726311">
        <w:rPr>
          <w:rFonts w:asciiTheme="minorEastAsia" w:eastAsiaTheme="minorEastAsia" w:hAnsiTheme="minorEastAsia" w:hint="eastAsia"/>
          <w:lang w:val="en-US" w:eastAsia="zh-CN"/>
        </w:rPr>
        <w:t>内</w:t>
      </w:r>
      <w:r>
        <w:rPr>
          <w:rFonts w:asciiTheme="minorEastAsia" w:eastAsiaTheme="minorEastAsia" w:hAnsiTheme="minorEastAsia" w:hint="eastAsia"/>
          <w:lang w:val="en-US" w:eastAsia="zh-CN"/>
        </w:rPr>
        <w:t>的</w:t>
      </w:r>
      <w:r w:rsidR="00C178A4">
        <w:rPr>
          <w:rFonts w:asciiTheme="minorEastAsia" w:eastAsiaTheme="minorEastAsia" w:hAnsiTheme="minorEastAsia" w:hint="eastAsia"/>
          <w:lang w:val="en-US" w:eastAsia="zh-CN"/>
        </w:rPr>
        <w:t>空基</w:t>
      </w:r>
      <w:r>
        <w:rPr>
          <w:rFonts w:asciiTheme="minorEastAsia" w:eastAsiaTheme="minorEastAsia" w:hAnsiTheme="minorEastAsia" w:hint="eastAsia"/>
          <w:lang w:val="en-US" w:eastAsia="zh-CN"/>
        </w:rPr>
        <w:t>甚高频</w:t>
      </w:r>
      <w:r w:rsidRPr="00484E59">
        <w:rPr>
          <w:rFonts w:asciiTheme="minorEastAsia" w:eastAsiaTheme="minorEastAsia" w:hAnsiTheme="minorEastAsia" w:hint="eastAsia"/>
          <w:lang w:val="fr-CH" w:eastAsia="zh-CN"/>
        </w:rPr>
        <w:t>（</w:t>
      </w:r>
      <w:r w:rsidRPr="00484E59">
        <w:rPr>
          <w:rFonts w:eastAsia="Times New Roman"/>
          <w:lang w:val="fr-CH" w:eastAsia="zh-CN"/>
        </w:rPr>
        <w:t>VHF</w:t>
      </w:r>
      <w:r w:rsidRPr="00484E59">
        <w:rPr>
          <w:rFonts w:ascii="SimSun" w:hAnsi="SimSun" w:cs="SimSun" w:hint="eastAsia"/>
          <w:lang w:val="fr-CH" w:eastAsia="zh-CN"/>
        </w:rPr>
        <w:t>）</w:t>
      </w:r>
      <w:r w:rsidR="00C178A4">
        <w:rPr>
          <w:rFonts w:ascii="SimSun" w:hAnsi="SimSun" w:cs="SimSun" w:hint="eastAsia"/>
          <w:lang w:val="fr-CH" w:eastAsia="zh-CN"/>
        </w:rPr>
        <w:t>应用</w:t>
      </w:r>
      <w:bookmarkEnd w:id="13"/>
    </w:p>
    <w:p w14:paraId="715F1DBF" w14:textId="77777777" w:rsidR="00B13F6F" w:rsidRPr="00F47884" w:rsidRDefault="00B13F6F" w:rsidP="00B13F6F">
      <w:pPr>
        <w:pStyle w:val="Normalaftertitle0"/>
        <w:rPr>
          <w:lang w:eastAsia="nl-NL"/>
        </w:rPr>
      </w:pPr>
      <w:r w:rsidRPr="00F47884">
        <w:rPr>
          <w:rFonts w:hint="eastAsia"/>
          <w:lang w:eastAsia="nl-NL"/>
        </w:rPr>
        <w:t>世界无线电通信大会（</w:t>
      </w:r>
      <w:r w:rsidRPr="00F47884">
        <w:rPr>
          <w:lang w:eastAsia="nl-NL"/>
        </w:rPr>
        <w:t>2019</w:t>
      </w:r>
      <w:r w:rsidRPr="00F47884">
        <w:rPr>
          <w:rFonts w:hint="eastAsia"/>
          <w:lang w:eastAsia="nl-NL"/>
        </w:rPr>
        <w:t>年，沙姆沙伊赫），</w:t>
      </w:r>
    </w:p>
    <w:p w14:paraId="690510C2" w14:textId="77777777" w:rsidR="00B13F6F" w:rsidRPr="0004487C" w:rsidRDefault="00B13F6F" w:rsidP="00B13F6F">
      <w:pPr>
        <w:pStyle w:val="Call"/>
        <w:rPr>
          <w:rFonts w:eastAsia="MS Mincho"/>
          <w:i/>
          <w:lang w:eastAsia="ja-JP"/>
        </w:rPr>
      </w:pPr>
      <w:r w:rsidRPr="001D37E1">
        <w:rPr>
          <w:rFonts w:hint="eastAsia"/>
          <w:lang w:eastAsia="zh-CN"/>
        </w:rPr>
        <w:t>考虑到</w:t>
      </w:r>
    </w:p>
    <w:p w14:paraId="0260E3BB" w14:textId="77777777" w:rsidR="00B13F6F" w:rsidRPr="0004487C" w:rsidRDefault="00B13F6F" w:rsidP="00B13F6F">
      <w:pPr>
        <w:rPr>
          <w:rFonts w:eastAsia="BatangChe"/>
          <w:lang w:eastAsia="ja-JP"/>
        </w:rPr>
      </w:pPr>
      <w:r w:rsidRPr="0004487C">
        <w:rPr>
          <w:rFonts w:eastAsia="BatangChe"/>
          <w:i/>
          <w:lang w:eastAsia="ja-JP"/>
        </w:rPr>
        <w:t>a)</w:t>
      </w:r>
      <w:r w:rsidRPr="0004487C">
        <w:rPr>
          <w:rFonts w:eastAsia="BatangChe"/>
          <w:i/>
          <w:lang w:eastAsia="ja-JP"/>
        </w:rPr>
        <w:tab/>
      </w:r>
      <w:r>
        <w:rPr>
          <w:rFonts w:hint="eastAsia"/>
          <w:lang w:eastAsia="zh-CN"/>
        </w:rPr>
        <w:t>空基航空</w:t>
      </w:r>
      <w:r w:rsidRPr="0004487C">
        <w:rPr>
          <w:rFonts w:hint="eastAsia"/>
          <w:lang w:eastAsia="zh-CN"/>
        </w:rPr>
        <w:t>VHF</w:t>
      </w:r>
      <w:r w:rsidRPr="0004487C">
        <w:rPr>
          <w:rFonts w:hint="eastAsia"/>
          <w:lang w:eastAsia="zh-CN"/>
        </w:rPr>
        <w:t>语音业务将使地理上遥远或成本</w:t>
      </w:r>
      <w:r>
        <w:rPr>
          <w:rFonts w:hint="eastAsia"/>
          <w:lang w:eastAsia="zh-CN"/>
        </w:rPr>
        <w:t>过高</w:t>
      </w:r>
      <w:r w:rsidRPr="0004487C">
        <w:rPr>
          <w:rFonts w:hint="eastAsia"/>
          <w:lang w:eastAsia="zh-CN"/>
        </w:rPr>
        <w:t>的空域中</w:t>
      </w:r>
      <w:r>
        <w:rPr>
          <w:rFonts w:hint="eastAsia"/>
          <w:lang w:eastAsia="zh-CN"/>
        </w:rPr>
        <w:t>空管员与飞行员的直接通信（</w:t>
      </w:r>
      <w:r w:rsidRPr="0004487C">
        <w:rPr>
          <w:rFonts w:hint="eastAsia"/>
          <w:lang w:eastAsia="zh-CN"/>
        </w:rPr>
        <w:t>DCPC</w:t>
      </w:r>
      <w:r w:rsidRPr="0004487C">
        <w:rPr>
          <w:rFonts w:hint="eastAsia"/>
          <w:lang w:eastAsia="zh-CN"/>
        </w:rPr>
        <w:t>）成为可能，以提供和维持地面</w:t>
      </w:r>
      <w:r w:rsidRPr="0004487C">
        <w:rPr>
          <w:rFonts w:hint="eastAsia"/>
          <w:lang w:eastAsia="zh-CN"/>
        </w:rPr>
        <w:t>VHF</w:t>
      </w:r>
      <w:r w:rsidRPr="0004487C">
        <w:rPr>
          <w:rFonts w:hint="eastAsia"/>
          <w:lang w:eastAsia="zh-CN"/>
        </w:rPr>
        <w:t>语音业务</w:t>
      </w:r>
      <w:r>
        <w:rPr>
          <w:rFonts w:hint="eastAsia"/>
          <w:lang w:eastAsia="zh-CN"/>
        </w:rPr>
        <w:t>；</w:t>
      </w:r>
    </w:p>
    <w:p w14:paraId="5A0D3D12" w14:textId="77777777" w:rsidR="00B13F6F" w:rsidRPr="0004487C" w:rsidRDefault="00B13F6F" w:rsidP="00B13F6F">
      <w:pPr>
        <w:rPr>
          <w:lang w:eastAsia="zh-CN"/>
        </w:rPr>
      </w:pPr>
      <w:r w:rsidRPr="0004487C">
        <w:rPr>
          <w:rFonts w:eastAsia="BatangChe"/>
          <w:i/>
          <w:lang w:eastAsia="ja-JP"/>
        </w:rPr>
        <w:t>b)</w:t>
      </w:r>
      <w:r w:rsidRPr="0004487C">
        <w:rPr>
          <w:rFonts w:eastAsia="BatangChe"/>
          <w:i/>
          <w:lang w:eastAsia="ja-JP"/>
        </w:rPr>
        <w:tab/>
      </w:r>
      <w:r>
        <w:rPr>
          <w:rFonts w:hint="eastAsia"/>
          <w:lang w:eastAsia="zh-CN"/>
        </w:rPr>
        <w:t>在</w:t>
      </w:r>
      <w:r w:rsidRPr="0004487C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全球航班跟踪系统</w:t>
      </w:r>
      <w:r w:rsidRPr="0004487C">
        <w:rPr>
          <w:rFonts w:hint="eastAsia"/>
          <w:lang w:eastAsia="zh-CN"/>
        </w:rPr>
        <w:t>结合使用时，</w:t>
      </w:r>
      <w:r>
        <w:rPr>
          <w:rFonts w:hint="eastAsia"/>
          <w:lang w:eastAsia="zh-CN"/>
        </w:rPr>
        <w:t>空基</w:t>
      </w:r>
      <w:r w:rsidRPr="001C2B27">
        <w:rPr>
          <w:rFonts w:hint="eastAsia"/>
          <w:lang w:eastAsia="zh-CN"/>
        </w:rPr>
        <w:t>航空</w:t>
      </w:r>
      <w:r w:rsidRPr="001C2B27">
        <w:rPr>
          <w:rFonts w:hint="eastAsia"/>
          <w:lang w:eastAsia="zh-CN"/>
        </w:rPr>
        <w:t>VHF</w:t>
      </w:r>
      <w:r w:rsidRPr="0004487C">
        <w:rPr>
          <w:rFonts w:hint="eastAsia"/>
          <w:lang w:eastAsia="zh-CN"/>
        </w:rPr>
        <w:t>技术可用于支持类似雷达的最小</w:t>
      </w:r>
      <w:r>
        <w:rPr>
          <w:rFonts w:hint="eastAsia"/>
          <w:lang w:eastAsia="zh-CN"/>
        </w:rPr>
        <w:t>隔离距离</w:t>
      </w:r>
      <w:r w:rsidRPr="0004487C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且具</w:t>
      </w:r>
      <w:r w:rsidRPr="0004487C">
        <w:rPr>
          <w:rFonts w:hint="eastAsia"/>
          <w:lang w:eastAsia="zh-CN"/>
        </w:rPr>
        <w:t>有提高空域容量和效率</w:t>
      </w:r>
      <w:r>
        <w:rPr>
          <w:rFonts w:hint="eastAsia"/>
          <w:lang w:eastAsia="zh-CN"/>
        </w:rPr>
        <w:t>的潜力</w:t>
      </w:r>
      <w:r w:rsidRPr="0004487C">
        <w:rPr>
          <w:rFonts w:hint="eastAsia"/>
          <w:lang w:eastAsia="zh-CN"/>
        </w:rPr>
        <w:t>，特别是对</w:t>
      </w:r>
      <w:r>
        <w:rPr>
          <w:rFonts w:hint="eastAsia"/>
          <w:lang w:eastAsia="zh-CN"/>
        </w:rPr>
        <w:t>偏</w:t>
      </w:r>
      <w:r w:rsidRPr="0004487C">
        <w:rPr>
          <w:rFonts w:hint="eastAsia"/>
          <w:lang w:eastAsia="zh-CN"/>
        </w:rPr>
        <w:t>远和海洋空域而言</w:t>
      </w:r>
      <w:r>
        <w:rPr>
          <w:rFonts w:hint="eastAsia"/>
          <w:lang w:eastAsia="zh-CN"/>
        </w:rPr>
        <w:t>；</w:t>
      </w:r>
    </w:p>
    <w:p w14:paraId="48ECC7F6" w14:textId="77777777" w:rsidR="00B13F6F" w:rsidRPr="0004487C" w:rsidRDefault="00B13F6F" w:rsidP="00B13F6F">
      <w:pPr>
        <w:rPr>
          <w:rFonts w:ascii="Calibri" w:hAnsi="Calibri" w:cs="Calibri"/>
          <w:b/>
          <w:iCs/>
          <w:color w:val="800000"/>
          <w:sz w:val="22"/>
          <w:lang w:eastAsia="zh-CN"/>
        </w:rPr>
      </w:pPr>
      <w:r w:rsidRPr="0004487C">
        <w:rPr>
          <w:rFonts w:eastAsia="BatangChe"/>
          <w:i/>
          <w:lang w:eastAsia="ja-JP"/>
        </w:rPr>
        <w:t>c)</w:t>
      </w:r>
      <w:r w:rsidRPr="0004487C">
        <w:rPr>
          <w:rFonts w:eastAsia="BatangChe"/>
          <w:i/>
          <w:lang w:eastAsia="ja-JP"/>
        </w:rPr>
        <w:tab/>
      </w:r>
      <w:r w:rsidRPr="0004487C">
        <w:rPr>
          <w:rFonts w:hint="eastAsia"/>
          <w:lang w:eastAsia="ja-JP"/>
        </w:rPr>
        <w:t>该技术还可以作为受自然灾害</w:t>
      </w:r>
      <w:r>
        <w:rPr>
          <w:rFonts w:hint="eastAsia"/>
          <w:lang w:eastAsia="ja-JP"/>
        </w:rPr>
        <w:t>（</w:t>
      </w:r>
      <w:r w:rsidRPr="0004487C">
        <w:rPr>
          <w:rFonts w:hint="eastAsia"/>
          <w:lang w:eastAsia="ja-JP"/>
        </w:rPr>
        <w:t>如洪水和地震</w:t>
      </w:r>
      <w:r>
        <w:rPr>
          <w:rFonts w:hint="eastAsia"/>
          <w:lang w:eastAsia="ja-JP"/>
        </w:rPr>
        <w:t>）</w:t>
      </w:r>
      <w:r w:rsidRPr="0004487C">
        <w:rPr>
          <w:rFonts w:hint="eastAsia"/>
          <w:lang w:eastAsia="ja-JP"/>
        </w:rPr>
        <w:t>影响的空域的应急通信基础设施</w:t>
      </w:r>
      <w:r>
        <w:rPr>
          <w:rFonts w:hint="eastAsia"/>
          <w:lang w:eastAsia="zh-CN"/>
        </w:rPr>
        <w:t>发挥作用；</w:t>
      </w:r>
    </w:p>
    <w:p w14:paraId="3EC012D7" w14:textId="77777777" w:rsidR="00B13F6F" w:rsidRPr="0004487C" w:rsidRDefault="00B13F6F" w:rsidP="00B13F6F">
      <w:pPr>
        <w:rPr>
          <w:i/>
          <w:lang w:eastAsia="zh-CN"/>
        </w:rPr>
      </w:pPr>
      <w:r w:rsidRPr="0004487C">
        <w:rPr>
          <w:rFonts w:hint="eastAsia"/>
          <w:i/>
          <w:lang w:eastAsia="zh-CN"/>
        </w:rPr>
        <w:t>d)</w:t>
      </w:r>
      <w:r w:rsidRPr="0004487C">
        <w:rPr>
          <w:i/>
          <w:lang w:eastAsia="zh-CN"/>
        </w:rPr>
        <w:tab/>
      </w:r>
      <w:r w:rsidRPr="00B96D3B">
        <w:rPr>
          <w:rFonts w:hint="eastAsia"/>
          <w:lang w:eastAsia="ja-JP"/>
        </w:rPr>
        <w:t>WRC-15</w:t>
      </w:r>
      <w:r>
        <w:rPr>
          <w:rFonts w:hint="eastAsia"/>
          <w:lang w:eastAsia="ja-JP"/>
        </w:rPr>
        <w:t>已经</w:t>
      </w:r>
      <w:r>
        <w:rPr>
          <w:rFonts w:hint="eastAsia"/>
          <w:lang w:eastAsia="zh-CN"/>
        </w:rPr>
        <w:t>划分</w:t>
      </w:r>
      <w:r w:rsidRPr="00B96D3B">
        <w:rPr>
          <w:rFonts w:hint="eastAsia"/>
          <w:lang w:eastAsia="ja-JP"/>
        </w:rPr>
        <w:t>了卫星接收航空器监视和位置信息的频段，以实现全球</w:t>
      </w:r>
      <w:r>
        <w:rPr>
          <w:rFonts w:hint="eastAsia"/>
          <w:lang w:eastAsia="zh-CN"/>
        </w:rPr>
        <w:t>航班</w:t>
      </w:r>
      <w:r>
        <w:rPr>
          <w:rFonts w:hint="eastAsia"/>
          <w:lang w:eastAsia="ja-JP"/>
        </w:rPr>
        <w:t>跟踪</w:t>
      </w:r>
      <w:r>
        <w:rPr>
          <w:rFonts w:hint="eastAsia"/>
          <w:lang w:eastAsia="zh-CN"/>
        </w:rPr>
        <w:t>业</w:t>
      </w:r>
      <w:r w:rsidRPr="00B96D3B">
        <w:rPr>
          <w:rFonts w:hint="eastAsia"/>
          <w:lang w:eastAsia="ja-JP"/>
        </w:rPr>
        <w:t>务；</w:t>
      </w:r>
    </w:p>
    <w:p w14:paraId="699FA037" w14:textId="77777777" w:rsidR="00B13F6F" w:rsidRPr="0004487C" w:rsidRDefault="00B13F6F" w:rsidP="00B13F6F">
      <w:pPr>
        <w:rPr>
          <w:i/>
          <w:lang w:eastAsia="zh-CN"/>
        </w:rPr>
      </w:pPr>
      <w:r w:rsidRPr="0004487C">
        <w:rPr>
          <w:rFonts w:hint="eastAsia"/>
          <w:i/>
          <w:lang w:eastAsia="zh-CN"/>
        </w:rPr>
        <w:t>e)</w:t>
      </w:r>
      <w:r w:rsidRPr="0004487C">
        <w:rPr>
          <w:i/>
          <w:lang w:eastAsia="zh-CN"/>
        </w:rPr>
        <w:tab/>
      </w:r>
      <w:r w:rsidRPr="00B96D3B">
        <w:rPr>
          <w:rFonts w:hint="eastAsia"/>
          <w:lang w:eastAsia="ja-JP"/>
        </w:rPr>
        <w:t>目前，</w:t>
      </w:r>
      <w:r w:rsidRPr="00EF5EC1">
        <w:rPr>
          <w:rFonts w:hint="eastAsia"/>
          <w:lang w:eastAsia="ja-JP"/>
        </w:rPr>
        <w:t>航空移动（</w:t>
      </w:r>
      <w:r w:rsidRPr="00EF5EC1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>）</w:t>
      </w:r>
      <w:r>
        <w:rPr>
          <w:rFonts w:hint="eastAsia"/>
          <w:lang w:eastAsia="zh-CN"/>
        </w:rPr>
        <w:t>业</w:t>
      </w:r>
      <w:r w:rsidRPr="00EF5EC1">
        <w:rPr>
          <w:rFonts w:hint="eastAsia"/>
          <w:lang w:eastAsia="ja-JP"/>
        </w:rPr>
        <w:t>务（</w:t>
      </w:r>
      <w:r w:rsidRPr="007F0B57">
        <w:rPr>
          <w:rFonts w:hint="eastAsia"/>
          <w:lang w:eastAsia="zh-CN"/>
        </w:rPr>
        <w:t>AM(R)S</w:t>
      </w:r>
      <w:r w:rsidRPr="00EF5EC1">
        <w:rPr>
          <w:rFonts w:hint="eastAsia"/>
          <w:lang w:eastAsia="ja-JP"/>
        </w:rPr>
        <w:t>）</w:t>
      </w:r>
      <w:r w:rsidRPr="00EF5EC1">
        <w:rPr>
          <w:rFonts w:hint="eastAsia"/>
          <w:lang w:eastAsia="ja-JP"/>
        </w:rPr>
        <w:t>VHF</w:t>
      </w:r>
      <w:r w:rsidRPr="00EF5EC1">
        <w:rPr>
          <w:rFonts w:hint="eastAsia"/>
          <w:lang w:eastAsia="ja-JP"/>
        </w:rPr>
        <w:t>频段（</w:t>
      </w:r>
      <w:r w:rsidRPr="00EF5EC1">
        <w:rPr>
          <w:rFonts w:hint="eastAsia"/>
          <w:lang w:eastAsia="ja-JP"/>
        </w:rPr>
        <w:t>117.975-137 MHz</w:t>
      </w:r>
      <w:r w:rsidRPr="00EF5EC1">
        <w:rPr>
          <w:rFonts w:hint="eastAsia"/>
          <w:lang w:eastAsia="ja-JP"/>
        </w:rPr>
        <w:t>）</w:t>
      </w:r>
      <w:r>
        <w:rPr>
          <w:rFonts w:hint="eastAsia"/>
          <w:lang w:eastAsia="zh-CN"/>
        </w:rPr>
        <w:t>用于</w:t>
      </w:r>
      <w:r w:rsidRPr="00B96D3B">
        <w:rPr>
          <w:rFonts w:hint="eastAsia"/>
          <w:lang w:eastAsia="ja-JP"/>
        </w:rPr>
        <w:t>地面空域中的空中交通通信和航空公司运营通信，</w:t>
      </w:r>
      <w:r>
        <w:rPr>
          <w:rFonts w:hint="eastAsia"/>
          <w:lang w:eastAsia="zh-CN"/>
        </w:rPr>
        <w:t>世界上</w:t>
      </w:r>
      <w:r w:rsidRPr="00B96D3B">
        <w:rPr>
          <w:rFonts w:hint="eastAsia"/>
          <w:lang w:eastAsia="ja-JP"/>
        </w:rPr>
        <w:t>一些空中交通</w:t>
      </w:r>
      <w:r>
        <w:rPr>
          <w:rFonts w:hint="eastAsia"/>
          <w:lang w:eastAsia="zh-CN"/>
        </w:rPr>
        <w:t>拥塞地区的</w:t>
      </w:r>
      <w:r w:rsidRPr="00B96D3B">
        <w:rPr>
          <w:rFonts w:hint="eastAsia"/>
          <w:lang w:eastAsia="ja-JP"/>
        </w:rPr>
        <w:t>VHF</w:t>
      </w:r>
      <w:r w:rsidRPr="00B96D3B">
        <w:rPr>
          <w:rFonts w:hint="eastAsia"/>
          <w:lang w:eastAsia="ja-JP"/>
        </w:rPr>
        <w:t>频道变得饱和</w:t>
      </w:r>
      <w:r>
        <w:rPr>
          <w:rFonts w:hint="eastAsia"/>
          <w:lang w:eastAsia="ja-JP"/>
        </w:rPr>
        <w:t>，</w:t>
      </w:r>
    </w:p>
    <w:p w14:paraId="2BD23D37" w14:textId="77777777" w:rsidR="00B13F6F" w:rsidRPr="0082754C" w:rsidRDefault="00B13F6F" w:rsidP="00B13F6F">
      <w:pPr>
        <w:pStyle w:val="Call"/>
        <w:rPr>
          <w:lang w:eastAsia="zh-CN"/>
        </w:rPr>
      </w:pPr>
      <w:r w:rsidRPr="0082754C">
        <w:rPr>
          <w:rFonts w:hint="eastAsia"/>
          <w:lang w:eastAsia="zh-CN"/>
        </w:rPr>
        <w:lastRenderedPageBreak/>
        <w:t>认识到</w:t>
      </w:r>
    </w:p>
    <w:p w14:paraId="3B833BA6" w14:textId="5F09792A" w:rsidR="00B13F6F" w:rsidRPr="0004487C" w:rsidRDefault="00B13F6F" w:rsidP="00CD5C60">
      <w:pPr>
        <w:ind w:firstLineChars="200" w:firstLine="480"/>
        <w:rPr>
          <w:rFonts w:eastAsia="BatangChe"/>
          <w:lang w:eastAsia="zh-CN"/>
        </w:rPr>
      </w:pPr>
      <w:r w:rsidRPr="00B96D3B">
        <w:rPr>
          <w:rFonts w:hint="eastAsia"/>
          <w:lang w:eastAsia="ja-JP"/>
        </w:rPr>
        <w:t>在《无线电规则》中</w:t>
      </w:r>
      <w:r>
        <w:rPr>
          <w:rFonts w:hint="eastAsia"/>
          <w:lang w:eastAsia="zh-CN"/>
        </w:rPr>
        <w:t>已将感兴趣的</w:t>
      </w:r>
      <w:r>
        <w:rPr>
          <w:rFonts w:hint="eastAsia"/>
          <w:lang w:eastAsia="zh-CN"/>
        </w:rPr>
        <w:t>V</w:t>
      </w:r>
      <w:r>
        <w:rPr>
          <w:lang w:eastAsia="zh-CN"/>
        </w:rPr>
        <w:t>HF</w:t>
      </w:r>
      <w:r w:rsidRPr="00B96D3B">
        <w:rPr>
          <w:rFonts w:hint="eastAsia"/>
          <w:lang w:eastAsia="ja-JP"/>
        </w:rPr>
        <w:t>频段</w:t>
      </w:r>
      <w:r>
        <w:rPr>
          <w:rFonts w:hint="eastAsia"/>
          <w:lang w:eastAsia="zh-CN"/>
        </w:rPr>
        <w:t>划分给了航空应用</w:t>
      </w:r>
      <w:r w:rsidRPr="00B96D3B">
        <w:rPr>
          <w:rFonts w:hint="eastAsia"/>
          <w:lang w:eastAsia="ja-JP"/>
        </w:rPr>
        <w:t>，</w:t>
      </w:r>
    </w:p>
    <w:p w14:paraId="349432E3" w14:textId="77777777" w:rsidR="00B13F6F" w:rsidRPr="0082754C" w:rsidRDefault="00B13F6F" w:rsidP="00B13F6F">
      <w:pPr>
        <w:pStyle w:val="Call"/>
        <w:rPr>
          <w:lang w:eastAsia="zh-CN"/>
        </w:rPr>
      </w:pPr>
      <w:r w:rsidRPr="0082754C">
        <w:rPr>
          <w:rFonts w:hint="eastAsia"/>
          <w:lang w:eastAsia="zh-CN"/>
        </w:rPr>
        <w:t>注意到</w:t>
      </w:r>
    </w:p>
    <w:p w14:paraId="3470F14D" w14:textId="77777777" w:rsidR="00B13F6F" w:rsidRPr="0004487C" w:rsidRDefault="00B13F6F" w:rsidP="00B13F6F">
      <w:pPr>
        <w:rPr>
          <w:rFonts w:eastAsia="BatangChe"/>
          <w:lang w:eastAsia="ja-JP"/>
        </w:rPr>
      </w:pPr>
      <w:r w:rsidRPr="0004487C">
        <w:rPr>
          <w:rFonts w:eastAsia="BatangChe"/>
          <w:i/>
          <w:lang w:eastAsia="zh-CN"/>
        </w:rPr>
        <w:t>a)</w:t>
      </w:r>
      <w:r w:rsidRPr="0004487C">
        <w:rPr>
          <w:rFonts w:eastAsia="BatangChe"/>
          <w:lang w:eastAsia="zh-CN"/>
        </w:rPr>
        <w:tab/>
      </w:r>
      <w:r w:rsidRPr="00B96D3B">
        <w:rPr>
          <w:rFonts w:hint="eastAsia"/>
          <w:lang w:eastAsia="ja-JP"/>
        </w:rPr>
        <w:t>航空</w:t>
      </w:r>
      <w:r>
        <w:rPr>
          <w:rFonts w:hint="eastAsia"/>
          <w:lang w:eastAsia="zh-CN"/>
        </w:rPr>
        <w:t>V</w:t>
      </w:r>
      <w:r>
        <w:rPr>
          <w:lang w:eastAsia="zh-CN"/>
        </w:rPr>
        <w:t>HF</w:t>
      </w:r>
      <w:r w:rsidRPr="00B96D3B">
        <w:rPr>
          <w:rFonts w:hint="eastAsia"/>
          <w:lang w:eastAsia="ja-JP"/>
        </w:rPr>
        <w:t>频段是</w:t>
      </w:r>
      <w:r>
        <w:rPr>
          <w:rFonts w:hint="eastAsia"/>
          <w:lang w:eastAsia="zh-CN"/>
        </w:rPr>
        <w:t>航空器</w:t>
      </w:r>
      <w:r w:rsidRPr="00B96D3B">
        <w:rPr>
          <w:rFonts w:hint="eastAsia"/>
          <w:lang w:eastAsia="ja-JP"/>
        </w:rPr>
        <w:t>和空中交通管制中心在途中</w:t>
      </w:r>
      <w:r>
        <w:rPr>
          <w:rFonts w:hint="eastAsia"/>
          <w:lang w:eastAsia="ja-JP"/>
        </w:rPr>
        <w:t>、</w:t>
      </w:r>
      <w:r w:rsidRPr="00B96D3B">
        <w:rPr>
          <w:rFonts w:hint="eastAsia"/>
          <w:lang w:eastAsia="ja-JP"/>
        </w:rPr>
        <w:t>进近和着陆期间用于空</w:t>
      </w:r>
      <w:r>
        <w:rPr>
          <w:rFonts w:hint="eastAsia"/>
          <w:lang w:eastAsia="zh-CN"/>
        </w:rPr>
        <w:t>对</w:t>
      </w:r>
      <w:r w:rsidRPr="00B96D3B">
        <w:rPr>
          <w:rFonts w:hint="eastAsia"/>
          <w:lang w:eastAsia="ja-JP"/>
        </w:rPr>
        <w:t>地语音通信的主要无线电通信频段；</w:t>
      </w:r>
    </w:p>
    <w:p w14:paraId="6BE5F1B5" w14:textId="77777777" w:rsidR="00B13F6F" w:rsidRPr="0004487C" w:rsidRDefault="00B13F6F" w:rsidP="00B13F6F">
      <w:pPr>
        <w:rPr>
          <w:rFonts w:eastAsia="BatangChe"/>
          <w:lang w:eastAsia="zh-CN"/>
        </w:rPr>
      </w:pPr>
      <w:r w:rsidRPr="0004487C">
        <w:rPr>
          <w:rFonts w:eastAsia="BatangChe"/>
          <w:i/>
          <w:iCs/>
          <w:lang w:eastAsia="zh-CN"/>
        </w:rPr>
        <w:t>b)</w:t>
      </w:r>
      <w:r w:rsidRPr="0004487C">
        <w:rPr>
          <w:rFonts w:eastAsia="BatangChe"/>
          <w:lang w:eastAsia="zh-CN"/>
        </w:rPr>
        <w:tab/>
      </w:r>
      <w:r w:rsidRPr="00B96D3B">
        <w:rPr>
          <w:rFonts w:hint="eastAsia"/>
          <w:lang w:eastAsia="ja-JP"/>
        </w:rPr>
        <w:t>国际民航组织</w:t>
      </w:r>
      <w:r>
        <w:rPr>
          <w:rFonts w:hint="eastAsia"/>
          <w:lang w:eastAsia="zh-CN"/>
        </w:rPr>
        <w:t>（</w:t>
      </w:r>
      <w:r w:rsidRPr="00E7277F">
        <w:rPr>
          <w:lang w:eastAsia="zh-CN"/>
        </w:rPr>
        <w:t>ICAO</w:t>
      </w:r>
      <w:r>
        <w:rPr>
          <w:rFonts w:hint="eastAsia"/>
          <w:lang w:eastAsia="zh-CN"/>
        </w:rPr>
        <w:t>）</w:t>
      </w:r>
      <w:r w:rsidRPr="00B96D3B">
        <w:rPr>
          <w:rFonts w:hint="eastAsia"/>
          <w:lang w:eastAsia="ja-JP"/>
        </w:rPr>
        <w:t>制定了标准和建议</w:t>
      </w:r>
      <w:r>
        <w:rPr>
          <w:rFonts w:hint="eastAsia"/>
          <w:lang w:eastAsia="zh-CN"/>
        </w:rPr>
        <w:t>做法</w:t>
      </w:r>
      <w:r w:rsidRPr="00B96D3B">
        <w:rPr>
          <w:rFonts w:hint="eastAsia"/>
          <w:lang w:eastAsia="ja-JP"/>
        </w:rPr>
        <w:t>（</w:t>
      </w:r>
      <w:r w:rsidRPr="00B96D3B">
        <w:rPr>
          <w:rFonts w:hint="eastAsia"/>
          <w:lang w:eastAsia="ja-JP"/>
        </w:rPr>
        <w:t>SARPs</w:t>
      </w:r>
      <w:r w:rsidRPr="00B96D3B">
        <w:rPr>
          <w:rFonts w:hint="eastAsia"/>
          <w:lang w:eastAsia="ja-JP"/>
        </w:rPr>
        <w:t>），详细列出了</w:t>
      </w:r>
      <w:r>
        <w:rPr>
          <w:rFonts w:hint="eastAsia"/>
          <w:lang w:eastAsia="zh-CN"/>
        </w:rPr>
        <w:t>V</w:t>
      </w:r>
      <w:r>
        <w:rPr>
          <w:lang w:eastAsia="zh-CN"/>
        </w:rPr>
        <w:t>HF</w:t>
      </w:r>
      <w:r w:rsidRPr="00B96D3B">
        <w:rPr>
          <w:rFonts w:hint="eastAsia"/>
          <w:lang w:eastAsia="ja-JP"/>
        </w:rPr>
        <w:t>空对地通信系统的频率指配规划标准</w:t>
      </w:r>
      <w:r>
        <w:rPr>
          <w:rFonts w:hint="eastAsia"/>
          <w:lang w:eastAsia="ja-JP"/>
        </w:rPr>
        <w:t>，</w:t>
      </w:r>
    </w:p>
    <w:p w14:paraId="6F76ABAE" w14:textId="77777777" w:rsidR="00B13F6F" w:rsidRPr="0082754C" w:rsidRDefault="00B13F6F" w:rsidP="00B13F6F">
      <w:pPr>
        <w:pStyle w:val="Call"/>
        <w:rPr>
          <w:lang w:eastAsia="zh-CN"/>
        </w:rPr>
      </w:pPr>
      <w:r w:rsidRPr="00961BDD">
        <w:rPr>
          <w:rFonts w:hint="eastAsia"/>
          <w:lang w:eastAsia="zh-CN"/>
        </w:rPr>
        <w:t>做出决议</w:t>
      </w:r>
      <w:r>
        <w:rPr>
          <w:rFonts w:hint="eastAsia"/>
          <w:lang w:eastAsia="zh-CN"/>
        </w:rPr>
        <w:t>，请</w:t>
      </w:r>
      <w:r w:rsidRPr="00AA2ECD">
        <w:rPr>
          <w:rFonts w:ascii="Times New Roman" w:hAnsi="Times New Roman"/>
          <w:lang w:eastAsia="zh-CN"/>
        </w:rPr>
        <w:t>ITU-R</w:t>
      </w:r>
    </w:p>
    <w:p w14:paraId="36A52706" w14:textId="77777777" w:rsidR="00B13F6F" w:rsidRPr="0004487C" w:rsidRDefault="00B13F6F" w:rsidP="00B13F6F">
      <w:pPr>
        <w:rPr>
          <w:rFonts w:ascii="Calibri" w:eastAsia="BatangChe" w:hAnsi="Calibri" w:cs="Calibri"/>
          <w:b/>
          <w:color w:val="800000"/>
          <w:sz w:val="22"/>
          <w:highlight w:val="yellow"/>
          <w:lang w:eastAsia="zh-CN"/>
        </w:rPr>
      </w:pPr>
      <w:r w:rsidRPr="0004487C">
        <w:rPr>
          <w:rFonts w:eastAsia="BatangChe"/>
          <w:lang w:eastAsia="zh-CN"/>
        </w:rPr>
        <w:t>1</w:t>
      </w:r>
      <w:r w:rsidRPr="0004487C">
        <w:rPr>
          <w:rFonts w:eastAsia="BatangChe"/>
          <w:lang w:eastAsia="zh-CN"/>
        </w:rPr>
        <w:tab/>
      </w:r>
      <w:r w:rsidRPr="002B3CC3">
        <w:rPr>
          <w:rFonts w:hint="eastAsia"/>
          <w:lang w:eastAsia="zh-CN"/>
        </w:rPr>
        <w:t>在</w:t>
      </w:r>
      <w:r w:rsidRPr="002B3CC3">
        <w:rPr>
          <w:lang w:eastAsia="zh-CN"/>
        </w:rPr>
        <w:t>WRC-23</w:t>
      </w:r>
      <w:r w:rsidRPr="002B3CC3">
        <w:rPr>
          <w:rFonts w:hint="eastAsia"/>
          <w:lang w:eastAsia="zh-CN"/>
        </w:rPr>
        <w:t>之前</w:t>
      </w:r>
      <w:r>
        <w:rPr>
          <w:rFonts w:hint="eastAsia"/>
          <w:lang w:eastAsia="zh-CN"/>
        </w:rPr>
        <w:t>，</w:t>
      </w:r>
      <w:r w:rsidRPr="002B3CC3">
        <w:rPr>
          <w:rFonts w:hint="eastAsia"/>
          <w:lang w:eastAsia="zh-CN"/>
        </w:rPr>
        <w:t>针对在</w:t>
      </w:r>
      <w:r>
        <w:rPr>
          <w:rFonts w:hint="eastAsia"/>
          <w:lang w:eastAsia="zh-CN"/>
        </w:rPr>
        <w:t>相同和相邻频段</w:t>
      </w:r>
      <w:r w:rsidRPr="002B3CC3">
        <w:rPr>
          <w:rFonts w:hint="eastAsia"/>
          <w:lang w:eastAsia="zh-CN"/>
        </w:rPr>
        <w:t>内运行的现有系统及时开展必要的共用研究，以便在不给</w:t>
      </w:r>
      <w:r>
        <w:rPr>
          <w:rFonts w:hint="eastAsia"/>
          <w:lang w:eastAsia="zh-CN"/>
        </w:rPr>
        <w:t>已</w:t>
      </w:r>
      <w:r w:rsidRPr="002B3CC3">
        <w:rPr>
          <w:rFonts w:hint="eastAsia"/>
          <w:lang w:eastAsia="zh-CN"/>
        </w:rPr>
        <w:t>有</w:t>
      </w:r>
      <w:r>
        <w:rPr>
          <w:rFonts w:hint="eastAsia"/>
          <w:lang w:eastAsia="zh-CN"/>
        </w:rPr>
        <w:t>的现存</w:t>
      </w:r>
      <w:r w:rsidRPr="002B3CC3">
        <w:rPr>
          <w:rFonts w:hint="eastAsia"/>
          <w:lang w:eastAsia="zh-CN"/>
        </w:rPr>
        <w:t>业务增加</w:t>
      </w:r>
      <w:r>
        <w:rPr>
          <w:rFonts w:hint="eastAsia"/>
          <w:lang w:eastAsia="zh-CN"/>
        </w:rPr>
        <w:t>任何不必要</w:t>
      </w:r>
      <w:r w:rsidRPr="002B3CC3">
        <w:rPr>
          <w:rFonts w:hint="eastAsia"/>
          <w:lang w:eastAsia="zh-CN"/>
        </w:rPr>
        <w:t>限制的同时</w:t>
      </w:r>
      <w:r>
        <w:rPr>
          <w:rFonts w:hint="eastAsia"/>
          <w:lang w:eastAsia="zh-CN"/>
        </w:rPr>
        <w:t>，</w:t>
      </w:r>
      <w:r w:rsidRPr="002B3CC3">
        <w:rPr>
          <w:rFonts w:hint="eastAsia"/>
          <w:lang w:eastAsia="zh-CN"/>
        </w:rPr>
        <w:t>确定可以提供</w:t>
      </w:r>
      <w:r>
        <w:rPr>
          <w:rFonts w:hint="eastAsia"/>
          <w:lang w:eastAsia="zh-CN"/>
        </w:rPr>
        <w:t>的任何必要的规则</w:t>
      </w:r>
      <w:r w:rsidRPr="002B3CC3">
        <w:rPr>
          <w:rFonts w:hint="eastAsia"/>
          <w:lang w:eastAsia="zh-CN"/>
        </w:rPr>
        <w:t>保护</w:t>
      </w:r>
      <w:r>
        <w:rPr>
          <w:rFonts w:hint="eastAsia"/>
          <w:lang w:eastAsia="zh-CN"/>
        </w:rPr>
        <w:t>；</w:t>
      </w:r>
    </w:p>
    <w:p w14:paraId="78D6F1E9" w14:textId="77777777" w:rsidR="00B13F6F" w:rsidRPr="0004487C" w:rsidRDefault="00B13F6F" w:rsidP="00B13F6F">
      <w:pPr>
        <w:rPr>
          <w:rFonts w:ascii="Calibri" w:eastAsia="BatangChe" w:hAnsi="Calibri" w:cs="Calibri"/>
          <w:b/>
          <w:color w:val="800000"/>
          <w:sz w:val="22"/>
          <w:highlight w:val="yellow"/>
          <w:lang w:eastAsia="zh-CN"/>
        </w:rPr>
      </w:pPr>
      <w:r w:rsidRPr="0004487C">
        <w:rPr>
          <w:rFonts w:eastAsia="BatangChe"/>
          <w:lang w:eastAsia="zh-CN"/>
        </w:rPr>
        <w:t>2</w:t>
      </w:r>
      <w:r w:rsidRPr="0004487C">
        <w:rPr>
          <w:rFonts w:eastAsia="BatangChe"/>
          <w:lang w:eastAsia="zh-CN"/>
        </w:rPr>
        <w:tab/>
      </w:r>
      <w:proofErr w:type="gramStart"/>
      <w:r>
        <w:rPr>
          <w:rFonts w:asciiTheme="minorEastAsia" w:eastAsiaTheme="minorEastAsia" w:hAnsiTheme="minorEastAsia" w:hint="eastAsia"/>
          <w:lang w:eastAsia="zh-CN"/>
        </w:rPr>
        <w:t>在顾及</w:t>
      </w:r>
      <w:r w:rsidRPr="00D73CEC">
        <w:rPr>
          <w:rFonts w:asciiTheme="minorEastAsia" w:eastAsiaTheme="minorEastAsia" w:hAnsiTheme="minorEastAsia" w:hint="eastAsia"/>
          <w:lang w:eastAsia="zh-CN"/>
        </w:rPr>
        <w:t>上文</w:t>
      </w:r>
      <w:r w:rsidRPr="00BD2DA2">
        <w:rPr>
          <w:rFonts w:ascii="SimSun" w:hAnsi="SimSun"/>
          <w:lang w:eastAsia="zh-CN"/>
        </w:rPr>
        <w:t>“</w:t>
      </w:r>
      <w:proofErr w:type="gramEnd"/>
      <w:r w:rsidRPr="00D73CEC">
        <w:rPr>
          <w:rFonts w:eastAsia="STKaiti"/>
          <w:lang w:eastAsia="zh-CN"/>
        </w:rPr>
        <w:t>做出决议，</w:t>
      </w:r>
      <w:r w:rsidRPr="003A5A3A">
        <w:rPr>
          <w:rFonts w:ascii="STKaiti" w:eastAsia="STKaiti" w:hAnsi="STKaiti"/>
          <w:lang w:eastAsia="zh-CN"/>
        </w:rPr>
        <w:t>请</w:t>
      </w:r>
      <w:r w:rsidRPr="00175304">
        <w:rPr>
          <w:rFonts w:eastAsia="STKaiti"/>
          <w:lang w:eastAsia="zh-CN"/>
        </w:rPr>
        <w:t>ITU-R 1</w:t>
      </w:r>
      <w:r w:rsidRPr="003C6E0B">
        <w:rPr>
          <w:rFonts w:ascii="SimSun" w:hAnsi="SimSun"/>
          <w:lang w:eastAsia="zh-CN"/>
        </w:rPr>
        <w:t>”</w:t>
      </w:r>
      <w:r>
        <w:rPr>
          <w:rFonts w:ascii="SimSun" w:hAnsi="SimSun" w:hint="eastAsia"/>
          <w:lang w:eastAsia="zh-CN"/>
        </w:rPr>
        <w:t>的情况下</w:t>
      </w:r>
      <w:r w:rsidRPr="00D73CEC">
        <w:rPr>
          <w:rFonts w:eastAsiaTheme="minorEastAsia" w:hint="eastAsia"/>
          <w:lang w:eastAsia="zh-CN"/>
        </w:rPr>
        <w:t>，酌情制定</w:t>
      </w:r>
      <w:r w:rsidRPr="00D73CEC">
        <w:rPr>
          <w:rFonts w:eastAsiaTheme="minorEastAsia" w:hint="eastAsia"/>
          <w:lang w:eastAsia="zh-CN"/>
        </w:rPr>
        <w:t>ITU-R</w:t>
      </w:r>
      <w:r w:rsidRPr="00D73CEC">
        <w:rPr>
          <w:rFonts w:eastAsiaTheme="minorEastAsia" w:hint="eastAsia"/>
          <w:lang w:eastAsia="zh-CN"/>
        </w:rPr>
        <w:t>建议书和报告</w:t>
      </w:r>
      <w:r>
        <w:rPr>
          <w:rFonts w:eastAsiaTheme="minorEastAsia" w:hint="eastAsia"/>
          <w:lang w:eastAsia="zh-CN"/>
        </w:rPr>
        <w:t>，</w:t>
      </w:r>
    </w:p>
    <w:p w14:paraId="690B6497" w14:textId="77777777" w:rsidR="00B13F6F" w:rsidRPr="0082754C" w:rsidRDefault="00B13F6F" w:rsidP="00B13F6F">
      <w:pPr>
        <w:pStyle w:val="Call"/>
        <w:rPr>
          <w:lang w:eastAsia="zh-CN"/>
        </w:rPr>
      </w:pPr>
      <w:r w:rsidRPr="0082754C">
        <w:rPr>
          <w:rFonts w:hint="eastAsia"/>
          <w:lang w:eastAsia="zh-CN"/>
        </w:rPr>
        <w:t>进</w:t>
      </w:r>
      <w:r w:rsidRPr="0082754C">
        <w:rPr>
          <w:lang w:eastAsia="zh-CN"/>
        </w:rPr>
        <w:t>一步做出决</w:t>
      </w:r>
      <w:r w:rsidRPr="0082754C">
        <w:rPr>
          <w:rFonts w:hint="eastAsia"/>
          <w:lang w:eastAsia="zh-CN"/>
        </w:rPr>
        <w:t>议</w:t>
      </w:r>
      <w:r w:rsidRPr="0082754C">
        <w:rPr>
          <w:lang w:eastAsia="zh-CN"/>
        </w:rPr>
        <w:t>，</w:t>
      </w:r>
      <w:r w:rsidRPr="0082754C">
        <w:rPr>
          <w:rFonts w:hint="eastAsia"/>
          <w:lang w:eastAsia="zh-CN"/>
        </w:rPr>
        <w:t>请</w:t>
      </w:r>
      <w:r w:rsidRPr="006E1351">
        <w:rPr>
          <w:rFonts w:ascii="Times New Roman" w:hAnsi="Times New Roman"/>
          <w:lang w:eastAsia="zh-CN"/>
        </w:rPr>
        <w:t>WRC</w:t>
      </w:r>
      <w:r w:rsidRPr="006E1351">
        <w:rPr>
          <w:rFonts w:ascii="Times New Roman" w:hAnsi="Times New Roman"/>
          <w:lang w:eastAsia="zh-CN"/>
        </w:rPr>
        <w:noBreakHyphen/>
        <w:t>23</w:t>
      </w:r>
    </w:p>
    <w:p w14:paraId="751ED2E3" w14:textId="77777777" w:rsidR="00B13F6F" w:rsidRPr="0004487C" w:rsidRDefault="00B13F6F" w:rsidP="00B13F6F">
      <w:pPr>
        <w:ind w:firstLineChars="200" w:firstLine="480"/>
        <w:rPr>
          <w:rFonts w:ascii="Calibri" w:eastAsia="Times New Roman" w:hAnsi="Calibri" w:cs="Calibri"/>
          <w:b/>
          <w:color w:val="800000"/>
          <w:sz w:val="22"/>
          <w:lang w:eastAsia="zh-CN"/>
        </w:rPr>
      </w:pPr>
      <w:r w:rsidRPr="002B3CC3">
        <w:rPr>
          <w:rFonts w:hint="eastAsia"/>
          <w:lang w:eastAsia="zh-CN"/>
        </w:rPr>
        <w:t>在考虑到</w:t>
      </w:r>
      <w:r>
        <w:rPr>
          <w:rFonts w:hint="eastAsia"/>
          <w:lang w:eastAsia="zh-CN"/>
        </w:rPr>
        <w:t>上述</w:t>
      </w:r>
      <w:r w:rsidRPr="002B3CC3">
        <w:rPr>
          <w:rFonts w:hint="eastAsia"/>
          <w:lang w:eastAsia="zh-CN"/>
        </w:rPr>
        <w:t>研究结果且不给现有业务增加额外限制的同时，</w:t>
      </w:r>
      <w:r>
        <w:rPr>
          <w:rFonts w:hint="eastAsia"/>
          <w:lang w:eastAsia="zh-CN"/>
        </w:rPr>
        <w:t>酌情考虑必要的规则条款。</w:t>
      </w:r>
    </w:p>
    <w:p w14:paraId="1D169A6C" w14:textId="4C820FEB" w:rsidR="009B45F0" w:rsidRPr="001469D4" w:rsidRDefault="00C178A4" w:rsidP="009B45F0">
      <w:pPr>
        <w:pStyle w:val="Reasons"/>
      </w:pPr>
      <w:r w:rsidRPr="00726311">
        <w:rPr>
          <w:rFonts w:hint="eastAsia"/>
          <w:b/>
          <w:lang w:eastAsia="zh-CN"/>
        </w:rPr>
        <w:t>理由：</w:t>
      </w:r>
      <w:r w:rsidRPr="00C178A4">
        <w:rPr>
          <w:rFonts w:hint="eastAsia"/>
          <w:lang w:eastAsia="zh-CN"/>
        </w:rPr>
        <w:t>请参阅下表</w:t>
      </w:r>
      <w:r>
        <w:rPr>
          <w:rFonts w:hint="eastAsia"/>
          <w:lang w:eastAsia="zh-CN"/>
        </w:rPr>
        <w:t>。</w:t>
      </w:r>
    </w:p>
    <w:p w14:paraId="6BD777C0" w14:textId="4C98C154" w:rsidR="009B45F0" w:rsidRDefault="009B45F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9B45F0" w:rsidRPr="001469D4" w14:paraId="30C89A51" w14:textId="77777777" w:rsidTr="00514F97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3746C38C" w14:textId="62FDE41F" w:rsidR="009B45F0" w:rsidRPr="00C35C3D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bCs/>
                <w:i/>
                <w:iCs/>
                <w:kern w:val="2"/>
                <w:szCs w:val="24"/>
                <w:highlight w:val="green"/>
                <w:lang w:eastAsia="zh-CN"/>
              </w:rPr>
            </w:pPr>
            <w:r w:rsidRPr="00E50DD6">
              <w:rPr>
                <w:rFonts w:ascii="STKaiti" w:eastAsia="STKaiti" w:hAnsi="STKaiti" w:hint="eastAsia"/>
                <w:b/>
                <w:bCs/>
                <w:lang w:eastAsia="zh-CN"/>
              </w:rPr>
              <w:lastRenderedPageBreak/>
              <w:t>议题</w:t>
            </w:r>
            <w:r w:rsidRPr="00E50DD6">
              <w:rPr>
                <w:rFonts w:ascii="STKaiti" w:eastAsia="STKaiti" w:hAnsi="STKaiti"/>
                <w:b/>
                <w:bCs/>
                <w:lang w:eastAsia="zh-CN"/>
              </w:rPr>
              <w:t>：</w:t>
            </w:r>
            <w:r>
              <w:rPr>
                <w:rFonts w:eastAsia="Times New Roman"/>
                <w:bCs/>
                <w:lang w:eastAsia="zh-CN"/>
              </w:rPr>
              <w:t>WRC</w:t>
            </w:r>
            <w:r w:rsidRPr="00E50DD6">
              <w:rPr>
                <w:rFonts w:hint="eastAsia"/>
                <w:bCs/>
                <w:lang w:eastAsia="zh-CN"/>
              </w:rPr>
              <w:t>-19</w:t>
            </w:r>
            <w:r w:rsidRPr="00E50DD6">
              <w:rPr>
                <w:rFonts w:hint="eastAsia"/>
                <w:bCs/>
                <w:lang w:eastAsia="zh-CN"/>
              </w:rPr>
              <w:t>议项</w:t>
            </w:r>
            <w:r w:rsidRPr="00E50DD6">
              <w:rPr>
                <w:rFonts w:hint="eastAsia"/>
                <w:bCs/>
                <w:lang w:eastAsia="zh-CN"/>
              </w:rPr>
              <w:t>10</w:t>
            </w:r>
            <w:r>
              <w:rPr>
                <w:rFonts w:hint="eastAsia"/>
                <w:bCs/>
                <w:lang w:eastAsia="zh-CN"/>
              </w:rPr>
              <w:t>的</w:t>
            </w:r>
            <w:r w:rsidRPr="00E50DD6">
              <w:rPr>
                <w:rFonts w:hint="eastAsia"/>
                <w:bCs/>
                <w:lang w:eastAsia="zh-CN"/>
              </w:rPr>
              <w:t>提案</w:t>
            </w:r>
            <w:r>
              <w:rPr>
                <w:rFonts w:hint="eastAsia"/>
                <w:bCs/>
                <w:lang w:eastAsia="zh-CN"/>
              </w:rPr>
              <w:t>，</w:t>
            </w:r>
            <w:r w:rsidRPr="00E50DD6">
              <w:rPr>
                <w:rFonts w:hint="eastAsia"/>
                <w:bCs/>
                <w:lang w:eastAsia="zh-CN"/>
              </w:rPr>
              <w:t>考虑在</w:t>
            </w:r>
            <w:r w:rsidRPr="00E50DD6">
              <w:rPr>
                <w:rFonts w:hint="eastAsia"/>
                <w:bCs/>
                <w:lang w:eastAsia="zh-CN"/>
              </w:rPr>
              <w:t>WRC-23</w:t>
            </w:r>
            <w:r w:rsidRPr="00E50DD6">
              <w:rPr>
                <w:rFonts w:hint="eastAsia"/>
                <w:bCs/>
                <w:lang w:eastAsia="zh-CN"/>
              </w:rPr>
              <w:t>确定用于</w:t>
            </w:r>
            <w:r>
              <w:rPr>
                <w:rFonts w:hint="eastAsia"/>
                <w:bCs/>
                <w:lang w:eastAsia="zh-CN"/>
              </w:rPr>
              <w:t>空基航空</w:t>
            </w:r>
            <w:r w:rsidR="0048253F">
              <w:rPr>
                <w:rFonts w:hint="eastAsia"/>
                <w:bCs/>
                <w:lang w:eastAsia="zh-CN"/>
              </w:rPr>
              <w:t>应用</w:t>
            </w:r>
            <w:r w:rsidRPr="00E50DD6">
              <w:rPr>
                <w:rFonts w:hint="eastAsia"/>
                <w:bCs/>
                <w:lang w:eastAsia="zh-CN"/>
              </w:rPr>
              <w:t>的</w:t>
            </w:r>
            <w:r w:rsidRPr="00E50DD6">
              <w:rPr>
                <w:rFonts w:hint="eastAsia"/>
                <w:bCs/>
                <w:lang w:eastAsia="zh-CN"/>
              </w:rPr>
              <w:t>VHF</w:t>
            </w:r>
            <w:r w:rsidRPr="00E50DD6">
              <w:rPr>
                <w:rFonts w:hint="eastAsia"/>
                <w:bCs/>
                <w:lang w:eastAsia="zh-CN"/>
              </w:rPr>
              <w:t>频段</w:t>
            </w:r>
          </w:p>
        </w:tc>
      </w:tr>
      <w:tr w:rsidR="009B45F0" w:rsidRPr="001469D4" w14:paraId="73E38CC8" w14:textId="77777777" w:rsidTr="00514F97">
        <w:tc>
          <w:tcPr>
            <w:tcW w:w="9317" w:type="dxa"/>
            <w:gridSpan w:val="2"/>
            <w:tcBorders>
              <w:top w:val="nil"/>
            </w:tcBorders>
          </w:tcPr>
          <w:p w14:paraId="1AD4E1B5" w14:textId="7FF7A509" w:rsidR="009B45F0" w:rsidRPr="001469D4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MS Gothic"/>
                <w:bCs/>
                <w:kern w:val="2"/>
                <w:szCs w:val="24"/>
                <w:lang w:val="en-US" w:eastAsia="zh-CN"/>
              </w:rPr>
            </w:pPr>
            <w:r w:rsidRPr="00E50DD6">
              <w:rPr>
                <w:rFonts w:ascii="STKaiti" w:eastAsia="STKaiti" w:hAnsi="STKaiti" w:hint="eastAsia"/>
                <w:b/>
                <w:bCs/>
                <w:iCs/>
                <w:kern w:val="2"/>
                <w:szCs w:val="24"/>
                <w:lang w:val="fr-FR" w:eastAsia="zh-CN"/>
              </w:rPr>
              <w:t>来源</w:t>
            </w:r>
            <w:r w:rsidRPr="00E50DD6">
              <w:rPr>
                <w:rFonts w:ascii="STKaiti" w:eastAsia="STKaiti" w:hAnsi="STKaiti"/>
                <w:b/>
                <w:bCs/>
                <w:iCs/>
                <w:kern w:val="2"/>
                <w:szCs w:val="24"/>
                <w:lang w:val="fr-FR" w:eastAsia="zh-CN"/>
              </w:rPr>
              <w:t>：</w:t>
            </w:r>
            <w:r w:rsidR="0048253F" w:rsidRPr="0048253F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亚太电信</w:t>
            </w:r>
            <w:r w:rsidR="0048253F" w:rsidRPr="00FD251F">
              <w:rPr>
                <w:rFonts w:hint="eastAsia"/>
                <w:b/>
                <w:bCs/>
                <w:lang w:eastAsia="zh-CN"/>
              </w:rPr>
              <w:t>组织（</w:t>
            </w:r>
            <w:r w:rsidR="0048253F" w:rsidRPr="00FD251F">
              <w:rPr>
                <w:rFonts w:hint="eastAsia"/>
                <w:b/>
                <w:bCs/>
                <w:lang w:eastAsia="zh-CN"/>
              </w:rPr>
              <w:t>APT</w:t>
            </w:r>
            <w:r w:rsidR="0048253F" w:rsidRPr="00FD251F"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 w:rsidR="009B45F0" w:rsidRPr="001469D4" w14:paraId="6F37BB7F" w14:textId="77777777" w:rsidTr="00514F97">
        <w:tc>
          <w:tcPr>
            <w:tcW w:w="9317" w:type="dxa"/>
            <w:gridSpan w:val="2"/>
          </w:tcPr>
          <w:p w14:paraId="3AD07AC5" w14:textId="77777777" w:rsidR="00B13F6F" w:rsidRPr="00E50DD6" w:rsidRDefault="00B13F6F" w:rsidP="00FD251F">
            <w:pPr>
              <w:spacing w:before="80" w:after="80"/>
              <w:rPr>
                <w:rFonts w:ascii="STKaiti" w:eastAsia="STKaiti" w:hAnsi="STKaiti"/>
                <w:b/>
                <w:bCs/>
                <w:kern w:val="2"/>
                <w:szCs w:val="24"/>
                <w:lang w:eastAsia="zh-CN"/>
              </w:rPr>
            </w:pPr>
            <w:r w:rsidRPr="00E50DD6">
              <w:rPr>
                <w:rFonts w:ascii="STKaiti" w:eastAsia="STKaiti" w:hAnsi="STKaiti" w:hint="eastAsia"/>
                <w:b/>
                <w:bCs/>
                <w:kern w:val="2"/>
                <w:szCs w:val="24"/>
                <w:lang w:eastAsia="zh-CN"/>
              </w:rPr>
              <w:t>提案：</w:t>
            </w:r>
          </w:p>
          <w:p w14:paraId="475A533A" w14:textId="3D263A32" w:rsidR="009B45F0" w:rsidRPr="001469D4" w:rsidRDefault="00A25513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ind w:firstLineChars="200" w:firstLine="480"/>
              <w:textAlignment w:val="auto"/>
              <w:rPr>
                <w:i/>
                <w:kern w:val="2"/>
                <w:szCs w:val="24"/>
                <w:lang w:val="en-US" w:eastAsia="ko-KR"/>
              </w:rPr>
            </w:pPr>
            <w:r>
              <w:rPr>
                <w:rFonts w:ascii="SimSun" w:hAnsi="SimSun" w:cs="SimSun" w:hint="eastAsia"/>
                <w:color w:val="000000"/>
                <w:lang w:eastAsia="zh-CN"/>
              </w:rPr>
              <w:t>考虑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在</w:t>
            </w:r>
            <w:r w:rsidR="00B13F6F" w:rsidRPr="00A51105">
              <w:rPr>
                <w:rFonts w:eastAsia="Times New Roman" w:hint="eastAsia"/>
                <w:color w:val="000000"/>
                <w:lang w:eastAsia="zh-CN"/>
              </w:rPr>
              <w:t>117.975-137 MHz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频段内</w:t>
            </w:r>
            <w:r>
              <w:rPr>
                <w:rFonts w:ascii="SimSun" w:hAnsi="SimSun" w:cs="SimSun" w:hint="eastAsia"/>
                <w:color w:val="000000"/>
                <w:lang w:eastAsia="zh-CN"/>
              </w:rPr>
              <w:t>对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航空</w:t>
            </w:r>
            <w:r w:rsidR="00B13F6F" w:rsidRPr="00A51105">
              <w:rPr>
                <w:rFonts w:eastAsia="Times New Roman" w:hint="eastAsia"/>
                <w:color w:val="000000"/>
                <w:lang w:eastAsia="zh-CN"/>
              </w:rPr>
              <w:t>VHF</w:t>
            </w:r>
            <w:r>
              <w:rPr>
                <w:rFonts w:ascii="SimSun" w:hAnsi="SimSun" w:cs="SimSun" w:hint="eastAsia"/>
                <w:color w:val="000000"/>
                <w:lang w:eastAsia="zh-CN"/>
              </w:rPr>
              <w:t>应用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上行链路和下行链路</w:t>
            </w:r>
            <w:r w:rsidR="00B13F6F">
              <w:rPr>
                <w:rFonts w:ascii="SimSun" w:hAnsi="SimSun" w:cs="SimSun" w:hint="eastAsia"/>
                <w:color w:val="000000"/>
                <w:lang w:eastAsia="zh-CN"/>
              </w:rPr>
              <w:t>的</w:t>
            </w:r>
            <w:r w:rsidR="00B13F6F" w:rsidRPr="0004487C">
              <w:rPr>
                <w:rFonts w:eastAsia="Times New Roman"/>
                <w:color w:val="000000"/>
                <w:lang w:eastAsia="zh-CN"/>
              </w:rPr>
              <w:t>AMS(R)S</w:t>
            </w:r>
            <w:r w:rsidR="00B13F6F">
              <w:rPr>
                <w:rFonts w:ascii="SimSun" w:hAnsi="SimSun" w:cs="SimSun" w:hint="eastAsia"/>
                <w:color w:val="000000"/>
                <w:lang w:eastAsia="zh-CN"/>
              </w:rPr>
              <w:t>划分</w:t>
            </w:r>
            <w:r>
              <w:rPr>
                <w:rFonts w:ascii="SimSun" w:hAnsi="SimSun" w:cs="SimSun" w:hint="eastAsia"/>
                <w:color w:val="000000"/>
                <w:lang w:eastAsia="zh-CN"/>
              </w:rPr>
              <w:t>，同时确保</w:t>
            </w:r>
            <w:proofErr w:type="gramStart"/>
            <w:r>
              <w:rPr>
                <w:rFonts w:ascii="SimSun" w:hAnsi="SimSun" w:cs="SimSun" w:hint="eastAsia"/>
                <w:color w:val="000000"/>
                <w:lang w:eastAsia="zh-CN"/>
              </w:rPr>
              <w:t>不对相同</w:t>
            </w:r>
            <w:proofErr w:type="gramEnd"/>
            <w:r>
              <w:rPr>
                <w:rFonts w:ascii="SimSun" w:hAnsi="SimSun" w:cs="SimSun" w:hint="eastAsia"/>
                <w:color w:val="000000"/>
                <w:lang w:eastAsia="zh-CN"/>
              </w:rPr>
              <w:t>和相邻频段内的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现有</w:t>
            </w:r>
            <w:r>
              <w:rPr>
                <w:rFonts w:ascii="SimSun" w:hAnsi="SimSun" w:cs="SimSun" w:hint="eastAsia"/>
                <w:color w:val="000000"/>
                <w:lang w:eastAsia="zh-CN"/>
              </w:rPr>
              <w:t>业务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造成</w:t>
            </w:r>
            <w:r>
              <w:rPr>
                <w:rFonts w:ascii="SimSun" w:hAnsi="SimSun" w:cs="SimSun" w:hint="eastAsia"/>
                <w:color w:val="000000"/>
                <w:lang w:eastAsia="zh-CN"/>
              </w:rPr>
              <w:t>任何有害干扰或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施加任何</w:t>
            </w:r>
            <w:r w:rsidR="00B13F6F">
              <w:rPr>
                <w:rFonts w:ascii="SimSun" w:hAnsi="SimSun" w:cs="SimSun" w:hint="eastAsia"/>
                <w:color w:val="000000"/>
                <w:lang w:eastAsia="zh-CN"/>
              </w:rPr>
              <w:t>额外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限制，尤其是</w:t>
            </w:r>
            <w:r w:rsidRPr="0004487C">
              <w:rPr>
                <w:rFonts w:hint="eastAsia"/>
                <w:kern w:val="2"/>
                <w:szCs w:val="24"/>
                <w:lang w:eastAsia="zh-CN"/>
              </w:rPr>
              <w:t>AM(R)S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（</w:t>
            </w:r>
            <w:r w:rsidR="00B13F6F" w:rsidRPr="00A51105">
              <w:rPr>
                <w:rFonts w:eastAsia="Times New Roman" w:hint="eastAsia"/>
                <w:color w:val="000000"/>
                <w:lang w:eastAsia="zh-CN"/>
              </w:rPr>
              <w:t>117.975-137 MHz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）</w:t>
            </w:r>
            <w:r>
              <w:rPr>
                <w:rFonts w:ascii="SimSun" w:hAnsi="SimSun" w:cs="SimSun" w:hint="eastAsia"/>
                <w:color w:val="000000"/>
                <w:lang w:eastAsia="zh-CN"/>
              </w:rPr>
              <w:t>和</w:t>
            </w:r>
            <w:r w:rsidRPr="00A51105">
              <w:rPr>
                <w:rFonts w:eastAsia="Times New Roman" w:hint="eastAsia"/>
                <w:color w:val="000000"/>
                <w:lang w:eastAsia="zh-CN"/>
              </w:rPr>
              <w:t>ARNS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（</w:t>
            </w:r>
            <w:r w:rsidR="00B13F6F" w:rsidRPr="00A51105">
              <w:rPr>
                <w:rFonts w:eastAsia="Times New Roman" w:hint="eastAsia"/>
                <w:color w:val="000000"/>
                <w:lang w:eastAsia="zh-CN"/>
              </w:rPr>
              <w:t>108-117.975 MHz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）</w:t>
            </w:r>
            <w:r>
              <w:rPr>
                <w:rFonts w:ascii="SimSun" w:hAnsi="SimSun" w:cs="SimSun" w:hint="eastAsia"/>
                <w:color w:val="000000"/>
                <w:lang w:eastAsia="zh-CN"/>
              </w:rPr>
              <w:t>。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频率指配协调将由国际民航组织</w:t>
            </w:r>
            <w:r>
              <w:rPr>
                <w:rFonts w:ascii="SimSun" w:hAnsi="SimSun" w:cs="SimSun" w:hint="eastAsia"/>
                <w:color w:val="000000"/>
                <w:lang w:eastAsia="zh-CN"/>
              </w:rPr>
              <w:t>依照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现行</w:t>
            </w:r>
            <w:r w:rsidR="00B13F6F">
              <w:rPr>
                <w:rFonts w:ascii="SimSun" w:hAnsi="SimSun" w:cs="SimSun" w:hint="eastAsia"/>
                <w:color w:val="000000"/>
                <w:lang w:eastAsia="zh-CN"/>
              </w:rPr>
              <w:t>做法</w:t>
            </w:r>
            <w:r>
              <w:rPr>
                <w:rFonts w:ascii="SimSun" w:hAnsi="SimSun" w:cs="SimSun" w:hint="eastAsia"/>
                <w:color w:val="000000"/>
                <w:lang w:eastAsia="zh-CN"/>
              </w:rPr>
              <w:t>开展</w:t>
            </w:r>
            <w:r w:rsidR="00B13F6F" w:rsidRPr="00A51105">
              <w:rPr>
                <w:rFonts w:ascii="SimSun" w:hAnsi="SimSun" w:cs="SimSun" w:hint="eastAsia"/>
                <w:color w:val="000000"/>
                <w:lang w:eastAsia="zh-CN"/>
              </w:rPr>
              <w:t>。</w:t>
            </w:r>
          </w:p>
        </w:tc>
      </w:tr>
      <w:tr w:rsidR="009B45F0" w:rsidRPr="001469D4" w14:paraId="0BF9CFF0" w14:textId="77777777" w:rsidTr="00514F97">
        <w:tc>
          <w:tcPr>
            <w:tcW w:w="9317" w:type="dxa"/>
            <w:gridSpan w:val="2"/>
          </w:tcPr>
          <w:p w14:paraId="7269DA8F" w14:textId="77777777" w:rsidR="00B13F6F" w:rsidRPr="0004487C" w:rsidRDefault="00B13F6F" w:rsidP="00FD251F">
            <w:pPr>
              <w:spacing w:before="80" w:after="80"/>
              <w:rPr>
                <w:kern w:val="2"/>
                <w:szCs w:val="24"/>
                <w:highlight w:val="yellow"/>
                <w:lang w:eastAsia="ko-KR"/>
              </w:rPr>
            </w:pPr>
            <w:r w:rsidRPr="00E50DD6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背景</w:t>
            </w:r>
            <w:r w:rsidRPr="00E50DD6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 w:rsidRPr="00E50DD6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理由：</w:t>
            </w:r>
          </w:p>
          <w:p w14:paraId="61F28FBE" w14:textId="77777777" w:rsidR="00B13F6F" w:rsidRPr="00601886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ind w:firstLineChars="200" w:firstLine="480"/>
              <w:textAlignment w:val="auto"/>
              <w:rPr>
                <w:rFonts w:eastAsia="BatangChe"/>
                <w:lang w:eastAsia="ja-JP"/>
              </w:rPr>
            </w:pPr>
            <w:r>
              <w:rPr>
                <w:rFonts w:hint="eastAsia"/>
                <w:lang w:eastAsia="zh-CN"/>
              </w:rPr>
              <w:t>空基航空</w:t>
            </w:r>
            <w:r w:rsidRPr="0004487C">
              <w:rPr>
                <w:rFonts w:hint="eastAsia"/>
                <w:lang w:eastAsia="zh-CN"/>
              </w:rPr>
              <w:t>VHF</w:t>
            </w:r>
            <w:r w:rsidRPr="0004487C">
              <w:rPr>
                <w:rFonts w:hint="eastAsia"/>
                <w:lang w:eastAsia="zh-CN"/>
              </w:rPr>
              <w:t>语音业务将使地理上遥远或成本</w:t>
            </w:r>
            <w:r>
              <w:rPr>
                <w:rFonts w:hint="eastAsia"/>
                <w:lang w:eastAsia="zh-CN"/>
              </w:rPr>
              <w:t>过高</w:t>
            </w:r>
            <w:r w:rsidRPr="0004487C">
              <w:rPr>
                <w:rFonts w:hint="eastAsia"/>
                <w:lang w:eastAsia="zh-CN"/>
              </w:rPr>
              <w:t>的空域中</w:t>
            </w:r>
            <w:r>
              <w:rPr>
                <w:rFonts w:hint="eastAsia"/>
                <w:lang w:eastAsia="zh-CN"/>
              </w:rPr>
              <w:t>空管员与飞行员的直接通信（“</w:t>
            </w:r>
            <w:r w:rsidRPr="0004487C">
              <w:rPr>
                <w:rFonts w:hint="eastAsia"/>
                <w:lang w:eastAsia="zh-CN"/>
              </w:rPr>
              <w:t>DCPC</w:t>
            </w:r>
            <w:r>
              <w:rPr>
                <w:rFonts w:hint="eastAsia"/>
                <w:lang w:eastAsia="zh-CN"/>
              </w:rPr>
              <w:t>”</w:t>
            </w:r>
            <w:r w:rsidRPr="0004487C">
              <w:rPr>
                <w:rFonts w:hint="eastAsia"/>
                <w:lang w:eastAsia="zh-CN"/>
              </w:rPr>
              <w:t>）成为可能，以提供和维持地面</w:t>
            </w:r>
            <w:r w:rsidRPr="0004487C">
              <w:rPr>
                <w:rFonts w:hint="eastAsia"/>
                <w:lang w:eastAsia="zh-CN"/>
              </w:rPr>
              <w:t>VHF</w:t>
            </w:r>
            <w:r w:rsidRPr="0004487C">
              <w:rPr>
                <w:rFonts w:hint="eastAsia"/>
                <w:lang w:eastAsia="zh-CN"/>
              </w:rPr>
              <w:t>语音业务</w:t>
            </w:r>
            <w:r>
              <w:rPr>
                <w:rFonts w:hint="eastAsia"/>
                <w:lang w:eastAsia="zh-CN"/>
              </w:rPr>
              <w:t>。在</w:t>
            </w:r>
            <w:r w:rsidRPr="0004487C">
              <w:rPr>
                <w:rFonts w:hint="eastAsia"/>
                <w:lang w:eastAsia="zh-CN"/>
              </w:rPr>
              <w:t>与</w:t>
            </w:r>
            <w:r>
              <w:rPr>
                <w:rFonts w:hint="eastAsia"/>
                <w:lang w:eastAsia="zh-CN"/>
              </w:rPr>
              <w:t>全球航班跟踪系统</w:t>
            </w:r>
            <w:r w:rsidRPr="0004487C">
              <w:rPr>
                <w:rFonts w:hint="eastAsia"/>
                <w:lang w:eastAsia="zh-CN"/>
              </w:rPr>
              <w:t>结合使用时，</w:t>
            </w:r>
            <w:r>
              <w:rPr>
                <w:rFonts w:hint="eastAsia"/>
                <w:lang w:eastAsia="zh-CN"/>
              </w:rPr>
              <w:t>空基</w:t>
            </w:r>
            <w:r w:rsidRPr="001C2B27">
              <w:rPr>
                <w:rFonts w:hint="eastAsia"/>
                <w:lang w:eastAsia="zh-CN"/>
              </w:rPr>
              <w:t>航空</w:t>
            </w:r>
            <w:r w:rsidRPr="001C2B27">
              <w:rPr>
                <w:rFonts w:hint="eastAsia"/>
                <w:lang w:eastAsia="zh-CN"/>
              </w:rPr>
              <w:t>VHF</w:t>
            </w:r>
            <w:r w:rsidRPr="0004487C">
              <w:rPr>
                <w:rFonts w:hint="eastAsia"/>
                <w:lang w:eastAsia="zh-CN"/>
              </w:rPr>
              <w:t>技术</w:t>
            </w:r>
            <w:r w:rsidRPr="00FD251F">
              <w:rPr>
                <w:rFonts w:ascii="SimSun" w:hAnsi="SimSun" w:cs="SimSun" w:hint="eastAsia"/>
                <w:color w:val="000000"/>
                <w:lang w:eastAsia="zh-CN"/>
              </w:rPr>
              <w:t>可用</w:t>
            </w:r>
            <w:r w:rsidRPr="0004487C">
              <w:rPr>
                <w:rFonts w:hint="eastAsia"/>
                <w:lang w:eastAsia="zh-CN"/>
              </w:rPr>
              <w:t>于支持类似雷达的最小</w:t>
            </w:r>
            <w:r>
              <w:rPr>
                <w:rFonts w:hint="eastAsia"/>
                <w:lang w:eastAsia="zh-CN"/>
              </w:rPr>
              <w:t>隔离距离</w:t>
            </w:r>
            <w:r w:rsidRPr="0004487C">
              <w:rPr>
                <w:rFonts w:hint="eastAsia"/>
                <w:lang w:eastAsia="zh-CN"/>
              </w:rPr>
              <w:t>，并</w:t>
            </w:r>
            <w:r>
              <w:rPr>
                <w:rFonts w:hint="eastAsia"/>
                <w:lang w:eastAsia="zh-CN"/>
              </w:rPr>
              <w:t>且具</w:t>
            </w:r>
            <w:r w:rsidRPr="0004487C">
              <w:rPr>
                <w:rFonts w:hint="eastAsia"/>
                <w:lang w:eastAsia="zh-CN"/>
              </w:rPr>
              <w:t>有提高空域容量和效率</w:t>
            </w:r>
            <w:r>
              <w:rPr>
                <w:rFonts w:hint="eastAsia"/>
                <w:lang w:eastAsia="zh-CN"/>
              </w:rPr>
              <w:t>的潜力</w:t>
            </w:r>
            <w:r w:rsidRPr="0004487C">
              <w:rPr>
                <w:rFonts w:hint="eastAsia"/>
                <w:lang w:eastAsia="zh-CN"/>
              </w:rPr>
              <w:t>，特别是对</w:t>
            </w:r>
            <w:r>
              <w:rPr>
                <w:rFonts w:hint="eastAsia"/>
                <w:lang w:eastAsia="zh-CN"/>
              </w:rPr>
              <w:t>偏</w:t>
            </w:r>
            <w:r w:rsidRPr="0004487C">
              <w:rPr>
                <w:rFonts w:hint="eastAsia"/>
                <w:lang w:eastAsia="zh-CN"/>
              </w:rPr>
              <w:t>远和海洋空域而言</w:t>
            </w:r>
            <w:r>
              <w:rPr>
                <w:rFonts w:hint="eastAsia"/>
                <w:lang w:eastAsia="zh-CN"/>
              </w:rPr>
              <w:t>。</w:t>
            </w:r>
            <w:r w:rsidRPr="0004487C">
              <w:rPr>
                <w:rFonts w:hint="eastAsia"/>
                <w:lang w:eastAsia="ja-JP"/>
              </w:rPr>
              <w:t>该技术还可以作为受自然灾害</w:t>
            </w:r>
            <w:r>
              <w:rPr>
                <w:rFonts w:hint="eastAsia"/>
                <w:lang w:eastAsia="ja-JP"/>
              </w:rPr>
              <w:t>（</w:t>
            </w:r>
            <w:r w:rsidRPr="0004487C">
              <w:rPr>
                <w:rFonts w:hint="eastAsia"/>
                <w:lang w:eastAsia="ja-JP"/>
              </w:rPr>
              <w:t>如洪水和地震</w:t>
            </w:r>
            <w:r>
              <w:rPr>
                <w:rFonts w:hint="eastAsia"/>
                <w:lang w:eastAsia="ja-JP"/>
              </w:rPr>
              <w:t>）</w:t>
            </w:r>
            <w:r w:rsidRPr="0004487C">
              <w:rPr>
                <w:rFonts w:hint="eastAsia"/>
                <w:lang w:eastAsia="ja-JP"/>
              </w:rPr>
              <w:t>影响的空域的应急通信基础设施</w:t>
            </w:r>
            <w:r>
              <w:rPr>
                <w:rFonts w:hint="eastAsia"/>
                <w:lang w:eastAsia="zh-CN"/>
              </w:rPr>
              <w:t>发挥作用。</w:t>
            </w:r>
          </w:p>
          <w:p w14:paraId="3A7A96D9" w14:textId="7E93546C" w:rsidR="009B45F0" w:rsidRPr="00C35C3D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ind w:firstLineChars="200" w:firstLine="480"/>
              <w:textAlignment w:val="auto"/>
              <w:rPr>
                <w:color w:val="000000"/>
                <w:highlight w:val="green"/>
                <w:lang w:eastAsia="zh-CN"/>
              </w:rPr>
            </w:pPr>
            <w:r w:rsidRPr="00A12AC3">
              <w:rPr>
                <w:rFonts w:hint="eastAsia"/>
                <w:lang w:eastAsia="zh-CN"/>
              </w:rPr>
              <w:t>117.975 MHz-137 MHz</w:t>
            </w:r>
            <w:r w:rsidRPr="00A12AC3">
              <w:rPr>
                <w:rFonts w:hint="eastAsia"/>
                <w:lang w:eastAsia="zh-CN"/>
              </w:rPr>
              <w:t>频段划分给航空移动（</w:t>
            </w:r>
            <w:r w:rsidRPr="00A12AC3">
              <w:rPr>
                <w:rFonts w:hint="eastAsia"/>
                <w:lang w:eastAsia="zh-CN"/>
              </w:rPr>
              <w:t>R</w:t>
            </w:r>
            <w:r w:rsidR="00663321">
              <w:rPr>
                <w:rFonts w:hint="eastAsia"/>
                <w:lang w:eastAsia="zh-CN"/>
              </w:rPr>
              <w:t>）业务。对用于发射和接收星载</w:t>
            </w:r>
            <w:r w:rsidRPr="00A12AC3">
              <w:rPr>
                <w:rFonts w:hint="eastAsia"/>
                <w:lang w:eastAsia="zh-CN"/>
              </w:rPr>
              <w:t>航空通信的</w:t>
            </w:r>
            <w:r w:rsidRPr="00A12AC3">
              <w:rPr>
                <w:rFonts w:hint="eastAsia"/>
                <w:lang w:eastAsia="zh-CN"/>
              </w:rPr>
              <w:t>VHF</w:t>
            </w:r>
            <w:r w:rsidRPr="00A12AC3">
              <w:rPr>
                <w:rFonts w:hint="eastAsia"/>
                <w:lang w:eastAsia="zh-CN"/>
              </w:rPr>
              <w:t>收发器，</w:t>
            </w:r>
            <w:r w:rsidR="00663321">
              <w:rPr>
                <w:rFonts w:hint="eastAsia"/>
                <w:bCs/>
                <w:lang w:eastAsia="zh-CN"/>
              </w:rPr>
              <w:t>将需要在</w:t>
            </w:r>
            <w:r w:rsidR="00AB47EA">
              <w:rPr>
                <w:rFonts w:hint="eastAsia"/>
                <w:bCs/>
                <w:lang w:eastAsia="zh-CN"/>
              </w:rPr>
              <w:t>上述</w:t>
            </w:r>
            <w:r w:rsidR="00663321" w:rsidRPr="00FD251F">
              <w:rPr>
                <w:rFonts w:ascii="SimSun" w:hAnsi="SimSun" w:cs="SimSun" w:hint="eastAsia"/>
                <w:color w:val="000000"/>
                <w:lang w:eastAsia="zh-CN"/>
              </w:rPr>
              <w:t>一些</w:t>
            </w:r>
            <w:r w:rsidR="00663321">
              <w:rPr>
                <w:rFonts w:hint="eastAsia"/>
                <w:bCs/>
                <w:lang w:eastAsia="zh-CN"/>
              </w:rPr>
              <w:t>或所有频段内</w:t>
            </w:r>
            <w:r w:rsidR="00663321" w:rsidRPr="00663321">
              <w:rPr>
                <w:rFonts w:hint="eastAsia"/>
                <w:bCs/>
                <w:lang w:eastAsia="zh-CN"/>
              </w:rPr>
              <w:t>做</w:t>
            </w:r>
            <w:r w:rsidR="00663321" w:rsidRPr="00663321">
              <w:rPr>
                <w:rFonts w:hint="eastAsia"/>
                <w:bCs/>
                <w:lang w:eastAsia="zh-CN"/>
              </w:rPr>
              <w:t>AMS(R)S</w:t>
            </w:r>
            <w:r w:rsidR="00663321">
              <w:rPr>
                <w:rFonts w:hint="eastAsia"/>
                <w:bCs/>
                <w:lang w:eastAsia="zh-CN"/>
              </w:rPr>
              <w:t>划分</w:t>
            </w:r>
            <w:r w:rsidRPr="00A12AC3">
              <w:rPr>
                <w:rFonts w:hint="eastAsia"/>
                <w:lang w:eastAsia="zh-CN"/>
              </w:rPr>
              <w:t>。</w:t>
            </w:r>
          </w:p>
        </w:tc>
      </w:tr>
      <w:tr w:rsidR="009B45F0" w:rsidRPr="001469D4" w14:paraId="078BA87E" w14:textId="77777777" w:rsidTr="00514F97">
        <w:tc>
          <w:tcPr>
            <w:tcW w:w="9317" w:type="dxa"/>
            <w:gridSpan w:val="2"/>
          </w:tcPr>
          <w:p w14:paraId="7F30C12E" w14:textId="77777777" w:rsidR="00B13F6F" w:rsidRPr="0004487C" w:rsidRDefault="00B13F6F" w:rsidP="00FD251F">
            <w:pPr>
              <w:keepNext/>
              <w:spacing w:before="80" w:after="80"/>
              <w:rPr>
                <w:kern w:val="2"/>
                <w:szCs w:val="24"/>
                <w:highlight w:val="yellow"/>
                <w:lang w:eastAsia="zh-CN"/>
              </w:rPr>
            </w:pPr>
            <w:r w:rsidRPr="007D65E2"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t>相关的无线电通信业务：</w:t>
            </w:r>
          </w:p>
          <w:p w14:paraId="7A7F7A81" w14:textId="0C700D75" w:rsidR="009B45F0" w:rsidRPr="00C35C3D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ind w:firstLineChars="200" w:firstLine="480"/>
              <w:textAlignment w:val="auto"/>
              <w:rPr>
                <w:kern w:val="2"/>
                <w:szCs w:val="24"/>
                <w:highlight w:val="yellow"/>
                <w:lang w:val="en-US" w:eastAsia="ko-KR"/>
              </w:rPr>
            </w:pPr>
            <w:r w:rsidRPr="007D65E2">
              <w:rPr>
                <w:rFonts w:hint="eastAsia"/>
                <w:iCs/>
                <w:lang w:eastAsia="zh-CN"/>
              </w:rPr>
              <w:t>航空移动（</w:t>
            </w:r>
            <w:r w:rsidRPr="007D65E2">
              <w:rPr>
                <w:rFonts w:hint="eastAsia"/>
                <w:iCs/>
                <w:lang w:eastAsia="zh-CN"/>
              </w:rPr>
              <w:t>R</w:t>
            </w:r>
            <w:r w:rsidRPr="007D65E2">
              <w:rPr>
                <w:rFonts w:hint="eastAsia"/>
                <w:iCs/>
                <w:lang w:eastAsia="zh-CN"/>
              </w:rPr>
              <w:t>）业务、航空移动（</w:t>
            </w:r>
            <w:r w:rsidRPr="007D65E2">
              <w:rPr>
                <w:rFonts w:hint="eastAsia"/>
                <w:iCs/>
                <w:lang w:eastAsia="zh-CN"/>
              </w:rPr>
              <w:t>OR</w:t>
            </w:r>
            <w:r w:rsidRPr="007D65E2">
              <w:rPr>
                <w:rFonts w:hint="eastAsia"/>
                <w:iCs/>
                <w:lang w:eastAsia="zh-CN"/>
              </w:rPr>
              <w:t>）业务、</w:t>
            </w:r>
            <w:r w:rsidRPr="00F0413A">
              <w:rPr>
                <w:rFonts w:hint="eastAsia"/>
                <w:iCs/>
                <w:lang w:eastAsia="zh-CN"/>
              </w:rPr>
              <w:t>航空无线电导航业务（</w:t>
            </w:r>
            <w:r w:rsidRPr="00F0413A">
              <w:rPr>
                <w:rFonts w:hint="eastAsia"/>
                <w:iCs/>
                <w:lang w:eastAsia="zh-CN"/>
              </w:rPr>
              <w:t>ARNS</w:t>
            </w:r>
            <w:r w:rsidRPr="00F0413A">
              <w:rPr>
                <w:rFonts w:hint="eastAsia"/>
                <w:iCs/>
                <w:lang w:eastAsia="zh-CN"/>
              </w:rPr>
              <w:t>）</w:t>
            </w:r>
            <w:r>
              <w:rPr>
                <w:rFonts w:hint="eastAsia"/>
                <w:iCs/>
                <w:lang w:eastAsia="zh-CN"/>
              </w:rPr>
              <w:t>、</w:t>
            </w:r>
            <w:r w:rsidRPr="007D65E2">
              <w:rPr>
                <w:rFonts w:hint="eastAsia"/>
                <w:iCs/>
                <w:lang w:eastAsia="zh-CN"/>
              </w:rPr>
              <w:t>水上移动业务和其他</w:t>
            </w:r>
            <w:r>
              <w:rPr>
                <w:rFonts w:hint="eastAsia"/>
                <w:iCs/>
                <w:lang w:eastAsia="zh-CN"/>
              </w:rPr>
              <w:t>业</w:t>
            </w:r>
            <w:r w:rsidRPr="007D65E2">
              <w:rPr>
                <w:rFonts w:hint="eastAsia"/>
                <w:iCs/>
                <w:lang w:eastAsia="zh-CN"/>
              </w:rPr>
              <w:t>务</w:t>
            </w:r>
          </w:p>
        </w:tc>
      </w:tr>
      <w:tr w:rsidR="00B13F6F" w:rsidRPr="001469D4" w14:paraId="30A68E91" w14:textId="77777777" w:rsidTr="00514F97">
        <w:trPr>
          <w:trHeight w:val="941"/>
        </w:trPr>
        <w:tc>
          <w:tcPr>
            <w:tcW w:w="9317" w:type="dxa"/>
            <w:gridSpan w:val="2"/>
          </w:tcPr>
          <w:p w14:paraId="47E5CEB7" w14:textId="77777777" w:rsidR="00B13F6F" w:rsidRPr="0004487C" w:rsidRDefault="00B13F6F" w:rsidP="00FD251F">
            <w:pPr>
              <w:spacing w:before="80" w:after="80"/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zh-CN"/>
              </w:rPr>
            </w:pPr>
            <w:r w:rsidRPr="007D65E2"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t>对可能出现的困难的说明：</w:t>
            </w:r>
            <w:r w:rsidRPr="0004487C"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zh-CN"/>
              </w:rPr>
              <w:t xml:space="preserve"> </w:t>
            </w:r>
          </w:p>
          <w:p w14:paraId="06C0E1E4" w14:textId="563820F7" w:rsidR="00B13F6F" w:rsidRPr="00C35C3D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ind w:firstLineChars="200" w:firstLine="480"/>
              <w:textAlignment w:val="auto"/>
              <w:rPr>
                <w:bCs/>
                <w:i/>
                <w:iCs/>
                <w:kern w:val="2"/>
                <w:szCs w:val="24"/>
                <w:highlight w:val="yellow"/>
                <w:lang w:val="en-US" w:eastAsia="zh-CN"/>
              </w:rPr>
            </w:pPr>
            <w:r w:rsidRPr="007D65E2">
              <w:rPr>
                <w:rFonts w:hint="eastAsia"/>
                <w:iCs/>
                <w:lang w:eastAsia="zh-CN"/>
              </w:rPr>
              <w:t>与现有</w:t>
            </w:r>
            <w:r w:rsidRPr="007D65E2">
              <w:rPr>
                <w:rFonts w:hint="eastAsia"/>
                <w:iCs/>
                <w:lang w:eastAsia="zh-CN"/>
              </w:rPr>
              <w:t>AM</w:t>
            </w:r>
            <w:r w:rsidRPr="007D65E2">
              <w:rPr>
                <w:iCs/>
                <w:lang w:eastAsia="zh-CN"/>
              </w:rPr>
              <w:t>(R)</w:t>
            </w:r>
            <w:r w:rsidRPr="007D65E2">
              <w:rPr>
                <w:rFonts w:hint="eastAsia"/>
                <w:iCs/>
                <w:lang w:eastAsia="zh-CN"/>
              </w:rPr>
              <w:t>S</w:t>
            </w:r>
            <w:r w:rsidRPr="007D65E2">
              <w:rPr>
                <w:rFonts w:hint="eastAsia"/>
                <w:iCs/>
                <w:lang w:eastAsia="zh-CN"/>
              </w:rPr>
              <w:t>和</w:t>
            </w:r>
            <w:r>
              <w:rPr>
                <w:rFonts w:hint="eastAsia"/>
                <w:iCs/>
                <w:lang w:eastAsia="zh-CN"/>
              </w:rPr>
              <w:t>A</w:t>
            </w:r>
            <w:r>
              <w:rPr>
                <w:iCs/>
                <w:lang w:eastAsia="zh-CN"/>
              </w:rPr>
              <w:t>RNS</w:t>
            </w:r>
            <w:r>
              <w:rPr>
                <w:rFonts w:hint="eastAsia"/>
                <w:iCs/>
                <w:lang w:eastAsia="zh-CN"/>
              </w:rPr>
              <w:t>以及</w:t>
            </w:r>
            <w:r w:rsidRPr="007D65E2">
              <w:rPr>
                <w:rFonts w:hint="eastAsia"/>
                <w:iCs/>
                <w:lang w:eastAsia="zh-CN"/>
              </w:rPr>
              <w:t>相邻频段中其他业务的共用研究</w:t>
            </w:r>
          </w:p>
        </w:tc>
      </w:tr>
      <w:tr w:rsidR="00B13F6F" w:rsidRPr="001469D4" w14:paraId="6B5FF1A7" w14:textId="77777777" w:rsidTr="00514F97">
        <w:tc>
          <w:tcPr>
            <w:tcW w:w="9317" w:type="dxa"/>
            <w:gridSpan w:val="2"/>
          </w:tcPr>
          <w:p w14:paraId="3613AF71" w14:textId="77777777" w:rsidR="00B13F6F" w:rsidRPr="0004487C" w:rsidRDefault="00B13F6F" w:rsidP="00FD251F">
            <w:pPr>
              <w:spacing w:before="80" w:after="80"/>
              <w:rPr>
                <w:rFonts w:eastAsia="MS Gothic"/>
                <w:kern w:val="2"/>
                <w:szCs w:val="24"/>
                <w:highlight w:val="yellow"/>
                <w:lang w:eastAsia="ja-JP"/>
              </w:rPr>
            </w:pPr>
            <w:r w:rsidRPr="007D65E2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此前</w:t>
            </w:r>
            <w:r w:rsidRPr="007D65E2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 w:rsidRPr="007D65E2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正在进行的对该问题的研究：</w:t>
            </w:r>
          </w:p>
          <w:p w14:paraId="33BCC1B4" w14:textId="2C3E4B55" w:rsidR="00B13F6F" w:rsidRPr="00C35C3D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ind w:firstLineChars="200" w:firstLine="480"/>
              <w:textAlignment w:val="auto"/>
              <w:rPr>
                <w:rFonts w:eastAsia="MS PMincho"/>
                <w:kern w:val="2"/>
                <w:szCs w:val="24"/>
                <w:highlight w:val="yellow"/>
                <w:lang w:val="en-US" w:eastAsia="ja-JP"/>
              </w:rPr>
            </w:pPr>
            <w:r w:rsidRPr="00FD251F">
              <w:rPr>
                <w:rFonts w:ascii="SimSun" w:hAnsi="SimSun" w:cs="SimSun" w:hint="eastAsia"/>
                <w:color w:val="000000"/>
                <w:lang w:eastAsia="zh-CN"/>
              </w:rPr>
              <w:t>不适用</w:t>
            </w:r>
          </w:p>
        </w:tc>
      </w:tr>
      <w:tr w:rsidR="00B13F6F" w:rsidRPr="001469D4" w14:paraId="1AAD424C" w14:textId="77777777" w:rsidTr="00B13F6F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A107" w14:textId="77777777" w:rsidR="00B13F6F" w:rsidRPr="0004487C" w:rsidRDefault="00B13F6F" w:rsidP="00FD251F">
            <w:pPr>
              <w:spacing w:before="80" w:after="80"/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ja-JP"/>
              </w:rPr>
            </w:pPr>
            <w:r w:rsidRPr="007D65E2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开展研究的机构：</w:t>
            </w:r>
          </w:p>
          <w:p w14:paraId="0C7BD263" w14:textId="7D7C8000" w:rsidR="00B13F6F" w:rsidRPr="00C35C3D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Cs/>
                <w:iCs/>
                <w:kern w:val="2"/>
                <w:szCs w:val="24"/>
                <w:highlight w:val="yellow"/>
                <w:lang w:val="en-US" w:eastAsia="ko-KR"/>
              </w:rPr>
            </w:pPr>
            <w:r w:rsidRPr="007D65E2">
              <w:rPr>
                <w:iCs/>
                <w:color w:val="000000"/>
                <w:lang w:eastAsia="zh-CN"/>
              </w:rPr>
              <w:t>ITU-R</w:t>
            </w:r>
            <w:r w:rsidRPr="007D65E2">
              <w:rPr>
                <w:rFonts w:hint="eastAsia"/>
                <w:iCs/>
                <w:color w:val="000000"/>
                <w:lang w:eastAsia="zh-CN"/>
              </w:rPr>
              <w:t>工作组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0FF" w14:textId="77777777" w:rsidR="00B13F6F" w:rsidRPr="0004487C" w:rsidRDefault="00B13F6F" w:rsidP="00FD251F">
            <w:pPr>
              <w:spacing w:before="80" w:after="80"/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ja-JP"/>
              </w:rPr>
            </w:pPr>
            <w:r w:rsidRPr="00873FE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参与方：</w:t>
            </w:r>
          </w:p>
          <w:p w14:paraId="6DCADDD6" w14:textId="532EB3BB" w:rsidR="00B13F6F" w:rsidRPr="00C35C3D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MS Gothic"/>
                <w:kern w:val="2"/>
                <w:szCs w:val="24"/>
                <w:highlight w:val="yellow"/>
                <w:lang w:val="en-US" w:eastAsia="ja-JP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主管部门、</w:t>
            </w:r>
            <w:r w:rsidRPr="00504A16">
              <w:rPr>
                <w:rFonts w:hint="eastAsia"/>
                <w:iCs/>
                <w:color w:val="000000"/>
                <w:lang w:eastAsia="zh-CN"/>
              </w:rPr>
              <w:t>ITU-R</w:t>
            </w:r>
            <w:r>
              <w:rPr>
                <w:rFonts w:hint="eastAsia"/>
                <w:iCs/>
                <w:color w:val="000000"/>
                <w:lang w:eastAsia="zh-CN"/>
              </w:rPr>
              <w:t>部门成员、</w:t>
            </w:r>
            <w:r w:rsidRPr="00504A16">
              <w:rPr>
                <w:rFonts w:hint="eastAsia"/>
                <w:iCs/>
                <w:color w:val="000000"/>
                <w:lang w:eastAsia="zh-CN"/>
              </w:rPr>
              <w:t>国际民航组织</w:t>
            </w:r>
            <w:r>
              <w:rPr>
                <w:rFonts w:hint="eastAsia"/>
                <w:iCs/>
                <w:color w:val="000000"/>
                <w:lang w:eastAsia="zh-CN"/>
              </w:rPr>
              <w:t>（</w:t>
            </w:r>
            <w:r>
              <w:rPr>
                <w:rFonts w:hint="eastAsia"/>
                <w:iCs/>
                <w:color w:val="000000"/>
                <w:lang w:eastAsia="zh-CN"/>
              </w:rPr>
              <w:t>I</w:t>
            </w:r>
            <w:r>
              <w:rPr>
                <w:iCs/>
                <w:color w:val="000000"/>
                <w:lang w:eastAsia="zh-CN"/>
              </w:rPr>
              <w:t>CAO</w:t>
            </w:r>
            <w:r>
              <w:rPr>
                <w:rFonts w:hint="eastAsia"/>
                <w:iCs/>
                <w:color w:val="000000"/>
                <w:lang w:eastAsia="zh-CN"/>
              </w:rPr>
              <w:t>）</w:t>
            </w:r>
            <w:r w:rsidRPr="00504A16">
              <w:rPr>
                <w:rFonts w:hint="eastAsia"/>
                <w:iCs/>
                <w:color w:val="000000"/>
                <w:lang w:eastAsia="zh-CN"/>
              </w:rPr>
              <w:t>和航空当局</w:t>
            </w:r>
          </w:p>
        </w:tc>
      </w:tr>
      <w:tr w:rsidR="00B13F6F" w:rsidRPr="001469D4" w14:paraId="378CD366" w14:textId="77777777" w:rsidTr="00514F97">
        <w:tc>
          <w:tcPr>
            <w:tcW w:w="9317" w:type="dxa"/>
            <w:gridSpan w:val="2"/>
          </w:tcPr>
          <w:p w14:paraId="41C0C877" w14:textId="77777777" w:rsidR="00B13F6F" w:rsidRPr="0004487C" w:rsidRDefault="00B13F6F" w:rsidP="00FD251F">
            <w:pPr>
              <w:spacing w:before="80" w:after="80"/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ja-JP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I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TU-R</w:t>
            </w: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相关研究组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  <w:p w14:paraId="202B4899" w14:textId="1BD745FD" w:rsidR="00B13F6F" w:rsidRPr="00C35C3D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ind w:firstLineChars="200" w:firstLine="480"/>
              <w:textAlignment w:val="auto"/>
              <w:rPr>
                <w:rFonts w:eastAsia="Malgun Gothic"/>
                <w:kern w:val="2"/>
                <w:szCs w:val="24"/>
                <w:highlight w:val="yellow"/>
                <w:lang w:val="en-US" w:eastAsia="ko-KR"/>
              </w:rPr>
            </w:pPr>
            <w:r w:rsidRPr="002238E8">
              <w:rPr>
                <w:rFonts w:hint="eastAsia"/>
                <w:iCs/>
                <w:color w:val="000000"/>
                <w:lang w:eastAsia="zh-CN"/>
              </w:rPr>
              <w:t>I</w:t>
            </w:r>
            <w:r w:rsidRPr="002238E8">
              <w:rPr>
                <w:iCs/>
                <w:color w:val="000000"/>
                <w:lang w:eastAsia="zh-CN"/>
              </w:rPr>
              <w:t>TU-R</w:t>
            </w:r>
            <w:r w:rsidRPr="0033319C">
              <w:rPr>
                <w:rFonts w:hint="eastAsia"/>
                <w:iCs/>
                <w:color w:val="000000"/>
                <w:lang w:eastAsia="zh-CN"/>
              </w:rPr>
              <w:t>第</w:t>
            </w:r>
            <w:r w:rsidRPr="0033319C">
              <w:rPr>
                <w:rFonts w:hint="eastAsia"/>
                <w:iCs/>
                <w:color w:val="000000"/>
                <w:lang w:eastAsia="zh-CN"/>
              </w:rPr>
              <w:t>4</w:t>
            </w:r>
            <w:r w:rsidRPr="0033319C">
              <w:rPr>
                <w:rFonts w:hint="eastAsia"/>
                <w:iCs/>
                <w:color w:val="000000"/>
                <w:lang w:eastAsia="zh-CN"/>
              </w:rPr>
              <w:t>研究组和第</w:t>
            </w:r>
            <w:r w:rsidRPr="0033319C">
              <w:rPr>
                <w:rFonts w:hint="eastAsia"/>
                <w:iCs/>
                <w:color w:val="000000"/>
                <w:lang w:eastAsia="zh-CN"/>
              </w:rPr>
              <w:t>5</w:t>
            </w:r>
            <w:r w:rsidRPr="00FD251F">
              <w:rPr>
                <w:rFonts w:ascii="SimSun" w:hAnsi="SimSun" w:cs="SimSun" w:hint="eastAsia"/>
                <w:color w:val="000000"/>
                <w:lang w:eastAsia="zh-CN"/>
              </w:rPr>
              <w:t>研究</w:t>
            </w:r>
            <w:r w:rsidRPr="0033319C">
              <w:rPr>
                <w:rFonts w:hint="eastAsia"/>
                <w:iCs/>
                <w:color w:val="000000"/>
                <w:lang w:eastAsia="zh-CN"/>
              </w:rPr>
              <w:t>组</w:t>
            </w:r>
          </w:p>
        </w:tc>
      </w:tr>
      <w:tr w:rsidR="00B13F6F" w:rsidRPr="001469D4" w14:paraId="1B811CE1" w14:textId="77777777" w:rsidTr="00514F97">
        <w:trPr>
          <w:trHeight w:val="1087"/>
        </w:trPr>
        <w:tc>
          <w:tcPr>
            <w:tcW w:w="9317" w:type="dxa"/>
            <w:gridSpan w:val="2"/>
          </w:tcPr>
          <w:p w14:paraId="5E58125F" w14:textId="77777777" w:rsidR="00B13F6F" w:rsidRPr="0004487C" w:rsidRDefault="00B13F6F" w:rsidP="00FD251F">
            <w:pPr>
              <w:spacing w:before="80" w:after="80"/>
              <w:rPr>
                <w:rFonts w:eastAsia="MS Gothic"/>
                <w:kern w:val="2"/>
                <w:szCs w:val="24"/>
                <w:highlight w:val="yellow"/>
                <w:lang w:eastAsia="ja-JP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对国际电</w:t>
            </w:r>
            <w:proofErr w:type="gramStart"/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联资源</w:t>
            </w:r>
            <w:proofErr w:type="gramEnd"/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的影响，包括财务影响（参见《公约》第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126</w:t>
            </w: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款）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  <w:p w14:paraId="22F49191" w14:textId="73C5A0F3" w:rsidR="00B13F6F" w:rsidRPr="001469D4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ind w:firstLineChars="200" w:firstLine="480"/>
              <w:textAlignment w:val="auto"/>
              <w:rPr>
                <w:kern w:val="2"/>
                <w:szCs w:val="24"/>
                <w:lang w:val="en-US" w:eastAsia="zh-CN"/>
              </w:rPr>
            </w:pPr>
            <w:r>
              <w:rPr>
                <w:rStyle w:val="BRNormal"/>
                <w:rFonts w:eastAsiaTheme="minorEastAsia" w:hint="eastAsia"/>
                <w:lang w:eastAsia="zh-CN"/>
              </w:rPr>
              <w:t>此拟议</w:t>
            </w:r>
            <w:proofErr w:type="gramStart"/>
            <w:r w:rsidRPr="0033319C">
              <w:rPr>
                <w:rStyle w:val="BRNormal"/>
                <w:rFonts w:eastAsiaTheme="minorEastAsia" w:hint="eastAsia"/>
                <w:lang w:eastAsia="zh-CN"/>
              </w:rPr>
              <w:t>议</w:t>
            </w:r>
            <w:proofErr w:type="gramEnd"/>
            <w:r w:rsidRPr="0033319C">
              <w:rPr>
                <w:rStyle w:val="BRNormal"/>
                <w:rFonts w:eastAsiaTheme="minorEastAsia" w:hint="eastAsia"/>
                <w:lang w:eastAsia="zh-CN"/>
              </w:rPr>
              <w:t>项将作为正常</w:t>
            </w:r>
            <w:r w:rsidRPr="0033319C">
              <w:rPr>
                <w:rStyle w:val="BRNormal"/>
                <w:rFonts w:eastAsiaTheme="minorEastAsia" w:hint="eastAsia"/>
                <w:lang w:eastAsia="zh-CN"/>
              </w:rPr>
              <w:t>ITU-R</w:t>
            </w:r>
            <w:r w:rsidRPr="0033319C">
              <w:rPr>
                <w:rStyle w:val="BRNormal"/>
                <w:rFonts w:eastAsiaTheme="minorEastAsia" w:hint="eastAsia"/>
                <w:lang w:eastAsia="zh-CN"/>
              </w:rPr>
              <w:t>程序的一部分并在</w:t>
            </w:r>
            <w:r w:rsidRPr="0033319C">
              <w:rPr>
                <w:rStyle w:val="BRNormal"/>
                <w:rFonts w:eastAsiaTheme="minorEastAsia"/>
                <w:lang w:eastAsia="zh-CN"/>
              </w:rPr>
              <w:t>计划</w:t>
            </w:r>
            <w:r w:rsidRPr="0033319C">
              <w:rPr>
                <w:rStyle w:val="BRNormal"/>
                <w:rFonts w:eastAsiaTheme="minorEastAsia" w:hint="eastAsia"/>
                <w:lang w:eastAsia="zh-CN"/>
              </w:rPr>
              <w:t>的</w:t>
            </w:r>
            <w:r w:rsidRPr="0033319C">
              <w:rPr>
                <w:rStyle w:val="BRNormal"/>
                <w:rFonts w:eastAsiaTheme="minorEastAsia"/>
                <w:lang w:eastAsia="zh-CN"/>
              </w:rPr>
              <w:t>预算</w:t>
            </w:r>
            <w:r w:rsidRPr="0033319C">
              <w:rPr>
                <w:rStyle w:val="BRNormal"/>
                <w:rFonts w:eastAsiaTheme="minorEastAsia" w:hint="eastAsia"/>
                <w:lang w:eastAsia="zh-CN"/>
              </w:rPr>
              <w:t>范围内</w:t>
            </w:r>
            <w:r>
              <w:rPr>
                <w:rStyle w:val="BRNormal"/>
                <w:rFonts w:eastAsiaTheme="minorEastAsia" w:hint="eastAsia"/>
                <w:lang w:eastAsia="zh-CN"/>
              </w:rPr>
              <w:t>予以</w:t>
            </w:r>
            <w:r w:rsidRPr="0033319C">
              <w:rPr>
                <w:rStyle w:val="BRNormal"/>
                <w:rFonts w:eastAsiaTheme="minorEastAsia"/>
                <w:lang w:eastAsia="zh-CN"/>
              </w:rPr>
              <w:t>研究。</w:t>
            </w:r>
          </w:p>
        </w:tc>
      </w:tr>
      <w:tr w:rsidR="00B13F6F" w:rsidRPr="001469D4" w14:paraId="0084BEF6" w14:textId="77777777" w:rsidTr="00514F97">
        <w:trPr>
          <w:trHeight w:val="612"/>
        </w:trPr>
        <w:tc>
          <w:tcPr>
            <w:tcW w:w="4205" w:type="dxa"/>
          </w:tcPr>
          <w:p w14:paraId="5A720E3B" w14:textId="77777777" w:rsidR="00B13F6F" w:rsidRPr="0004487C" w:rsidRDefault="00B13F6F" w:rsidP="00FD251F">
            <w:pPr>
              <w:spacing w:before="80" w:after="80"/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ja-JP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区域共同提案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</w:p>
          <w:p w14:paraId="2CAB2CFB" w14:textId="07F2DFD0" w:rsidR="00B13F6F" w:rsidRPr="001469D4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kern w:val="2"/>
                <w:szCs w:val="24"/>
                <w:lang w:val="en-US" w:eastAsia="ko-KR"/>
              </w:rPr>
            </w:pPr>
            <w:r w:rsidRPr="007564E7">
              <w:rPr>
                <w:rFonts w:asciiTheme="minorEastAsia" w:eastAsiaTheme="minorEastAsia" w:hAnsiTheme="minorEastAsia"/>
                <w:iCs/>
                <w:color w:val="000000"/>
                <w:szCs w:val="17"/>
                <w:lang w:eastAsia="zh-CN"/>
              </w:rPr>
              <w:t>[</w:t>
            </w:r>
            <w:r w:rsidRPr="007D65E2">
              <w:rPr>
                <w:rFonts w:asciiTheme="minorEastAsia" w:eastAsiaTheme="minorEastAsia" w:hAnsiTheme="minorEastAsia" w:hint="eastAsia"/>
                <w:color w:val="000000"/>
                <w:szCs w:val="17"/>
                <w:lang w:eastAsia="zh-CN"/>
              </w:rPr>
              <w:t>是</w:t>
            </w:r>
            <w:r w:rsidRPr="007564E7">
              <w:rPr>
                <w:rFonts w:asciiTheme="minorEastAsia" w:eastAsiaTheme="minorEastAsia" w:hAnsiTheme="minorEastAsia"/>
                <w:bCs/>
                <w:iCs/>
                <w:color w:val="000000"/>
                <w:szCs w:val="17"/>
                <w:lang w:eastAsia="zh-CN"/>
              </w:rPr>
              <w:t>]</w:t>
            </w:r>
          </w:p>
        </w:tc>
        <w:tc>
          <w:tcPr>
            <w:tcW w:w="5112" w:type="dxa"/>
          </w:tcPr>
          <w:p w14:paraId="498EDBE2" w14:textId="0B80E749" w:rsidR="00B13F6F" w:rsidRPr="0004487C" w:rsidRDefault="00B13F6F" w:rsidP="00FD251F">
            <w:pPr>
              <w:spacing w:before="80" w:after="80"/>
              <w:rPr>
                <w:kern w:val="2"/>
                <w:szCs w:val="24"/>
                <w:highlight w:val="yellow"/>
                <w:lang w:eastAsia="ko-KR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多国提案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  <w:r w:rsidRPr="007564E7">
              <w:rPr>
                <w:rFonts w:asciiTheme="minorEastAsia" w:eastAsiaTheme="minorEastAsia" w:hAnsiTheme="minorEastAsia"/>
                <w:iCs/>
                <w:color w:val="000000"/>
                <w:szCs w:val="17"/>
                <w:lang w:eastAsia="zh-CN"/>
              </w:rPr>
              <w:t>[</w:t>
            </w:r>
            <w:r w:rsidRPr="0033319C">
              <w:rPr>
                <w:rFonts w:asciiTheme="minorEastAsia" w:eastAsiaTheme="minorEastAsia" w:hAnsiTheme="minorEastAsia" w:hint="eastAsia"/>
                <w:color w:val="000000"/>
                <w:szCs w:val="17"/>
                <w:lang w:eastAsia="zh-CN"/>
              </w:rPr>
              <w:t>否</w:t>
            </w:r>
            <w:r w:rsidRPr="007A1CB9">
              <w:rPr>
                <w:rFonts w:asciiTheme="minorEastAsia" w:eastAsiaTheme="minorEastAsia" w:hAnsiTheme="minorEastAsia"/>
                <w:bCs/>
                <w:iCs/>
                <w:color w:val="000000"/>
                <w:szCs w:val="17"/>
                <w:lang w:eastAsia="zh-CN"/>
              </w:rPr>
              <w:t>]</w:t>
            </w:r>
          </w:p>
          <w:p w14:paraId="3F7B8406" w14:textId="08964572" w:rsidR="00B13F6F" w:rsidRPr="001469D4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Malgun Gothic"/>
                <w:kern w:val="2"/>
                <w:szCs w:val="24"/>
                <w:lang w:val="en-US" w:eastAsia="ko-KR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国家数量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</w:p>
        </w:tc>
      </w:tr>
      <w:tr w:rsidR="00B13F6F" w:rsidRPr="00916685" w14:paraId="03D0F9D7" w14:textId="77777777" w:rsidTr="00514F97">
        <w:trPr>
          <w:trHeight w:val="70"/>
        </w:trPr>
        <w:tc>
          <w:tcPr>
            <w:tcW w:w="9317" w:type="dxa"/>
            <w:gridSpan w:val="2"/>
          </w:tcPr>
          <w:p w14:paraId="7F9EA29A" w14:textId="6D656410" w:rsidR="00B13F6F" w:rsidRPr="00C35C3D" w:rsidRDefault="00B13F6F" w:rsidP="00FD25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bCs/>
                <w:i/>
                <w:iCs/>
                <w:kern w:val="2"/>
                <w:szCs w:val="24"/>
                <w:highlight w:val="yellow"/>
                <w:lang w:val="en-US" w:eastAsia="ko-KR"/>
              </w:rPr>
            </w:pPr>
            <w:r w:rsidRPr="00CE2F73">
              <w:rPr>
                <w:rFonts w:ascii="STKaiti" w:eastAsia="STKaiti" w:hAnsi="STKaiti" w:hint="eastAsia"/>
                <w:b/>
                <w:iCs/>
                <w:lang w:eastAsia="zh-CN"/>
              </w:rPr>
              <w:t>备注</w:t>
            </w:r>
          </w:p>
        </w:tc>
      </w:tr>
    </w:tbl>
    <w:p w14:paraId="3EAFE9B7" w14:textId="77777777" w:rsidR="009B45F0" w:rsidRDefault="009B45F0">
      <w:pPr>
        <w:jc w:val="center"/>
      </w:pPr>
      <w:r>
        <w:t>______________</w:t>
      </w:r>
    </w:p>
    <w:sectPr w:rsidR="009B45F0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31E61" w14:textId="77777777" w:rsidR="00B6115E" w:rsidRDefault="00B6115E">
      <w:r>
        <w:separator/>
      </w:r>
    </w:p>
  </w:endnote>
  <w:endnote w:type="continuationSeparator" w:id="0">
    <w:p w14:paraId="080F1DD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61553" w14:textId="240FD0A2" w:rsidR="00B851D4" w:rsidRPr="00B020A0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F4613">
      <w:rPr>
        <w:lang w:val="en-US"/>
      </w:rPr>
      <w:t>P:\CHI\ITU-R\CONF-R\CMR19\000\024ADD24ADD06C.docx</w:t>
    </w:r>
    <w:r>
      <w:fldChar w:fldCharType="end"/>
    </w:r>
    <w:r w:rsidR="00B020A0">
      <w:t xml:space="preserve"> </w:t>
    </w:r>
    <w:r w:rsidR="00B020A0">
      <w:rPr>
        <w:lang w:val="en-US" w:eastAsia="zh-CN"/>
      </w:rPr>
      <w:t>(461087)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38268" w14:textId="0F69B8F2" w:rsidR="00B851D4" w:rsidRPr="00B020A0" w:rsidRDefault="00B020A0" w:rsidP="00B020A0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F4613">
      <w:rPr>
        <w:lang w:val="en-US"/>
      </w:rPr>
      <w:t>P:\CHI\ITU-R\CONF-R\CMR19\000\024ADD24ADD06C.docx</w:t>
    </w:r>
    <w:r>
      <w:fldChar w:fldCharType="end"/>
    </w:r>
    <w:r>
      <w:t xml:space="preserve"> </w:t>
    </w:r>
    <w:r>
      <w:rPr>
        <w:lang w:val="en-US" w:eastAsia="zh-CN"/>
      </w:rPr>
      <w:t>(461087)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8E3A8" w14:textId="77777777" w:rsidR="00B6115E" w:rsidRDefault="00B6115E">
      <w:r>
        <w:t>____________________</w:t>
      </w:r>
    </w:p>
  </w:footnote>
  <w:footnote w:type="continuationSeparator" w:id="0">
    <w:p w14:paraId="5F8800D7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1841" w14:textId="0B2E5BEB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7EA">
      <w:rPr>
        <w:rStyle w:val="PageNumber"/>
        <w:noProof/>
      </w:rPr>
      <w:t>5</w:t>
    </w:r>
    <w:r>
      <w:rPr>
        <w:rStyle w:val="PageNumber"/>
      </w:rPr>
      <w:fldChar w:fldCharType="end"/>
    </w:r>
  </w:p>
  <w:p w14:paraId="16A442DE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</w:t>
    </w:r>
    <w:proofErr w:type="gramStart"/>
    <w:r w:rsidR="00C929E0">
      <w:t>24)(</w:t>
    </w:r>
    <w:proofErr w:type="gramEnd"/>
    <w:r w:rsidR="00C929E0">
      <w:t>Add.6)-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6C46"/>
    <w:multiLevelType w:val="hybridMultilevel"/>
    <w:tmpl w:val="FA8ECD6E"/>
    <w:lvl w:ilvl="0" w:tplc="BBBCB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D6983"/>
    <w:rsid w:val="002E2A59"/>
    <w:rsid w:val="002E4507"/>
    <w:rsid w:val="002F4613"/>
    <w:rsid w:val="00305254"/>
    <w:rsid w:val="003135BD"/>
    <w:rsid w:val="003169D2"/>
    <w:rsid w:val="00330EEF"/>
    <w:rsid w:val="003B47BC"/>
    <w:rsid w:val="003B4BEF"/>
    <w:rsid w:val="003B6399"/>
    <w:rsid w:val="003C6B45"/>
    <w:rsid w:val="003E3D50"/>
    <w:rsid w:val="003E48E2"/>
    <w:rsid w:val="003E5931"/>
    <w:rsid w:val="0041282E"/>
    <w:rsid w:val="00413FF0"/>
    <w:rsid w:val="00437869"/>
    <w:rsid w:val="00443991"/>
    <w:rsid w:val="00465A34"/>
    <w:rsid w:val="00474055"/>
    <w:rsid w:val="0048253F"/>
    <w:rsid w:val="004B4C76"/>
    <w:rsid w:val="004C4554"/>
    <w:rsid w:val="004D2DEC"/>
    <w:rsid w:val="004F2BE6"/>
    <w:rsid w:val="00527E8A"/>
    <w:rsid w:val="00542E85"/>
    <w:rsid w:val="00553953"/>
    <w:rsid w:val="00562479"/>
    <w:rsid w:val="00576849"/>
    <w:rsid w:val="005A0ACB"/>
    <w:rsid w:val="005B3CF6"/>
    <w:rsid w:val="005E08D2"/>
    <w:rsid w:val="005E7FD8"/>
    <w:rsid w:val="006023A3"/>
    <w:rsid w:val="00620768"/>
    <w:rsid w:val="00622560"/>
    <w:rsid w:val="00637F36"/>
    <w:rsid w:val="00644391"/>
    <w:rsid w:val="00647712"/>
    <w:rsid w:val="00662E12"/>
    <w:rsid w:val="00663321"/>
    <w:rsid w:val="00691142"/>
    <w:rsid w:val="006B67CE"/>
    <w:rsid w:val="006C38ED"/>
    <w:rsid w:val="006E6182"/>
    <w:rsid w:val="006E6997"/>
    <w:rsid w:val="006F3C60"/>
    <w:rsid w:val="00704FA3"/>
    <w:rsid w:val="00726311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2A55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B45F0"/>
    <w:rsid w:val="009C4896"/>
    <w:rsid w:val="009C72B7"/>
    <w:rsid w:val="00A0052C"/>
    <w:rsid w:val="00A20E0B"/>
    <w:rsid w:val="00A25513"/>
    <w:rsid w:val="00A31B14"/>
    <w:rsid w:val="00A323DC"/>
    <w:rsid w:val="00A466E6"/>
    <w:rsid w:val="00A815BE"/>
    <w:rsid w:val="00A93295"/>
    <w:rsid w:val="00AA5DA1"/>
    <w:rsid w:val="00AB47EA"/>
    <w:rsid w:val="00AC2C94"/>
    <w:rsid w:val="00AE369F"/>
    <w:rsid w:val="00B020A0"/>
    <w:rsid w:val="00B026CB"/>
    <w:rsid w:val="00B13F6F"/>
    <w:rsid w:val="00B50377"/>
    <w:rsid w:val="00B6115E"/>
    <w:rsid w:val="00B63633"/>
    <w:rsid w:val="00B711CC"/>
    <w:rsid w:val="00B72C8D"/>
    <w:rsid w:val="00B851D4"/>
    <w:rsid w:val="00B868FC"/>
    <w:rsid w:val="00B95072"/>
    <w:rsid w:val="00BB26CD"/>
    <w:rsid w:val="00C07239"/>
    <w:rsid w:val="00C178A4"/>
    <w:rsid w:val="00C364B1"/>
    <w:rsid w:val="00C47D87"/>
    <w:rsid w:val="00C627F9"/>
    <w:rsid w:val="00C6584D"/>
    <w:rsid w:val="00C929E0"/>
    <w:rsid w:val="00CB4E5A"/>
    <w:rsid w:val="00CC73D7"/>
    <w:rsid w:val="00CD5C60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AAE3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RestitleChar">
    <w:name w:val="Res_title Char"/>
    <w:link w:val="Restitle"/>
    <w:qFormat/>
    <w:rsid w:val="009B45F0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qFormat/>
    <w:rsid w:val="009B45F0"/>
    <w:rPr>
      <w:rFonts w:ascii="Times New Roman" w:hAnsi="Times New Roman"/>
      <w:sz w:val="24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B1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2bb7012-42f0-4fa9-bc96-4df9bd69cb71">DPM</DPM_x0020_Author>
    <DPM_x0020_File_x0020_name xmlns="52bb7012-42f0-4fa9-bc96-4df9bd69cb71">R16-WRC19-C-0024!A24-A6!MSW-C</DPM_x0020_File_x0020_name>
    <DPM_x0020_Version xmlns="52bb7012-42f0-4fa9-bc96-4df9bd69cb71">DPM_2019.08.19.01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2bb7012-42f0-4fa9-bc96-4df9bd69cb71" targetNamespace="http://schemas.microsoft.com/office/2006/metadata/properties" ma:root="true" ma:fieldsID="d41af5c836d734370eb92e7ee5f83852" ns2:_="" ns3:_="">
    <xsd:import namespace="996b2e75-67fd-4955-a3b0-5ab9934cb50b"/>
    <xsd:import namespace="52bb7012-42f0-4fa9-bc96-4df9bd69cb7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7012-42f0-4fa9-bc96-4df9bd69cb7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52bb7012-42f0-4fa9-bc96-4df9bd69cb7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2bb7012-42f0-4fa9-bc96-4df9bd69c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4</Pages>
  <Words>1735</Words>
  <Characters>663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R16-WRC19-C-0024!A24-A6!MSW-C</vt:lpstr>
    </vt:vector>
  </TitlesOfParts>
  <Manager>General Secretariat - Pool</Manager>
  <Company>International Telecommunication Union (ITU)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R16-WRC19-C-0024!A24-A6!MSW-C</dc:title>
  <dc:subject>World Radiocommunication Conference - 2019</dc:subject>
  <dc:creator>Documents Proposals Manager (DPM)</dc:creator>
  <cp:keywords>DPM_v2019.9.25.1_prod</cp:keywords>
  <dc:description/>
  <cp:lastModifiedBy>Zhang, Lin</cp:lastModifiedBy>
  <cp:revision>24</cp:revision>
  <cp:lastPrinted>2019-10-03T16:51:00Z</cp:lastPrinted>
  <dcterms:created xsi:type="dcterms:W3CDTF">2019-10-03T15:22:00Z</dcterms:created>
  <dcterms:modified xsi:type="dcterms:W3CDTF">2019-10-04T08:10:00Z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