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02785D" w14:paraId="6781F041" w14:textId="77777777" w:rsidTr="00552205">
        <w:trPr>
          <w:cantSplit/>
        </w:trPr>
        <w:tc>
          <w:tcPr>
            <w:tcW w:w="6804" w:type="dxa"/>
          </w:tcPr>
          <w:p w14:paraId="38F911D4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227" w:type="dxa"/>
          </w:tcPr>
          <w:p w14:paraId="462DD645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1DD5393F" wp14:editId="1801E9A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62F1C9DB" w14:textId="77777777" w:rsidTr="0055220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EEAC99F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1045DB11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02E9AFF7" w14:textId="77777777" w:rsidTr="0055220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70D9B69D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6B3F9FFD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6A7DADC3" w14:textId="77777777" w:rsidTr="00552205">
        <w:trPr>
          <w:cantSplit/>
        </w:trPr>
        <w:tc>
          <w:tcPr>
            <w:tcW w:w="6804" w:type="dxa"/>
          </w:tcPr>
          <w:p w14:paraId="5A103E5E" w14:textId="77777777" w:rsidR="0090121B" w:rsidRPr="00B239FA" w:rsidRDefault="001E7D42" w:rsidP="00EA77F0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227" w:type="dxa"/>
          </w:tcPr>
          <w:p w14:paraId="3C35795D" w14:textId="77777777"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Addéndum 6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Documento 24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14:paraId="5F5C771A" w14:textId="77777777" w:rsidTr="00552205">
        <w:trPr>
          <w:cantSplit/>
        </w:trPr>
        <w:tc>
          <w:tcPr>
            <w:tcW w:w="6804" w:type="dxa"/>
          </w:tcPr>
          <w:p w14:paraId="72800EE4" w14:textId="77777777"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</w:tcPr>
          <w:p w14:paraId="35C8471A" w14:textId="77777777"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20 de septiembre de 2019</w:t>
            </w:r>
          </w:p>
        </w:tc>
      </w:tr>
      <w:tr w:rsidR="000A5B9A" w:rsidRPr="0002785D" w14:paraId="18DFC332" w14:textId="77777777" w:rsidTr="00552205">
        <w:trPr>
          <w:cantSplit/>
        </w:trPr>
        <w:tc>
          <w:tcPr>
            <w:tcW w:w="6804" w:type="dxa"/>
          </w:tcPr>
          <w:p w14:paraId="7952054C" w14:textId="77777777"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</w:tcPr>
          <w:p w14:paraId="5AA2212E" w14:textId="77777777"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14:paraId="2A37186E" w14:textId="77777777" w:rsidTr="006744FC">
        <w:trPr>
          <w:cantSplit/>
        </w:trPr>
        <w:tc>
          <w:tcPr>
            <w:tcW w:w="10031" w:type="dxa"/>
            <w:gridSpan w:val="2"/>
          </w:tcPr>
          <w:p w14:paraId="5B5014B4" w14:textId="77777777"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14:paraId="07A7F774" w14:textId="77777777" w:rsidTr="0050008E">
        <w:trPr>
          <w:cantSplit/>
        </w:trPr>
        <w:tc>
          <w:tcPr>
            <w:tcW w:w="10031" w:type="dxa"/>
            <w:gridSpan w:val="2"/>
          </w:tcPr>
          <w:p w14:paraId="1EB1020A" w14:textId="77777777" w:rsidR="000A5B9A" w:rsidRPr="00C412EA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C412EA">
              <w:rPr>
                <w:lang w:val="es-ES"/>
              </w:rPr>
              <w:t>Propuestas Comunes de la Telecomunidad Asia-Pacífico</w:t>
            </w:r>
          </w:p>
        </w:tc>
      </w:tr>
      <w:tr w:rsidR="000A5B9A" w:rsidRPr="00552205" w14:paraId="389478C5" w14:textId="77777777" w:rsidTr="0050008E">
        <w:trPr>
          <w:cantSplit/>
        </w:trPr>
        <w:tc>
          <w:tcPr>
            <w:tcW w:w="10031" w:type="dxa"/>
            <w:gridSpan w:val="2"/>
          </w:tcPr>
          <w:tbl>
            <w:tblPr>
              <w:tblpPr w:leftFromText="180" w:rightFromText="180" w:horzAnchor="margin" w:tblpY="-675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552205" w:rsidRPr="00FD6211" w14:paraId="356220C6" w14:textId="77777777" w:rsidTr="00184494">
              <w:trPr>
                <w:cantSplit/>
              </w:trPr>
              <w:tc>
                <w:tcPr>
                  <w:tcW w:w="10031" w:type="dxa"/>
                </w:tcPr>
                <w:p w14:paraId="4CB0CAD5" w14:textId="77777777" w:rsidR="00552205" w:rsidRPr="00FD6211" w:rsidRDefault="00552205" w:rsidP="00552205">
                  <w:pPr>
                    <w:pStyle w:val="Title1"/>
                    <w:rPr>
                      <w:lang w:val="es-ES"/>
                    </w:rPr>
                  </w:pPr>
                  <w:bookmarkStart w:id="3" w:name="dtitle1" w:colFirst="0" w:colLast="0"/>
                  <w:bookmarkEnd w:id="2"/>
                  <w:r w:rsidRPr="00FD6211">
                    <w:rPr>
                      <w:lang w:val="es-ES"/>
                    </w:rPr>
                    <w:t>Propuestas para los trabajos de la Conferencia</w:t>
                  </w:r>
                </w:p>
              </w:tc>
            </w:tr>
          </w:tbl>
          <w:p w14:paraId="51CCCAFF" w14:textId="5AF38E8E" w:rsidR="000A5B9A" w:rsidRPr="00552205" w:rsidRDefault="000A5B9A" w:rsidP="000A5B9A">
            <w:pPr>
              <w:pStyle w:val="Title1"/>
              <w:rPr>
                <w:lang w:val="es-ES"/>
              </w:rPr>
            </w:pPr>
          </w:p>
        </w:tc>
      </w:tr>
      <w:tr w:rsidR="000A5B9A" w:rsidRPr="00552205" w14:paraId="55073F7A" w14:textId="77777777" w:rsidTr="0050008E">
        <w:trPr>
          <w:cantSplit/>
        </w:trPr>
        <w:tc>
          <w:tcPr>
            <w:tcW w:w="10031" w:type="dxa"/>
            <w:gridSpan w:val="2"/>
          </w:tcPr>
          <w:p w14:paraId="32E9F921" w14:textId="77777777" w:rsidR="000A5B9A" w:rsidRPr="00552205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349B854C" w14:textId="77777777" w:rsidTr="0050008E">
        <w:trPr>
          <w:cantSplit/>
        </w:trPr>
        <w:tc>
          <w:tcPr>
            <w:tcW w:w="10031" w:type="dxa"/>
            <w:gridSpan w:val="2"/>
          </w:tcPr>
          <w:p w14:paraId="121B1905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1.6 del orden del día</w:t>
            </w:r>
          </w:p>
        </w:tc>
      </w:tr>
    </w:tbl>
    <w:bookmarkEnd w:id="5"/>
    <w:p w14:paraId="4D557C17" w14:textId="77777777" w:rsidR="001C0E40" w:rsidRPr="00E9771B" w:rsidRDefault="00F32E79" w:rsidP="003A37B0">
      <w:r w:rsidRPr="00E8457B">
        <w:t>1.6</w:t>
      </w:r>
      <w:r w:rsidRPr="00E8457B">
        <w:tab/>
      </w:r>
      <w:r w:rsidRPr="00E8457B">
        <w:rPr>
          <w:bCs/>
          <w:szCs w:val="24"/>
        </w:rPr>
        <w:t>que considere</w:t>
      </w:r>
      <w:r w:rsidRPr="00E8457B">
        <w:rPr>
          <w:lang w:eastAsia="nl-NL"/>
        </w:rPr>
        <w:t xml:space="preserve"> la posibilidad de </w:t>
      </w:r>
      <w:r w:rsidRPr="00E8457B">
        <w:t>formular un marco reglamentario para sistemas de satélite no OSG del SFS que funcionen en las bandas de frecuencias 37,5</w:t>
      </w:r>
      <w:r w:rsidRPr="00E8457B">
        <w:noBreakHyphen/>
        <w:t>39,5 GHz (</w:t>
      </w:r>
      <w:r w:rsidRPr="00E8457B">
        <w:rPr>
          <w:szCs w:val="24"/>
        </w:rPr>
        <w:t>espacio</w:t>
      </w:r>
      <w:r w:rsidRPr="00E8457B">
        <w:rPr>
          <w:szCs w:val="24"/>
        </w:rPr>
        <w:noBreakHyphen/>
        <w:t>Tierra</w:t>
      </w:r>
      <w:r w:rsidRPr="00E8457B">
        <w:t>), 39,5</w:t>
      </w:r>
      <w:r w:rsidRPr="00E8457B">
        <w:noBreakHyphen/>
        <w:t>42,5 GHz (</w:t>
      </w:r>
      <w:r w:rsidRPr="00E8457B">
        <w:rPr>
          <w:szCs w:val="24"/>
        </w:rPr>
        <w:t>espacio</w:t>
      </w:r>
      <w:r w:rsidRPr="00E8457B">
        <w:rPr>
          <w:szCs w:val="24"/>
        </w:rPr>
        <w:noBreakHyphen/>
        <w:t>Tierra</w:t>
      </w:r>
      <w:r w:rsidRPr="00E8457B">
        <w:t>), 47,2</w:t>
      </w:r>
      <w:r w:rsidRPr="00E8457B">
        <w:noBreakHyphen/>
        <w:t>50,2 GHz (Tierra</w:t>
      </w:r>
      <w:r w:rsidRPr="00E8457B">
        <w:noBreakHyphen/>
        <w:t>espacio) y 50,4</w:t>
      </w:r>
      <w:r w:rsidRPr="00E8457B">
        <w:noBreakHyphen/>
        <w:t>51,4 GHz (</w:t>
      </w:r>
      <w:r w:rsidRPr="00E8457B">
        <w:rPr>
          <w:szCs w:val="24"/>
        </w:rPr>
        <w:t>Tierra</w:t>
      </w:r>
      <w:r w:rsidRPr="00E8457B">
        <w:rPr>
          <w:szCs w:val="24"/>
        </w:rPr>
        <w:noBreakHyphen/>
        <w:t>espacio</w:t>
      </w:r>
      <w:r w:rsidRPr="00E8457B">
        <w:t>)</w:t>
      </w:r>
      <w:r w:rsidRPr="00E8457B">
        <w:rPr>
          <w:szCs w:val="24"/>
        </w:rPr>
        <w:t>, de conformidad con la Resolución </w:t>
      </w:r>
      <w:r w:rsidRPr="00E8457B">
        <w:rPr>
          <w:b/>
          <w:bCs/>
          <w:szCs w:val="24"/>
        </w:rPr>
        <w:t>159 (CMR-15)</w:t>
      </w:r>
      <w:r w:rsidRPr="00E8457B">
        <w:rPr>
          <w:szCs w:val="24"/>
        </w:rPr>
        <w:t>;</w:t>
      </w:r>
    </w:p>
    <w:p w14:paraId="5B16600F" w14:textId="77777777" w:rsidR="00C412EA" w:rsidRPr="00C412EA" w:rsidRDefault="00C412EA" w:rsidP="00552205">
      <w:pPr>
        <w:pStyle w:val="Headingb"/>
      </w:pPr>
      <w:r w:rsidRPr="00C412EA">
        <w:t>Introducción</w:t>
      </w:r>
    </w:p>
    <w:p w14:paraId="046FFA31" w14:textId="640E75C0" w:rsidR="00C412EA" w:rsidRPr="00C412EA" w:rsidRDefault="00C412EA" w:rsidP="00C412EA">
      <w:pPr>
        <w:rPr>
          <w:bCs/>
        </w:rPr>
      </w:pPr>
      <w:r w:rsidRPr="00C412EA">
        <w:rPr>
          <w:bCs/>
        </w:rPr>
        <w:t>Los Miembros de la APT no alcanzaron un acuerdo para desarrollar texto reglamentario propuesto específico para el punto 1.6 del orden del día.</w:t>
      </w:r>
      <w:r w:rsidR="00552205">
        <w:rPr>
          <w:bCs/>
        </w:rPr>
        <w:t xml:space="preserve"> </w:t>
      </w:r>
    </w:p>
    <w:p w14:paraId="56DDDC00" w14:textId="77777777" w:rsidR="00C412EA" w:rsidRPr="00C412EA" w:rsidRDefault="00C412EA" w:rsidP="00C412EA">
      <w:pPr>
        <w:rPr>
          <w:bCs/>
        </w:rPr>
      </w:pPr>
      <w:r w:rsidRPr="00C412EA">
        <w:rPr>
          <w:bCs/>
        </w:rPr>
        <w:t>Se presentan las opiniones siguientes a la Conferencia con miras a su consideración.</w:t>
      </w:r>
    </w:p>
    <w:p w14:paraId="3595F4F5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BE3F5C6" w14:textId="77777777" w:rsidR="00886D4E" w:rsidRPr="00C412EA" w:rsidRDefault="00886D4E" w:rsidP="00886D4E">
      <w:pPr>
        <w:pStyle w:val="Headingb"/>
      </w:pPr>
      <w:r w:rsidRPr="00C412EA">
        <w:lastRenderedPageBreak/>
        <w:t>Propuestas</w:t>
      </w:r>
    </w:p>
    <w:p w14:paraId="276FC22F" w14:textId="77777777" w:rsidR="00661131" w:rsidRDefault="00F32E79">
      <w:pPr>
        <w:pStyle w:val="Proposal"/>
      </w:pPr>
      <w:r>
        <w:tab/>
        <w:t>ACP/24A6/1</w:t>
      </w:r>
    </w:p>
    <w:p w14:paraId="05794165" w14:textId="6B69AB92" w:rsidR="00661131" w:rsidRPr="00552205" w:rsidRDefault="00C412EA" w:rsidP="00552205">
      <w:pPr>
        <w:rPr>
          <w:lang w:val="fr-FR"/>
        </w:rPr>
      </w:pPr>
      <w:r w:rsidRPr="00552205">
        <w:rPr>
          <w:lang w:val="fr-FR"/>
        </w:rPr>
        <w:t>Los Miembros de la APT están a favor de que se definan condiciones reglamentarias y de procedimiento para los sistemas de satélites no OSG del SFS en las bandas de frecuencias 37,5</w:t>
      </w:r>
      <w:r w:rsidR="00886D4E">
        <w:rPr>
          <w:lang w:val="fr-FR"/>
        </w:rPr>
        <w:noBreakHyphen/>
      </w:r>
      <w:r w:rsidRPr="00552205">
        <w:rPr>
          <w:lang w:val="fr-FR"/>
        </w:rPr>
        <w:t>39,5</w:t>
      </w:r>
      <w:r w:rsidR="00886D4E">
        <w:rPr>
          <w:lang w:val="fr-FR"/>
        </w:rPr>
        <w:t> </w:t>
      </w:r>
      <w:r w:rsidRPr="00552205">
        <w:rPr>
          <w:lang w:val="fr-FR"/>
        </w:rPr>
        <w:t>GHz (espacio</w:t>
      </w:r>
      <w:bookmarkStart w:id="6" w:name="_GoBack"/>
      <w:bookmarkEnd w:id="6"/>
      <w:r w:rsidRPr="00552205">
        <w:rPr>
          <w:lang w:val="fr-FR"/>
        </w:rPr>
        <w:t>-Tierra), 39,5-42,5 GHz (espacio-Tierra), 47,2-50,2 GHz (Tierra-espacio) y 50,4-51,4 GHz (Tierra-espacio), al tiempo que se garantiza la protección de las redes de satélites OSG del SFS, el SMS y el SRS, así como de los demás servicios primarios existentes en esas bandas, y del SETS (pasivo) en las bandas de frecuencias 36-37 GHz y 50,2</w:t>
      </w:r>
      <w:r w:rsidR="00643CC7">
        <w:rPr>
          <w:lang w:val="fr-FR"/>
        </w:rPr>
        <w:t>-</w:t>
      </w:r>
      <w:r w:rsidRPr="00552205">
        <w:rPr>
          <w:lang w:val="fr-FR"/>
        </w:rPr>
        <w:t>50,4 GHz y el servicio de radioastronomía en las bandas de frecuencias 42,5-43,5 GHz, 48,94-49,04 GHz y 51,4</w:t>
      </w:r>
      <w:r w:rsidR="00886D4E">
        <w:rPr>
          <w:lang w:val="fr-FR"/>
        </w:rPr>
        <w:noBreakHyphen/>
      </w:r>
      <w:r w:rsidRPr="00552205">
        <w:rPr>
          <w:lang w:val="fr-FR"/>
        </w:rPr>
        <w:t>54,25</w:t>
      </w:r>
      <w:r w:rsidR="00886D4E">
        <w:rPr>
          <w:lang w:val="fr-FR"/>
        </w:rPr>
        <w:t> </w:t>
      </w:r>
      <w:r w:rsidRPr="00552205">
        <w:rPr>
          <w:lang w:val="fr-FR"/>
        </w:rPr>
        <w:t>GHz.</w:t>
      </w:r>
    </w:p>
    <w:p w14:paraId="17CE7BA3" w14:textId="25073995" w:rsidR="00661131" w:rsidRPr="00C412EA" w:rsidRDefault="00F32E79">
      <w:pPr>
        <w:pStyle w:val="Reasons"/>
        <w:rPr>
          <w:lang w:val="es-ES"/>
        </w:rPr>
      </w:pPr>
      <w:r w:rsidRPr="00C412EA">
        <w:rPr>
          <w:b/>
          <w:lang w:val="es-ES"/>
        </w:rPr>
        <w:t>Motivos:</w:t>
      </w:r>
      <w:r w:rsidRPr="00C412EA">
        <w:rPr>
          <w:lang w:val="es-ES"/>
        </w:rPr>
        <w:tab/>
      </w:r>
      <w:r w:rsidR="00C412EA" w:rsidRPr="00C412EA">
        <w:t>Opinión general de los Miembros de la APT</w:t>
      </w:r>
      <w:r w:rsidR="00886D4E">
        <w:t>.</w:t>
      </w:r>
    </w:p>
    <w:p w14:paraId="6769DBAD" w14:textId="06A4F6A8" w:rsidR="00661131" w:rsidRPr="00886D4E" w:rsidRDefault="00F32E79">
      <w:pPr>
        <w:pStyle w:val="Proposal"/>
        <w:rPr>
          <w:lang w:val="es-ES"/>
        </w:rPr>
      </w:pPr>
      <w:r w:rsidRPr="00C412EA">
        <w:rPr>
          <w:lang w:val="es-ES"/>
        </w:rPr>
        <w:tab/>
      </w:r>
      <w:r w:rsidRPr="00886D4E">
        <w:rPr>
          <w:lang w:val="es-ES"/>
        </w:rPr>
        <w:t>ACP/24A6/2</w:t>
      </w:r>
    </w:p>
    <w:p w14:paraId="35A0B95C" w14:textId="09BA6E07" w:rsidR="00C412EA" w:rsidRPr="00C412EA" w:rsidRDefault="00C412EA" w:rsidP="00886D4E">
      <w:pPr>
        <w:rPr>
          <w:lang w:val="fr-FR"/>
        </w:rPr>
      </w:pPr>
      <w:r w:rsidRPr="00C412EA">
        <w:rPr>
          <w:lang w:val="fr-FR"/>
        </w:rPr>
        <w:t>Los Miembros de la APT respaldan el Método A del Apartado 1 del Informe de la RPC.</w:t>
      </w:r>
    </w:p>
    <w:p w14:paraId="656ECB53" w14:textId="77777777" w:rsidR="00C412EA" w:rsidRPr="00C412EA" w:rsidRDefault="00C412EA" w:rsidP="00C412EA">
      <w:pPr>
        <w:rPr>
          <w:lang w:val="fr-FR"/>
        </w:rPr>
      </w:pPr>
      <w:r w:rsidRPr="00C412EA">
        <w:rPr>
          <w:lang w:val="fr-FR"/>
        </w:rPr>
        <w:t>A falta de Recomendaciones del UIT-R adecuadas para su incorporación por referencia, los Miembros de la APT apoyan el examen de las Resoluciones de la CMR que se ocupan de los asuntos siguientes:</w:t>
      </w:r>
    </w:p>
    <w:p w14:paraId="667B11D5" w14:textId="75D1BBCC" w:rsidR="00C412EA" w:rsidRPr="00C412EA" w:rsidRDefault="00F160C9" w:rsidP="00F160C9">
      <w:pPr>
        <w:pStyle w:val="enumlev1"/>
      </w:pPr>
      <w:r>
        <w:t>•</w:t>
      </w:r>
      <w:r>
        <w:tab/>
      </w:r>
      <w:r w:rsidR="00C412EA" w:rsidRPr="00C412EA">
        <w:t>enlaces OSG de referencia genéricos y procedimientos de cálculo, que pueden utilizarse para verificar el cumplimiento de los sistemas no OSG; y</w:t>
      </w:r>
    </w:p>
    <w:p w14:paraId="01973EA9" w14:textId="33587550" w:rsidR="00C412EA" w:rsidRPr="00C412EA" w:rsidRDefault="00F160C9" w:rsidP="00F160C9">
      <w:pPr>
        <w:pStyle w:val="enumlev1"/>
      </w:pPr>
      <w:r>
        <w:t>•</w:t>
      </w:r>
      <w:r>
        <w:tab/>
      </w:r>
      <w:r w:rsidR="00C412EA" w:rsidRPr="00C412EA">
        <w:t>disposiciones reglamentarias para proteger las redes de satélite OSG basadas en la metodología de compartición adecuada y en las características de referencia de las redes de satélites OSG</w:t>
      </w:r>
      <w:r w:rsidR="00886D4E">
        <w:t>.</w:t>
      </w:r>
    </w:p>
    <w:p w14:paraId="7C4F7A59" w14:textId="397A412F" w:rsidR="00661131" w:rsidRPr="00C412EA" w:rsidRDefault="00F32E79">
      <w:pPr>
        <w:pStyle w:val="Reasons"/>
        <w:rPr>
          <w:lang w:val="es-ES"/>
        </w:rPr>
      </w:pPr>
      <w:r w:rsidRPr="00C412EA">
        <w:rPr>
          <w:b/>
          <w:lang w:val="es-ES"/>
        </w:rPr>
        <w:t>Motivos:</w:t>
      </w:r>
      <w:r w:rsidRPr="00C412EA">
        <w:rPr>
          <w:lang w:val="es-ES"/>
        </w:rPr>
        <w:tab/>
      </w:r>
      <w:r w:rsidR="00C412EA" w:rsidRPr="00C412EA">
        <w:t>Con respecto al Apartado 1, los Miembros de la APT están a favor del Método A del Informe de la RPC</w:t>
      </w:r>
      <w:r w:rsidR="00552205">
        <w:t>.</w:t>
      </w:r>
    </w:p>
    <w:p w14:paraId="1015B281" w14:textId="77777777" w:rsidR="00661131" w:rsidRPr="00886D4E" w:rsidRDefault="00F32E79" w:rsidP="00C412EA">
      <w:pPr>
        <w:pStyle w:val="Proposal"/>
        <w:rPr>
          <w:lang w:val="es-ES"/>
        </w:rPr>
      </w:pPr>
      <w:r w:rsidRPr="00C412EA">
        <w:rPr>
          <w:lang w:val="es-ES"/>
        </w:rPr>
        <w:tab/>
      </w:r>
      <w:r w:rsidRPr="00886D4E">
        <w:rPr>
          <w:lang w:val="es-ES"/>
        </w:rPr>
        <w:t>ACP/24A6/3</w:t>
      </w:r>
    </w:p>
    <w:p w14:paraId="2B6DB03E" w14:textId="501BC634" w:rsidR="00661131" w:rsidRPr="00552205" w:rsidRDefault="00C412EA">
      <w:pPr>
        <w:rPr>
          <w:lang w:val="fr-FR"/>
        </w:rPr>
      </w:pPr>
      <w:r w:rsidRPr="00552205">
        <w:rPr>
          <w:lang w:val="fr-FR"/>
        </w:rPr>
        <w:t xml:space="preserve">Los Miembros de la APT están a favor de asegurar la protección del SETS (pasivo) contra emisiones no deseadas en bandas adyacentes. Con respeto al Apartado 2 relativo a posibles modificaciones a la Resolución </w:t>
      </w:r>
      <w:r w:rsidRPr="00886D4E">
        <w:rPr>
          <w:b/>
          <w:bCs/>
          <w:lang w:val="fr-FR"/>
        </w:rPr>
        <w:t>750 (Rev</w:t>
      </w:r>
      <w:r w:rsidR="00886D4E" w:rsidRPr="00886D4E">
        <w:rPr>
          <w:b/>
          <w:bCs/>
          <w:lang w:val="fr-FR"/>
        </w:rPr>
        <w:t>.</w:t>
      </w:r>
      <w:r w:rsidRPr="00886D4E">
        <w:rPr>
          <w:b/>
          <w:bCs/>
          <w:lang w:val="fr-FR"/>
        </w:rPr>
        <w:t>CMR-15)</w:t>
      </w:r>
      <w:r w:rsidRPr="00552205">
        <w:rPr>
          <w:lang w:val="fr-FR"/>
        </w:rPr>
        <w:t>, se ha mostrado preferencia por la Opción A, y la Opción B sigue siendo objeto de estudio.</w:t>
      </w:r>
    </w:p>
    <w:p w14:paraId="2A0F08E6" w14:textId="34F45AF2" w:rsidR="00661131" w:rsidRDefault="00F32E79">
      <w:pPr>
        <w:pStyle w:val="Reasons"/>
      </w:pPr>
      <w:r w:rsidRPr="00C412EA">
        <w:rPr>
          <w:b/>
          <w:lang w:val="es-ES"/>
        </w:rPr>
        <w:t>Motivos:</w:t>
      </w:r>
      <w:r w:rsidRPr="00C412EA">
        <w:rPr>
          <w:lang w:val="es-ES"/>
        </w:rPr>
        <w:tab/>
      </w:r>
      <w:r w:rsidR="00C412EA" w:rsidRPr="00C412EA">
        <w:t>Con respecto al Apartado 2, los Miembros de la APT han expresado su preferencia por la Opción A del Informe de la RPC.</w:t>
      </w:r>
    </w:p>
    <w:p w14:paraId="6665533E" w14:textId="77777777" w:rsidR="00C412EA" w:rsidRDefault="00C412EA" w:rsidP="00886D4E"/>
    <w:p w14:paraId="58374C7C" w14:textId="77777777" w:rsidR="00C412EA" w:rsidRDefault="00C412EA">
      <w:pPr>
        <w:jc w:val="center"/>
      </w:pPr>
      <w:r>
        <w:t>______________</w:t>
      </w:r>
    </w:p>
    <w:sectPr w:rsidR="00C412E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732CD" w14:textId="77777777" w:rsidR="00FD03C4" w:rsidRDefault="00FD03C4">
      <w:r>
        <w:separator/>
      </w:r>
    </w:p>
  </w:endnote>
  <w:endnote w:type="continuationSeparator" w:id="0">
    <w:p w14:paraId="17F4495A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5A58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91CF71" w14:textId="36D59969" w:rsidR="0077084A" w:rsidRPr="00F160C9" w:rsidRDefault="0077084A">
    <w:pPr>
      <w:ind w:right="360"/>
    </w:pPr>
    <w:r>
      <w:fldChar w:fldCharType="begin"/>
    </w:r>
    <w:r w:rsidRPr="00F160C9">
      <w:instrText xml:space="preserve"> FILENAME \p  \* MERGEFORMAT </w:instrText>
    </w:r>
    <w:r>
      <w:fldChar w:fldCharType="separate"/>
    </w:r>
    <w:r w:rsidR="00643CC7">
      <w:rPr>
        <w:noProof/>
      </w:rPr>
      <w:t>P:\ESP\ITU-R\CONF-R\CMR19\000\024ADD06S.docx</w:t>
    </w:r>
    <w:r>
      <w:fldChar w:fldCharType="end"/>
    </w:r>
    <w:r w:rsidRPr="00F160C9">
      <w:tab/>
    </w:r>
    <w:r>
      <w:fldChar w:fldCharType="begin"/>
    </w:r>
    <w:r>
      <w:instrText xml:space="preserve"> SAVEDATE \@ DD.MM.YY </w:instrText>
    </w:r>
    <w:r>
      <w:fldChar w:fldCharType="separate"/>
    </w:r>
    <w:r w:rsidR="00643CC7">
      <w:rPr>
        <w:noProof/>
      </w:rPr>
      <w:t>07.10.19</w:t>
    </w:r>
    <w:r>
      <w:fldChar w:fldCharType="end"/>
    </w:r>
    <w:r w:rsidRPr="00F160C9">
      <w:tab/>
    </w:r>
    <w:r>
      <w:fldChar w:fldCharType="begin"/>
    </w:r>
    <w:r>
      <w:instrText xml:space="preserve"> PRINTDATE \@ DD.MM.YY </w:instrText>
    </w:r>
    <w:r>
      <w:fldChar w:fldCharType="separate"/>
    </w:r>
    <w:r w:rsidR="00643CC7">
      <w:rPr>
        <w:noProof/>
      </w:rPr>
      <w:t>07.10.19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A34C1" w14:textId="1A3D0D22" w:rsidR="0077084A" w:rsidRPr="00552205" w:rsidRDefault="00552205" w:rsidP="00552205">
    <w:pPr>
      <w:pStyle w:val="Footer"/>
    </w:pPr>
    <w:r w:rsidRPr="00552205">
      <w:rPr>
        <w:lang w:val="fr-FR"/>
      </w:rPr>
      <w:fldChar w:fldCharType="begin"/>
    </w:r>
    <w:r w:rsidRPr="00552205">
      <w:rPr>
        <w:lang w:val="en-GB"/>
      </w:rPr>
      <w:instrText xml:space="preserve"> FILENAME \p  \* MERGEFORMAT </w:instrText>
    </w:r>
    <w:r w:rsidRPr="00552205">
      <w:rPr>
        <w:lang w:val="fr-FR"/>
      </w:rPr>
      <w:fldChar w:fldCharType="separate"/>
    </w:r>
    <w:r w:rsidR="00643CC7">
      <w:rPr>
        <w:lang w:val="en-GB"/>
      </w:rPr>
      <w:t>P:\ESP\ITU-R\CONF-R\CMR19\000\024ADD06S.docx</w:t>
    </w:r>
    <w:r w:rsidRPr="00552205">
      <w:fldChar w:fldCharType="end"/>
    </w:r>
    <w:r w:rsidRPr="00552205">
      <w:rPr>
        <w:lang w:val="en-GB"/>
      </w:rPr>
      <w:t xml:space="preserve"> (461</w:t>
    </w:r>
    <w:r>
      <w:rPr>
        <w:lang w:val="en-GB"/>
      </w:rPr>
      <w:t>090</w:t>
    </w:r>
    <w:r w:rsidRPr="00552205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3622B" w14:textId="77CE6256" w:rsidR="00552205" w:rsidRDefault="00552205" w:rsidP="00552205">
    <w:pPr>
      <w:pStyle w:val="Footer"/>
    </w:pPr>
    <w:r w:rsidRPr="00552205">
      <w:rPr>
        <w:lang w:val="fr-FR"/>
      </w:rPr>
      <w:fldChar w:fldCharType="begin"/>
    </w:r>
    <w:r w:rsidRPr="00552205">
      <w:rPr>
        <w:lang w:val="en-GB"/>
      </w:rPr>
      <w:instrText xml:space="preserve"> FILENAME \p  \* MERGEFORMAT </w:instrText>
    </w:r>
    <w:r w:rsidRPr="00552205">
      <w:rPr>
        <w:lang w:val="fr-FR"/>
      </w:rPr>
      <w:fldChar w:fldCharType="separate"/>
    </w:r>
    <w:r w:rsidR="00643CC7">
      <w:rPr>
        <w:lang w:val="en-GB"/>
      </w:rPr>
      <w:t>P:\ESP\ITU-R\CONF-R\CMR19\000\024ADD06S.docx</w:t>
    </w:r>
    <w:r w:rsidRPr="00552205">
      <w:fldChar w:fldCharType="end"/>
    </w:r>
    <w:r w:rsidRPr="00552205">
      <w:rPr>
        <w:lang w:val="en-GB"/>
      </w:rPr>
      <w:t xml:space="preserve"> (461</w:t>
    </w:r>
    <w:r>
      <w:rPr>
        <w:lang w:val="en-GB"/>
      </w:rPr>
      <w:t>090</w:t>
    </w:r>
    <w:r w:rsidRPr="00552205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C5A65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0F5E1E6C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4023F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772B50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24(Add.6)-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59320CC5"/>
    <w:multiLevelType w:val="hybridMultilevel"/>
    <w:tmpl w:val="19566A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273C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52205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43CC7"/>
    <w:rsid w:val="00661131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0B93"/>
    <w:rsid w:val="008750A8"/>
    <w:rsid w:val="00886D4E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47331"/>
    <w:rsid w:val="00B52D55"/>
    <w:rsid w:val="00B8288C"/>
    <w:rsid w:val="00B86034"/>
    <w:rsid w:val="00BE2E80"/>
    <w:rsid w:val="00BE5EDD"/>
    <w:rsid w:val="00BE6A1F"/>
    <w:rsid w:val="00C126C4"/>
    <w:rsid w:val="00C412EA"/>
    <w:rsid w:val="00C44E9E"/>
    <w:rsid w:val="00C63EB5"/>
    <w:rsid w:val="00C87DA7"/>
    <w:rsid w:val="00CC01E0"/>
    <w:rsid w:val="00CD5FEE"/>
    <w:rsid w:val="00CE60D2"/>
    <w:rsid w:val="00CE7431"/>
    <w:rsid w:val="00D0288A"/>
    <w:rsid w:val="00D72A5D"/>
    <w:rsid w:val="00DA71A3"/>
    <w:rsid w:val="00DC629B"/>
    <w:rsid w:val="00DE1C31"/>
    <w:rsid w:val="00E05BFF"/>
    <w:rsid w:val="00E262F1"/>
    <w:rsid w:val="00E3176A"/>
    <w:rsid w:val="00E54754"/>
    <w:rsid w:val="00E56BD3"/>
    <w:rsid w:val="00E71D14"/>
    <w:rsid w:val="00EA77F0"/>
    <w:rsid w:val="00F160C9"/>
    <w:rsid w:val="00F32316"/>
    <w:rsid w:val="00F32E79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F74676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R16-WRC19-C-0024!A6!MSW-S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117FC-D197-4C90-B1DC-0B2DB9B0B6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E77D72-20C1-438B-96D0-898A6779B2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B9254-6FB3-4739-B428-A95C5AF378EA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96b2e75-67fd-4955-a3b0-5ab9934cb50b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6D10B427-F077-4043-A599-867AA648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R16-WRC19-C-0024!A6!MSW-S</vt:lpstr>
    </vt:vector>
  </TitlesOfParts>
  <Manager>Secretaría General - Pool</Manager>
  <Company>Unión Internacional de Telecomunicaciones (UIT)</Company>
  <LinksUpToDate>false</LinksUpToDate>
  <CharactersWithSpaces>2867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R16-WRC19-C-0024!A6!MSW-S</dc:title>
  <dc:subject>Conferencia Mundial de Radiocomunicaciones - 2019</dc:subject>
  <dc:creator>Documents Proposals Manager (DPM)</dc:creator>
  <cp:keywords>DPM_v2019.9.25.1_prod</cp:keywords>
  <dc:description/>
  <cp:lastModifiedBy>Spanish83</cp:lastModifiedBy>
  <cp:revision>9</cp:revision>
  <cp:lastPrinted>2019-10-07T10:06:00Z</cp:lastPrinted>
  <dcterms:created xsi:type="dcterms:W3CDTF">2019-10-02T06:33:00Z</dcterms:created>
  <dcterms:modified xsi:type="dcterms:W3CDTF">2019-10-07T10:11:00Z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