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A66C963" w14:textId="77777777">
        <w:trPr>
          <w:cantSplit/>
        </w:trPr>
        <w:tc>
          <w:tcPr>
            <w:tcW w:w="6911" w:type="dxa"/>
          </w:tcPr>
          <w:p w14:paraId="14C393C4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E0895C7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35A567A" wp14:editId="5BB448E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090233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48A97D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9B080A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A71790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A344E1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962E0D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2397EA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E3D906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AD9D7D3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16 to</w:t>
            </w:r>
            <w:r>
              <w:rPr>
                <w:rFonts w:ascii="Verdana" w:hAnsi="Verdana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08274B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2BCFE6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778633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August 2019</w:t>
            </w:r>
          </w:p>
        </w:tc>
      </w:tr>
      <w:tr w:rsidR="00A066F1" w:rsidRPr="00C324A8" w14:paraId="19A7210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C3A0F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703D8F5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14:paraId="3F81912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AB8E5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A312B3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8AA594F" w14:textId="77777777"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14:paraId="67B8D73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B542FC0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7DB84F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25BD4A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D94407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88E3B4" w14:textId="77777777"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5"/>
    <w:bookmarkEnd w:id="6"/>
    <w:p w14:paraId="0B7ADBEC" w14:textId="77777777" w:rsidR="005118F7" w:rsidRPr="00EC5386" w:rsidRDefault="00714AFE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5713499F" w14:textId="77777777" w:rsidR="00E80582" w:rsidRPr="00126FC5" w:rsidRDefault="00E80582" w:rsidP="005D5885">
      <w:pPr>
        <w:pStyle w:val="Headingb"/>
        <w:rPr>
          <w:rFonts w:hint="eastAsia"/>
        </w:rPr>
      </w:pPr>
      <w:r w:rsidRPr="00126FC5">
        <w:t>Introduction</w:t>
      </w:r>
    </w:p>
    <w:p w14:paraId="19FC3407" w14:textId="53BC11D0" w:rsidR="00E80582" w:rsidRDefault="00E80582" w:rsidP="006619EC">
      <w:pPr>
        <w:rPr>
          <w:lang w:eastAsia="zh-CN"/>
        </w:rPr>
      </w:pPr>
      <w:r>
        <w:rPr>
          <w:lang w:eastAsia="zh-CN"/>
        </w:rPr>
        <w:t>The 2015 World Radiocommunication Conference approved WRC-19 agenda item 1.16 and invited ITU-R to perform sharing and compatibility studies between WAS/RLAN and incumbent services in the frequency bands 5 150-5 350 MHz, 5 350-5 470 MHz, 5 725-5 850 MHz and 5 850-5</w:t>
      </w:r>
      <w:r w:rsidR="006619EC">
        <w:rPr>
          <w:lang w:eastAsia="zh-CN"/>
        </w:rPr>
        <w:t> </w:t>
      </w:r>
      <w:r>
        <w:rPr>
          <w:lang w:eastAsia="zh-CN"/>
        </w:rPr>
        <w:t>925</w:t>
      </w:r>
      <w:r w:rsidR="006619EC">
        <w:rPr>
          <w:lang w:eastAsia="zh-CN"/>
        </w:rPr>
        <w:t> </w:t>
      </w:r>
      <w:r>
        <w:rPr>
          <w:lang w:eastAsia="zh-CN"/>
        </w:rPr>
        <w:t xml:space="preserve">MHz in accordance with Resolution </w:t>
      </w:r>
      <w:r w:rsidRPr="00125F5F">
        <w:rPr>
          <w:b/>
          <w:lang w:eastAsia="zh-CN"/>
        </w:rPr>
        <w:t>239 (WRC</w:t>
      </w:r>
      <w:r w:rsidRPr="00125F5F">
        <w:rPr>
          <w:rFonts w:hint="eastAsia"/>
          <w:b/>
          <w:lang w:eastAsia="zh-CN"/>
        </w:rPr>
        <w:t>-</w:t>
      </w:r>
      <w:r w:rsidRPr="00125F5F">
        <w:rPr>
          <w:b/>
          <w:lang w:eastAsia="zh-CN"/>
        </w:rPr>
        <w:t>15)</w:t>
      </w:r>
      <w:r>
        <w:rPr>
          <w:lang w:eastAsia="zh-CN"/>
        </w:rPr>
        <w:t>.</w:t>
      </w:r>
    </w:p>
    <w:p w14:paraId="7B64AD28" w14:textId="26B37C48" w:rsidR="00E80582" w:rsidRDefault="00E80582" w:rsidP="006619EC">
      <w:pPr>
        <w:rPr>
          <w:lang w:eastAsia="zh-CN"/>
        </w:rPr>
      </w:pPr>
      <w:r>
        <w:rPr>
          <w:lang w:eastAsia="zh-CN"/>
        </w:rPr>
        <w:t>During the WRC-19 study cycle,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 </w:t>
      </w:r>
      <w:r w:rsidR="00125F5F">
        <w:rPr>
          <w:lang w:eastAsia="zh-CN"/>
        </w:rPr>
        <w:t>p</w:t>
      </w:r>
      <w:r>
        <w:rPr>
          <w:lang w:eastAsia="zh-CN"/>
        </w:rPr>
        <w:t xml:space="preserve">reliminary </w:t>
      </w:r>
      <w:r w:rsidR="00125F5F">
        <w:rPr>
          <w:lang w:eastAsia="zh-CN"/>
        </w:rPr>
        <w:t>d</w:t>
      </w:r>
      <w:r>
        <w:rPr>
          <w:lang w:eastAsia="zh-CN"/>
        </w:rPr>
        <w:t xml:space="preserve">raft </w:t>
      </w:r>
      <w:r w:rsidR="00125F5F">
        <w:rPr>
          <w:lang w:eastAsia="zh-CN"/>
        </w:rPr>
        <w:t>n</w:t>
      </w:r>
      <w:r>
        <w:rPr>
          <w:lang w:eastAsia="zh-CN"/>
        </w:rPr>
        <w:t xml:space="preserve">ew </w:t>
      </w:r>
      <w:r w:rsidR="00125F5F">
        <w:rPr>
          <w:lang w:eastAsia="zh-CN"/>
        </w:rPr>
        <w:t>R</w:t>
      </w:r>
      <w:r>
        <w:rPr>
          <w:lang w:eastAsia="zh-CN"/>
        </w:rPr>
        <w:t>eport on sharing studies for the 5 150-5</w:t>
      </w:r>
      <w:r w:rsidR="006619EC">
        <w:rPr>
          <w:lang w:eastAsia="zh-CN"/>
        </w:rPr>
        <w:t> </w:t>
      </w:r>
      <w:r>
        <w:rPr>
          <w:lang w:eastAsia="zh-CN"/>
        </w:rPr>
        <w:t xml:space="preserve">250 MHz frequency band was developed. One study in this </w:t>
      </w:r>
      <w:bookmarkStart w:id="7" w:name="_GoBack"/>
      <w:r w:rsidR="00125F5F">
        <w:rPr>
          <w:lang w:eastAsia="zh-CN"/>
        </w:rPr>
        <w:t>R</w:t>
      </w:r>
      <w:bookmarkEnd w:id="7"/>
      <w:r>
        <w:rPr>
          <w:lang w:eastAsia="zh-CN"/>
        </w:rPr>
        <w:t>eport shows that the WAS/RLAN stations will severely interfere with the MSS feeder uplink when the maximum e.i.r.p. of outdoor WAS/RLAN is 1 or 4 Watts. Although a parametric analysis shows that sharing could be feasible under the condition that the maximum e.i.r.p. of WAS/RLAN is limited to 80-200</w:t>
      </w:r>
      <w:r w:rsidR="007907F0">
        <w:rPr>
          <w:lang w:eastAsia="zh-CN"/>
        </w:rPr>
        <w:t> </w:t>
      </w:r>
      <w:r>
        <w:rPr>
          <w:lang w:eastAsia="zh-CN"/>
        </w:rPr>
        <w:t>mW and the percentage of outdoor usage of WAS/RLAN is limited to 5.3%-3%, there exist many difficulties on how to limit the percentage or amount of outdoor WAS/RLAN devices. For example, the regulation and control to the WAS/RLAN stations are almost impracticable due to the ease of purchasing and deploying WAS/RLAN devices by individuals or companies. Moreover, considering the large footprints of satellites which normally cover multiple countries, the limitation o</w:t>
      </w:r>
      <w:r w:rsidR="00B4387A">
        <w:rPr>
          <w:lang w:eastAsia="zh-CN"/>
        </w:rPr>
        <w:t>n</w:t>
      </w:r>
      <w:r>
        <w:rPr>
          <w:lang w:eastAsia="zh-CN"/>
        </w:rPr>
        <w:t xml:space="preserve"> the total </w:t>
      </w:r>
      <w:r w:rsidR="00B4387A">
        <w:rPr>
          <w:lang w:eastAsia="zh-CN"/>
        </w:rPr>
        <w:t xml:space="preserve">number of </w:t>
      </w:r>
      <w:r>
        <w:rPr>
          <w:lang w:eastAsia="zh-CN"/>
        </w:rPr>
        <w:t xml:space="preserve">WAS/RLAN stations in relevant countries </w:t>
      </w:r>
      <w:r w:rsidR="00B4387A">
        <w:rPr>
          <w:lang w:eastAsia="zh-CN"/>
        </w:rPr>
        <w:t xml:space="preserve">necessitates considerable </w:t>
      </w:r>
      <w:r>
        <w:rPr>
          <w:lang w:eastAsia="zh-CN"/>
        </w:rPr>
        <w:t xml:space="preserve">coordination </w:t>
      </w:r>
      <w:r w:rsidR="00B4387A">
        <w:rPr>
          <w:lang w:eastAsia="zh-CN"/>
        </w:rPr>
        <w:t>efforts</w:t>
      </w:r>
      <w:r>
        <w:rPr>
          <w:lang w:eastAsia="zh-CN"/>
        </w:rPr>
        <w:t xml:space="preserve"> among </w:t>
      </w:r>
      <w:r w:rsidR="00B4387A">
        <w:rPr>
          <w:lang w:eastAsia="zh-CN"/>
        </w:rPr>
        <w:t xml:space="preserve">concerned </w:t>
      </w:r>
      <w:r>
        <w:rPr>
          <w:lang w:eastAsia="zh-CN"/>
        </w:rPr>
        <w:t>countries.</w:t>
      </w:r>
    </w:p>
    <w:p w14:paraId="6053D5B5" w14:textId="486CBB51" w:rsidR="00E80582" w:rsidRDefault="00E80582" w:rsidP="00E80582">
      <w:pPr>
        <w:spacing w:afterLines="50" w:after="120"/>
        <w:jc w:val="both"/>
        <w:rPr>
          <w:lang w:eastAsia="zh-CN"/>
        </w:rPr>
      </w:pPr>
      <w:r>
        <w:rPr>
          <w:lang w:eastAsia="zh-CN"/>
        </w:rPr>
        <w:t xml:space="preserve">Taking into account the difficulties mentioned above, </w:t>
      </w:r>
      <w:r>
        <w:rPr>
          <w:lang w:val="en-NZ"/>
        </w:rPr>
        <w:t>China</w:t>
      </w:r>
      <w:r>
        <w:rPr>
          <w:lang w:val="en-NZ" w:eastAsia="zh-CN"/>
        </w:rPr>
        <w:t xml:space="preserve"> support</w:t>
      </w:r>
      <w:r>
        <w:rPr>
          <w:rFonts w:hint="eastAsia"/>
          <w:lang w:val="en-NZ" w:eastAsia="zh-CN"/>
        </w:rPr>
        <w:t>s</w:t>
      </w:r>
      <w:r>
        <w:rPr>
          <w:lang w:val="en-NZ" w:eastAsia="zh-CN"/>
        </w:rPr>
        <w:t xml:space="preserve"> NOC to the </w:t>
      </w:r>
      <w:r>
        <w:rPr>
          <w:iCs/>
          <w:lang w:eastAsia="zh-CN"/>
        </w:rPr>
        <w:t>Radio Regulations</w:t>
      </w:r>
      <w:r>
        <w:rPr>
          <w:lang w:val="en-NZ"/>
        </w:rPr>
        <w:t xml:space="preserve"> i</w:t>
      </w:r>
      <w:r>
        <w:rPr>
          <w:iCs/>
          <w:lang w:eastAsia="zh-CN"/>
        </w:rPr>
        <w:t xml:space="preserve">n the frequency </w:t>
      </w:r>
      <w:r>
        <w:rPr>
          <w:lang w:val="en-NZ"/>
        </w:rPr>
        <w:t xml:space="preserve">band </w:t>
      </w:r>
      <w:r>
        <w:rPr>
          <w:iCs/>
          <w:lang w:eastAsia="zh-CN"/>
        </w:rPr>
        <w:t>5 150-5 250 MHz</w:t>
      </w:r>
      <w:r>
        <w:rPr>
          <w:lang w:eastAsia="zh-CN"/>
        </w:rPr>
        <w:t>.</w:t>
      </w:r>
    </w:p>
    <w:p w14:paraId="0B3A7C77" w14:textId="0E5ADE7B" w:rsidR="00E80582" w:rsidRPr="00C37C22" w:rsidRDefault="00E80582" w:rsidP="00E80582">
      <w:pPr>
        <w:spacing w:afterLines="50" w:after="120"/>
        <w:jc w:val="both"/>
        <w:rPr>
          <w:b/>
        </w:rPr>
      </w:pPr>
      <w:r>
        <w:rPr>
          <w:lang w:eastAsia="zh-CN"/>
        </w:rPr>
        <w:t xml:space="preserve">For the frequency bands 5 250-5 350 MHz, 5 350-5 470 MHz and 5 850-5 925 MHz, China supports the single NOC </w:t>
      </w:r>
      <w:r>
        <w:rPr>
          <w:rFonts w:hint="eastAsia"/>
          <w:lang w:eastAsia="zh-CN"/>
        </w:rPr>
        <w:t xml:space="preserve">method </w:t>
      </w:r>
      <w:r>
        <w:rPr>
          <w:lang w:eastAsia="zh-CN"/>
        </w:rPr>
        <w:t>proposed in the CPM Report</w:t>
      </w:r>
      <w:r w:rsidRPr="00C37C22">
        <w:t xml:space="preserve"> to protect incumbent services.</w:t>
      </w:r>
    </w:p>
    <w:p w14:paraId="5DC5906F" w14:textId="77777777" w:rsidR="00E80582" w:rsidRPr="00C37C22" w:rsidRDefault="00E80582" w:rsidP="00E80582">
      <w:pPr>
        <w:rPr>
          <w:lang w:val="en-NZ"/>
        </w:rPr>
      </w:pPr>
    </w:p>
    <w:p w14:paraId="39F10C65" w14:textId="4585630F" w:rsidR="00187BD9" w:rsidRPr="00125F5F" w:rsidRDefault="00E80582" w:rsidP="005D5885">
      <w:pPr>
        <w:pStyle w:val="Headingb"/>
        <w:pageBreakBefore/>
        <w:rPr>
          <w:rFonts w:hint="eastAsia"/>
          <w:lang w:val="en-GB"/>
        </w:rPr>
      </w:pPr>
      <w:r w:rsidRPr="00125F5F">
        <w:rPr>
          <w:lang w:val="en-GB"/>
        </w:rPr>
        <w:lastRenderedPageBreak/>
        <w:t>Proposals</w:t>
      </w:r>
    </w:p>
    <w:p w14:paraId="6F7547E5" w14:textId="77777777" w:rsidR="008B2E84" w:rsidRDefault="00714AFE" w:rsidP="00F01F59">
      <w:pPr>
        <w:pStyle w:val="ArtNo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01541ECC" w14:textId="77777777" w:rsidR="008B2E84" w:rsidRDefault="00714AFE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132E1C4E" w14:textId="77777777" w:rsidR="008B2E84" w:rsidRPr="00B25B23" w:rsidRDefault="00714AFE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6B00858C" w14:textId="77777777" w:rsidR="00FA5DC2" w:rsidRDefault="00714AFE">
      <w:pPr>
        <w:pStyle w:val="Proposal"/>
        <w:rPr>
          <w:rFonts w:hint="eastAsia"/>
        </w:rPr>
      </w:pPr>
      <w:r>
        <w:rPr>
          <w:u w:val="single"/>
        </w:rPr>
        <w:t>NOC</w:t>
      </w:r>
      <w:r>
        <w:tab/>
        <w:t>CHN/28A16/1</w:t>
      </w:r>
      <w:r>
        <w:rPr>
          <w:vanish/>
          <w:color w:val="7F7F7F" w:themeColor="text1" w:themeTint="80"/>
          <w:vertAlign w:val="superscript"/>
        </w:rPr>
        <w:t>#49950</w:t>
      </w:r>
    </w:p>
    <w:p w14:paraId="0E102D75" w14:textId="77777777" w:rsidR="001962A2" w:rsidRPr="0042498F" w:rsidRDefault="00714AFE" w:rsidP="00130FDA">
      <w:pPr>
        <w:pStyle w:val="Tabletitle"/>
        <w:rPr>
          <w:rFonts w:hint="eastAsia"/>
          <w:lang w:val="en-US"/>
        </w:rPr>
      </w:pPr>
      <w:r w:rsidRPr="0042498F">
        <w:rPr>
          <w:lang w:val="en-US"/>
        </w:rPr>
        <w:t>4 800-5 250 MHz</w:t>
      </w:r>
    </w:p>
    <w:tbl>
      <w:tblPr>
        <w:tblW w:w="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01606CE9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C986E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153EE729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EDBEB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7A5D4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1AB21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51943CDB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F07" w14:textId="77777777" w:rsidR="001962A2" w:rsidRPr="0042498F" w:rsidRDefault="00714AFE" w:rsidP="00130FDA">
            <w:pPr>
              <w:pStyle w:val="TableTextS5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5 150-5 250</w:t>
            </w:r>
            <w:r w:rsidRPr="0042498F">
              <w:rPr>
                <w:lang w:val="en-US"/>
              </w:rPr>
              <w:tab/>
              <w:t xml:space="preserve">FIXED-SATELLITE (Earth-to-space)  </w:t>
            </w:r>
            <w:r w:rsidRPr="0042498F">
              <w:rPr>
                <w:rStyle w:val="Artref"/>
                <w:lang w:val="en-US"/>
              </w:rPr>
              <w:t>5.447A</w:t>
            </w:r>
          </w:p>
          <w:p w14:paraId="344B2CAF" w14:textId="77777777" w:rsidR="001962A2" w:rsidRPr="0042498F" w:rsidRDefault="00714AFE" w:rsidP="00130FDA">
            <w:pPr>
              <w:pStyle w:val="TableTextS5"/>
              <w:rPr>
                <w:lang w:val="fr-CH"/>
              </w:rPr>
            </w:pP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lang w:val="fr-CH"/>
              </w:rPr>
              <w:t xml:space="preserve">MOBILE except aeronautical mobile  </w:t>
            </w:r>
            <w:r w:rsidRPr="0042498F">
              <w:rPr>
                <w:rStyle w:val="Artref"/>
                <w:lang w:val="fr-CH"/>
              </w:rPr>
              <w:t>5.446A</w:t>
            </w:r>
            <w:r w:rsidRPr="0042498F">
              <w:rPr>
                <w:lang w:val="fr-CH"/>
              </w:rPr>
              <w:t xml:space="preserve">  </w:t>
            </w:r>
            <w:r w:rsidRPr="0042498F">
              <w:rPr>
                <w:rStyle w:val="Artref"/>
                <w:lang w:val="fr-CH"/>
              </w:rPr>
              <w:t>5.446B</w:t>
            </w:r>
          </w:p>
          <w:p w14:paraId="42FE17CE" w14:textId="77777777" w:rsidR="001962A2" w:rsidRPr="0042498F" w:rsidRDefault="00714AFE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en-US"/>
              </w:rPr>
              <w:t>AERONAUTICAL RADIONAVIGATION</w:t>
            </w:r>
          </w:p>
          <w:p w14:paraId="28E418B2" w14:textId="77777777" w:rsidR="001962A2" w:rsidRPr="0042498F" w:rsidRDefault="00714AFE" w:rsidP="00130FDA">
            <w:pPr>
              <w:pStyle w:val="TableTextS5"/>
              <w:rPr>
                <w:rStyle w:val="Tablefreq"/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>5.446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5.446C  5.447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5.447B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5.447C</w:t>
            </w:r>
          </w:p>
        </w:tc>
      </w:tr>
    </w:tbl>
    <w:p w14:paraId="3EEF6F61" w14:textId="77777777" w:rsidR="00FA5DC2" w:rsidRDefault="00FA5DC2"/>
    <w:p w14:paraId="0290C392" w14:textId="4E03D7DB" w:rsidR="00FA5DC2" w:rsidRDefault="00714AFE">
      <w:pPr>
        <w:pStyle w:val="Reasons"/>
      </w:pPr>
      <w:r>
        <w:rPr>
          <w:b/>
        </w:rPr>
        <w:t>Reasons:</w:t>
      </w:r>
      <w:r>
        <w:tab/>
      </w:r>
      <w:r w:rsidR="00E80582" w:rsidRPr="00B47912">
        <w:rPr>
          <w:bCs/>
        </w:rPr>
        <w:t xml:space="preserve">ITU-R sharing and compatibility studies have </w:t>
      </w:r>
      <w:r w:rsidR="00E80582">
        <w:rPr>
          <w:bCs/>
        </w:rPr>
        <w:t>not</w:t>
      </w:r>
      <w:r w:rsidR="00E80582" w:rsidRPr="00B47912">
        <w:rPr>
          <w:bCs/>
        </w:rPr>
        <w:t xml:space="preserve"> </w:t>
      </w:r>
      <w:r w:rsidR="00E80582">
        <w:rPr>
          <w:bCs/>
        </w:rPr>
        <w:t>shown</w:t>
      </w:r>
      <w:r w:rsidR="00E80582" w:rsidRPr="00B47912">
        <w:rPr>
          <w:bCs/>
        </w:rPr>
        <w:t xml:space="preserve"> that incumbent services would be adequately protected.</w:t>
      </w:r>
    </w:p>
    <w:p w14:paraId="06AB57AA" w14:textId="77777777" w:rsidR="00FA5DC2" w:rsidRDefault="00714AFE">
      <w:pPr>
        <w:pStyle w:val="Proposal"/>
        <w:rPr>
          <w:rFonts w:hint="eastAsia"/>
        </w:rPr>
      </w:pPr>
      <w:r>
        <w:rPr>
          <w:u w:val="single"/>
        </w:rPr>
        <w:t>NOC</w:t>
      </w:r>
      <w:r>
        <w:tab/>
        <w:t>CHN/28A16/2</w:t>
      </w:r>
      <w:r>
        <w:rPr>
          <w:vanish/>
          <w:color w:val="7F7F7F" w:themeColor="text1" w:themeTint="80"/>
          <w:vertAlign w:val="superscript"/>
        </w:rPr>
        <w:t>#49956</w:t>
      </w:r>
    </w:p>
    <w:p w14:paraId="764EBAE5" w14:textId="77777777" w:rsidR="001962A2" w:rsidRPr="0042498F" w:rsidRDefault="00714AFE" w:rsidP="00130FDA">
      <w:pPr>
        <w:pStyle w:val="Tabletitle"/>
        <w:rPr>
          <w:rFonts w:hint="eastAsia"/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4AC48BCE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E57B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0CB09515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43BCB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6D267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2BCC4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1E8AA752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53ECFD" w14:textId="77777777" w:rsidR="001962A2" w:rsidRPr="0042498F" w:rsidRDefault="00714AFE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5 250-5 255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47B7A61D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MOBILE 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14:paraId="6B6C7848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3B4F4284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SPACE RESEARCH  </w:t>
            </w:r>
            <w:r w:rsidRPr="0042498F">
              <w:rPr>
                <w:rStyle w:val="Artref"/>
                <w:color w:val="000000"/>
                <w:lang w:val="en-US"/>
              </w:rPr>
              <w:t>5.447D</w:t>
            </w:r>
          </w:p>
          <w:p w14:paraId="6AB78C34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  <w:tr w:rsidR="001962A2" w:rsidRPr="0042498F" w14:paraId="2FD71A0E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501" w14:textId="77777777" w:rsidR="001962A2" w:rsidRPr="0042498F" w:rsidRDefault="00714AFE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5 255-5 350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1BC9B464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>MOBILE</w:t>
            </w:r>
            <w:r w:rsidRPr="0042498F">
              <w:rPr>
                <w:lang w:val="en-US"/>
              </w:rPr>
              <w:t xml:space="preserve"> </w:t>
            </w:r>
            <w:r w:rsidRPr="0042498F">
              <w:rPr>
                <w:color w:val="000000"/>
                <w:lang w:val="en-US"/>
              </w:rPr>
              <w:t xml:space="preserve">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14:paraId="241A2FAE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1BA3E767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 RESEARCH (active)</w:t>
            </w:r>
          </w:p>
          <w:p w14:paraId="79F10EF1" w14:textId="77777777" w:rsidR="001962A2" w:rsidRPr="0042498F" w:rsidRDefault="00714AFE" w:rsidP="00130FD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</w:tbl>
    <w:p w14:paraId="6A0F5124" w14:textId="77777777" w:rsidR="00FA5DC2" w:rsidRDefault="00FA5DC2"/>
    <w:p w14:paraId="68A8CBE9" w14:textId="79720076" w:rsidR="00FA5DC2" w:rsidRDefault="00714AFE">
      <w:pPr>
        <w:pStyle w:val="Reasons"/>
      </w:pPr>
      <w:r>
        <w:rPr>
          <w:b/>
        </w:rPr>
        <w:t>Reasons:</w:t>
      </w:r>
      <w:r>
        <w:tab/>
      </w:r>
      <w:r w:rsidR="00E80582" w:rsidRPr="00B47912">
        <w:rPr>
          <w:bCs/>
        </w:rPr>
        <w:t>ITU-R sharing and compatibility studies have failed to confirm that incumbent services would be adequately protected.</w:t>
      </w:r>
    </w:p>
    <w:p w14:paraId="2EA390D2" w14:textId="77777777" w:rsidR="00FA5DC2" w:rsidRDefault="00714AFE">
      <w:pPr>
        <w:pStyle w:val="Proposal"/>
        <w:rPr>
          <w:rFonts w:hint="eastAsia"/>
        </w:rPr>
      </w:pPr>
      <w:r>
        <w:rPr>
          <w:u w:val="single"/>
        </w:rPr>
        <w:lastRenderedPageBreak/>
        <w:t>NOC</w:t>
      </w:r>
      <w:r>
        <w:tab/>
        <w:t>CHN/28A16/3</w:t>
      </w:r>
      <w:r>
        <w:rPr>
          <w:vanish/>
          <w:color w:val="7F7F7F" w:themeColor="text1" w:themeTint="80"/>
          <w:vertAlign w:val="superscript"/>
        </w:rPr>
        <w:t>#49957</w:t>
      </w:r>
    </w:p>
    <w:p w14:paraId="53F7A6B3" w14:textId="77777777" w:rsidR="001962A2" w:rsidRPr="0042498F" w:rsidRDefault="00714AFE" w:rsidP="00130FDA">
      <w:pPr>
        <w:pStyle w:val="Tabletitle"/>
        <w:rPr>
          <w:rFonts w:hint="eastAsia"/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785B711C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2F5C5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5C19E0C8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4A9D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E4439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C1AB8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55F8F278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2D9F" w14:textId="77777777" w:rsidR="001962A2" w:rsidRPr="0042498F" w:rsidRDefault="00714AFE" w:rsidP="00130FDA">
            <w:pPr>
              <w:pStyle w:val="TableTextS5"/>
              <w:spacing w:before="60" w:after="60" w:line="210" w:lineRule="exact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5 350-5 460</w:t>
            </w:r>
            <w:r w:rsidRPr="0042498F">
              <w:rPr>
                <w:color w:val="000000"/>
                <w:lang w:val="en-US"/>
              </w:rPr>
              <w:tab/>
              <w:t xml:space="preserve">EARTH EXPLORATION-SATELLITE (active)  </w:t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  <w:p w14:paraId="5ED02C37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lang w:val="en-US"/>
              </w:rPr>
              <w:t>RADIOLOCATION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14:paraId="733D12B1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AERONAUTICAL 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14:paraId="090312E8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SPACE RESEARCH (active)  </w:t>
            </w:r>
            <w:r w:rsidRPr="0042498F">
              <w:rPr>
                <w:rStyle w:val="Artref"/>
                <w:color w:val="000000"/>
                <w:lang w:val="en-US"/>
              </w:rPr>
              <w:t>5.448C</w:t>
            </w:r>
          </w:p>
        </w:tc>
      </w:tr>
      <w:tr w:rsidR="001962A2" w:rsidRPr="0042498F" w14:paraId="4FD5948E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DB88" w14:textId="77777777" w:rsidR="001962A2" w:rsidRPr="0042498F" w:rsidRDefault="00714AFE" w:rsidP="00130FDA">
            <w:pPr>
              <w:pStyle w:val="TableTextS5"/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5 460-5 470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6644C67F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RADIOLOCATION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14:paraId="777FEB06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14:paraId="01682CCF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</w:t>
            </w:r>
            <w:r w:rsidRPr="0042498F">
              <w:rPr>
                <w:lang w:val="en-US"/>
              </w:rPr>
              <w:t xml:space="preserve"> RESEARCH (active)</w:t>
            </w:r>
          </w:p>
          <w:p w14:paraId="148BBCC5" w14:textId="77777777" w:rsidR="001962A2" w:rsidRPr="0042498F" w:rsidRDefault="00714AFE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</w:tc>
      </w:tr>
    </w:tbl>
    <w:p w14:paraId="4FB0D966" w14:textId="77777777" w:rsidR="00FA5DC2" w:rsidRDefault="00FA5DC2"/>
    <w:p w14:paraId="4E90FD10" w14:textId="02E80A6D" w:rsidR="00FA5DC2" w:rsidRDefault="00714AFE">
      <w:pPr>
        <w:pStyle w:val="Reasons"/>
      </w:pPr>
      <w:r>
        <w:rPr>
          <w:b/>
        </w:rPr>
        <w:t>Reasons:</w:t>
      </w:r>
      <w:r>
        <w:tab/>
      </w:r>
      <w:r w:rsidR="00E80582" w:rsidRPr="00B47912">
        <w:rPr>
          <w:bCs/>
        </w:rPr>
        <w:t>ITU-R sharing and compatibility studies have failed to confirm that incumbent services would be adequately protected.</w:t>
      </w:r>
    </w:p>
    <w:p w14:paraId="2B4934F1" w14:textId="77777777" w:rsidR="00FA5DC2" w:rsidRDefault="00714AFE">
      <w:pPr>
        <w:pStyle w:val="Proposal"/>
        <w:rPr>
          <w:rFonts w:hint="eastAsia"/>
        </w:rPr>
      </w:pPr>
      <w:r>
        <w:rPr>
          <w:u w:val="single"/>
        </w:rPr>
        <w:t>NOC</w:t>
      </w:r>
      <w:r>
        <w:tab/>
        <w:t>CHN/28A16/4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3280CB22" w14:textId="77777777" w:rsidR="001962A2" w:rsidRPr="0042498F" w:rsidRDefault="00714AFE" w:rsidP="00130FDA">
      <w:pPr>
        <w:pStyle w:val="Tabletitle"/>
        <w:rPr>
          <w:rFonts w:hint="eastAsia"/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48E5E01E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9911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2306D37F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D3A88E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F61845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0DC9E2" w14:textId="77777777" w:rsidR="001962A2" w:rsidRPr="0042498F" w:rsidRDefault="00714AFE" w:rsidP="00130FDA">
            <w:pPr>
              <w:pStyle w:val="Tablehead"/>
              <w:rPr>
                <w:rFonts w:hint="eastAsia"/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0BA662CF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EC744B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25365430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30488157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6896C084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6486F4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7D9A3A45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20BA5E2E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28BBE0F5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14:paraId="4AB1CD1A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14:paraId="22163DD5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4ED09F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4CA63F19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20CF8C08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 xml:space="preserve">FIXED-SATELLITE 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553BE29A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14:paraId="757103A9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</w:tr>
      <w:tr w:rsidR="001962A2" w:rsidRPr="0042498F" w14:paraId="61A9B66F" w14:textId="77777777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94EC8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00F3F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5AD64" w14:textId="77777777" w:rsidR="001962A2" w:rsidRPr="0042498F" w:rsidRDefault="00714AFE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</w:tr>
    </w:tbl>
    <w:p w14:paraId="46C8A9C0" w14:textId="77777777" w:rsidR="00FA5DC2" w:rsidRDefault="00FA5DC2"/>
    <w:p w14:paraId="1B24F408" w14:textId="7A10CB1E" w:rsidR="00FA5DC2" w:rsidRDefault="00714AFE">
      <w:pPr>
        <w:pStyle w:val="Reasons"/>
      </w:pPr>
      <w:r>
        <w:rPr>
          <w:b/>
        </w:rPr>
        <w:t>Reasons:</w:t>
      </w:r>
      <w:r>
        <w:tab/>
      </w:r>
      <w:r w:rsidR="00E80582" w:rsidRPr="00B47912">
        <w:rPr>
          <w:bCs/>
        </w:rPr>
        <w:t>ITU-R sharing and compatibility studies have failed to confirm that incumbent services would be adequately protected.</w:t>
      </w:r>
    </w:p>
    <w:p w14:paraId="73B2A31B" w14:textId="77777777" w:rsidR="00FA5DC2" w:rsidRDefault="00714AFE">
      <w:pPr>
        <w:pStyle w:val="Proposal"/>
        <w:rPr>
          <w:rFonts w:hint="eastAsia"/>
        </w:rPr>
      </w:pPr>
      <w:r>
        <w:t>SUP</w:t>
      </w:r>
      <w:r>
        <w:tab/>
        <w:t>CHN/28A16/5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27283899" w14:textId="77777777" w:rsidR="001962A2" w:rsidRPr="0042498F" w:rsidRDefault="00714AFE" w:rsidP="00130FDA">
      <w:pPr>
        <w:pStyle w:val="ResNo"/>
        <w:rPr>
          <w:lang w:val="en-US"/>
        </w:rPr>
      </w:pPr>
      <w:bookmarkStart w:id="11" w:name="_Toc450048694"/>
      <w:r w:rsidRPr="0042498F">
        <w:rPr>
          <w:lang w:val="en-US"/>
        </w:rPr>
        <w:t xml:space="preserve">RESOLUTION </w:t>
      </w:r>
      <w:r w:rsidRPr="0042498F">
        <w:rPr>
          <w:rStyle w:val="href"/>
          <w:caps w:val="0"/>
          <w:lang w:val="en-US"/>
        </w:rPr>
        <w:t>239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  <w:bookmarkEnd w:id="11"/>
    </w:p>
    <w:p w14:paraId="4D100DBD" w14:textId="77777777" w:rsidR="001962A2" w:rsidRPr="0042498F" w:rsidRDefault="00714AFE" w:rsidP="00130FDA">
      <w:pPr>
        <w:pStyle w:val="Restitle"/>
        <w:rPr>
          <w:rFonts w:hint="eastAsia"/>
          <w:lang w:val="en-US"/>
        </w:rPr>
      </w:pPr>
      <w:bookmarkStart w:id="12" w:name="_Toc450048695"/>
      <w:r w:rsidRPr="0042498F">
        <w:rPr>
          <w:lang w:val="en-US"/>
        </w:rPr>
        <w:t xml:space="preserve">Studies concerning Wireless Access Systems including radio local </w:t>
      </w:r>
      <w:r w:rsidRPr="0042498F">
        <w:rPr>
          <w:lang w:val="en-US"/>
        </w:rPr>
        <w:br/>
        <w:t xml:space="preserve">area networks in the frequency bands between </w:t>
      </w:r>
      <w:r w:rsidRPr="0042498F">
        <w:rPr>
          <w:lang w:val="en-US"/>
        </w:rPr>
        <w:br/>
        <w:t>5 150 MHz and 5 925 MHz</w:t>
      </w:r>
      <w:bookmarkEnd w:id="12"/>
    </w:p>
    <w:p w14:paraId="7BEBE26C" w14:textId="4F15D62C" w:rsidR="00FA5DC2" w:rsidRDefault="00714AFE">
      <w:pPr>
        <w:pStyle w:val="Reasons"/>
        <w:rPr>
          <w:bCs/>
        </w:rPr>
      </w:pPr>
      <w:r>
        <w:rPr>
          <w:b/>
        </w:rPr>
        <w:t>Reasons:</w:t>
      </w:r>
      <w:r>
        <w:tab/>
      </w:r>
      <w:r w:rsidR="00E80582" w:rsidRPr="00B47912">
        <w:rPr>
          <w:bCs/>
        </w:rPr>
        <w:t xml:space="preserve">No longer needed </w:t>
      </w:r>
      <w:r w:rsidR="00B4387A">
        <w:rPr>
          <w:bCs/>
        </w:rPr>
        <w:t>af</w:t>
      </w:r>
      <w:r w:rsidR="00E80582" w:rsidRPr="00B47912">
        <w:rPr>
          <w:bCs/>
        </w:rPr>
        <w:t>t</w:t>
      </w:r>
      <w:r w:rsidR="00B4387A">
        <w:rPr>
          <w:bCs/>
        </w:rPr>
        <w:t>er</w:t>
      </w:r>
      <w:r w:rsidR="00E80582" w:rsidRPr="00B47912">
        <w:rPr>
          <w:bCs/>
        </w:rPr>
        <w:t xml:space="preserve"> WRC-19</w:t>
      </w:r>
      <w:r w:rsidR="00E80582">
        <w:rPr>
          <w:bCs/>
        </w:rPr>
        <w:t>.</w:t>
      </w:r>
    </w:p>
    <w:p w14:paraId="3DC2892C" w14:textId="77777777" w:rsidR="00F01F59" w:rsidRDefault="00F01F59" w:rsidP="00F01F59"/>
    <w:p w14:paraId="6B153E77" w14:textId="77777777" w:rsidR="00F01F59" w:rsidRDefault="00F01F59">
      <w:pPr>
        <w:jc w:val="center"/>
      </w:pPr>
      <w:r>
        <w:t>______________</w:t>
      </w:r>
    </w:p>
    <w:sectPr w:rsidR="00F01F5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0C5E" w14:textId="77777777" w:rsidR="00AE514B" w:rsidRDefault="00AE514B">
      <w:r>
        <w:separator/>
      </w:r>
    </w:p>
  </w:endnote>
  <w:endnote w:type="continuationSeparator" w:id="0">
    <w:p w14:paraId="306090E2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4F8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F22565" w14:textId="3A391BD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701">
      <w:rPr>
        <w:noProof/>
        <w:lang w:val="en-US"/>
      </w:rPr>
      <w:t>X:\SG\C&amp;P\LING-C to LING-E\WRC19&amp;RA19\028ADD16E(461518).docx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5F5F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701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8EDE" w14:textId="0040C7D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5885">
      <w:rPr>
        <w:lang w:val="en-US"/>
      </w:rPr>
      <w:t>P:\ENG\ITU-R\CONF-R\CMR19\000\028ADD16E.docx</w:t>
    </w:r>
    <w:r>
      <w:fldChar w:fldCharType="end"/>
    </w:r>
    <w:r w:rsidR="005D5885">
      <w:t xml:space="preserve"> (461518)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58B6" w14:textId="41454713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5885">
      <w:rPr>
        <w:lang w:val="en-US"/>
      </w:rPr>
      <w:t>P:\ENG\ITU-R\CONF-R\CMR19\000\028ADD16E.docx</w:t>
    </w:r>
    <w:r>
      <w:fldChar w:fldCharType="end"/>
    </w:r>
    <w:r w:rsidR="005D5885">
      <w:t xml:space="preserve"> (461518)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17F7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7C2282C7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DEC0" w14:textId="4F43DEA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25F5F">
      <w:rPr>
        <w:noProof/>
      </w:rPr>
      <w:t>2</w:t>
    </w:r>
    <w:r>
      <w:fldChar w:fldCharType="end"/>
    </w:r>
  </w:p>
  <w:p w14:paraId="1BE13BED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28(Add.16)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5F5F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1701"/>
    <w:rsid w:val="004F3DC0"/>
    <w:rsid w:val="0050139F"/>
    <w:rsid w:val="0055140B"/>
    <w:rsid w:val="005964AB"/>
    <w:rsid w:val="005C099A"/>
    <w:rsid w:val="005C31A5"/>
    <w:rsid w:val="005D588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19EC"/>
    <w:rsid w:val="00685313"/>
    <w:rsid w:val="00692833"/>
    <w:rsid w:val="006A6E9B"/>
    <w:rsid w:val="006B7C2A"/>
    <w:rsid w:val="006C23DA"/>
    <w:rsid w:val="006E3D45"/>
    <w:rsid w:val="0070607A"/>
    <w:rsid w:val="007149F9"/>
    <w:rsid w:val="00714AFE"/>
    <w:rsid w:val="00733A30"/>
    <w:rsid w:val="00745AEE"/>
    <w:rsid w:val="00750F10"/>
    <w:rsid w:val="007742CA"/>
    <w:rsid w:val="007907F0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2B00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AF6AD5"/>
    <w:rsid w:val="00B40888"/>
    <w:rsid w:val="00B4387A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80582"/>
    <w:rsid w:val="00E976C1"/>
    <w:rsid w:val="00EA12E5"/>
    <w:rsid w:val="00EB55C6"/>
    <w:rsid w:val="00EF1932"/>
    <w:rsid w:val="00EF71B6"/>
    <w:rsid w:val="00F01F59"/>
    <w:rsid w:val="00F02766"/>
    <w:rsid w:val="00F05BD4"/>
    <w:rsid w:val="00F06473"/>
    <w:rsid w:val="00F6155B"/>
    <w:rsid w:val="00F65C19"/>
    <w:rsid w:val="00FA5DC2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326D3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R16-WRC19-C-0028!A16!MSW-E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DD38A-577E-4655-8F2E-94A45E74323C}">
  <ds:schemaRefs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BDA1DA-A2AB-4564-8C29-0523CB0410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A9AB4D-FA11-4A65-BF41-323C165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R16-WRC19-C-0028!A16!MSW-E</vt:lpstr>
    </vt:vector>
  </TitlesOfParts>
  <Manager>General Secretariat - Pool</Manager>
  <Company>International Telecommunication Union (ITU)</Company>
  <LinksUpToDate>false</LinksUpToDate>
  <CharactersWithSpaces>4534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R16-WRC19-C-0028!A16!MSW-E</dc:title>
  <dc:subject>World Radiocommunication Conference - 2019</dc:subject>
  <dc:creator>Documents Proposals Manager (DPM)</dc:creator>
  <cp:keywords>DPM_v2019.9.25.1_prod</cp:keywords>
  <dc:description>Uploaded on 2015.07.06</dc:description>
  <cp:lastModifiedBy>Ferrer, Jacqueline</cp:lastModifiedBy>
  <cp:revision>2</cp:revision>
  <cp:lastPrinted>2019-10-09T15:14:00Z</cp:lastPrinted>
  <dcterms:created xsi:type="dcterms:W3CDTF">2019-10-17T08:02:00Z</dcterms:created>
  <dcterms:modified xsi:type="dcterms:W3CDTF">2019-10-17T08:02:00Z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