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0088F" w14:paraId="32472EC9" w14:textId="77777777" w:rsidTr="002151C3">
        <w:trPr>
          <w:cantSplit/>
        </w:trPr>
        <w:tc>
          <w:tcPr>
            <w:tcW w:w="6911" w:type="dxa"/>
          </w:tcPr>
          <w:p w14:paraId="33625986" w14:textId="77777777" w:rsidR="00BB1D82" w:rsidRPr="00E0088F" w:rsidRDefault="00851625" w:rsidP="006C5A84">
            <w:pPr>
              <w:spacing w:before="400" w:after="48"/>
              <w:rPr>
                <w:rFonts w:ascii="Verdana" w:hAnsi="Verdana"/>
                <w:b/>
                <w:bCs/>
                <w:sz w:val="20"/>
                <w:lang w:val="fr-CH"/>
              </w:rPr>
            </w:pPr>
            <w:r w:rsidRPr="00E0088F">
              <w:rPr>
                <w:rFonts w:ascii="Verdana" w:hAnsi="Verdana"/>
                <w:b/>
                <w:bCs/>
                <w:sz w:val="20"/>
                <w:lang w:val="fr-CH"/>
              </w:rPr>
              <w:t>Conférence mondiale des radiocommunications (CMR-1</w:t>
            </w:r>
            <w:r w:rsidR="00FD7AA3" w:rsidRPr="00E0088F">
              <w:rPr>
                <w:rFonts w:ascii="Verdana" w:hAnsi="Verdana"/>
                <w:b/>
                <w:bCs/>
                <w:sz w:val="20"/>
                <w:lang w:val="fr-CH"/>
              </w:rPr>
              <w:t>9</w:t>
            </w:r>
            <w:r w:rsidRPr="00E0088F">
              <w:rPr>
                <w:rFonts w:ascii="Verdana" w:hAnsi="Verdana"/>
                <w:b/>
                <w:bCs/>
                <w:sz w:val="20"/>
                <w:lang w:val="fr-CH"/>
              </w:rPr>
              <w:t>)</w:t>
            </w:r>
            <w:r w:rsidRPr="00E0088F">
              <w:rPr>
                <w:rFonts w:ascii="Verdana" w:hAnsi="Verdana"/>
                <w:b/>
                <w:bCs/>
                <w:sz w:val="20"/>
                <w:lang w:val="fr-CH"/>
              </w:rPr>
              <w:br/>
            </w:r>
            <w:r w:rsidR="00063A1F" w:rsidRPr="00E0088F">
              <w:rPr>
                <w:rFonts w:ascii="Verdana" w:hAnsi="Verdana"/>
                <w:b/>
                <w:bCs/>
                <w:sz w:val="18"/>
                <w:szCs w:val="18"/>
                <w:lang w:val="fr-CH"/>
              </w:rPr>
              <w:t xml:space="preserve">Charm el-Cheikh, </w:t>
            </w:r>
            <w:r w:rsidR="00081366" w:rsidRPr="00E0088F">
              <w:rPr>
                <w:rFonts w:ascii="Verdana" w:hAnsi="Verdana"/>
                <w:b/>
                <w:bCs/>
                <w:sz w:val="18"/>
                <w:szCs w:val="18"/>
                <w:lang w:val="fr-CH"/>
              </w:rPr>
              <w:t>É</w:t>
            </w:r>
            <w:r w:rsidR="00063A1F" w:rsidRPr="00E0088F">
              <w:rPr>
                <w:rFonts w:ascii="Verdana" w:hAnsi="Verdana"/>
                <w:b/>
                <w:bCs/>
                <w:sz w:val="18"/>
                <w:szCs w:val="18"/>
                <w:lang w:val="fr-CH"/>
              </w:rPr>
              <w:t>gypte</w:t>
            </w:r>
            <w:r w:rsidRPr="00E0088F">
              <w:rPr>
                <w:rFonts w:ascii="Verdana" w:hAnsi="Verdana"/>
                <w:b/>
                <w:bCs/>
                <w:sz w:val="18"/>
                <w:szCs w:val="18"/>
                <w:lang w:val="fr-CH"/>
              </w:rPr>
              <w:t>,</w:t>
            </w:r>
            <w:r w:rsidR="00E537FF" w:rsidRPr="00E0088F">
              <w:rPr>
                <w:rFonts w:ascii="Verdana" w:hAnsi="Verdana"/>
                <w:b/>
                <w:bCs/>
                <w:sz w:val="18"/>
                <w:szCs w:val="18"/>
                <w:lang w:val="fr-CH"/>
              </w:rPr>
              <w:t xml:space="preserve"> </w:t>
            </w:r>
            <w:r w:rsidRPr="00E0088F">
              <w:rPr>
                <w:rFonts w:ascii="Verdana" w:hAnsi="Verdana"/>
                <w:b/>
                <w:bCs/>
                <w:sz w:val="18"/>
                <w:szCs w:val="18"/>
                <w:lang w:val="fr-CH"/>
              </w:rPr>
              <w:t>2</w:t>
            </w:r>
            <w:r w:rsidR="00FD7AA3" w:rsidRPr="00E0088F">
              <w:rPr>
                <w:rFonts w:ascii="Verdana" w:hAnsi="Verdana"/>
                <w:b/>
                <w:bCs/>
                <w:sz w:val="18"/>
                <w:szCs w:val="18"/>
                <w:lang w:val="fr-CH"/>
              </w:rPr>
              <w:t xml:space="preserve">8 octobre </w:t>
            </w:r>
            <w:r w:rsidR="00F10064" w:rsidRPr="00E0088F">
              <w:rPr>
                <w:rFonts w:ascii="Verdana" w:hAnsi="Verdana"/>
                <w:b/>
                <w:bCs/>
                <w:sz w:val="18"/>
                <w:szCs w:val="18"/>
                <w:lang w:val="fr-CH"/>
              </w:rPr>
              <w:t>–</w:t>
            </w:r>
            <w:r w:rsidR="00FD7AA3" w:rsidRPr="00E0088F">
              <w:rPr>
                <w:rFonts w:ascii="Verdana" w:hAnsi="Verdana"/>
                <w:b/>
                <w:bCs/>
                <w:sz w:val="18"/>
                <w:szCs w:val="18"/>
                <w:lang w:val="fr-CH"/>
              </w:rPr>
              <w:t xml:space="preserve"> </w:t>
            </w:r>
            <w:r w:rsidRPr="00E0088F">
              <w:rPr>
                <w:rFonts w:ascii="Verdana" w:hAnsi="Verdana"/>
                <w:b/>
                <w:bCs/>
                <w:sz w:val="18"/>
                <w:szCs w:val="18"/>
                <w:lang w:val="fr-CH"/>
              </w:rPr>
              <w:t>2</w:t>
            </w:r>
            <w:r w:rsidR="00FD7AA3" w:rsidRPr="00E0088F">
              <w:rPr>
                <w:rFonts w:ascii="Verdana" w:hAnsi="Verdana"/>
                <w:b/>
                <w:bCs/>
                <w:sz w:val="18"/>
                <w:szCs w:val="18"/>
                <w:lang w:val="fr-CH"/>
              </w:rPr>
              <w:t>2</w:t>
            </w:r>
            <w:r w:rsidRPr="00E0088F">
              <w:rPr>
                <w:rFonts w:ascii="Verdana" w:hAnsi="Verdana"/>
                <w:b/>
                <w:bCs/>
                <w:sz w:val="18"/>
                <w:szCs w:val="18"/>
                <w:lang w:val="fr-CH"/>
              </w:rPr>
              <w:t xml:space="preserve"> novembre 201</w:t>
            </w:r>
            <w:r w:rsidR="00FD7AA3" w:rsidRPr="00E0088F">
              <w:rPr>
                <w:rFonts w:ascii="Verdana" w:hAnsi="Verdana"/>
                <w:b/>
                <w:bCs/>
                <w:sz w:val="18"/>
                <w:szCs w:val="18"/>
                <w:lang w:val="fr-CH"/>
              </w:rPr>
              <w:t>9</w:t>
            </w:r>
          </w:p>
        </w:tc>
        <w:tc>
          <w:tcPr>
            <w:tcW w:w="3120" w:type="dxa"/>
          </w:tcPr>
          <w:p w14:paraId="5F1135BB" w14:textId="77777777" w:rsidR="00BB1D82" w:rsidRPr="00E0088F" w:rsidRDefault="000A55AE" w:rsidP="006C5A84">
            <w:pPr>
              <w:spacing w:before="0"/>
              <w:jc w:val="right"/>
              <w:rPr>
                <w:lang w:val="fr-CH"/>
              </w:rPr>
            </w:pPr>
            <w:bookmarkStart w:id="0" w:name="ditulogo"/>
            <w:bookmarkEnd w:id="0"/>
            <w:r w:rsidRPr="00E0088F">
              <w:rPr>
                <w:rFonts w:ascii="Verdana" w:hAnsi="Verdana"/>
                <w:b/>
                <w:bCs/>
                <w:noProof/>
                <w:lang w:val="fr-CH" w:eastAsia="zh-CN"/>
              </w:rPr>
              <w:drawing>
                <wp:inline distT="0" distB="0" distL="0" distR="0" wp14:anchorId="15DE5760" wp14:editId="0DCAC5F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0088F" w14:paraId="171C2563" w14:textId="77777777" w:rsidTr="002151C3">
        <w:trPr>
          <w:cantSplit/>
        </w:trPr>
        <w:tc>
          <w:tcPr>
            <w:tcW w:w="6911" w:type="dxa"/>
            <w:tcBorders>
              <w:bottom w:val="single" w:sz="12" w:space="0" w:color="auto"/>
            </w:tcBorders>
          </w:tcPr>
          <w:p w14:paraId="6FDAA56A" w14:textId="77777777" w:rsidR="00BB1D82" w:rsidRPr="00E0088F" w:rsidRDefault="00BB1D82" w:rsidP="006C5A84">
            <w:pPr>
              <w:spacing w:before="0" w:after="48"/>
              <w:rPr>
                <w:b/>
                <w:smallCaps/>
                <w:szCs w:val="24"/>
                <w:lang w:val="fr-CH"/>
              </w:rPr>
            </w:pPr>
            <w:bookmarkStart w:id="1" w:name="dhead"/>
          </w:p>
        </w:tc>
        <w:tc>
          <w:tcPr>
            <w:tcW w:w="3120" w:type="dxa"/>
            <w:tcBorders>
              <w:bottom w:val="single" w:sz="12" w:space="0" w:color="auto"/>
            </w:tcBorders>
          </w:tcPr>
          <w:p w14:paraId="3208CFE4" w14:textId="77777777" w:rsidR="00BB1D82" w:rsidRPr="00E0088F" w:rsidRDefault="00BB1D82" w:rsidP="006C5A84">
            <w:pPr>
              <w:spacing w:before="0"/>
              <w:rPr>
                <w:rFonts w:ascii="Verdana" w:hAnsi="Verdana"/>
                <w:szCs w:val="24"/>
                <w:lang w:val="fr-CH"/>
              </w:rPr>
            </w:pPr>
          </w:p>
        </w:tc>
      </w:tr>
      <w:tr w:rsidR="00BB1D82" w:rsidRPr="00E0088F" w14:paraId="166C7878" w14:textId="77777777" w:rsidTr="00BB1D82">
        <w:trPr>
          <w:cantSplit/>
        </w:trPr>
        <w:tc>
          <w:tcPr>
            <w:tcW w:w="6911" w:type="dxa"/>
            <w:tcBorders>
              <w:top w:val="single" w:sz="12" w:space="0" w:color="auto"/>
            </w:tcBorders>
          </w:tcPr>
          <w:p w14:paraId="2DD30C5A" w14:textId="77777777" w:rsidR="00BB1D82" w:rsidRPr="00E0088F" w:rsidRDefault="00BB1D82" w:rsidP="006C5A84">
            <w:pPr>
              <w:spacing w:before="0" w:after="48"/>
              <w:rPr>
                <w:rFonts w:ascii="Verdana" w:hAnsi="Verdana"/>
                <w:b/>
                <w:smallCaps/>
                <w:sz w:val="20"/>
                <w:lang w:val="fr-CH"/>
              </w:rPr>
            </w:pPr>
          </w:p>
        </w:tc>
        <w:tc>
          <w:tcPr>
            <w:tcW w:w="3120" w:type="dxa"/>
            <w:tcBorders>
              <w:top w:val="single" w:sz="12" w:space="0" w:color="auto"/>
            </w:tcBorders>
          </w:tcPr>
          <w:p w14:paraId="148D93D1" w14:textId="77777777" w:rsidR="00BB1D82" w:rsidRPr="00E0088F" w:rsidRDefault="00BB1D82" w:rsidP="006C5A84">
            <w:pPr>
              <w:spacing w:before="0"/>
              <w:rPr>
                <w:rFonts w:ascii="Verdana" w:hAnsi="Verdana"/>
                <w:sz w:val="20"/>
                <w:lang w:val="fr-CH"/>
              </w:rPr>
            </w:pPr>
          </w:p>
        </w:tc>
      </w:tr>
      <w:tr w:rsidR="00BB1D82" w:rsidRPr="00E0088F" w14:paraId="3ADF4242" w14:textId="77777777" w:rsidTr="00BB1D82">
        <w:trPr>
          <w:cantSplit/>
        </w:trPr>
        <w:tc>
          <w:tcPr>
            <w:tcW w:w="6911" w:type="dxa"/>
          </w:tcPr>
          <w:p w14:paraId="5A564844" w14:textId="77777777" w:rsidR="00BB1D82" w:rsidRPr="00E0088F" w:rsidRDefault="006D4724" w:rsidP="006C5A84">
            <w:pPr>
              <w:spacing w:before="0"/>
              <w:rPr>
                <w:rFonts w:ascii="Verdana" w:hAnsi="Verdana"/>
                <w:b/>
                <w:sz w:val="20"/>
                <w:lang w:val="fr-CH"/>
              </w:rPr>
            </w:pPr>
            <w:r w:rsidRPr="00E0088F">
              <w:rPr>
                <w:rFonts w:ascii="Verdana" w:hAnsi="Verdana"/>
                <w:b/>
                <w:sz w:val="20"/>
                <w:lang w:val="fr-CH"/>
              </w:rPr>
              <w:t>SÉANCE PLÉNIÈRE</w:t>
            </w:r>
          </w:p>
        </w:tc>
        <w:tc>
          <w:tcPr>
            <w:tcW w:w="3120" w:type="dxa"/>
          </w:tcPr>
          <w:p w14:paraId="3B1F4D24" w14:textId="77777777" w:rsidR="00BB1D82" w:rsidRPr="00E0088F" w:rsidRDefault="006D4724" w:rsidP="006C5A84">
            <w:pPr>
              <w:spacing w:before="0"/>
              <w:rPr>
                <w:rFonts w:ascii="Verdana" w:hAnsi="Verdana"/>
                <w:sz w:val="20"/>
                <w:lang w:val="fr-CH"/>
              </w:rPr>
            </w:pPr>
            <w:r w:rsidRPr="00E0088F">
              <w:rPr>
                <w:rFonts w:ascii="Verdana" w:hAnsi="Verdana"/>
                <w:b/>
                <w:sz w:val="20"/>
                <w:lang w:val="fr-CH"/>
              </w:rPr>
              <w:t>Addendum 18 au</w:t>
            </w:r>
            <w:r w:rsidRPr="00E0088F">
              <w:rPr>
                <w:rFonts w:ascii="Verdana" w:hAnsi="Verdana"/>
                <w:b/>
                <w:sz w:val="20"/>
                <w:lang w:val="fr-CH"/>
              </w:rPr>
              <w:br/>
              <w:t>Document 28</w:t>
            </w:r>
            <w:r w:rsidR="00BB1D82" w:rsidRPr="00E0088F">
              <w:rPr>
                <w:rFonts w:ascii="Verdana" w:hAnsi="Verdana"/>
                <w:b/>
                <w:sz w:val="20"/>
                <w:lang w:val="fr-CH"/>
              </w:rPr>
              <w:t>-</w:t>
            </w:r>
            <w:r w:rsidRPr="00E0088F">
              <w:rPr>
                <w:rFonts w:ascii="Verdana" w:hAnsi="Verdana"/>
                <w:b/>
                <w:sz w:val="20"/>
                <w:lang w:val="fr-CH"/>
              </w:rPr>
              <w:t>F</w:t>
            </w:r>
          </w:p>
        </w:tc>
      </w:tr>
      <w:bookmarkEnd w:id="1"/>
      <w:tr w:rsidR="00690C7B" w:rsidRPr="00E0088F" w14:paraId="420D272C" w14:textId="77777777" w:rsidTr="00BB1D82">
        <w:trPr>
          <w:cantSplit/>
        </w:trPr>
        <w:tc>
          <w:tcPr>
            <w:tcW w:w="6911" w:type="dxa"/>
          </w:tcPr>
          <w:p w14:paraId="21FDB233" w14:textId="77777777" w:rsidR="00690C7B" w:rsidRPr="00E0088F" w:rsidRDefault="00690C7B" w:rsidP="006C5A84">
            <w:pPr>
              <w:spacing w:before="0"/>
              <w:rPr>
                <w:rFonts w:ascii="Verdana" w:hAnsi="Verdana"/>
                <w:b/>
                <w:sz w:val="20"/>
                <w:lang w:val="fr-CH"/>
              </w:rPr>
            </w:pPr>
          </w:p>
        </w:tc>
        <w:tc>
          <w:tcPr>
            <w:tcW w:w="3120" w:type="dxa"/>
          </w:tcPr>
          <w:p w14:paraId="1CAA084D" w14:textId="77777777" w:rsidR="00690C7B" w:rsidRPr="00E0088F" w:rsidRDefault="00690C7B" w:rsidP="006C5A84">
            <w:pPr>
              <w:spacing w:before="0"/>
              <w:rPr>
                <w:rFonts w:ascii="Verdana" w:hAnsi="Verdana"/>
                <w:b/>
                <w:sz w:val="20"/>
                <w:lang w:val="fr-CH"/>
              </w:rPr>
            </w:pPr>
            <w:r w:rsidRPr="00E0088F">
              <w:rPr>
                <w:rFonts w:ascii="Verdana" w:hAnsi="Verdana"/>
                <w:b/>
                <w:sz w:val="20"/>
                <w:lang w:val="fr-CH"/>
              </w:rPr>
              <w:t>27 septembre 2019</w:t>
            </w:r>
          </w:p>
        </w:tc>
      </w:tr>
      <w:tr w:rsidR="00690C7B" w:rsidRPr="00E0088F" w14:paraId="73550382" w14:textId="77777777" w:rsidTr="00BB1D82">
        <w:trPr>
          <w:cantSplit/>
        </w:trPr>
        <w:tc>
          <w:tcPr>
            <w:tcW w:w="6911" w:type="dxa"/>
          </w:tcPr>
          <w:p w14:paraId="0DA49B7A" w14:textId="77777777" w:rsidR="00690C7B" w:rsidRPr="00E0088F" w:rsidRDefault="00690C7B" w:rsidP="006C5A84">
            <w:pPr>
              <w:spacing w:before="0" w:after="48"/>
              <w:rPr>
                <w:rFonts w:ascii="Verdana" w:hAnsi="Verdana"/>
                <w:b/>
                <w:smallCaps/>
                <w:sz w:val="20"/>
                <w:lang w:val="fr-CH"/>
              </w:rPr>
            </w:pPr>
          </w:p>
        </w:tc>
        <w:tc>
          <w:tcPr>
            <w:tcW w:w="3120" w:type="dxa"/>
          </w:tcPr>
          <w:p w14:paraId="7EED5EA6" w14:textId="77777777" w:rsidR="00690C7B" w:rsidRPr="00E0088F" w:rsidRDefault="00690C7B" w:rsidP="006C5A84">
            <w:pPr>
              <w:spacing w:before="0"/>
              <w:rPr>
                <w:rFonts w:ascii="Verdana" w:hAnsi="Verdana"/>
                <w:b/>
                <w:sz w:val="20"/>
                <w:lang w:val="fr-CH"/>
              </w:rPr>
            </w:pPr>
            <w:r w:rsidRPr="00E0088F">
              <w:rPr>
                <w:rFonts w:ascii="Verdana" w:hAnsi="Verdana"/>
                <w:b/>
                <w:sz w:val="20"/>
                <w:lang w:val="fr-CH"/>
              </w:rPr>
              <w:t>Original: chinois</w:t>
            </w:r>
          </w:p>
        </w:tc>
      </w:tr>
      <w:tr w:rsidR="00690C7B" w:rsidRPr="00E0088F" w14:paraId="5364F743" w14:textId="77777777" w:rsidTr="002151C3">
        <w:trPr>
          <w:cantSplit/>
        </w:trPr>
        <w:tc>
          <w:tcPr>
            <w:tcW w:w="10031" w:type="dxa"/>
            <w:gridSpan w:val="2"/>
          </w:tcPr>
          <w:p w14:paraId="1F748026" w14:textId="77777777" w:rsidR="00690C7B" w:rsidRPr="00E0088F" w:rsidRDefault="00690C7B" w:rsidP="006C5A84">
            <w:pPr>
              <w:spacing w:before="0"/>
              <w:rPr>
                <w:rFonts w:ascii="Verdana" w:hAnsi="Verdana"/>
                <w:b/>
                <w:sz w:val="20"/>
                <w:lang w:val="fr-CH"/>
              </w:rPr>
            </w:pPr>
          </w:p>
        </w:tc>
      </w:tr>
      <w:tr w:rsidR="00690C7B" w:rsidRPr="00E0088F" w14:paraId="280E002B" w14:textId="77777777" w:rsidTr="002151C3">
        <w:trPr>
          <w:cantSplit/>
        </w:trPr>
        <w:tc>
          <w:tcPr>
            <w:tcW w:w="10031" w:type="dxa"/>
            <w:gridSpan w:val="2"/>
          </w:tcPr>
          <w:p w14:paraId="636EADCA" w14:textId="77777777" w:rsidR="00690C7B" w:rsidRPr="00E0088F" w:rsidRDefault="00690C7B" w:rsidP="006C5A84">
            <w:pPr>
              <w:pStyle w:val="Source"/>
              <w:rPr>
                <w:lang w:val="fr-CH"/>
              </w:rPr>
            </w:pPr>
            <w:bookmarkStart w:id="2" w:name="dsource" w:colFirst="0" w:colLast="0"/>
            <w:r w:rsidRPr="00E0088F">
              <w:rPr>
                <w:lang w:val="fr-CH"/>
              </w:rPr>
              <w:t>Chine (République populaire de)</w:t>
            </w:r>
          </w:p>
        </w:tc>
      </w:tr>
      <w:tr w:rsidR="00690C7B" w:rsidRPr="00E0088F" w14:paraId="11BD5F0B" w14:textId="77777777" w:rsidTr="002151C3">
        <w:trPr>
          <w:cantSplit/>
        </w:trPr>
        <w:tc>
          <w:tcPr>
            <w:tcW w:w="10031" w:type="dxa"/>
            <w:gridSpan w:val="2"/>
          </w:tcPr>
          <w:p w14:paraId="3C2926AC" w14:textId="7A76403F" w:rsidR="00690C7B" w:rsidRPr="00E0088F" w:rsidRDefault="002151C3" w:rsidP="006C5A84">
            <w:pPr>
              <w:pStyle w:val="Title1"/>
              <w:rPr>
                <w:lang w:val="fr-CH"/>
              </w:rPr>
            </w:pPr>
            <w:bookmarkStart w:id="3" w:name="dtitle1" w:colFirst="0" w:colLast="0"/>
            <w:bookmarkEnd w:id="2"/>
            <w:r w:rsidRPr="00E0088F">
              <w:rPr>
                <w:lang w:val="fr-CH"/>
              </w:rPr>
              <w:t>PROPOSITIONS POUR LES TRAVAUX DE LA CONFÉRENCE</w:t>
            </w:r>
          </w:p>
        </w:tc>
      </w:tr>
      <w:tr w:rsidR="00690C7B" w:rsidRPr="00E0088F" w14:paraId="2CD41159" w14:textId="77777777" w:rsidTr="002151C3">
        <w:trPr>
          <w:cantSplit/>
        </w:trPr>
        <w:tc>
          <w:tcPr>
            <w:tcW w:w="10031" w:type="dxa"/>
            <w:gridSpan w:val="2"/>
          </w:tcPr>
          <w:p w14:paraId="28F3D235" w14:textId="77777777" w:rsidR="00690C7B" w:rsidRPr="00E0088F" w:rsidRDefault="00690C7B" w:rsidP="006C5A84">
            <w:pPr>
              <w:pStyle w:val="Title2"/>
              <w:rPr>
                <w:lang w:val="fr-CH"/>
              </w:rPr>
            </w:pPr>
            <w:bookmarkStart w:id="4" w:name="dtitle2" w:colFirst="0" w:colLast="0"/>
            <w:bookmarkEnd w:id="3"/>
          </w:p>
        </w:tc>
      </w:tr>
      <w:tr w:rsidR="00690C7B" w:rsidRPr="00E0088F" w14:paraId="4713262F" w14:textId="77777777" w:rsidTr="002151C3">
        <w:trPr>
          <w:cantSplit/>
        </w:trPr>
        <w:tc>
          <w:tcPr>
            <w:tcW w:w="10031" w:type="dxa"/>
            <w:gridSpan w:val="2"/>
          </w:tcPr>
          <w:p w14:paraId="5EAA51DB" w14:textId="77777777" w:rsidR="00690C7B" w:rsidRPr="00E0088F" w:rsidRDefault="00690C7B" w:rsidP="006C5A84">
            <w:pPr>
              <w:pStyle w:val="Agendaitem"/>
            </w:pPr>
            <w:bookmarkStart w:id="5" w:name="dtitle3" w:colFirst="0" w:colLast="0"/>
            <w:bookmarkEnd w:id="4"/>
            <w:r w:rsidRPr="00E0088F">
              <w:t>Point 4 de l'ordre du jour</w:t>
            </w:r>
          </w:p>
        </w:tc>
      </w:tr>
    </w:tbl>
    <w:bookmarkEnd w:id="5"/>
    <w:p w14:paraId="44ACBAEE" w14:textId="273FF936" w:rsidR="002151C3" w:rsidRPr="00E0088F" w:rsidRDefault="002151C3" w:rsidP="006C5A84">
      <w:pPr>
        <w:rPr>
          <w:lang w:val="fr-CH"/>
        </w:rPr>
      </w:pPr>
      <w:r w:rsidRPr="00E0088F">
        <w:rPr>
          <w:lang w:val="fr-CH"/>
        </w:rPr>
        <w:t>4</w:t>
      </w:r>
      <w:r w:rsidRPr="00E0088F">
        <w:rPr>
          <w:lang w:val="fr-CH"/>
        </w:rPr>
        <w:tab/>
        <w:t xml:space="preserve">conformément à la Résolution </w:t>
      </w:r>
      <w:r w:rsidRPr="00E0088F">
        <w:rPr>
          <w:b/>
          <w:bCs/>
          <w:lang w:val="fr-CH"/>
        </w:rPr>
        <w:t>95 (Rév.CMR-07)</w:t>
      </w:r>
      <w:r w:rsidRPr="00E0088F">
        <w:rPr>
          <w:lang w:val="fr-CH"/>
        </w:rPr>
        <w:t>, examiner les résolutions et recommandations des conférences précédentes en vue, le cas échéant, de les réviser, de les remplacer ou de les supprimer</w:t>
      </w:r>
      <w:r w:rsidR="00951B68" w:rsidRPr="00E0088F">
        <w:rPr>
          <w:lang w:val="fr-CH"/>
        </w:rPr>
        <w:t>.</w:t>
      </w:r>
    </w:p>
    <w:p w14:paraId="318C1ED8" w14:textId="77777777" w:rsidR="003A583E" w:rsidRPr="00E0088F" w:rsidRDefault="003A583E" w:rsidP="006C5A84">
      <w:pPr>
        <w:rPr>
          <w:lang w:val="fr-CH"/>
        </w:rPr>
      </w:pPr>
    </w:p>
    <w:p w14:paraId="67880AE6" w14:textId="77777777" w:rsidR="0015203F" w:rsidRPr="00E0088F" w:rsidRDefault="0015203F" w:rsidP="006C5A84">
      <w:pPr>
        <w:tabs>
          <w:tab w:val="clear" w:pos="1134"/>
          <w:tab w:val="clear" w:pos="1871"/>
          <w:tab w:val="clear" w:pos="2268"/>
        </w:tabs>
        <w:overflowPunct/>
        <w:autoSpaceDE/>
        <w:autoSpaceDN/>
        <w:adjustRightInd/>
        <w:spacing w:before="0"/>
        <w:textAlignment w:val="auto"/>
        <w:rPr>
          <w:lang w:val="fr-CH"/>
        </w:rPr>
      </w:pPr>
      <w:r w:rsidRPr="00E0088F">
        <w:rPr>
          <w:lang w:val="fr-CH"/>
        </w:rPr>
        <w:br w:type="page"/>
      </w:r>
    </w:p>
    <w:p w14:paraId="34C88A38" w14:textId="77777777" w:rsidR="002D0FD7" w:rsidRPr="00E0088F" w:rsidRDefault="002151C3" w:rsidP="006C5A84">
      <w:pPr>
        <w:pStyle w:val="Proposal"/>
        <w:rPr>
          <w:lang w:val="fr-CH"/>
        </w:rPr>
      </w:pPr>
      <w:r w:rsidRPr="00E0088F">
        <w:rPr>
          <w:lang w:val="fr-CH"/>
        </w:rPr>
        <w:lastRenderedPageBreak/>
        <w:tab/>
        <w:t>CHN/28A18/1</w:t>
      </w:r>
    </w:p>
    <w:p w14:paraId="0F4CF1A1" w14:textId="01F64873" w:rsidR="002D0FD7" w:rsidRPr="00E0088F" w:rsidRDefault="000E1B59" w:rsidP="006C5A84">
      <w:pPr>
        <w:rPr>
          <w:lang w:val="fr-CH"/>
        </w:rPr>
      </w:pPr>
      <w:r w:rsidRPr="00E0088F">
        <w:rPr>
          <w:lang w:val="fr-CH"/>
        </w:rPr>
        <w:tab/>
      </w:r>
      <w:r w:rsidR="000C2346" w:rsidRPr="00E0088F">
        <w:rPr>
          <w:lang w:val="fr-CH"/>
        </w:rPr>
        <w:t>Étant donné que l'APG19 a achevé l</w:t>
      </w:r>
      <w:r w:rsidR="006C5A84" w:rsidRPr="00E0088F">
        <w:rPr>
          <w:lang w:val="fr-CH"/>
        </w:rPr>
        <w:t>'</w:t>
      </w:r>
      <w:r w:rsidR="000C2346" w:rsidRPr="00E0088F">
        <w:rPr>
          <w:lang w:val="fr-CH"/>
        </w:rPr>
        <w:t xml:space="preserve">examen des Résolutions et Recommandations des conférences précédentes </w:t>
      </w:r>
      <w:r w:rsidR="005E51A9" w:rsidRPr="00E0088F">
        <w:rPr>
          <w:lang w:val="fr-CH"/>
        </w:rPr>
        <w:t>lors de la cinquième réunion du Groupe de l'APT chargé de préparer la CMR-19 (APG19-5)</w:t>
      </w:r>
      <w:r w:rsidR="004A043D" w:rsidRPr="00E0088F">
        <w:rPr>
          <w:lang w:val="fr-CH"/>
        </w:rPr>
        <w:t xml:space="preserve">, la Chine a proposé de modifier la Résolution </w:t>
      </w:r>
      <w:r w:rsidR="004A043D" w:rsidRPr="00E0088F">
        <w:rPr>
          <w:b/>
          <w:bCs/>
          <w:lang w:val="fr-CH"/>
        </w:rPr>
        <w:t>95 (Rév.CMR-07)</w:t>
      </w:r>
      <w:r w:rsidR="004A043D" w:rsidRPr="00E0088F">
        <w:rPr>
          <w:lang w:val="fr-CH"/>
        </w:rPr>
        <w:t xml:space="preserve"> et a présenté le tableau contenant </w:t>
      </w:r>
      <w:r w:rsidR="0000129C" w:rsidRPr="00E0088F">
        <w:rPr>
          <w:lang w:val="fr-CH"/>
        </w:rPr>
        <w:t xml:space="preserve">les </w:t>
      </w:r>
      <w:r w:rsidR="00752221" w:rsidRPr="00E0088F">
        <w:rPr>
          <w:lang w:val="fr-CH"/>
        </w:rPr>
        <w:t>actions</w:t>
      </w:r>
      <w:r w:rsidR="0000129C" w:rsidRPr="00E0088F">
        <w:rPr>
          <w:lang w:val="fr-CH"/>
        </w:rPr>
        <w:t xml:space="preserve"> possibles concernant les Résolutions et Recommandations des conférences précédentes (voir annexe)</w:t>
      </w:r>
      <w:r w:rsidR="002151C3" w:rsidRPr="00E0088F">
        <w:rPr>
          <w:lang w:val="fr-CH"/>
        </w:rPr>
        <w:t>.</w:t>
      </w:r>
    </w:p>
    <w:p w14:paraId="76DCBE07" w14:textId="2AE1D62C" w:rsidR="002151C3" w:rsidRPr="00E0088F" w:rsidRDefault="002151C3" w:rsidP="006C5A84">
      <w:pPr>
        <w:pStyle w:val="AnnexNo"/>
        <w:rPr>
          <w:lang w:val="fr-CH"/>
        </w:rPr>
      </w:pPr>
      <w:r w:rsidRPr="00E0088F">
        <w:rPr>
          <w:lang w:val="fr-CH"/>
        </w:rPr>
        <w:t>ANNEXE</w:t>
      </w:r>
    </w:p>
    <w:p w14:paraId="0845DC0B" w14:textId="77777777" w:rsidR="009C1D66" w:rsidRPr="00E0088F" w:rsidRDefault="009C1D66" w:rsidP="006C5A84">
      <w:pPr>
        <w:pStyle w:val="Annextitle"/>
        <w:rPr>
          <w:lang w:val="fr-CH"/>
        </w:rPr>
      </w:pPr>
      <w:r w:rsidRPr="00E0088F">
        <w:rPr>
          <w:lang w:val="fr-CH"/>
        </w:rPr>
        <w:t>Examen des Résolutions et Recommandations des CAMR/CMR</w:t>
      </w:r>
    </w:p>
    <w:p w14:paraId="2CDA1B34" w14:textId="50A35713" w:rsidR="002151C3" w:rsidRPr="00E0088F" w:rsidRDefault="002151C3" w:rsidP="006C5A84">
      <w:pPr>
        <w:pStyle w:val="Title4"/>
        <w:rPr>
          <w:lang w:val="fr-CH"/>
        </w:rPr>
      </w:pPr>
      <w:r w:rsidRPr="00E0088F">
        <w:rPr>
          <w:lang w:val="fr-CH"/>
        </w:rPr>
        <w:t xml:space="preserve">Observations et </w:t>
      </w:r>
      <w:r w:rsidR="00AE5D53" w:rsidRPr="00E0088F">
        <w:rPr>
          <w:lang w:val="fr-CH"/>
        </w:rPr>
        <w:t xml:space="preserve">actions </w:t>
      </w:r>
      <w:r w:rsidRPr="00E0088F">
        <w:rPr>
          <w:lang w:val="fr-CH"/>
        </w:rPr>
        <w:t xml:space="preserve">proposées concernant les Résolutions et les Recommandations des CAMR/CMR, en application </w:t>
      </w:r>
      <w:r w:rsidRPr="00E0088F">
        <w:rPr>
          <w:lang w:val="fr-CH"/>
        </w:rPr>
        <w:br/>
        <w:t>de la Résolution 95 (Rév.CMR-07)</w:t>
      </w:r>
    </w:p>
    <w:p w14:paraId="04AA0ADE" w14:textId="1D6152DB" w:rsidR="00C047D8" w:rsidRPr="00E0088F" w:rsidRDefault="00C047D8" w:rsidP="006C5A84">
      <w:pPr>
        <w:pStyle w:val="PartNo"/>
        <w:rPr>
          <w:lang w:val="fr-CH"/>
        </w:rPr>
      </w:pPr>
      <w:r w:rsidRPr="00E0088F">
        <w:rPr>
          <w:lang w:val="fr-CH"/>
        </w:rPr>
        <w:t>partie i – résolutions des camr/CMR</w:t>
      </w:r>
    </w:p>
    <w:tbl>
      <w:tblPr>
        <w:tblW w:w="9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843"/>
        <w:gridCol w:w="2550"/>
        <w:gridCol w:w="3623"/>
        <w:gridCol w:w="2044"/>
      </w:tblGrid>
      <w:tr w:rsidR="002151C3" w:rsidRPr="00E0088F" w14:paraId="775D578F" w14:textId="77777777" w:rsidTr="002151C3">
        <w:trPr>
          <w:cantSplit/>
          <w:tblHeader/>
          <w:jc w:val="center"/>
        </w:trPr>
        <w:tc>
          <w:tcPr>
            <w:tcW w:w="843" w:type="dxa"/>
            <w:tcBorders>
              <w:top w:val="single" w:sz="6" w:space="0" w:color="auto"/>
              <w:left w:val="single" w:sz="6" w:space="0" w:color="auto"/>
              <w:bottom w:val="single" w:sz="6" w:space="0" w:color="auto"/>
              <w:right w:val="single" w:sz="6" w:space="0" w:color="auto"/>
            </w:tcBorders>
            <w:vAlign w:val="center"/>
            <w:hideMark/>
          </w:tcPr>
          <w:p w14:paraId="6A71885E" w14:textId="77777777" w:rsidR="002151C3" w:rsidRPr="00E0088F" w:rsidRDefault="002151C3" w:rsidP="006C5A84">
            <w:pPr>
              <w:pStyle w:val="Tablehead"/>
              <w:rPr>
                <w:lang w:val="fr-CH"/>
              </w:rPr>
            </w:pPr>
            <w:r w:rsidRPr="00E0088F">
              <w:rPr>
                <w:lang w:val="fr-CH"/>
              </w:rPr>
              <w:t>Rés. 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20896E2B" w14:textId="7C896B77" w:rsidR="002151C3" w:rsidRPr="00E0088F" w:rsidRDefault="002151C3" w:rsidP="006C5A84">
            <w:pPr>
              <w:pStyle w:val="Tablehead"/>
              <w:rPr>
                <w:lang w:val="fr-CH"/>
              </w:rPr>
            </w:pPr>
            <w:r w:rsidRPr="00E0088F">
              <w:rPr>
                <w:lang w:val="fr-CH"/>
              </w:rPr>
              <w:t>Sujet</w:t>
            </w:r>
            <w:r w:rsidR="00C047D8" w:rsidRPr="00E0088F">
              <w:rPr>
                <w:lang w:val="fr-CH"/>
              </w:rPr>
              <w:t>/Titre</w:t>
            </w:r>
          </w:p>
        </w:tc>
        <w:tc>
          <w:tcPr>
            <w:tcW w:w="3625" w:type="dxa"/>
            <w:tcBorders>
              <w:top w:val="single" w:sz="6" w:space="0" w:color="auto"/>
              <w:left w:val="single" w:sz="6" w:space="0" w:color="auto"/>
              <w:bottom w:val="single" w:sz="6" w:space="0" w:color="auto"/>
              <w:right w:val="single" w:sz="6" w:space="0" w:color="auto"/>
            </w:tcBorders>
            <w:vAlign w:val="center"/>
            <w:hideMark/>
          </w:tcPr>
          <w:p w14:paraId="5354304D" w14:textId="77777777" w:rsidR="002151C3" w:rsidRPr="00E0088F" w:rsidRDefault="002151C3" w:rsidP="006C5A84">
            <w:pPr>
              <w:pStyle w:val="Tablehead"/>
              <w:rPr>
                <w:lang w:val="fr-CH"/>
              </w:rPr>
            </w:pPr>
            <w:r w:rsidRPr="00E0088F">
              <w:rPr>
                <w:lang w:val="fr-CH"/>
              </w:rPr>
              <w:t>Observations</w:t>
            </w:r>
          </w:p>
        </w:tc>
        <w:tc>
          <w:tcPr>
            <w:tcW w:w="2045" w:type="dxa"/>
            <w:tcBorders>
              <w:top w:val="single" w:sz="6" w:space="0" w:color="auto"/>
              <w:left w:val="single" w:sz="6" w:space="0" w:color="auto"/>
              <w:bottom w:val="single" w:sz="6" w:space="0" w:color="auto"/>
              <w:right w:val="single" w:sz="6" w:space="0" w:color="auto"/>
            </w:tcBorders>
            <w:vAlign w:val="center"/>
            <w:hideMark/>
          </w:tcPr>
          <w:p w14:paraId="5FCDDB27" w14:textId="5194C6F5" w:rsidR="002151C3" w:rsidRPr="00E0088F" w:rsidRDefault="002151C3" w:rsidP="006C5A84">
            <w:pPr>
              <w:pStyle w:val="Tablehead"/>
              <w:rPr>
                <w:lang w:val="fr-CH"/>
              </w:rPr>
            </w:pPr>
            <w:r w:rsidRPr="00E0088F">
              <w:rPr>
                <w:lang w:val="fr-CH"/>
              </w:rPr>
              <w:t>Action</w:t>
            </w:r>
            <w:r w:rsidRPr="00E0088F">
              <w:rPr>
                <w:lang w:val="fr-CH"/>
              </w:rPr>
              <w:br/>
              <w:t>proposée</w:t>
            </w:r>
          </w:p>
        </w:tc>
      </w:tr>
      <w:tr w:rsidR="002151C3" w:rsidRPr="00E0088F" w14:paraId="2F5396E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2F4F478" w14:textId="77777777" w:rsidR="002151C3" w:rsidRPr="00E0088F" w:rsidRDefault="002151C3" w:rsidP="006C5A84">
            <w:pPr>
              <w:pStyle w:val="Tabletext"/>
              <w:jc w:val="center"/>
              <w:rPr>
                <w:lang w:val="fr-CH"/>
              </w:rPr>
            </w:pPr>
            <w:bookmarkStart w:id="6" w:name="_Hlk269405708"/>
            <w:r w:rsidRPr="00E0088F">
              <w:rPr>
                <w:lang w:val="fr-CH"/>
              </w:rPr>
              <w:t>1</w:t>
            </w:r>
          </w:p>
        </w:tc>
        <w:tc>
          <w:tcPr>
            <w:tcW w:w="2551" w:type="dxa"/>
            <w:tcBorders>
              <w:top w:val="single" w:sz="6" w:space="0" w:color="auto"/>
              <w:left w:val="single" w:sz="6" w:space="0" w:color="auto"/>
              <w:bottom w:val="single" w:sz="6" w:space="0" w:color="auto"/>
              <w:right w:val="single" w:sz="6" w:space="0" w:color="auto"/>
            </w:tcBorders>
            <w:hideMark/>
          </w:tcPr>
          <w:p w14:paraId="1A53929C" w14:textId="77777777" w:rsidR="002151C3" w:rsidRPr="00E0088F" w:rsidRDefault="002151C3" w:rsidP="006C5A84">
            <w:pPr>
              <w:pStyle w:val="Tabletext"/>
              <w:rPr>
                <w:lang w:val="fr-CH"/>
              </w:rPr>
            </w:pPr>
            <w:r w:rsidRPr="00E0088F">
              <w:rPr>
                <w:color w:val="000000"/>
                <w:lang w:val="fr-CH"/>
              </w:rPr>
              <w:t>Notification des assignations de fréquence</w:t>
            </w:r>
          </w:p>
        </w:tc>
        <w:tc>
          <w:tcPr>
            <w:tcW w:w="3625" w:type="dxa"/>
            <w:tcBorders>
              <w:top w:val="single" w:sz="6" w:space="0" w:color="auto"/>
              <w:left w:val="single" w:sz="6" w:space="0" w:color="auto"/>
              <w:bottom w:val="single" w:sz="6" w:space="0" w:color="auto"/>
              <w:right w:val="single" w:sz="6" w:space="0" w:color="auto"/>
            </w:tcBorders>
            <w:hideMark/>
          </w:tcPr>
          <w:p w14:paraId="132C3D8C" w14:textId="77777777" w:rsidR="002151C3" w:rsidRPr="00E0088F" w:rsidRDefault="002151C3" w:rsidP="006C5A84">
            <w:pPr>
              <w:pStyle w:val="Tabletext"/>
              <w:rPr>
                <w:color w:val="000000"/>
                <w:position w:val="6"/>
                <w:sz w:val="18"/>
                <w:lang w:val="fr-CH"/>
              </w:rPr>
            </w:pPr>
            <w:r w:rsidRPr="00E0088F">
              <w:rPr>
                <w:lang w:val="fr-CH"/>
              </w:rPr>
              <w:t xml:space="preserve">(Rév.CMR-97). A toujours lieu d'être. Cette Résolution est citée dans le§ </w:t>
            </w:r>
            <w:r w:rsidRPr="00E0088F">
              <w:rPr>
                <w:b/>
                <w:bCs/>
                <w:lang w:val="fr-CH"/>
              </w:rPr>
              <w:t>26/5.2</w:t>
            </w:r>
            <w:r w:rsidRPr="00E0088F">
              <w:rPr>
                <w:lang w:val="fr-CH"/>
              </w:rPr>
              <w:t xml:space="preserve"> de l'Appendice </w:t>
            </w:r>
            <w:r w:rsidRPr="00E0088F">
              <w:rPr>
                <w:b/>
                <w:bCs/>
                <w:lang w:val="fr-CH"/>
              </w:rPr>
              <w:t>26</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2341D34B" w14:textId="77777777" w:rsidR="002151C3" w:rsidRPr="00E0088F" w:rsidRDefault="002151C3" w:rsidP="006C5A84">
            <w:pPr>
              <w:pStyle w:val="Tabletext"/>
              <w:jc w:val="center"/>
              <w:rPr>
                <w:lang w:val="fr-CH"/>
              </w:rPr>
            </w:pPr>
            <w:r w:rsidRPr="00E0088F">
              <w:rPr>
                <w:lang w:val="fr-CH"/>
              </w:rPr>
              <w:t>NOC</w:t>
            </w:r>
          </w:p>
        </w:tc>
      </w:tr>
      <w:tr w:rsidR="002151C3" w:rsidRPr="00E0088F" w14:paraId="0D84674F"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4D0C74D" w14:textId="77777777" w:rsidR="002151C3" w:rsidRPr="00E0088F" w:rsidRDefault="002151C3" w:rsidP="006C5A84">
            <w:pPr>
              <w:pStyle w:val="Tabletext"/>
              <w:jc w:val="center"/>
              <w:rPr>
                <w:lang w:val="fr-CH"/>
              </w:rPr>
            </w:pPr>
            <w:r w:rsidRPr="00E0088F">
              <w:rPr>
                <w:lang w:val="fr-CH"/>
              </w:rPr>
              <w:t>2</w:t>
            </w:r>
          </w:p>
        </w:tc>
        <w:tc>
          <w:tcPr>
            <w:tcW w:w="2551" w:type="dxa"/>
            <w:tcBorders>
              <w:top w:val="single" w:sz="6" w:space="0" w:color="auto"/>
              <w:left w:val="single" w:sz="6" w:space="0" w:color="auto"/>
              <w:bottom w:val="single" w:sz="6" w:space="0" w:color="auto"/>
              <w:right w:val="single" w:sz="6" w:space="0" w:color="auto"/>
            </w:tcBorders>
            <w:hideMark/>
          </w:tcPr>
          <w:p w14:paraId="487AB555" w14:textId="77777777" w:rsidR="002151C3" w:rsidRPr="00E0088F" w:rsidRDefault="002151C3" w:rsidP="006C5A84">
            <w:pPr>
              <w:pStyle w:val="Tabletext"/>
              <w:rPr>
                <w:lang w:val="fr-CH"/>
              </w:rPr>
            </w:pPr>
            <w:r w:rsidRPr="00E0088F">
              <w:rPr>
                <w:lang w:val="fr-CH"/>
              </w:rPr>
              <w:t>Utilisation équitable de l'OSG et d'autres orbites de satellites et des bandes de fréquences attribuées aux services de radiocommunication spatiale</w:t>
            </w:r>
          </w:p>
        </w:tc>
        <w:tc>
          <w:tcPr>
            <w:tcW w:w="3625" w:type="dxa"/>
            <w:tcBorders>
              <w:top w:val="single" w:sz="6" w:space="0" w:color="auto"/>
              <w:left w:val="single" w:sz="6" w:space="0" w:color="auto"/>
              <w:bottom w:val="single" w:sz="6" w:space="0" w:color="auto"/>
              <w:right w:val="single" w:sz="6" w:space="0" w:color="auto"/>
            </w:tcBorders>
            <w:hideMark/>
          </w:tcPr>
          <w:p w14:paraId="268B47FC" w14:textId="77777777" w:rsidR="002151C3" w:rsidRPr="00E0088F" w:rsidRDefault="002151C3" w:rsidP="006C5A84">
            <w:pPr>
              <w:pStyle w:val="Tabletext"/>
              <w:rPr>
                <w:color w:val="000000"/>
                <w:position w:val="6"/>
                <w:sz w:val="18"/>
                <w:lang w:val="fr-CH"/>
              </w:rPr>
            </w:pPr>
            <w:r w:rsidRPr="00E0088F">
              <w:rPr>
                <w:lang w:val="fr-CH"/>
              </w:rPr>
              <w:t xml:space="preserve">(Rév.CMR-03). A toujours lieu d'être. Cette Résolution est citée dans la Résolution </w:t>
            </w:r>
            <w:r w:rsidRPr="00E0088F">
              <w:rPr>
                <w:b/>
                <w:bCs/>
                <w:lang w:val="fr-CH"/>
              </w:rPr>
              <w:t>4 (Rév.CMR-03)</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8555AAD" w14:textId="77777777" w:rsidR="002151C3" w:rsidRPr="00E0088F" w:rsidRDefault="002151C3" w:rsidP="006C5A84">
            <w:pPr>
              <w:pStyle w:val="Tabletext"/>
              <w:jc w:val="center"/>
              <w:rPr>
                <w:lang w:val="fr-CH"/>
              </w:rPr>
            </w:pPr>
            <w:r w:rsidRPr="00E0088F">
              <w:rPr>
                <w:lang w:val="fr-CH"/>
              </w:rPr>
              <w:t>NOC</w:t>
            </w:r>
          </w:p>
        </w:tc>
      </w:tr>
      <w:tr w:rsidR="002151C3" w:rsidRPr="00E0088F" w14:paraId="44944DA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B7BE79D" w14:textId="77777777" w:rsidR="002151C3" w:rsidRPr="00E0088F" w:rsidRDefault="002151C3" w:rsidP="006C5A84">
            <w:pPr>
              <w:pStyle w:val="Tabletext"/>
              <w:jc w:val="center"/>
              <w:rPr>
                <w:lang w:val="fr-CH"/>
              </w:rPr>
            </w:pPr>
            <w:r w:rsidRPr="00E0088F">
              <w:rPr>
                <w:lang w:val="fr-CH"/>
              </w:rPr>
              <w:t>4</w:t>
            </w:r>
          </w:p>
        </w:tc>
        <w:tc>
          <w:tcPr>
            <w:tcW w:w="2551" w:type="dxa"/>
            <w:tcBorders>
              <w:top w:val="single" w:sz="6" w:space="0" w:color="auto"/>
              <w:left w:val="single" w:sz="6" w:space="0" w:color="auto"/>
              <w:bottom w:val="single" w:sz="6" w:space="0" w:color="auto"/>
              <w:right w:val="single" w:sz="6" w:space="0" w:color="auto"/>
            </w:tcBorders>
            <w:hideMark/>
          </w:tcPr>
          <w:p w14:paraId="4B71486D" w14:textId="77777777" w:rsidR="002151C3" w:rsidRPr="00E0088F" w:rsidRDefault="002151C3" w:rsidP="006C5A84">
            <w:pPr>
              <w:pStyle w:val="Tabletext"/>
              <w:rPr>
                <w:lang w:val="fr-CH"/>
              </w:rPr>
            </w:pPr>
            <w:r w:rsidRPr="00E0088F">
              <w:rPr>
                <w:lang w:val="fr-CH"/>
              </w:rPr>
              <w:t>Durée de validité des assignations de fréquence aux stations spatiales utilisant l'orbite des satellites géostationnaires et d'autres orbites de satellites</w:t>
            </w:r>
          </w:p>
        </w:tc>
        <w:tc>
          <w:tcPr>
            <w:tcW w:w="3625" w:type="dxa"/>
            <w:tcBorders>
              <w:top w:val="single" w:sz="6" w:space="0" w:color="auto"/>
              <w:left w:val="single" w:sz="6" w:space="0" w:color="auto"/>
              <w:bottom w:val="single" w:sz="6" w:space="0" w:color="auto"/>
              <w:right w:val="single" w:sz="6" w:space="0" w:color="auto"/>
            </w:tcBorders>
            <w:hideMark/>
          </w:tcPr>
          <w:p w14:paraId="53F467FF" w14:textId="77777777" w:rsidR="002151C3" w:rsidRPr="00E0088F" w:rsidRDefault="002151C3" w:rsidP="006C5A84">
            <w:pPr>
              <w:pStyle w:val="Tabletext"/>
              <w:rPr>
                <w:lang w:val="fr-CH"/>
              </w:rPr>
            </w:pPr>
            <w:r w:rsidRPr="00E0088F">
              <w:rPr>
                <w:lang w:val="fr-CH"/>
              </w:rPr>
              <w:t xml:space="preserve">(Rév.CMR-03). A toujours lieu d'être. Cette Résolution est citée dans le point A.2.b du Tableau A de l'Annexe 2 de l'Appendice </w:t>
            </w:r>
            <w:r w:rsidRPr="00E0088F">
              <w:rPr>
                <w:b/>
                <w:bCs/>
                <w:lang w:val="fr-CH"/>
              </w:rPr>
              <w:t>4</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624678C7" w14:textId="77777777" w:rsidR="002151C3" w:rsidRPr="00E0088F" w:rsidRDefault="002151C3" w:rsidP="006C5A84">
            <w:pPr>
              <w:pStyle w:val="Tabletext"/>
              <w:jc w:val="center"/>
              <w:rPr>
                <w:lang w:val="fr-CH"/>
              </w:rPr>
            </w:pPr>
            <w:r w:rsidRPr="00E0088F">
              <w:rPr>
                <w:lang w:val="fr-CH"/>
              </w:rPr>
              <w:t>NOC</w:t>
            </w:r>
          </w:p>
        </w:tc>
      </w:tr>
      <w:tr w:rsidR="002151C3" w:rsidRPr="00E0088F" w14:paraId="187F319A" w14:textId="77777777" w:rsidTr="002151C3">
        <w:trPr>
          <w:cantSplit/>
          <w:trHeight w:val="981"/>
          <w:jc w:val="center"/>
        </w:trPr>
        <w:tc>
          <w:tcPr>
            <w:tcW w:w="843" w:type="dxa"/>
            <w:tcBorders>
              <w:top w:val="single" w:sz="6" w:space="0" w:color="auto"/>
              <w:left w:val="single" w:sz="6" w:space="0" w:color="auto"/>
              <w:bottom w:val="single" w:sz="6" w:space="0" w:color="auto"/>
              <w:right w:val="single" w:sz="6" w:space="0" w:color="auto"/>
            </w:tcBorders>
            <w:hideMark/>
          </w:tcPr>
          <w:p w14:paraId="0873AD9A" w14:textId="77777777" w:rsidR="002151C3" w:rsidRPr="00E0088F" w:rsidRDefault="002151C3" w:rsidP="006C5A84">
            <w:pPr>
              <w:pStyle w:val="Tabletext"/>
              <w:jc w:val="center"/>
              <w:rPr>
                <w:lang w:val="fr-CH"/>
              </w:rPr>
            </w:pPr>
            <w:r w:rsidRPr="00E0088F">
              <w:rPr>
                <w:lang w:val="fr-CH"/>
              </w:rPr>
              <w:t>5</w:t>
            </w:r>
          </w:p>
        </w:tc>
        <w:tc>
          <w:tcPr>
            <w:tcW w:w="2551" w:type="dxa"/>
            <w:tcBorders>
              <w:top w:val="single" w:sz="6" w:space="0" w:color="auto"/>
              <w:left w:val="single" w:sz="6" w:space="0" w:color="auto"/>
              <w:bottom w:val="single" w:sz="6" w:space="0" w:color="auto"/>
              <w:right w:val="single" w:sz="6" w:space="0" w:color="auto"/>
            </w:tcBorders>
            <w:hideMark/>
          </w:tcPr>
          <w:p w14:paraId="58D7ADAF" w14:textId="77777777" w:rsidR="002151C3" w:rsidRPr="00E0088F" w:rsidRDefault="002151C3" w:rsidP="006C5A84">
            <w:pPr>
              <w:pStyle w:val="Tabletext"/>
              <w:rPr>
                <w:lang w:val="fr-CH"/>
              </w:rPr>
            </w:pPr>
            <w:r w:rsidRPr="00E0088F">
              <w:rPr>
                <w:lang w:val="fr-CH"/>
              </w:rPr>
              <w:t>Coopération technique avec les pays en développement dans le domaine des études de propagation dans les régions tropicales</w:t>
            </w:r>
          </w:p>
        </w:tc>
        <w:tc>
          <w:tcPr>
            <w:tcW w:w="3625" w:type="dxa"/>
            <w:tcBorders>
              <w:top w:val="single" w:sz="6" w:space="0" w:color="auto"/>
              <w:left w:val="single" w:sz="6" w:space="0" w:color="auto"/>
              <w:bottom w:val="single" w:sz="6" w:space="0" w:color="auto"/>
              <w:right w:val="single" w:sz="6" w:space="0" w:color="auto"/>
            </w:tcBorders>
            <w:hideMark/>
          </w:tcPr>
          <w:p w14:paraId="652EEA03" w14:textId="77777777" w:rsidR="002151C3" w:rsidRPr="00E0088F" w:rsidRDefault="002151C3" w:rsidP="006C5A84">
            <w:pPr>
              <w:pStyle w:val="Tabletext"/>
              <w:rPr>
                <w:color w:val="000000"/>
                <w:position w:val="6"/>
                <w:sz w:val="18"/>
                <w:lang w:val="fr-CH"/>
              </w:rPr>
            </w:pPr>
            <w:r w:rsidRPr="00E0088F">
              <w:rPr>
                <w:lang w:val="fr-CH"/>
              </w:rPr>
              <w:t>(Rév.CMR-15). A toujours lieu d'être.</w:t>
            </w:r>
          </w:p>
        </w:tc>
        <w:tc>
          <w:tcPr>
            <w:tcW w:w="2045" w:type="dxa"/>
            <w:tcBorders>
              <w:top w:val="single" w:sz="6" w:space="0" w:color="auto"/>
              <w:left w:val="single" w:sz="6" w:space="0" w:color="auto"/>
              <w:bottom w:val="single" w:sz="6" w:space="0" w:color="auto"/>
              <w:right w:val="single" w:sz="6" w:space="0" w:color="auto"/>
            </w:tcBorders>
            <w:hideMark/>
          </w:tcPr>
          <w:p w14:paraId="53D47451" w14:textId="77777777" w:rsidR="002151C3" w:rsidRPr="00E0088F" w:rsidRDefault="002151C3" w:rsidP="006C5A84">
            <w:pPr>
              <w:pStyle w:val="Tabletext"/>
              <w:jc w:val="center"/>
              <w:rPr>
                <w:lang w:val="fr-CH"/>
              </w:rPr>
            </w:pPr>
            <w:r w:rsidRPr="00E0088F">
              <w:rPr>
                <w:lang w:val="fr-CH"/>
              </w:rPr>
              <w:t>NOC</w:t>
            </w:r>
          </w:p>
        </w:tc>
      </w:tr>
      <w:tr w:rsidR="002151C3" w:rsidRPr="00E0088F" w14:paraId="6ECE6A4D"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29EA32E" w14:textId="77777777" w:rsidR="002151C3" w:rsidRPr="00E0088F" w:rsidRDefault="002151C3" w:rsidP="006C5A84">
            <w:pPr>
              <w:pStyle w:val="Tabletext"/>
              <w:jc w:val="center"/>
              <w:rPr>
                <w:lang w:val="fr-CH"/>
              </w:rPr>
            </w:pPr>
            <w:r w:rsidRPr="00E0088F">
              <w:rPr>
                <w:lang w:val="fr-CH"/>
              </w:rPr>
              <w:t>7</w:t>
            </w:r>
          </w:p>
        </w:tc>
        <w:tc>
          <w:tcPr>
            <w:tcW w:w="2551" w:type="dxa"/>
            <w:tcBorders>
              <w:top w:val="single" w:sz="6" w:space="0" w:color="auto"/>
              <w:left w:val="single" w:sz="6" w:space="0" w:color="auto"/>
              <w:bottom w:val="single" w:sz="6" w:space="0" w:color="auto"/>
              <w:right w:val="single" w:sz="6" w:space="0" w:color="auto"/>
            </w:tcBorders>
            <w:hideMark/>
          </w:tcPr>
          <w:p w14:paraId="7AE70B6D" w14:textId="77777777" w:rsidR="002151C3" w:rsidRPr="00E0088F" w:rsidRDefault="002151C3" w:rsidP="006C5A84">
            <w:pPr>
              <w:pStyle w:val="Tabletext"/>
              <w:rPr>
                <w:lang w:val="fr-CH"/>
              </w:rPr>
            </w:pPr>
            <w:r w:rsidRPr="00E0088F">
              <w:rPr>
                <w:lang w:val="fr-CH"/>
              </w:rPr>
              <w:t>Gestion nationale des fréquences radioélectriques</w:t>
            </w:r>
          </w:p>
        </w:tc>
        <w:tc>
          <w:tcPr>
            <w:tcW w:w="3625" w:type="dxa"/>
            <w:tcBorders>
              <w:top w:val="single" w:sz="6" w:space="0" w:color="auto"/>
              <w:left w:val="single" w:sz="6" w:space="0" w:color="auto"/>
              <w:bottom w:val="single" w:sz="6" w:space="0" w:color="auto"/>
              <w:right w:val="single" w:sz="6" w:space="0" w:color="auto"/>
            </w:tcBorders>
            <w:hideMark/>
          </w:tcPr>
          <w:p w14:paraId="0CAE4E23" w14:textId="77777777" w:rsidR="002151C3" w:rsidRPr="00E0088F" w:rsidRDefault="002151C3" w:rsidP="006C5A84">
            <w:pPr>
              <w:pStyle w:val="Tabletext"/>
              <w:rPr>
                <w:color w:val="000000"/>
                <w:position w:val="6"/>
                <w:sz w:val="18"/>
                <w:lang w:val="fr-CH"/>
              </w:rPr>
            </w:pPr>
            <w:r w:rsidRPr="00E0088F">
              <w:rPr>
                <w:lang w:val="fr-CH"/>
              </w:rPr>
              <w:t>(Rév.CMR-03). A toujours lieu d'être. Le texte contient deux parties «</w:t>
            </w:r>
            <w:r w:rsidRPr="00E0088F">
              <w:rPr>
                <w:i/>
                <w:iCs/>
                <w:lang w:val="fr-CH"/>
              </w:rPr>
              <w:t>recommande».</w:t>
            </w:r>
            <w:r w:rsidRPr="00E0088F">
              <w:rPr>
                <w:lang w:val="fr-CH"/>
              </w:rPr>
              <w:t xml:space="preserve"> Une mise à jour rédactionnelle sera peut-être nécessaire à cet égard. Le fond est appuyé par le BR et étayée par des études au sein de la Commission d'études 1 de l'UIT-R sur les systèmes de gestion du spectre destinés aux pays en développement; le BR appuie également les séminaires mondiaux et régionaux.</w:t>
            </w:r>
          </w:p>
        </w:tc>
        <w:tc>
          <w:tcPr>
            <w:tcW w:w="2045" w:type="dxa"/>
            <w:tcBorders>
              <w:top w:val="single" w:sz="6" w:space="0" w:color="auto"/>
              <w:left w:val="single" w:sz="6" w:space="0" w:color="auto"/>
              <w:bottom w:val="single" w:sz="6" w:space="0" w:color="auto"/>
              <w:right w:val="single" w:sz="6" w:space="0" w:color="auto"/>
            </w:tcBorders>
            <w:hideMark/>
          </w:tcPr>
          <w:p w14:paraId="64F1F46E" w14:textId="5F261C75" w:rsidR="00C047D8" w:rsidRPr="00E0088F" w:rsidRDefault="002151C3" w:rsidP="006C5A84">
            <w:pPr>
              <w:pStyle w:val="Tabletext"/>
              <w:jc w:val="center"/>
              <w:rPr>
                <w:lang w:val="fr-CH"/>
              </w:rPr>
            </w:pPr>
            <w:r w:rsidRPr="00E0088F">
              <w:rPr>
                <w:lang w:val="fr-CH"/>
              </w:rPr>
              <w:t>NOC</w:t>
            </w:r>
            <w:r w:rsidR="00C047D8" w:rsidRPr="00E0088F">
              <w:rPr>
                <w:lang w:val="fr-CH"/>
              </w:rPr>
              <w:t>/</w:t>
            </w:r>
          </w:p>
          <w:p w14:paraId="15F839CF" w14:textId="34776F34" w:rsidR="002151C3" w:rsidRPr="00E0088F" w:rsidRDefault="002151C3" w:rsidP="006C5A84">
            <w:pPr>
              <w:pStyle w:val="Tabletext"/>
              <w:jc w:val="center"/>
              <w:rPr>
                <w:lang w:val="fr-CH"/>
              </w:rPr>
            </w:pPr>
            <w:r w:rsidRPr="00E0088F">
              <w:rPr>
                <w:lang w:val="fr-CH"/>
              </w:rPr>
              <w:t>MOD</w:t>
            </w:r>
          </w:p>
        </w:tc>
      </w:tr>
      <w:tr w:rsidR="002151C3" w:rsidRPr="00E0088F" w14:paraId="3B318178"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FD0FD56" w14:textId="77777777" w:rsidR="002151C3" w:rsidRPr="00E0088F" w:rsidRDefault="002151C3" w:rsidP="006C5A84">
            <w:pPr>
              <w:pStyle w:val="Tabletext"/>
              <w:jc w:val="center"/>
              <w:rPr>
                <w:lang w:val="fr-CH"/>
              </w:rPr>
            </w:pPr>
            <w:r w:rsidRPr="00E0088F">
              <w:rPr>
                <w:lang w:val="fr-CH"/>
              </w:rPr>
              <w:lastRenderedPageBreak/>
              <w:t>10</w:t>
            </w:r>
          </w:p>
        </w:tc>
        <w:tc>
          <w:tcPr>
            <w:tcW w:w="2551" w:type="dxa"/>
            <w:tcBorders>
              <w:top w:val="single" w:sz="6" w:space="0" w:color="auto"/>
              <w:left w:val="single" w:sz="6" w:space="0" w:color="auto"/>
              <w:bottom w:val="single" w:sz="6" w:space="0" w:color="auto"/>
              <w:right w:val="single" w:sz="6" w:space="0" w:color="auto"/>
            </w:tcBorders>
            <w:hideMark/>
          </w:tcPr>
          <w:p w14:paraId="0F93C5B4" w14:textId="77777777" w:rsidR="002151C3" w:rsidRPr="00E0088F" w:rsidRDefault="002151C3" w:rsidP="006C5A84">
            <w:pPr>
              <w:pStyle w:val="Tabletext"/>
              <w:rPr>
                <w:lang w:val="fr-CH"/>
              </w:rPr>
            </w:pPr>
            <w:r w:rsidRPr="00E0088F">
              <w:rPr>
                <w:lang w:val="fr-CH"/>
              </w:rPr>
              <w:t>Utilisation des télécommunications hertziennes par le Mouvement international de la Croix-Rouge et du Croissant-Rouge</w:t>
            </w:r>
          </w:p>
        </w:tc>
        <w:tc>
          <w:tcPr>
            <w:tcW w:w="3625" w:type="dxa"/>
            <w:tcBorders>
              <w:top w:val="single" w:sz="6" w:space="0" w:color="auto"/>
              <w:left w:val="single" w:sz="6" w:space="0" w:color="auto"/>
              <w:bottom w:val="single" w:sz="6" w:space="0" w:color="auto"/>
              <w:right w:val="single" w:sz="6" w:space="0" w:color="auto"/>
            </w:tcBorders>
            <w:hideMark/>
          </w:tcPr>
          <w:p w14:paraId="33144ECD" w14:textId="77777777" w:rsidR="002151C3" w:rsidRPr="00E0088F" w:rsidRDefault="002151C3" w:rsidP="006C5A84">
            <w:pPr>
              <w:pStyle w:val="Tabletext"/>
              <w:rPr>
                <w:color w:val="000000"/>
                <w:position w:val="6"/>
                <w:sz w:val="18"/>
                <w:lang w:val="fr-CH"/>
              </w:rPr>
            </w:pPr>
            <w:r w:rsidRPr="00E0088F">
              <w:rPr>
                <w:lang w:val="fr-CH"/>
              </w:rPr>
              <w:t>(Rév.CMR-2000). A toujours lieu d'être. Cette Résolution est liée à la Résolution </w:t>
            </w:r>
            <w:r w:rsidRPr="00E0088F">
              <w:rPr>
                <w:b/>
                <w:bCs/>
                <w:lang w:val="fr-CH"/>
              </w:rPr>
              <w:t>646 (Rév.CMR-15)</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2D1FE218" w14:textId="77777777" w:rsidR="002151C3" w:rsidRPr="00E0088F" w:rsidRDefault="002151C3" w:rsidP="006C5A84">
            <w:pPr>
              <w:pStyle w:val="Tabletext"/>
              <w:jc w:val="center"/>
              <w:rPr>
                <w:lang w:val="fr-CH"/>
              </w:rPr>
            </w:pPr>
            <w:r w:rsidRPr="00E0088F">
              <w:rPr>
                <w:lang w:val="fr-CH"/>
              </w:rPr>
              <w:t>NOC</w:t>
            </w:r>
          </w:p>
        </w:tc>
        <w:bookmarkEnd w:id="6"/>
      </w:tr>
      <w:tr w:rsidR="002151C3" w:rsidRPr="00E0088F" w14:paraId="78CDD520"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540AEC2" w14:textId="77777777" w:rsidR="002151C3" w:rsidRPr="00E0088F" w:rsidRDefault="002151C3" w:rsidP="006C5A84">
            <w:pPr>
              <w:pStyle w:val="Tabletext"/>
              <w:jc w:val="center"/>
              <w:rPr>
                <w:lang w:val="fr-CH"/>
              </w:rPr>
            </w:pPr>
            <w:r w:rsidRPr="00E0088F">
              <w:rPr>
                <w:lang w:val="fr-CH"/>
              </w:rPr>
              <w:t>12</w:t>
            </w:r>
          </w:p>
        </w:tc>
        <w:tc>
          <w:tcPr>
            <w:tcW w:w="2551" w:type="dxa"/>
            <w:tcBorders>
              <w:top w:val="single" w:sz="6" w:space="0" w:color="auto"/>
              <w:left w:val="single" w:sz="6" w:space="0" w:color="auto"/>
              <w:bottom w:val="single" w:sz="6" w:space="0" w:color="auto"/>
              <w:right w:val="single" w:sz="6" w:space="0" w:color="auto"/>
            </w:tcBorders>
            <w:hideMark/>
          </w:tcPr>
          <w:p w14:paraId="4D7D4455" w14:textId="77777777" w:rsidR="002151C3" w:rsidRPr="00E0088F" w:rsidRDefault="002151C3" w:rsidP="006C5A84">
            <w:pPr>
              <w:pStyle w:val="Tabletext"/>
              <w:rPr>
                <w:lang w:val="fr-CH"/>
              </w:rPr>
            </w:pPr>
            <w:r w:rsidRPr="00E0088F">
              <w:rPr>
                <w:lang w:val="fr-CH"/>
              </w:rPr>
              <w:t>Assistance et appui à la Palestine</w:t>
            </w:r>
          </w:p>
        </w:tc>
        <w:tc>
          <w:tcPr>
            <w:tcW w:w="3625" w:type="dxa"/>
            <w:tcBorders>
              <w:top w:val="single" w:sz="6" w:space="0" w:color="auto"/>
              <w:left w:val="single" w:sz="6" w:space="0" w:color="auto"/>
              <w:bottom w:val="single" w:sz="6" w:space="0" w:color="auto"/>
              <w:right w:val="single" w:sz="6" w:space="0" w:color="auto"/>
            </w:tcBorders>
            <w:hideMark/>
          </w:tcPr>
          <w:p w14:paraId="59B35475" w14:textId="77777777" w:rsidR="002151C3" w:rsidRPr="00E0088F" w:rsidRDefault="002151C3" w:rsidP="006C5A84">
            <w:pPr>
              <w:pStyle w:val="Tabletext"/>
              <w:rPr>
                <w:lang w:val="fr-CH"/>
              </w:rPr>
            </w:pPr>
            <w:r w:rsidRPr="00E0088F">
              <w:rPr>
                <w:bCs/>
                <w:lang w:val="fr-CH"/>
              </w:rPr>
              <w:t xml:space="preserve">(Rév.CMR-15). </w:t>
            </w:r>
            <w:r w:rsidRPr="00E0088F">
              <w:rPr>
                <w:lang w:val="fr-CH"/>
              </w:rPr>
              <w:t>A toujours lieu d'être. Cette Résolution porte spécifiquement sur la Palestine. Au «</w:t>
            </w:r>
            <w:r w:rsidRPr="00E0088F">
              <w:rPr>
                <w:i/>
                <w:iCs/>
                <w:lang w:val="fr-CH"/>
              </w:rPr>
              <w:t>charge en outre le Directeur du Bureau des radiocommunications</w:t>
            </w:r>
            <w:r w:rsidRPr="00E0088F">
              <w:rPr>
                <w:lang w:val="fr-CH"/>
              </w:rPr>
              <w:t>»</w:t>
            </w:r>
            <w:r w:rsidRPr="00E0088F">
              <w:rPr>
                <w:i/>
                <w:iCs/>
                <w:lang w:val="fr-CH"/>
              </w:rPr>
              <w:t xml:space="preserve">, </w:t>
            </w:r>
            <w:r w:rsidRPr="00E0088F">
              <w:rPr>
                <w:lang w:val="fr-CH"/>
              </w:rPr>
              <w:t>on pourrait envisager de mettre à jour le point 2 «de rendre compte à la CMR-19 des progrès réalisés dans la mise en œuvre de la présente Résolution» en faisant mention de la «CMR-23».</w:t>
            </w:r>
          </w:p>
        </w:tc>
        <w:tc>
          <w:tcPr>
            <w:tcW w:w="2045" w:type="dxa"/>
            <w:tcBorders>
              <w:top w:val="single" w:sz="6" w:space="0" w:color="auto"/>
              <w:left w:val="single" w:sz="6" w:space="0" w:color="auto"/>
              <w:bottom w:val="single" w:sz="6" w:space="0" w:color="auto"/>
              <w:right w:val="single" w:sz="6" w:space="0" w:color="auto"/>
            </w:tcBorders>
            <w:hideMark/>
          </w:tcPr>
          <w:p w14:paraId="4FBBF5B4" w14:textId="77777777" w:rsidR="002151C3" w:rsidRPr="00E0088F" w:rsidRDefault="002151C3" w:rsidP="006C5A84">
            <w:pPr>
              <w:pStyle w:val="Tabletext"/>
              <w:jc w:val="center"/>
              <w:rPr>
                <w:lang w:val="fr-CH"/>
              </w:rPr>
            </w:pPr>
            <w:r w:rsidRPr="00E0088F">
              <w:rPr>
                <w:lang w:val="fr-CH"/>
              </w:rPr>
              <w:t>N/A</w:t>
            </w:r>
          </w:p>
        </w:tc>
      </w:tr>
      <w:tr w:rsidR="002151C3" w:rsidRPr="00E0088F" w14:paraId="024286EA"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B762B8F" w14:textId="77777777" w:rsidR="002151C3" w:rsidRPr="00E0088F" w:rsidRDefault="002151C3" w:rsidP="006C5A84">
            <w:pPr>
              <w:pStyle w:val="Tabletext"/>
              <w:jc w:val="center"/>
              <w:rPr>
                <w:lang w:val="fr-CH"/>
              </w:rPr>
            </w:pPr>
            <w:r w:rsidRPr="00E0088F">
              <w:rPr>
                <w:lang w:val="fr-CH"/>
              </w:rPr>
              <w:t>13</w:t>
            </w:r>
          </w:p>
        </w:tc>
        <w:tc>
          <w:tcPr>
            <w:tcW w:w="2551" w:type="dxa"/>
            <w:tcBorders>
              <w:top w:val="single" w:sz="6" w:space="0" w:color="auto"/>
              <w:left w:val="single" w:sz="6" w:space="0" w:color="auto"/>
              <w:bottom w:val="single" w:sz="6" w:space="0" w:color="auto"/>
              <w:right w:val="single" w:sz="6" w:space="0" w:color="auto"/>
            </w:tcBorders>
            <w:hideMark/>
          </w:tcPr>
          <w:p w14:paraId="4F71B509" w14:textId="77777777" w:rsidR="002151C3" w:rsidRPr="00E0088F" w:rsidRDefault="002151C3" w:rsidP="006C5A84">
            <w:pPr>
              <w:pStyle w:val="Tabletext"/>
              <w:rPr>
                <w:lang w:val="fr-CH"/>
              </w:rPr>
            </w:pPr>
            <w:r w:rsidRPr="00E0088F">
              <w:rPr>
                <w:lang w:val="fr-CH"/>
              </w:rPr>
              <w:t>Formation des indicatifs d'appel</w:t>
            </w:r>
          </w:p>
        </w:tc>
        <w:tc>
          <w:tcPr>
            <w:tcW w:w="3625" w:type="dxa"/>
            <w:tcBorders>
              <w:top w:val="single" w:sz="6" w:space="0" w:color="auto"/>
              <w:left w:val="single" w:sz="6" w:space="0" w:color="auto"/>
              <w:bottom w:val="single" w:sz="6" w:space="0" w:color="auto"/>
              <w:right w:val="single" w:sz="6" w:space="0" w:color="auto"/>
            </w:tcBorders>
            <w:hideMark/>
          </w:tcPr>
          <w:p w14:paraId="583AFAED" w14:textId="77777777" w:rsidR="002151C3" w:rsidRPr="00E0088F" w:rsidRDefault="002151C3" w:rsidP="006C5A84">
            <w:pPr>
              <w:pStyle w:val="Tabletext"/>
              <w:rPr>
                <w:color w:val="000000"/>
                <w:position w:val="6"/>
                <w:sz w:val="18"/>
                <w:lang w:val="fr-CH"/>
              </w:rPr>
            </w:pPr>
            <w:r w:rsidRPr="00E0088F">
              <w:rPr>
                <w:lang w:val="fr-CH"/>
              </w:rPr>
              <w:t>(Rév.CMR-97). A toujours lieu d'être. Cette Résolution est citée dans le numéro </w:t>
            </w:r>
            <w:r w:rsidRPr="00E0088F">
              <w:rPr>
                <w:b/>
                <w:bCs/>
                <w:lang w:val="fr-CH"/>
              </w:rPr>
              <w:t>19.32</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69B93C13" w14:textId="77777777" w:rsidR="002151C3" w:rsidRPr="00E0088F" w:rsidRDefault="002151C3" w:rsidP="006C5A84">
            <w:pPr>
              <w:pStyle w:val="Tabletext"/>
              <w:jc w:val="center"/>
              <w:rPr>
                <w:lang w:val="fr-CH"/>
              </w:rPr>
            </w:pPr>
            <w:r w:rsidRPr="00E0088F">
              <w:rPr>
                <w:lang w:val="fr-CH"/>
              </w:rPr>
              <w:t>NOC</w:t>
            </w:r>
          </w:p>
        </w:tc>
      </w:tr>
      <w:tr w:rsidR="002151C3" w:rsidRPr="00E0088F" w14:paraId="3F1E4C24"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D3E6299" w14:textId="77777777" w:rsidR="002151C3" w:rsidRPr="00E0088F" w:rsidRDefault="002151C3" w:rsidP="006C5A84">
            <w:pPr>
              <w:pStyle w:val="Tabletext"/>
              <w:jc w:val="center"/>
              <w:rPr>
                <w:lang w:val="fr-CH"/>
              </w:rPr>
            </w:pPr>
            <w:r w:rsidRPr="00E0088F">
              <w:rPr>
                <w:lang w:val="fr-CH"/>
              </w:rPr>
              <w:t>15</w:t>
            </w:r>
          </w:p>
        </w:tc>
        <w:tc>
          <w:tcPr>
            <w:tcW w:w="2551" w:type="dxa"/>
            <w:tcBorders>
              <w:top w:val="single" w:sz="6" w:space="0" w:color="auto"/>
              <w:left w:val="single" w:sz="6" w:space="0" w:color="auto"/>
              <w:bottom w:val="single" w:sz="6" w:space="0" w:color="auto"/>
              <w:right w:val="single" w:sz="6" w:space="0" w:color="auto"/>
            </w:tcBorders>
            <w:hideMark/>
          </w:tcPr>
          <w:p w14:paraId="6D596C23" w14:textId="77777777" w:rsidR="002151C3" w:rsidRPr="00E0088F" w:rsidRDefault="002151C3" w:rsidP="006C5A84">
            <w:pPr>
              <w:pStyle w:val="Tabletext"/>
              <w:rPr>
                <w:lang w:val="fr-CH"/>
              </w:rPr>
            </w:pPr>
            <w:r w:rsidRPr="00E0088F">
              <w:rPr>
                <w:lang w:val="fr-CH"/>
              </w:rPr>
              <w:t>Coopération internationale dans le domaine des radiocommunications spatiales</w:t>
            </w:r>
          </w:p>
        </w:tc>
        <w:tc>
          <w:tcPr>
            <w:tcW w:w="3625" w:type="dxa"/>
            <w:tcBorders>
              <w:top w:val="single" w:sz="6" w:space="0" w:color="auto"/>
              <w:left w:val="single" w:sz="6" w:space="0" w:color="auto"/>
              <w:bottom w:val="single" w:sz="6" w:space="0" w:color="auto"/>
              <w:right w:val="single" w:sz="6" w:space="0" w:color="auto"/>
            </w:tcBorders>
            <w:hideMark/>
          </w:tcPr>
          <w:p w14:paraId="1A96626B" w14:textId="77777777" w:rsidR="002151C3" w:rsidRPr="00E0088F" w:rsidRDefault="002151C3" w:rsidP="006C5A84">
            <w:pPr>
              <w:pStyle w:val="Tabletext"/>
              <w:rPr>
                <w:color w:val="000000"/>
                <w:position w:val="6"/>
                <w:sz w:val="18"/>
                <w:lang w:val="fr-CH"/>
              </w:rPr>
            </w:pPr>
            <w:r w:rsidRPr="00E0088F">
              <w:rPr>
                <w:lang w:val="fr-CH"/>
              </w:rPr>
              <w:t>(Rév.CMR-03). A toujours lieu d'être; mise en œuvre dans le cadre de la liaison avec les commissions d'étude de l'UIT-D et des séminaires/ateliers BR/BDT.</w:t>
            </w:r>
          </w:p>
        </w:tc>
        <w:tc>
          <w:tcPr>
            <w:tcW w:w="2045" w:type="dxa"/>
            <w:tcBorders>
              <w:top w:val="single" w:sz="6" w:space="0" w:color="auto"/>
              <w:left w:val="single" w:sz="6" w:space="0" w:color="auto"/>
              <w:bottom w:val="single" w:sz="6" w:space="0" w:color="auto"/>
              <w:right w:val="single" w:sz="6" w:space="0" w:color="auto"/>
            </w:tcBorders>
            <w:hideMark/>
          </w:tcPr>
          <w:p w14:paraId="164A6556" w14:textId="77777777" w:rsidR="002151C3" w:rsidRPr="00E0088F" w:rsidRDefault="002151C3" w:rsidP="006C5A84">
            <w:pPr>
              <w:pStyle w:val="Tabletext"/>
              <w:jc w:val="center"/>
              <w:rPr>
                <w:lang w:val="fr-CH"/>
              </w:rPr>
            </w:pPr>
            <w:r w:rsidRPr="00E0088F">
              <w:rPr>
                <w:lang w:val="fr-CH"/>
              </w:rPr>
              <w:t>NOC</w:t>
            </w:r>
          </w:p>
        </w:tc>
      </w:tr>
      <w:tr w:rsidR="002151C3" w:rsidRPr="00E0088F" w14:paraId="002D91D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85BC7E4" w14:textId="77777777" w:rsidR="002151C3" w:rsidRPr="00E0088F" w:rsidRDefault="002151C3" w:rsidP="006C5A84">
            <w:pPr>
              <w:pStyle w:val="Tabletext"/>
              <w:jc w:val="center"/>
              <w:rPr>
                <w:lang w:val="fr-CH"/>
              </w:rPr>
            </w:pPr>
            <w:r w:rsidRPr="00E0088F">
              <w:rPr>
                <w:lang w:val="fr-CH"/>
              </w:rPr>
              <w:t>18</w:t>
            </w:r>
          </w:p>
        </w:tc>
        <w:tc>
          <w:tcPr>
            <w:tcW w:w="2551" w:type="dxa"/>
            <w:tcBorders>
              <w:top w:val="single" w:sz="6" w:space="0" w:color="auto"/>
              <w:left w:val="single" w:sz="6" w:space="0" w:color="auto"/>
              <w:bottom w:val="single" w:sz="6" w:space="0" w:color="auto"/>
              <w:right w:val="single" w:sz="6" w:space="0" w:color="auto"/>
            </w:tcBorders>
            <w:hideMark/>
          </w:tcPr>
          <w:p w14:paraId="44101BE4" w14:textId="77777777" w:rsidR="002151C3" w:rsidRPr="00E0088F" w:rsidRDefault="002151C3" w:rsidP="006C5A84">
            <w:pPr>
              <w:pStyle w:val="Tabletext"/>
              <w:rPr>
                <w:lang w:val="fr-CH"/>
              </w:rPr>
            </w:pPr>
            <w:r w:rsidRPr="00E0088F">
              <w:rPr>
                <w:lang w:val="fr-CH"/>
              </w:rPr>
              <w:t>Identification/États non parties à un conflit armé</w:t>
            </w:r>
          </w:p>
        </w:tc>
        <w:tc>
          <w:tcPr>
            <w:tcW w:w="3625" w:type="dxa"/>
            <w:tcBorders>
              <w:top w:val="nil"/>
              <w:left w:val="single" w:sz="6" w:space="0" w:color="auto"/>
              <w:bottom w:val="single" w:sz="6" w:space="0" w:color="auto"/>
              <w:right w:val="single" w:sz="6" w:space="0" w:color="auto"/>
            </w:tcBorders>
            <w:hideMark/>
          </w:tcPr>
          <w:p w14:paraId="390ADE28" w14:textId="77777777" w:rsidR="002151C3" w:rsidRPr="00E0088F" w:rsidRDefault="002151C3" w:rsidP="006C5A84">
            <w:pPr>
              <w:pStyle w:val="Tabletext"/>
              <w:rPr>
                <w:lang w:val="fr-CH"/>
              </w:rPr>
            </w:pPr>
            <w:r w:rsidRPr="00E0088F">
              <w:rPr>
                <w:lang w:val="fr-CH"/>
              </w:rPr>
              <w:t>(Rév.CMR-15). A toujours lieu d'être. Le texte a été mis à jour à la CMR-15.</w:t>
            </w:r>
          </w:p>
          <w:p w14:paraId="70F986AF" w14:textId="77777777" w:rsidR="002151C3" w:rsidRPr="00E0088F" w:rsidRDefault="002151C3" w:rsidP="006C5A84">
            <w:pPr>
              <w:pStyle w:val="Tabletext"/>
              <w:rPr>
                <w:lang w:val="fr-CH"/>
              </w:rPr>
            </w:pPr>
            <w:r w:rsidRPr="00E0088F">
              <w:rPr>
                <w:lang w:val="fr-CH"/>
              </w:rPr>
              <w:t>Des modifications pourront être nécessaires afin de tenir compte des pratiques aéronautiques actuelles.</w:t>
            </w:r>
          </w:p>
        </w:tc>
        <w:tc>
          <w:tcPr>
            <w:tcW w:w="2045" w:type="dxa"/>
            <w:tcBorders>
              <w:top w:val="nil"/>
              <w:left w:val="single" w:sz="6" w:space="0" w:color="auto"/>
              <w:bottom w:val="single" w:sz="6" w:space="0" w:color="auto"/>
              <w:right w:val="single" w:sz="6" w:space="0" w:color="auto"/>
            </w:tcBorders>
            <w:hideMark/>
          </w:tcPr>
          <w:p w14:paraId="2FB0E5D4" w14:textId="77777777" w:rsidR="002151C3" w:rsidRPr="00E0088F" w:rsidRDefault="002151C3" w:rsidP="006C5A84">
            <w:pPr>
              <w:pStyle w:val="Tabletext"/>
              <w:jc w:val="center"/>
              <w:rPr>
                <w:lang w:val="fr-CH"/>
              </w:rPr>
            </w:pPr>
            <w:r w:rsidRPr="00E0088F">
              <w:rPr>
                <w:lang w:val="fr-CH"/>
              </w:rPr>
              <w:t>NOC/</w:t>
            </w:r>
          </w:p>
          <w:p w14:paraId="306DD267" w14:textId="77777777" w:rsidR="002151C3" w:rsidRPr="00E0088F" w:rsidRDefault="002151C3" w:rsidP="006C5A84">
            <w:pPr>
              <w:pStyle w:val="Tabletext"/>
              <w:jc w:val="center"/>
              <w:rPr>
                <w:lang w:val="fr-CH"/>
              </w:rPr>
            </w:pPr>
            <w:r w:rsidRPr="00E0088F">
              <w:rPr>
                <w:lang w:val="fr-CH"/>
              </w:rPr>
              <w:t>MOD</w:t>
            </w:r>
          </w:p>
        </w:tc>
      </w:tr>
      <w:tr w:rsidR="002151C3" w:rsidRPr="00E0088F" w14:paraId="2DC634E5"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F407F1A" w14:textId="77777777" w:rsidR="002151C3" w:rsidRPr="00E0088F" w:rsidRDefault="002151C3" w:rsidP="006C5A84">
            <w:pPr>
              <w:pStyle w:val="Tabletext"/>
              <w:jc w:val="center"/>
              <w:rPr>
                <w:lang w:val="fr-CH"/>
              </w:rPr>
            </w:pPr>
            <w:r w:rsidRPr="00E0088F">
              <w:rPr>
                <w:lang w:val="fr-CH"/>
              </w:rPr>
              <w:t>20</w:t>
            </w:r>
          </w:p>
        </w:tc>
        <w:tc>
          <w:tcPr>
            <w:tcW w:w="2551" w:type="dxa"/>
            <w:tcBorders>
              <w:top w:val="single" w:sz="6" w:space="0" w:color="auto"/>
              <w:left w:val="single" w:sz="6" w:space="0" w:color="auto"/>
              <w:bottom w:val="single" w:sz="6" w:space="0" w:color="auto"/>
              <w:right w:val="single" w:sz="6" w:space="0" w:color="auto"/>
            </w:tcBorders>
            <w:hideMark/>
          </w:tcPr>
          <w:p w14:paraId="185909C7" w14:textId="77777777" w:rsidR="002151C3" w:rsidRPr="00E0088F" w:rsidRDefault="002151C3" w:rsidP="006C5A84">
            <w:pPr>
              <w:pStyle w:val="Tabletext"/>
              <w:rPr>
                <w:lang w:val="fr-CH"/>
              </w:rPr>
            </w:pPr>
            <w:r w:rsidRPr="00E0088F">
              <w:rPr>
                <w:lang w:val="fr-CH"/>
              </w:rPr>
              <w:t>Coopération technique avec les pays en développement en matière de télécommunications aéronautiques</w:t>
            </w:r>
          </w:p>
        </w:tc>
        <w:tc>
          <w:tcPr>
            <w:tcW w:w="3625" w:type="dxa"/>
            <w:tcBorders>
              <w:top w:val="single" w:sz="6" w:space="0" w:color="auto"/>
              <w:left w:val="single" w:sz="6" w:space="0" w:color="auto"/>
              <w:bottom w:val="single" w:sz="6" w:space="0" w:color="auto"/>
              <w:right w:val="single" w:sz="6" w:space="0" w:color="auto"/>
            </w:tcBorders>
            <w:hideMark/>
          </w:tcPr>
          <w:p w14:paraId="2AD8C66D" w14:textId="77777777" w:rsidR="002151C3" w:rsidRPr="00E0088F" w:rsidRDefault="002151C3" w:rsidP="006C5A84">
            <w:pPr>
              <w:pStyle w:val="Tabletext"/>
              <w:rPr>
                <w:color w:val="000000"/>
                <w:position w:val="6"/>
                <w:sz w:val="18"/>
                <w:lang w:val="fr-CH"/>
              </w:rPr>
            </w:pPr>
            <w:r w:rsidRPr="00E0088F">
              <w:rPr>
                <w:lang w:val="fr-CH"/>
              </w:rPr>
              <w:t xml:space="preserve">(Rév.CMR-03). A toujours lieu d'être. Cette Résolution est citée dans la Recommandation </w:t>
            </w:r>
            <w:r w:rsidRPr="00E0088F">
              <w:rPr>
                <w:b/>
                <w:bCs/>
                <w:lang w:val="fr-CH"/>
              </w:rPr>
              <w:t>72 (Rév.CMR-07)</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594100BD" w14:textId="77777777" w:rsidR="002151C3" w:rsidRPr="00E0088F" w:rsidRDefault="002151C3" w:rsidP="006C5A84">
            <w:pPr>
              <w:pStyle w:val="Tabletext"/>
              <w:jc w:val="center"/>
              <w:rPr>
                <w:lang w:val="fr-CH"/>
              </w:rPr>
            </w:pPr>
            <w:r w:rsidRPr="00E0088F">
              <w:rPr>
                <w:lang w:val="fr-CH"/>
              </w:rPr>
              <w:t>NOC</w:t>
            </w:r>
          </w:p>
        </w:tc>
      </w:tr>
      <w:tr w:rsidR="002151C3" w:rsidRPr="00E0088F" w14:paraId="323E6D07"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7E7EDB0" w14:textId="77777777" w:rsidR="002151C3" w:rsidRPr="00E0088F" w:rsidRDefault="002151C3" w:rsidP="006C5A84">
            <w:pPr>
              <w:pStyle w:val="Tabletext"/>
              <w:jc w:val="center"/>
              <w:rPr>
                <w:lang w:val="fr-CH"/>
              </w:rPr>
            </w:pPr>
            <w:r w:rsidRPr="00E0088F">
              <w:rPr>
                <w:lang w:val="fr-CH"/>
              </w:rPr>
              <w:t>25</w:t>
            </w:r>
          </w:p>
        </w:tc>
        <w:tc>
          <w:tcPr>
            <w:tcW w:w="2551" w:type="dxa"/>
            <w:tcBorders>
              <w:top w:val="single" w:sz="6" w:space="0" w:color="auto"/>
              <w:left w:val="single" w:sz="6" w:space="0" w:color="auto"/>
              <w:bottom w:val="single" w:sz="6" w:space="0" w:color="auto"/>
              <w:right w:val="single" w:sz="6" w:space="0" w:color="auto"/>
            </w:tcBorders>
            <w:hideMark/>
          </w:tcPr>
          <w:p w14:paraId="07965122" w14:textId="77777777" w:rsidR="002151C3" w:rsidRPr="00E0088F" w:rsidRDefault="002151C3" w:rsidP="006C5A84">
            <w:pPr>
              <w:pStyle w:val="Tabletext"/>
              <w:rPr>
                <w:lang w:val="fr-CH"/>
              </w:rPr>
            </w:pPr>
            <w:r w:rsidRPr="00E0088F">
              <w:rPr>
                <w:lang w:val="fr-CH"/>
              </w:rPr>
              <w:t>Exploitation de systèmes mondiaux de communications personnelles par satellite</w:t>
            </w:r>
          </w:p>
        </w:tc>
        <w:tc>
          <w:tcPr>
            <w:tcW w:w="3625" w:type="dxa"/>
            <w:tcBorders>
              <w:top w:val="single" w:sz="6" w:space="0" w:color="auto"/>
              <w:left w:val="single" w:sz="6" w:space="0" w:color="auto"/>
              <w:bottom w:val="single" w:sz="6" w:space="0" w:color="auto"/>
              <w:right w:val="single" w:sz="6" w:space="0" w:color="auto"/>
            </w:tcBorders>
            <w:hideMark/>
          </w:tcPr>
          <w:p w14:paraId="2CB330D0" w14:textId="77777777" w:rsidR="002151C3" w:rsidRPr="00E0088F" w:rsidRDefault="002151C3" w:rsidP="006C5A84">
            <w:pPr>
              <w:pStyle w:val="Tabletext"/>
              <w:rPr>
                <w:color w:val="000000"/>
                <w:position w:val="6"/>
                <w:sz w:val="18"/>
                <w:lang w:val="fr-CH"/>
              </w:rPr>
            </w:pPr>
            <w:r w:rsidRPr="00E0088F">
              <w:rPr>
                <w:lang w:val="fr-CH"/>
              </w:rPr>
              <w:t>(Rév.CMR-03).</w:t>
            </w:r>
            <w:r w:rsidRPr="00E0088F">
              <w:rPr>
                <w:webHidden/>
                <w:lang w:val="fr-CH"/>
              </w:rPr>
              <w:t xml:space="preserve"> </w:t>
            </w:r>
            <w:r w:rsidRPr="00E0088F">
              <w:rPr>
                <w:lang w:val="fr-CH"/>
              </w:rPr>
              <w:t xml:space="preserve">A toujours lieu d'être. Cette Résolution est citée dans la Résolution </w:t>
            </w:r>
            <w:r w:rsidRPr="00E0088F">
              <w:rPr>
                <w:b/>
                <w:bCs/>
                <w:lang w:val="fr-CH"/>
              </w:rPr>
              <w:t>156 (CMR-15)</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71645C86" w14:textId="77777777" w:rsidR="002151C3" w:rsidRPr="00E0088F" w:rsidRDefault="002151C3" w:rsidP="006C5A84">
            <w:pPr>
              <w:pStyle w:val="Tabletext"/>
              <w:jc w:val="center"/>
              <w:rPr>
                <w:lang w:val="fr-CH"/>
              </w:rPr>
            </w:pPr>
            <w:r w:rsidRPr="00E0088F">
              <w:rPr>
                <w:lang w:val="fr-CH"/>
              </w:rPr>
              <w:t>NOC</w:t>
            </w:r>
          </w:p>
        </w:tc>
      </w:tr>
      <w:tr w:rsidR="002151C3" w:rsidRPr="00E0088F" w14:paraId="5EE1AAC3" w14:textId="77777777" w:rsidTr="006C5A84">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1FE97232" w14:textId="77777777" w:rsidR="002151C3" w:rsidRPr="00E0088F" w:rsidRDefault="002151C3" w:rsidP="006C5A84">
            <w:pPr>
              <w:pStyle w:val="Tabletext"/>
              <w:jc w:val="center"/>
              <w:rPr>
                <w:lang w:val="fr-CH"/>
              </w:rPr>
            </w:pPr>
            <w:r w:rsidRPr="00E0088F">
              <w:rPr>
                <w:lang w:val="fr-CH"/>
              </w:rPr>
              <w:t>26</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9CEBB09" w14:textId="77777777" w:rsidR="002151C3" w:rsidRPr="00E0088F" w:rsidRDefault="002151C3" w:rsidP="006C5A84">
            <w:pPr>
              <w:pStyle w:val="Tabletext"/>
              <w:rPr>
                <w:lang w:val="fr-CH"/>
              </w:rPr>
            </w:pPr>
            <w:r w:rsidRPr="00E0088F">
              <w:rPr>
                <w:lang w:val="fr-CH"/>
              </w:rPr>
              <w:t>Examen des renvois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EA1E0F" w14:textId="00520510" w:rsidR="002151C3" w:rsidRPr="00E0088F" w:rsidRDefault="002151C3" w:rsidP="006C5A84">
            <w:pPr>
              <w:pStyle w:val="Tabletext"/>
              <w:rPr>
                <w:color w:val="000000"/>
                <w:position w:val="6"/>
                <w:sz w:val="18"/>
                <w:lang w:val="fr-CH"/>
              </w:rPr>
            </w:pPr>
            <w:r w:rsidRPr="00E0088F">
              <w:rPr>
                <w:lang w:val="fr-CH"/>
              </w:rPr>
              <w:t>(Rév.CMR-07).</w:t>
            </w:r>
            <w:r w:rsidRPr="00E0088F">
              <w:rPr>
                <w:webHidden/>
                <w:lang w:val="fr-CH"/>
              </w:rPr>
              <w:t xml:space="preserve"> À l'issue de l'examen du </w:t>
            </w:r>
            <w:r w:rsidRPr="00E0088F">
              <w:rPr>
                <w:b/>
                <w:bCs/>
                <w:lang w:val="fr-CH"/>
              </w:rPr>
              <w:t>point 8 de l'ordre du jour</w:t>
            </w:r>
            <w:r w:rsidRPr="00E0088F">
              <w:rPr>
                <w:lang w:val="fr-CH"/>
              </w:rPr>
              <w:t xml:space="preserve"> de la CMR</w:t>
            </w:r>
            <w:r w:rsidRPr="00E0088F">
              <w:rPr>
                <w:lang w:val="fr-CH"/>
              </w:rPr>
              <w:noBreakHyphen/>
              <w:t>19, cette Résolution devrait être modifiée.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29024D4" w14:textId="77777777" w:rsidR="002151C3" w:rsidRPr="00E0088F" w:rsidRDefault="002151C3" w:rsidP="006C5A84">
            <w:pPr>
              <w:pStyle w:val="Tabletext"/>
              <w:jc w:val="center"/>
              <w:rPr>
                <w:lang w:val="fr-CH"/>
              </w:rPr>
            </w:pPr>
            <w:r w:rsidRPr="00E0088F">
              <w:rPr>
                <w:lang w:val="fr-CH"/>
              </w:rPr>
              <w:t>MOD</w:t>
            </w:r>
          </w:p>
        </w:tc>
      </w:tr>
      <w:tr w:rsidR="002151C3" w:rsidRPr="00E0088F" w14:paraId="145D23DC" w14:textId="77777777" w:rsidTr="006C5A84">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1260DB33" w14:textId="77777777" w:rsidR="002151C3" w:rsidRPr="00E0088F" w:rsidRDefault="002151C3" w:rsidP="006C5A84">
            <w:pPr>
              <w:pStyle w:val="Tabletext"/>
              <w:jc w:val="center"/>
              <w:rPr>
                <w:lang w:val="fr-CH"/>
              </w:rPr>
            </w:pPr>
            <w:r w:rsidRPr="00E0088F">
              <w:rPr>
                <w:lang w:val="fr-CH"/>
              </w:rPr>
              <w:t>27</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8C5FDA2" w14:textId="77777777" w:rsidR="002151C3" w:rsidRPr="00E0088F" w:rsidRDefault="002151C3" w:rsidP="006C5A84">
            <w:pPr>
              <w:pStyle w:val="Tabletext"/>
              <w:rPr>
                <w:lang w:val="fr-CH"/>
              </w:rPr>
            </w:pPr>
            <w:r w:rsidRPr="00E0088F">
              <w:rPr>
                <w:lang w:val="fr-CH"/>
              </w:rPr>
              <w:t>Utilisation de l'incorporation par référence dans le Règlement des radiocommunications (principes)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9FFBFA" w14:textId="15CAA1C2" w:rsidR="002151C3" w:rsidRPr="00E0088F" w:rsidRDefault="002151C3" w:rsidP="006C5A84">
            <w:pPr>
              <w:pStyle w:val="Tabletext"/>
              <w:rPr>
                <w:color w:val="000000"/>
                <w:position w:val="6"/>
                <w:sz w:val="18"/>
                <w:lang w:val="fr-CH"/>
              </w:rPr>
            </w:pPr>
            <w:r w:rsidRPr="00E0088F">
              <w:rPr>
                <w:lang w:val="fr-CH"/>
              </w:rPr>
              <w:t xml:space="preserve">(Rév.CMR-12). Il est proposé de fusionner cette Résolution avec la Résolution </w:t>
            </w:r>
            <w:r w:rsidRPr="00E0088F">
              <w:rPr>
                <w:b/>
                <w:bCs/>
                <w:lang w:val="fr-CH"/>
              </w:rPr>
              <w:t>28</w:t>
            </w:r>
            <w:r w:rsidRPr="00E0088F">
              <w:rPr>
                <w:lang w:val="fr-CH"/>
              </w:rPr>
              <w:t xml:space="preserve"> </w:t>
            </w:r>
            <w:r w:rsidRPr="00E0088F">
              <w:rPr>
                <w:b/>
                <w:bCs/>
                <w:lang w:val="fr-CH"/>
              </w:rPr>
              <w:t xml:space="preserve">(Rév.CMR-15) </w:t>
            </w:r>
            <w:r w:rsidRPr="00E0088F">
              <w:rPr>
                <w:lang w:val="fr-CH"/>
              </w:rPr>
              <w:t xml:space="preserve">au titre du </w:t>
            </w:r>
            <w:r w:rsidRPr="00E0088F">
              <w:rPr>
                <w:b/>
                <w:bCs/>
                <w:lang w:val="fr-CH"/>
              </w:rPr>
              <w:t>point 2 de l'ordre du jour</w:t>
            </w:r>
            <w:r w:rsidR="003611A3"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9294A3" w14:textId="77777777" w:rsidR="002151C3" w:rsidRPr="00E0088F" w:rsidRDefault="002151C3" w:rsidP="006C5A84">
            <w:pPr>
              <w:pStyle w:val="Tabletext"/>
              <w:jc w:val="center"/>
              <w:rPr>
                <w:lang w:val="fr-CH"/>
              </w:rPr>
            </w:pPr>
            <w:r w:rsidRPr="00E0088F">
              <w:rPr>
                <w:lang w:val="fr-CH"/>
              </w:rPr>
              <w:t>MOD</w:t>
            </w:r>
          </w:p>
        </w:tc>
      </w:tr>
      <w:tr w:rsidR="002151C3" w:rsidRPr="00E0088F" w14:paraId="3959FB26" w14:textId="77777777" w:rsidTr="006C5A84">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4355EF3" w14:textId="77777777" w:rsidR="002151C3" w:rsidRPr="00E0088F" w:rsidRDefault="002151C3" w:rsidP="006C5A84">
            <w:pPr>
              <w:pStyle w:val="Tabletext"/>
              <w:jc w:val="center"/>
              <w:rPr>
                <w:lang w:val="fr-CH"/>
              </w:rPr>
            </w:pPr>
            <w:r w:rsidRPr="00E0088F">
              <w:rPr>
                <w:lang w:val="fr-CH"/>
              </w:rPr>
              <w:t>28</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E887AAE" w14:textId="77777777" w:rsidR="002151C3" w:rsidRPr="00E0088F" w:rsidRDefault="002151C3" w:rsidP="006C5A84">
            <w:pPr>
              <w:pStyle w:val="Tabletext"/>
              <w:rPr>
                <w:lang w:val="fr-CH"/>
              </w:rPr>
            </w:pPr>
            <w:r w:rsidRPr="00E0088F">
              <w:rPr>
                <w:lang w:val="fr-CH"/>
              </w:rPr>
              <w:t>Révision des références aux textes des Recommandations UIT-R incorporés par référence dans le Règlement des radiocommunications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D715FD" w14:textId="0A88E7EF" w:rsidR="002151C3" w:rsidRPr="00E0088F" w:rsidRDefault="002151C3" w:rsidP="006C5A84">
            <w:pPr>
              <w:pStyle w:val="Tabletext"/>
              <w:rPr>
                <w:color w:val="000000"/>
                <w:position w:val="6"/>
                <w:sz w:val="18"/>
                <w:lang w:val="fr-CH"/>
              </w:rPr>
            </w:pPr>
            <w:r w:rsidRPr="00E0088F">
              <w:rPr>
                <w:lang w:val="fr-CH"/>
              </w:rPr>
              <w:t xml:space="preserve">(Rév.CMR-15). Il est proposé de fusionner cette Résolution avec la Résolution </w:t>
            </w:r>
            <w:r w:rsidRPr="00E0088F">
              <w:rPr>
                <w:b/>
                <w:bCs/>
                <w:lang w:val="fr-CH"/>
              </w:rPr>
              <w:t>27 (Rév.CMR-12)</w:t>
            </w:r>
            <w:r w:rsidRPr="00E0088F">
              <w:rPr>
                <w:lang w:val="fr-CH"/>
              </w:rPr>
              <w:t xml:space="preserve"> au titre du </w:t>
            </w:r>
            <w:r w:rsidRPr="00E0088F">
              <w:rPr>
                <w:b/>
                <w:bCs/>
                <w:lang w:val="fr-CH"/>
              </w:rPr>
              <w:t>point 2 de l'ordre du jour</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736E43" w14:textId="77777777" w:rsidR="002151C3" w:rsidRPr="00E0088F" w:rsidRDefault="002151C3" w:rsidP="006C5A84">
            <w:pPr>
              <w:pStyle w:val="Tabletext"/>
              <w:jc w:val="center"/>
              <w:rPr>
                <w:lang w:val="fr-CH"/>
              </w:rPr>
            </w:pPr>
            <w:r w:rsidRPr="00E0088F">
              <w:rPr>
                <w:lang w:val="fr-CH"/>
              </w:rPr>
              <w:t>SUP</w:t>
            </w:r>
          </w:p>
        </w:tc>
      </w:tr>
      <w:tr w:rsidR="002151C3" w:rsidRPr="00E0088F" w14:paraId="616F6FAA"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C04AF8E" w14:textId="77777777" w:rsidR="002151C3" w:rsidRPr="00E0088F" w:rsidRDefault="002151C3" w:rsidP="006C5A84">
            <w:pPr>
              <w:pStyle w:val="Tabletext"/>
              <w:jc w:val="center"/>
              <w:rPr>
                <w:lang w:val="fr-CH"/>
              </w:rPr>
            </w:pPr>
            <w:r w:rsidRPr="00E0088F">
              <w:rPr>
                <w:lang w:val="fr-CH"/>
              </w:rPr>
              <w:lastRenderedPageBreak/>
              <w:t>31</w:t>
            </w:r>
          </w:p>
        </w:tc>
        <w:tc>
          <w:tcPr>
            <w:tcW w:w="2551" w:type="dxa"/>
            <w:tcBorders>
              <w:top w:val="single" w:sz="6" w:space="0" w:color="auto"/>
              <w:left w:val="single" w:sz="6" w:space="0" w:color="auto"/>
              <w:bottom w:val="single" w:sz="6" w:space="0" w:color="auto"/>
              <w:right w:val="single" w:sz="6" w:space="0" w:color="auto"/>
            </w:tcBorders>
            <w:hideMark/>
          </w:tcPr>
          <w:p w14:paraId="6ACFB0C0" w14:textId="77777777" w:rsidR="002151C3" w:rsidRPr="00E0088F" w:rsidRDefault="002151C3" w:rsidP="006C5A84">
            <w:pPr>
              <w:pStyle w:val="Tabletext"/>
              <w:rPr>
                <w:color w:val="000000"/>
                <w:lang w:val="fr-CH"/>
              </w:rPr>
            </w:pPr>
            <w:r w:rsidRPr="00E0088F">
              <w:rPr>
                <w:color w:val="000000"/>
                <w:lang w:val="fr-CH"/>
              </w:rPr>
              <w:t>Mesures transitoires en vue de la suppression des fiches de notification pour la publication anticipée soumises par les administrations concernant les assignations de fréquence aux réseaux à satellite et aux systèmes à satellites assujettis aux dispositions de la Section II de l'Article 9</w:t>
            </w:r>
          </w:p>
        </w:tc>
        <w:tc>
          <w:tcPr>
            <w:tcW w:w="3625" w:type="dxa"/>
            <w:tcBorders>
              <w:top w:val="single" w:sz="6" w:space="0" w:color="auto"/>
              <w:left w:val="single" w:sz="6" w:space="0" w:color="auto"/>
              <w:bottom w:val="single" w:sz="6" w:space="0" w:color="auto"/>
              <w:right w:val="single" w:sz="6" w:space="0" w:color="auto"/>
            </w:tcBorders>
            <w:hideMark/>
          </w:tcPr>
          <w:p w14:paraId="3CBCB19B" w14:textId="04ED48CF" w:rsidR="002151C3" w:rsidRPr="00E0088F" w:rsidRDefault="002151C3" w:rsidP="006C5A84">
            <w:pPr>
              <w:pStyle w:val="Tabletext"/>
              <w:rPr>
                <w:lang w:val="fr-CH"/>
              </w:rPr>
            </w:pPr>
            <w:r w:rsidRPr="00E0088F">
              <w:rPr>
                <w:lang w:val="fr-CH"/>
              </w:rPr>
              <w:t>(CMR</w:t>
            </w:r>
            <w:r w:rsidRPr="00E0088F">
              <w:rPr>
                <w:lang w:val="fr-CH"/>
              </w:rPr>
              <w:noBreakHyphen/>
              <w:t xml:space="preserve">15). Cette Résolution est citée dans le numéro </w:t>
            </w:r>
            <w:r w:rsidRPr="00E0088F">
              <w:rPr>
                <w:b/>
                <w:bCs/>
                <w:lang w:val="fr-CH"/>
              </w:rPr>
              <w:t>59.14</w:t>
            </w:r>
            <w:r w:rsidRPr="00E0088F">
              <w:rPr>
                <w:lang w:val="fr-CH"/>
              </w:rPr>
              <w:t xml:space="preserve">. La période de transition est finie. </w:t>
            </w:r>
            <w:r w:rsidRPr="00E0088F">
              <w:rPr>
                <w:bCs/>
                <w:lang w:val="fr-CH"/>
              </w:rPr>
              <w:t xml:space="preserve">Il est proposé de supprimer cette Résolution car les mesures nécessaires pour mettre en œuvre les points 1 et 2 du </w:t>
            </w:r>
            <w:r w:rsidRPr="00E0088F">
              <w:rPr>
                <w:bCs/>
                <w:i/>
                <w:iCs/>
                <w:lang w:val="fr-CH"/>
              </w:rPr>
              <w:t>décide</w:t>
            </w:r>
            <w:r w:rsidRPr="00E0088F">
              <w:rPr>
                <w:bCs/>
                <w:lang w:val="fr-CH"/>
              </w:rPr>
              <w:t xml:space="preserve"> ont été menées à bien par le BR</w:t>
            </w:r>
            <w:r w:rsidRPr="00E0088F">
              <w:rPr>
                <w:webHidden/>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2DF66AE4" w14:textId="77777777" w:rsidR="002151C3" w:rsidRPr="00E0088F" w:rsidRDefault="002151C3" w:rsidP="006C5A84">
            <w:pPr>
              <w:pStyle w:val="Tabletext"/>
              <w:jc w:val="center"/>
              <w:rPr>
                <w:lang w:val="fr-CH" w:eastAsia="ja-JP"/>
              </w:rPr>
            </w:pPr>
            <w:r w:rsidRPr="00E0088F">
              <w:rPr>
                <w:lang w:val="fr-CH" w:eastAsia="ja-JP"/>
              </w:rPr>
              <w:t>SUP</w:t>
            </w:r>
          </w:p>
        </w:tc>
      </w:tr>
      <w:tr w:rsidR="002151C3" w:rsidRPr="00E0088F" w14:paraId="1918F90A"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B1BA780" w14:textId="77777777" w:rsidR="002151C3" w:rsidRPr="00E0088F" w:rsidRDefault="002151C3" w:rsidP="006C5A84">
            <w:pPr>
              <w:pStyle w:val="Tabletext"/>
              <w:jc w:val="center"/>
              <w:rPr>
                <w:lang w:val="fr-CH"/>
              </w:rPr>
            </w:pPr>
            <w:r w:rsidRPr="00E0088F">
              <w:rPr>
                <w:lang w:val="fr-CH"/>
              </w:rPr>
              <w:t>33</w:t>
            </w:r>
          </w:p>
        </w:tc>
        <w:tc>
          <w:tcPr>
            <w:tcW w:w="2551" w:type="dxa"/>
            <w:tcBorders>
              <w:top w:val="single" w:sz="6" w:space="0" w:color="auto"/>
              <w:left w:val="single" w:sz="6" w:space="0" w:color="auto"/>
              <w:bottom w:val="single" w:sz="6" w:space="0" w:color="auto"/>
              <w:right w:val="single" w:sz="6" w:space="0" w:color="auto"/>
            </w:tcBorders>
            <w:hideMark/>
          </w:tcPr>
          <w:p w14:paraId="3EF58BB4" w14:textId="77777777" w:rsidR="002151C3" w:rsidRPr="00E0088F" w:rsidRDefault="002151C3" w:rsidP="006C5A84">
            <w:pPr>
              <w:pStyle w:val="Tabletext"/>
              <w:rPr>
                <w:lang w:val="fr-CH"/>
              </w:rPr>
            </w:pPr>
            <w:r w:rsidRPr="00E0088F">
              <w:rPr>
                <w:color w:val="000000"/>
                <w:lang w:val="fr-CH"/>
              </w:rPr>
              <w:t>Procédure applicable au SRS avant l'entrée en vigueur d'accords et de plans pour ce service</w:t>
            </w:r>
          </w:p>
        </w:tc>
        <w:tc>
          <w:tcPr>
            <w:tcW w:w="3625" w:type="dxa"/>
            <w:tcBorders>
              <w:top w:val="single" w:sz="6" w:space="0" w:color="auto"/>
              <w:left w:val="single" w:sz="6" w:space="0" w:color="auto"/>
              <w:bottom w:val="single" w:sz="6" w:space="0" w:color="auto"/>
              <w:right w:val="single" w:sz="6" w:space="0" w:color="auto"/>
            </w:tcBorders>
            <w:hideMark/>
          </w:tcPr>
          <w:p w14:paraId="651F6424" w14:textId="77777777" w:rsidR="00A86D0A" w:rsidRPr="00E0088F" w:rsidRDefault="002151C3" w:rsidP="006C5A84">
            <w:pPr>
              <w:pStyle w:val="Tabletext"/>
              <w:rPr>
                <w:lang w:val="fr-CH"/>
              </w:rPr>
            </w:pPr>
            <w:r w:rsidRPr="00E0088F">
              <w:rPr>
                <w:lang w:val="fr-CH"/>
              </w:rPr>
              <w:t>(Rév.CMR-15).</w:t>
            </w:r>
          </w:p>
          <w:p w14:paraId="37F8B8FA" w14:textId="3F24E852" w:rsidR="00067E8F" w:rsidRPr="00E0088F" w:rsidRDefault="002151C3" w:rsidP="006C5A84">
            <w:pPr>
              <w:pStyle w:val="Tabletext"/>
              <w:rPr>
                <w:lang w:val="fr-CH"/>
              </w:rPr>
            </w:pPr>
            <w:r w:rsidRPr="00E0088F">
              <w:rPr>
                <w:lang w:val="fr-CH"/>
              </w:rPr>
              <w:t>Le traitement des fiches de notification au titre de cette Résolution (fiches de notification soumises avant le 1er</w:t>
            </w:r>
            <w:r w:rsidR="00356D4B" w:rsidRPr="00E0088F">
              <w:rPr>
                <w:lang w:val="fr-CH"/>
              </w:rPr>
              <w:t> </w:t>
            </w:r>
            <w:r w:rsidRPr="00E0088F">
              <w:rPr>
                <w:lang w:val="fr-CH"/>
              </w:rPr>
              <w:t>janvier</w:t>
            </w:r>
            <w:r w:rsidR="00356D4B" w:rsidRPr="00E0088F">
              <w:rPr>
                <w:lang w:val="fr-CH"/>
              </w:rPr>
              <w:t> </w:t>
            </w:r>
            <w:r w:rsidRPr="00E0088F">
              <w:rPr>
                <w:lang w:val="fr-CH"/>
              </w:rPr>
              <w:t xml:space="preserve">1999) a été terminé avant la CMR-07. Il est par conséquent proposé de supprimer cette Résolution. </w:t>
            </w:r>
          </w:p>
          <w:p w14:paraId="6CFD46B0" w14:textId="1322C553" w:rsidR="002151C3" w:rsidRPr="00E0088F" w:rsidRDefault="002151C3" w:rsidP="006C5A84">
            <w:pPr>
              <w:pStyle w:val="Tabletext"/>
              <w:rPr>
                <w:color w:val="000000"/>
                <w:position w:val="6"/>
                <w:sz w:val="18"/>
                <w:lang w:val="fr-CH"/>
              </w:rPr>
            </w:pPr>
            <w:r w:rsidRPr="00E0088F">
              <w:rPr>
                <w:lang w:val="fr-CH"/>
              </w:rPr>
              <w:t xml:space="preserve">En cas de suppression, il faudrait examiner </w:t>
            </w:r>
            <w:r w:rsidRPr="00E0088F">
              <w:rPr>
                <w:webHidden/>
                <w:lang w:val="fr-CH"/>
              </w:rPr>
              <w:t xml:space="preserve">les références à cette Résolution dans le RR: aux numéros </w:t>
            </w:r>
            <w:r w:rsidRPr="00E0088F">
              <w:rPr>
                <w:b/>
                <w:bCs/>
                <w:webHidden/>
                <w:lang w:val="fr-CH"/>
              </w:rPr>
              <w:t>5.396</w:t>
            </w:r>
            <w:r w:rsidRPr="00E0088F">
              <w:rPr>
                <w:webHidden/>
                <w:lang w:val="fr-CH"/>
              </w:rPr>
              <w:t xml:space="preserve">, </w:t>
            </w:r>
            <w:r w:rsidRPr="00E0088F">
              <w:rPr>
                <w:b/>
                <w:bCs/>
                <w:webHidden/>
                <w:lang w:val="fr-CH"/>
              </w:rPr>
              <w:t>A.9.7</w:t>
            </w:r>
            <w:r w:rsidRPr="00E0088F">
              <w:rPr>
                <w:webHidden/>
                <w:lang w:val="fr-CH"/>
              </w:rPr>
              <w:t xml:space="preserve"> et </w:t>
            </w:r>
            <w:r w:rsidRPr="00E0088F">
              <w:rPr>
                <w:b/>
                <w:bCs/>
                <w:webHidden/>
                <w:lang w:val="fr-CH"/>
              </w:rPr>
              <w:t>A.11.5</w:t>
            </w:r>
            <w:r w:rsidRPr="00E0088F">
              <w:rPr>
                <w:webHidden/>
                <w:lang w:val="fr-CH"/>
              </w:rPr>
              <w:t>; dans l'Appendice </w:t>
            </w:r>
            <w:r w:rsidRPr="00E0088F">
              <w:rPr>
                <w:b/>
                <w:bCs/>
                <w:webHidden/>
                <w:lang w:val="fr-CH"/>
              </w:rPr>
              <w:t>30</w:t>
            </w:r>
            <w:r w:rsidRPr="00E0088F">
              <w:rPr>
                <w:rFonts w:ascii="TimesNewRomanPSMT" w:hAnsi="TimesNewRomanPSMT" w:cs="TimesNewRomanPSMT"/>
                <w:sz w:val="17"/>
                <w:szCs w:val="17"/>
                <w:lang w:val="fr-CH"/>
              </w:rPr>
              <w:t xml:space="preserve">, </w:t>
            </w:r>
            <w:r w:rsidRPr="00E0088F">
              <w:rPr>
                <w:lang w:val="fr-CH"/>
              </w:rPr>
              <w:t xml:space="preserve">§ 4.2.3 f), </w:t>
            </w:r>
            <w:r w:rsidRPr="00E0088F">
              <w:rPr>
                <w:webHidden/>
                <w:lang w:val="fr-CH"/>
              </w:rPr>
              <w:t xml:space="preserve">note de bas de page 12 et </w:t>
            </w:r>
            <w:r w:rsidRPr="00E0088F">
              <w:rPr>
                <w:lang w:val="fr-CH"/>
              </w:rPr>
              <w:t xml:space="preserve">§ 7.1, </w:t>
            </w:r>
            <w:r w:rsidRPr="00E0088F">
              <w:rPr>
                <w:webHidden/>
                <w:lang w:val="fr-CH"/>
              </w:rPr>
              <w:t>note de bas de page 23; dans l'Appendice </w:t>
            </w:r>
            <w:r w:rsidRPr="00E0088F">
              <w:rPr>
                <w:b/>
                <w:bCs/>
                <w:webHidden/>
                <w:lang w:val="fr-CH"/>
              </w:rPr>
              <w:t>30A</w:t>
            </w:r>
            <w:r w:rsidRPr="00E0088F">
              <w:rPr>
                <w:lang w:val="fr-CH"/>
              </w:rPr>
              <w:t xml:space="preserve">,§ 7.1, </w:t>
            </w:r>
            <w:r w:rsidRPr="00E0088F">
              <w:rPr>
                <w:webHidden/>
                <w:lang w:val="fr-CH"/>
              </w:rPr>
              <w:t xml:space="preserve">note de bas de page 29; dans la Résolution </w:t>
            </w:r>
            <w:r w:rsidRPr="00E0088F">
              <w:rPr>
                <w:b/>
                <w:bCs/>
                <w:webHidden/>
                <w:lang w:val="fr-CH"/>
              </w:rPr>
              <w:t>34 (Rév.CMR-15)</w:t>
            </w:r>
            <w:r w:rsidRPr="00E0088F">
              <w:rPr>
                <w:webHidden/>
                <w:lang w:val="fr-CH"/>
              </w:rPr>
              <w:t xml:space="preserve">, point 1 du </w:t>
            </w:r>
            <w:r w:rsidRPr="00E0088F">
              <w:rPr>
                <w:i/>
                <w:iCs/>
                <w:webHidden/>
                <w:lang w:val="fr-CH"/>
              </w:rPr>
              <w:t>décide</w:t>
            </w:r>
            <w:r w:rsidRPr="00E0088F">
              <w:rPr>
                <w:webHidden/>
                <w:lang w:val="fr-CH"/>
              </w:rPr>
              <w:t xml:space="preserve">; dans l'Annexe de la Résolution </w:t>
            </w:r>
            <w:r w:rsidRPr="00E0088F">
              <w:rPr>
                <w:b/>
                <w:bCs/>
                <w:webHidden/>
                <w:lang w:val="fr-CH"/>
              </w:rPr>
              <w:t>42 (Rév.CMR</w:t>
            </w:r>
            <w:r w:rsidRPr="00E0088F">
              <w:rPr>
                <w:b/>
                <w:bCs/>
                <w:webHidden/>
                <w:lang w:val="fr-CH"/>
              </w:rPr>
              <w:noBreakHyphen/>
              <w:t>15)</w:t>
            </w:r>
            <w:r w:rsidRPr="00E0088F">
              <w:rPr>
                <w:webHidden/>
                <w:lang w:val="fr-CH"/>
              </w:rPr>
              <w:t xml:space="preserve">, section 5.1 f); dans l'Annexe 1 de la Résolution </w:t>
            </w:r>
            <w:r w:rsidRPr="00E0088F">
              <w:rPr>
                <w:b/>
                <w:bCs/>
                <w:webHidden/>
                <w:lang w:val="fr-CH"/>
              </w:rPr>
              <w:t>49 (Rév.CMR-15)</w:t>
            </w:r>
            <w:r w:rsidRPr="00E0088F">
              <w:rPr>
                <w:webHidden/>
                <w:lang w:val="fr-CH"/>
              </w:rPr>
              <w:t xml:space="preserve">, section 1; dans la Résolution </w:t>
            </w:r>
            <w:r w:rsidRPr="00E0088F">
              <w:rPr>
                <w:b/>
                <w:bCs/>
                <w:webHidden/>
                <w:lang w:val="fr-CH"/>
              </w:rPr>
              <w:t>507 (Rév.CMR-15)</w:t>
            </w:r>
            <w:r w:rsidRPr="00E0088F">
              <w:rPr>
                <w:webHidden/>
                <w:lang w:val="fr-CH"/>
              </w:rPr>
              <w:t xml:space="preserve">, point 2 du </w:t>
            </w:r>
            <w:r w:rsidRPr="00E0088F">
              <w:rPr>
                <w:i/>
                <w:iCs/>
                <w:webHidden/>
                <w:lang w:val="fr-CH"/>
              </w:rPr>
              <w:t>décide</w:t>
            </w:r>
            <w:r w:rsidRPr="00E0088F">
              <w:rPr>
                <w:webHidden/>
                <w:lang w:val="fr-CH"/>
              </w:rPr>
              <w:t xml:space="preserve">; dans la Résolution </w:t>
            </w:r>
            <w:r w:rsidRPr="00E0088F">
              <w:rPr>
                <w:b/>
                <w:bCs/>
                <w:webHidden/>
                <w:lang w:val="fr-CH"/>
              </w:rPr>
              <w:t>528 (Rév.CMR-15)</w:t>
            </w:r>
            <w:r w:rsidRPr="00E0088F">
              <w:rPr>
                <w:webHidden/>
                <w:lang w:val="fr-CH"/>
              </w:rPr>
              <w:t xml:space="preserve">, point 3 du </w:t>
            </w:r>
            <w:r w:rsidRPr="00E0088F">
              <w:rPr>
                <w:i/>
                <w:iCs/>
                <w:webHidden/>
                <w:lang w:val="fr-CH"/>
              </w:rPr>
              <w:t>décide</w:t>
            </w:r>
            <w:r w:rsidRPr="00E0088F">
              <w:rPr>
                <w:webHidden/>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B8DC705" w14:textId="77777777" w:rsidR="002151C3" w:rsidRPr="00E0088F" w:rsidRDefault="002151C3" w:rsidP="006C5A84">
            <w:pPr>
              <w:pStyle w:val="Tabletext"/>
              <w:jc w:val="center"/>
              <w:rPr>
                <w:lang w:val="fr-CH"/>
              </w:rPr>
            </w:pPr>
            <w:r w:rsidRPr="00E0088F">
              <w:rPr>
                <w:lang w:val="fr-CH" w:eastAsia="ja-JP"/>
              </w:rPr>
              <w:t>SUP</w:t>
            </w:r>
          </w:p>
        </w:tc>
      </w:tr>
      <w:tr w:rsidR="002151C3" w:rsidRPr="00E0088F" w14:paraId="4E7364D9"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E16AF86" w14:textId="77777777" w:rsidR="002151C3" w:rsidRPr="00E0088F" w:rsidRDefault="002151C3" w:rsidP="006C5A84">
            <w:pPr>
              <w:pStyle w:val="Tabletext"/>
              <w:jc w:val="center"/>
              <w:rPr>
                <w:lang w:val="fr-CH"/>
              </w:rPr>
            </w:pPr>
            <w:r w:rsidRPr="00E0088F">
              <w:rPr>
                <w:lang w:val="fr-CH"/>
              </w:rPr>
              <w:t>34</w:t>
            </w:r>
          </w:p>
        </w:tc>
        <w:tc>
          <w:tcPr>
            <w:tcW w:w="2551" w:type="dxa"/>
            <w:tcBorders>
              <w:top w:val="single" w:sz="6" w:space="0" w:color="auto"/>
              <w:left w:val="single" w:sz="6" w:space="0" w:color="auto"/>
              <w:bottom w:val="single" w:sz="6" w:space="0" w:color="auto"/>
              <w:right w:val="single" w:sz="6" w:space="0" w:color="auto"/>
            </w:tcBorders>
            <w:hideMark/>
          </w:tcPr>
          <w:p w14:paraId="77589F0A" w14:textId="77777777" w:rsidR="002151C3" w:rsidRPr="00E0088F" w:rsidRDefault="002151C3" w:rsidP="006C5A84">
            <w:pPr>
              <w:pStyle w:val="Tabletext"/>
              <w:rPr>
                <w:lang w:val="fr-CH"/>
              </w:rPr>
            </w:pPr>
            <w:r w:rsidRPr="00E0088F">
              <w:rPr>
                <w:lang w:val="fr-CH"/>
              </w:rPr>
              <w:t>SRS dans la bande 12,5</w:t>
            </w:r>
            <w:r w:rsidRPr="00E0088F">
              <w:rPr>
                <w:lang w:val="fr-CH"/>
              </w:rPr>
              <w:noBreakHyphen/>
              <w:t>12,75 GHz dans la Région 3</w:t>
            </w:r>
          </w:p>
        </w:tc>
        <w:tc>
          <w:tcPr>
            <w:tcW w:w="3625" w:type="dxa"/>
            <w:tcBorders>
              <w:top w:val="nil"/>
              <w:left w:val="single" w:sz="6" w:space="0" w:color="auto"/>
              <w:bottom w:val="single" w:sz="6" w:space="0" w:color="auto"/>
              <w:right w:val="single" w:sz="6" w:space="0" w:color="auto"/>
            </w:tcBorders>
            <w:hideMark/>
          </w:tcPr>
          <w:p w14:paraId="1DDA2A1C" w14:textId="573F5C00" w:rsidR="002151C3" w:rsidRPr="00E0088F" w:rsidRDefault="002151C3" w:rsidP="006C5A84">
            <w:pPr>
              <w:pStyle w:val="Tabletext"/>
              <w:rPr>
                <w:lang w:val="fr-CH"/>
              </w:rPr>
            </w:pPr>
            <w:r w:rsidRPr="00E0088F">
              <w:rPr>
                <w:lang w:val="fr-CH"/>
              </w:rPr>
              <w:t xml:space="preserve">(Rév.CMR-15). </w:t>
            </w:r>
            <w:r w:rsidR="00356D4B" w:rsidRPr="00E0088F">
              <w:rPr>
                <w:lang w:val="fr-CH"/>
              </w:rPr>
              <w:t>A</w:t>
            </w:r>
            <w:r w:rsidRPr="00E0088F">
              <w:rPr>
                <w:lang w:val="fr-CH"/>
              </w:rPr>
              <w:t xml:space="preserve"> toujours lieu d'être. Le texte a été mis à jour sur le plan de la forme à la CMR-15. Cette Résolution est en substance liée à la Résolution </w:t>
            </w:r>
            <w:r w:rsidRPr="00E0088F">
              <w:rPr>
                <w:b/>
                <w:bCs/>
                <w:lang w:val="fr-CH"/>
              </w:rPr>
              <w:t>33 (Rév.CMR-03)</w:t>
            </w:r>
            <w:r w:rsidRPr="00E0088F">
              <w:rPr>
                <w:lang w:val="fr-CH"/>
              </w:rPr>
              <w:t xml:space="preserve">. Il est nécessaire de mettre le texte à jour compte tenu de la suppression de la Résolution </w:t>
            </w:r>
            <w:r w:rsidRPr="00E0088F">
              <w:rPr>
                <w:b/>
                <w:bCs/>
                <w:lang w:val="fr-CH"/>
              </w:rPr>
              <w:t>33</w:t>
            </w:r>
            <w:r w:rsidR="009D29ED" w:rsidRPr="00E0088F">
              <w:rPr>
                <w:lang w:val="fr-CH"/>
              </w:rPr>
              <w:t>.</w:t>
            </w:r>
          </w:p>
        </w:tc>
        <w:tc>
          <w:tcPr>
            <w:tcW w:w="2045" w:type="dxa"/>
            <w:tcBorders>
              <w:top w:val="nil"/>
              <w:left w:val="single" w:sz="6" w:space="0" w:color="auto"/>
              <w:bottom w:val="single" w:sz="6" w:space="0" w:color="auto"/>
              <w:right w:val="single" w:sz="6" w:space="0" w:color="auto"/>
            </w:tcBorders>
            <w:hideMark/>
          </w:tcPr>
          <w:p w14:paraId="558E482A" w14:textId="77777777" w:rsidR="002151C3" w:rsidRPr="00E0088F" w:rsidRDefault="002151C3" w:rsidP="006C5A84">
            <w:pPr>
              <w:pStyle w:val="Tabletext"/>
              <w:jc w:val="center"/>
              <w:rPr>
                <w:lang w:val="fr-CH"/>
              </w:rPr>
            </w:pPr>
            <w:r w:rsidRPr="00E0088F">
              <w:rPr>
                <w:lang w:val="fr-CH"/>
              </w:rPr>
              <w:t>MOD</w:t>
            </w:r>
          </w:p>
        </w:tc>
      </w:tr>
      <w:tr w:rsidR="002151C3" w:rsidRPr="00E0088F" w14:paraId="6668D0A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BF0C0C2" w14:textId="77777777" w:rsidR="002151C3" w:rsidRPr="00E0088F" w:rsidRDefault="002151C3" w:rsidP="006C5A84">
            <w:pPr>
              <w:pStyle w:val="Tabletext"/>
              <w:jc w:val="center"/>
              <w:rPr>
                <w:lang w:val="fr-CH"/>
              </w:rPr>
            </w:pPr>
            <w:r w:rsidRPr="00E0088F">
              <w:rPr>
                <w:lang w:val="fr-CH"/>
              </w:rPr>
              <w:t>40</w:t>
            </w:r>
          </w:p>
        </w:tc>
        <w:tc>
          <w:tcPr>
            <w:tcW w:w="2551" w:type="dxa"/>
            <w:tcBorders>
              <w:top w:val="single" w:sz="6" w:space="0" w:color="auto"/>
              <w:left w:val="single" w:sz="6" w:space="0" w:color="auto"/>
              <w:bottom w:val="single" w:sz="6" w:space="0" w:color="auto"/>
              <w:right w:val="single" w:sz="6" w:space="0" w:color="auto"/>
            </w:tcBorders>
            <w:tcMar>
              <w:top w:w="0" w:type="dxa"/>
              <w:left w:w="85" w:type="dxa"/>
              <w:bottom w:w="0" w:type="dxa"/>
              <w:right w:w="0" w:type="dxa"/>
            </w:tcMar>
            <w:hideMark/>
          </w:tcPr>
          <w:p w14:paraId="1E1FA9D8" w14:textId="77777777" w:rsidR="002151C3" w:rsidRPr="00E0088F" w:rsidRDefault="002151C3" w:rsidP="006C5A84">
            <w:pPr>
              <w:pStyle w:val="Tabletext"/>
              <w:rPr>
                <w:color w:val="000000"/>
                <w:lang w:val="fr-CH"/>
              </w:rPr>
            </w:pPr>
            <w:r w:rsidRPr="00E0088F">
              <w:rPr>
                <w:color w:val="000000"/>
                <w:lang w:val="fr-CH"/>
              </w:rPr>
              <w:t>Utilisation d'une station spatiale pour mettre en service des assignations de fréquence à des réseaux à satellite géostationnaire à des positions orbitales différentes sur une courte période</w:t>
            </w:r>
          </w:p>
        </w:tc>
        <w:tc>
          <w:tcPr>
            <w:tcW w:w="3625" w:type="dxa"/>
            <w:tcBorders>
              <w:top w:val="single" w:sz="6" w:space="0" w:color="auto"/>
              <w:left w:val="single" w:sz="6" w:space="0" w:color="auto"/>
              <w:bottom w:val="single" w:sz="6" w:space="0" w:color="auto"/>
              <w:right w:val="single" w:sz="6" w:space="0" w:color="auto"/>
            </w:tcBorders>
            <w:hideMark/>
          </w:tcPr>
          <w:p w14:paraId="3FC3955E" w14:textId="5D102649" w:rsidR="002151C3" w:rsidRPr="00E0088F" w:rsidRDefault="002151C3" w:rsidP="006C5A84">
            <w:pPr>
              <w:pStyle w:val="Tabletext"/>
              <w:rPr>
                <w:color w:val="000000"/>
                <w:lang w:val="fr-CH"/>
              </w:rPr>
            </w:pPr>
            <w:r w:rsidRPr="00E0088F">
              <w:rPr>
                <w:lang w:val="fr-CH"/>
              </w:rPr>
              <w:t>(CMR</w:t>
            </w:r>
            <w:r w:rsidRPr="00E0088F">
              <w:rPr>
                <w:lang w:val="fr-CH"/>
              </w:rPr>
              <w:noBreakHyphen/>
            </w:r>
            <w:r w:rsidRPr="00E0088F">
              <w:rPr>
                <w:lang w:val="fr-CH" w:eastAsia="ja-JP"/>
              </w:rPr>
              <w:t>15</w:t>
            </w:r>
            <w:r w:rsidRPr="00E0088F">
              <w:rPr>
                <w:lang w:val="fr-CH"/>
              </w:rPr>
              <w:t xml:space="preserve">). </w:t>
            </w:r>
            <w:r w:rsidR="00356D4B" w:rsidRPr="00E0088F">
              <w:rPr>
                <w:lang w:val="fr-CH"/>
              </w:rPr>
              <w:t>A</w:t>
            </w:r>
            <w:r w:rsidRPr="00E0088F">
              <w:rPr>
                <w:lang w:val="fr-CH"/>
              </w:rPr>
              <w:t xml:space="preserve"> toujours lieu d'être. </w:t>
            </w:r>
            <w:r w:rsidRPr="00E0088F">
              <w:rPr>
                <w:color w:val="000000"/>
                <w:lang w:val="fr-CH"/>
              </w:rPr>
              <w:t xml:space="preserve">Cette Résolution est citée dans les numéros </w:t>
            </w:r>
            <w:r w:rsidRPr="00E0088F">
              <w:rPr>
                <w:b/>
                <w:bCs/>
                <w:color w:val="000000"/>
                <w:lang w:val="fr-CH"/>
              </w:rPr>
              <w:t>11.44B</w:t>
            </w:r>
            <w:r w:rsidRPr="00E0088F">
              <w:rPr>
                <w:color w:val="000000"/>
                <w:lang w:val="fr-CH"/>
              </w:rPr>
              <w:t xml:space="preserve"> et </w:t>
            </w:r>
            <w:r w:rsidRPr="00E0088F">
              <w:rPr>
                <w:b/>
                <w:bCs/>
                <w:color w:val="000000"/>
                <w:lang w:val="fr-CH"/>
              </w:rPr>
              <w:t>11.49.1</w:t>
            </w:r>
            <w:r w:rsidRPr="00E0088F">
              <w:rPr>
                <w:color w:val="000000"/>
                <w:lang w:val="fr-CH"/>
              </w:rPr>
              <w:t xml:space="preserve"> ainsi que dans les Appendices </w:t>
            </w:r>
            <w:r w:rsidRPr="00E0088F">
              <w:rPr>
                <w:b/>
                <w:bCs/>
                <w:color w:val="000000"/>
                <w:lang w:val="fr-CH"/>
              </w:rPr>
              <w:t>30, 30A</w:t>
            </w:r>
            <w:r w:rsidRPr="00E0088F">
              <w:rPr>
                <w:color w:val="000000"/>
                <w:lang w:val="fr-CH"/>
              </w:rPr>
              <w:t xml:space="preserve"> et </w:t>
            </w:r>
            <w:r w:rsidRPr="00E0088F">
              <w:rPr>
                <w:b/>
                <w:bCs/>
                <w:color w:val="000000"/>
                <w:lang w:val="fr-CH"/>
              </w:rPr>
              <w:t>30B</w:t>
            </w:r>
            <w:r w:rsidRPr="00E0088F">
              <w:rPr>
                <w:color w:val="000000"/>
                <w:lang w:val="fr-CH"/>
              </w:rPr>
              <w:t>.</w:t>
            </w:r>
          </w:p>
          <w:p w14:paraId="4D45FF14" w14:textId="77777777" w:rsidR="002151C3" w:rsidRPr="00E0088F" w:rsidRDefault="002151C3" w:rsidP="006C5A84">
            <w:pPr>
              <w:pStyle w:val="Tabletext"/>
              <w:rPr>
                <w:lang w:val="fr-CH"/>
              </w:rPr>
            </w:pPr>
            <w:r w:rsidRPr="00E0088F">
              <w:rPr>
                <w:color w:val="000000"/>
                <w:lang w:val="fr-CH"/>
              </w:rPr>
              <w:t>Il est nécessaire de mettre</w:t>
            </w:r>
            <w:r w:rsidRPr="00E0088F">
              <w:rPr>
                <w:lang w:val="fr-CH"/>
              </w:rPr>
              <w:t xml:space="preserve"> à jour le point 5 du </w:t>
            </w:r>
            <w:r w:rsidRPr="00E0088F">
              <w:rPr>
                <w:i/>
                <w:iCs/>
                <w:lang w:val="fr-CH"/>
              </w:rPr>
              <w:t>décide</w:t>
            </w:r>
            <w:r w:rsidRPr="00E0088F">
              <w:rPr>
                <w:lang w:val="fr-CH"/>
              </w:rPr>
              <w:t>, dans lequel il est indiqué: «… à compter du 1er janvier 2018…».</w:t>
            </w:r>
          </w:p>
        </w:tc>
        <w:tc>
          <w:tcPr>
            <w:tcW w:w="2045" w:type="dxa"/>
            <w:tcBorders>
              <w:top w:val="single" w:sz="6" w:space="0" w:color="auto"/>
              <w:left w:val="single" w:sz="6" w:space="0" w:color="auto"/>
              <w:bottom w:val="single" w:sz="6" w:space="0" w:color="auto"/>
              <w:right w:val="single" w:sz="6" w:space="0" w:color="auto"/>
            </w:tcBorders>
            <w:hideMark/>
          </w:tcPr>
          <w:p w14:paraId="11578A7E" w14:textId="77777777" w:rsidR="002151C3" w:rsidRPr="00E0088F" w:rsidRDefault="002151C3" w:rsidP="006C5A84">
            <w:pPr>
              <w:pStyle w:val="Tabletext"/>
              <w:jc w:val="center"/>
              <w:rPr>
                <w:lang w:val="fr-CH"/>
              </w:rPr>
            </w:pPr>
            <w:r w:rsidRPr="00E0088F">
              <w:rPr>
                <w:lang w:val="fr-CH"/>
              </w:rPr>
              <w:t>MOD</w:t>
            </w:r>
          </w:p>
        </w:tc>
      </w:tr>
      <w:tr w:rsidR="002151C3" w:rsidRPr="00E0088F" w14:paraId="3FCB348A"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E195814" w14:textId="77777777" w:rsidR="002151C3" w:rsidRPr="00E0088F" w:rsidRDefault="002151C3" w:rsidP="006C5A84">
            <w:pPr>
              <w:pStyle w:val="Tabletext"/>
              <w:jc w:val="center"/>
              <w:rPr>
                <w:lang w:val="fr-CH"/>
              </w:rPr>
            </w:pPr>
            <w:r w:rsidRPr="00E0088F">
              <w:rPr>
                <w:lang w:val="fr-CH"/>
              </w:rPr>
              <w:t>42</w:t>
            </w:r>
          </w:p>
        </w:tc>
        <w:tc>
          <w:tcPr>
            <w:tcW w:w="2551" w:type="dxa"/>
            <w:tcBorders>
              <w:top w:val="single" w:sz="6" w:space="0" w:color="auto"/>
              <w:left w:val="single" w:sz="6" w:space="0" w:color="auto"/>
              <w:bottom w:val="single" w:sz="6" w:space="0" w:color="auto"/>
              <w:right w:val="single" w:sz="6" w:space="0" w:color="auto"/>
            </w:tcBorders>
            <w:hideMark/>
          </w:tcPr>
          <w:p w14:paraId="0D54E710" w14:textId="77777777" w:rsidR="002151C3" w:rsidRPr="00E0088F" w:rsidRDefault="002151C3" w:rsidP="006C5A84">
            <w:pPr>
              <w:pStyle w:val="Tabletext"/>
              <w:rPr>
                <w:lang w:val="fr-CH"/>
              </w:rPr>
            </w:pPr>
            <w:r w:rsidRPr="00E0088F">
              <w:rPr>
                <w:color w:val="000000"/>
                <w:lang w:val="fr-CH"/>
              </w:rPr>
              <w:t xml:space="preserve">Systèmes intérimaires en Région 2 (SRS et SFS) dans les bandes couvertes par les Appendices </w:t>
            </w:r>
            <w:r w:rsidRPr="00E0088F">
              <w:rPr>
                <w:b/>
                <w:bCs/>
                <w:color w:val="000000"/>
                <w:lang w:val="fr-CH"/>
              </w:rPr>
              <w:t>30</w:t>
            </w:r>
            <w:r w:rsidRPr="00E0088F">
              <w:rPr>
                <w:color w:val="000000"/>
                <w:lang w:val="fr-CH"/>
              </w:rPr>
              <w:t xml:space="preserve"> et </w:t>
            </w:r>
            <w:r w:rsidRPr="00E0088F">
              <w:rPr>
                <w:b/>
                <w:bCs/>
                <w:color w:val="000000"/>
                <w:lang w:val="fr-CH"/>
              </w:rPr>
              <w:t>30A</w:t>
            </w:r>
          </w:p>
        </w:tc>
        <w:tc>
          <w:tcPr>
            <w:tcW w:w="3625" w:type="dxa"/>
            <w:tcBorders>
              <w:top w:val="single" w:sz="6" w:space="0" w:color="auto"/>
              <w:left w:val="single" w:sz="6" w:space="0" w:color="auto"/>
              <w:bottom w:val="nil"/>
              <w:right w:val="single" w:sz="6" w:space="0" w:color="auto"/>
            </w:tcBorders>
            <w:hideMark/>
          </w:tcPr>
          <w:p w14:paraId="0D310497" w14:textId="6A325BF8" w:rsidR="002151C3" w:rsidRPr="00E0088F" w:rsidRDefault="002151C3" w:rsidP="006C5A84">
            <w:pPr>
              <w:pStyle w:val="Tabletext"/>
              <w:rPr>
                <w:color w:val="000000"/>
                <w:position w:val="6"/>
                <w:sz w:val="18"/>
                <w:lang w:val="fr-CH"/>
              </w:rPr>
            </w:pPr>
            <w:r w:rsidRPr="00E0088F">
              <w:rPr>
                <w:lang w:val="fr-CH"/>
              </w:rPr>
              <w:t xml:space="preserve">(Rév.CMR-15). </w:t>
            </w:r>
            <w:r w:rsidR="00356D4B" w:rsidRPr="00E0088F">
              <w:rPr>
                <w:lang w:val="fr-CH"/>
              </w:rPr>
              <w:t>A</w:t>
            </w:r>
            <w:r w:rsidRPr="00E0088F">
              <w:rPr>
                <w:lang w:val="fr-CH"/>
              </w:rPr>
              <w:t xml:space="preserve"> toujours lieu d'être. Cette </w:t>
            </w:r>
            <w:r w:rsidRPr="00E0088F">
              <w:rPr>
                <w:color w:val="000000"/>
                <w:lang w:val="fr-CH"/>
              </w:rPr>
              <w:t xml:space="preserve">Résolution est citée dans les numéros </w:t>
            </w:r>
            <w:r w:rsidRPr="00E0088F">
              <w:rPr>
                <w:b/>
                <w:bCs/>
                <w:color w:val="000000"/>
                <w:lang w:val="fr-CH"/>
              </w:rPr>
              <w:t>A.9.3</w:t>
            </w:r>
            <w:r w:rsidRPr="00E0088F">
              <w:rPr>
                <w:color w:val="000000"/>
                <w:lang w:val="fr-CH"/>
              </w:rPr>
              <w:t xml:space="preserve"> et </w:t>
            </w:r>
            <w:r w:rsidRPr="00E0088F">
              <w:rPr>
                <w:b/>
                <w:bCs/>
                <w:color w:val="000000"/>
                <w:lang w:val="fr-CH"/>
              </w:rPr>
              <w:t>A.11.1</w:t>
            </w:r>
            <w:r w:rsidRPr="00E0088F">
              <w:rPr>
                <w:color w:val="000000"/>
                <w:lang w:val="fr-CH"/>
              </w:rPr>
              <w:t xml:space="preserve"> ainsi que dans les Appendices </w:t>
            </w:r>
            <w:r w:rsidRPr="00E0088F">
              <w:rPr>
                <w:b/>
                <w:bCs/>
                <w:color w:val="000000"/>
                <w:lang w:val="fr-CH"/>
              </w:rPr>
              <w:t xml:space="preserve">30 </w:t>
            </w:r>
            <w:r w:rsidRPr="00E0088F">
              <w:rPr>
                <w:color w:val="000000"/>
                <w:lang w:val="fr-CH"/>
              </w:rPr>
              <w:t>et</w:t>
            </w:r>
            <w:r w:rsidRPr="00E0088F">
              <w:rPr>
                <w:b/>
                <w:bCs/>
                <w:color w:val="000000"/>
                <w:lang w:val="fr-CH"/>
              </w:rPr>
              <w:t xml:space="preserve"> 30A</w:t>
            </w:r>
            <w:r w:rsidRPr="00E0088F">
              <w:rPr>
                <w:lang w:val="fr-CH"/>
              </w:rPr>
              <w:t xml:space="preserve">. Il faudra peut-être mettre le texte à jour compte tenu de la suppression de la Résolution </w:t>
            </w:r>
            <w:r w:rsidRPr="00E0088F">
              <w:rPr>
                <w:b/>
                <w:bCs/>
                <w:lang w:val="fr-CH"/>
              </w:rPr>
              <w:t>33</w:t>
            </w:r>
            <w:r w:rsidRPr="00E0088F">
              <w:rPr>
                <w:lang w:val="fr-CH"/>
              </w:rPr>
              <w:t>.</w:t>
            </w:r>
          </w:p>
        </w:tc>
        <w:tc>
          <w:tcPr>
            <w:tcW w:w="2045" w:type="dxa"/>
            <w:tcBorders>
              <w:top w:val="single" w:sz="6" w:space="0" w:color="auto"/>
              <w:left w:val="single" w:sz="6" w:space="0" w:color="auto"/>
              <w:bottom w:val="nil"/>
              <w:right w:val="single" w:sz="6" w:space="0" w:color="auto"/>
            </w:tcBorders>
            <w:hideMark/>
          </w:tcPr>
          <w:p w14:paraId="2C89DC0A" w14:textId="77777777" w:rsidR="002151C3" w:rsidRPr="00E0088F" w:rsidRDefault="002151C3" w:rsidP="006C5A84">
            <w:pPr>
              <w:pStyle w:val="Tabletext"/>
              <w:jc w:val="center"/>
              <w:rPr>
                <w:lang w:val="fr-CH"/>
              </w:rPr>
            </w:pPr>
            <w:r w:rsidRPr="00E0088F">
              <w:rPr>
                <w:lang w:val="fr-CH"/>
              </w:rPr>
              <w:t>N/A</w:t>
            </w:r>
          </w:p>
        </w:tc>
      </w:tr>
      <w:tr w:rsidR="002151C3" w:rsidRPr="00E0088F" w14:paraId="6DF6CE5B"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1AB61DB" w14:textId="77777777" w:rsidR="002151C3" w:rsidRPr="00E0088F" w:rsidRDefault="002151C3" w:rsidP="006C5A84">
            <w:pPr>
              <w:pStyle w:val="Tabletext"/>
              <w:jc w:val="center"/>
              <w:rPr>
                <w:lang w:val="fr-CH"/>
              </w:rPr>
            </w:pPr>
            <w:r w:rsidRPr="00E0088F">
              <w:rPr>
                <w:lang w:val="fr-CH"/>
              </w:rPr>
              <w:lastRenderedPageBreak/>
              <w:t>49</w:t>
            </w:r>
          </w:p>
        </w:tc>
        <w:tc>
          <w:tcPr>
            <w:tcW w:w="2551" w:type="dxa"/>
            <w:tcBorders>
              <w:top w:val="single" w:sz="6" w:space="0" w:color="auto"/>
              <w:left w:val="single" w:sz="6" w:space="0" w:color="auto"/>
              <w:bottom w:val="single" w:sz="6" w:space="0" w:color="auto"/>
              <w:right w:val="single" w:sz="6" w:space="0" w:color="auto"/>
            </w:tcBorders>
            <w:hideMark/>
          </w:tcPr>
          <w:p w14:paraId="56D5F296" w14:textId="77777777" w:rsidR="002151C3" w:rsidRPr="00E0088F" w:rsidRDefault="002151C3" w:rsidP="006C5A84">
            <w:pPr>
              <w:pStyle w:val="Tabletext"/>
              <w:rPr>
                <w:lang w:val="fr-CH"/>
              </w:rPr>
            </w:pPr>
            <w:r w:rsidRPr="00E0088F">
              <w:rPr>
                <w:color w:val="000000"/>
                <w:lang w:val="fr-CH"/>
              </w:rPr>
              <w:t>Procédure administrative du principe de diligence due</w:t>
            </w:r>
          </w:p>
        </w:tc>
        <w:tc>
          <w:tcPr>
            <w:tcW w:w="3625" w:type="dxa"/>
            <w:tcBorders>
              <w:top w:val="single" w:sz="6" w:space="0" w:color="auto"/>
              <w:left w:val="single" w:sz="6" w:space="0" w:color="auto"/>
              <w:bottom w:val="single" w:sz="6" w:space="0" w:color="auto"/>
              <w:right w:val="single" w:sz="6" w:space="0" w:color="auto"/>
            </w:tcBorders>
            <w:hideMark/>
          </w:tcPr>
          <w:p w14:paraId="68C85136" w14:textId="77777777" w:rsidR="002151C3" w:rsidRPr="00E0088F" w:rsidRDefault="002151C3" w:rsidP="006C5A84">
            <w:pPr>
              <w:pStyle w:val="Tabletext"/>
              <w:rPr>
                <w:lang w:val="fr-CH"/>
              </w:rPr>
            </w:pPr>
            <w:r w:rsidRPr="00E0088F">
              <w:rPr>
                <w:lang w:val="fr-CH"/>
              </w:rPr>
              <w:t xml:space="preserve">(Rév.CMR-15). A toujours lieu d'être. Le texte a été mis à jour à la CMR-15. Cette Résolution est citée dans les numéros </w:t>
            </w:r>
            <w:r w:rsidRPr="00E0088F">
              <w:rPr>
                <w:b/>
                <w:bCs/>
                <w:lang w:val="fr-CH"/>
              </w:rPr>
              <w:t>11.44.1</w:t>
            </w:r>
            <w:r w:rsidRPr="00E0088F">
              <w:rPr>
                <w:lang w:val="fr-CH"/>
              </w:rPr>
              <w:t xml:space="preserve"> et </w:t>
            </w:r>
            <w:r w:rsidRPr="00E0088F">
              <w:rPr>
                <w:b/>
                <w:bCs/>
                <w:lang w:val="fr-CH"/>
              </w:rPr>
              <w:t>11.48</w:t>
            </w:r>
            <w:r w:rsidRPr="00E0088F">
              <w:rPr>
                <w:lang w:val="fr-CH"/>
              </w:rPr>
              <w:t xml:space="preserve">, dans les Articles </w:t>
            </w:r>
            <w:r w:rsidRPr="00E0088F">
              <w:rPr>
                <w:b/>
                <w:bCs/>
                <w:lang w:val="fr-CH"/>
              </w:rPr>
              <w:t>9</w:t>
            </w:r>
            <w:r w:rsidRPr="00E0088F">
              <w:rPr>
                <w:lang w:val="fr-CH"/>
              </w:rPr>
              <w:t xml:space="preserve"> et </w:t>
            </w:r>
            <w:r w:rsidRPr="00E0088F">
              <w:rPr>
                <w:b/>
                <w:bCs/>
                <w:lang w:val="fr-CH"/>
              </w:rPr>
              <w:t>11</w:t>
            </w:r>
            <w:r w:rsidRPr="00E0088F">
              <w:rPr>
                <w:lang w:val="fr-CH"/>
              </w:rPr>
              <w:t xml:space="preserve">, dans les Résolutions </w:t>
            </w:r>
            <w:r w:rsidRPr="00E0088F">
              <w:rPr>
                <w:b/>
                <w:bCs/>
                <w:lang w:val="fr-CH"/>
              </w:rPr>
              <w:t xml:space="preserve">55 (Rév.CMR-15) </w:t>
            </w:r>
            <w:r w:rsidRPr="00E0088F">
              <w:rPr>
                <w:lang w:val="fr-CH"/>
              </w:rPr>
              <w:t xml:space="preserve">et </w:t>
            </w:r>
            <w:r w:rsidRPr="00E0088F">
              <w:rPr>
                <w:b/>
                <w:bCs/>
                <w:lang w:val="fr-CH"/>
              </w:rPr>
              <w:t>81 (Rév.CMR-15)</w:t>
            </w:r>
            <w:r w:rsidRPr="00E0088F">
              <w:rPr>
                <w:lang w:val="fr-CH"/>
              </w:rPr>
              <w:t xml:space="preserve"> ainsi que dans les Appendices </w:t>
            </w:r>
            <w:r w:rsidRPr="00E0088F">
              <w:rPr>
                <w:b/>
                <w:bCs/>
                <w:lang w:val="fr-CH"/>
              </w:rPr>
              <w:t>30</w:t>
            </w:r>
            <w:r w:rsidRPr="00E0088F">
              <w:rPr>
                <w:lang w:val="fr-CH"/>
              </w:rPr>
              <w:t xml:space="preserve">, </w:t>
            </w:r>
            <w:r w:rsidRPr="00E0088F">
              <w:rPr>
                <w:b/>
                <w:bCs/>
                <w:lang w:val="fr-CH"/>
              </w:rPr>
              <w:t>30A</w:t>
            </w:r>
            <w:r w:rsidRPr="00E0088F">
              <w:rPr>
                <w:lang w:val="fr-CH"/>
              </w:rPr>
              <w:t xml:space="preserve"> et </w:t>
            </w:r>
            <w:r w:rsidRPr="00E0088F">
              <w:rPr>
                <w:b/>
                <w:bCs/>
                <w:lang w:val="fr-CH"/>
              </w:rPr>
              <w:t>30B</w:t>
            </w:r>
            <w:r w:rsidRPr="00E0088F">
              <w:rPr>
                <w:lang w:val="fr-CH"/>
              </w:rPr>
              <w:t>.</w:t>
            </w:r>
          </w:p>
          <w:p w14:paraId="67E073F5" w14:textId="111D675B" w:rsidR="002151C3" w:rsidRPr="00E0088F" w:rsidRDefault="002151C3" w:rsidP="006C5A84">
            <w:pPr>
              <w:pStyle w:val="Tabletext"/>
              <w:rPr>
                <w:lang w:val="fr-CH"/>
              </w:rPr>
            </w:pPr>
            <w:r w:rsidRPr="00E0088F">
              <w:rPr>
                <w:lang w:val="fr-CH"/>
              </w:rPr>
              <w:t>Compte tenu des discussions sur cette Résolution au sein du GT</w:t>
            </w:r>
            <w:r w:rsidR="00752221" w:rsidRPr="00E0088F">
              <w:rPr>
                <w:lang w:val="fr-CH"/>
              </w:rPr>
              <w:t xml:space="preserve"> </w:t>
            </w:r>
            <w:r w:rsidRPr="00E0088F">
              <w:rPr>
                <w:lang w:val="fr-CH"/>
              </w:rPr>
              <w:t xml:space="preserve">4A de l'UIT-R (voir le Document 4A/675), il est indiqué dans l'avant-projet de rapport du Directeur du BR soumis à la RPC19-2 qu'il sera peut-être nécessaire d'envisager de modifier la Résolution </w:t>
            </w:r>
            <w:r w:rsidRPr="00E0088F">
              <w:rPr>
                <w:b/>
                <w:bCs/>
                <w:lang w:val="fr-CH"/>
              </w:rPr>
              <w:t>49</w:t>
            </w:r>
            <w:r w:rsidRPr="00E0088F">
              <w:rPr>
                <w:lang w:val="fr-CH"/>
              </w:rPr>
              <w:t xml:space="preserve"> à la CMR-19 afin de supprimer les dispositions obsolètes et les incohérences avec les pratiques actuelles (voir le document CPM19-2/17, § 3.3.2). Cette question sera examinée au titre du point 9.2 de l'ordre du jour de la CMR-19.</w:t>
            </w:r>
          </w:p>
        </w:tc>
        <w:tc>
          <w:tcPr>
            <w:tcW w:w="2045" w:type="dxa"/>
            <w:tcBorders>
              <w:top w:val="single" w:sz="6" w:space="0" w:color="auto"/>
              <w:left w:val="single" w:sz="6" w:space="0" w:color="auto"/>
              <w:bottom w:val="single" w:sz="6" w:space="0" w:color="auto"/>
              <w:right w:val="single" w:sz="6" w:space="0" w:color="auto"/>
            </w:tcBorders>
            <w:hideMark/>
          </w:tcPr>
          <w:p w14:paraId="28CD7B10" w14:textId="77777777" w:rsidR="002151C3" w:rsidRPr="00E0088F" w:rsidRDefault="002151C3" w:rsidP="006C5A84">
            <w:pPr>
              <w:pStyle w:val="Tabletext"/>
              <w:jc w:val="center"/>
              <w:rPr>
                <w:lang w:val="fr-CH"/>
              </w:rPr>
            </w:pPr>
            <w:r w:rsidRPr="00E0088F">
              <w:rPr>
                <w:lang w:val="fr-CH"/>
              </w:rPr>
              <w:t>MOD</w:t>
            </w:r>
          </w:p>
        </w:tc>
      </w:tr>
      <w:tr w:rsidR="002151C3" w:rsidRPr="00E0088F" w14:paraId="0E596B28"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0576615" w14:textId="77777777" w:rsidR="002151C3" w:rsidRPr="00E0088F" w:rsidRDefault="002151C3" w:rsidP="006C5A84">
            <w:pPr>
              <w:pStyle w:val="Tabletext"/>
              <w:keepNext/>
              <w:keepLines/>
              <w:jc w:val="center"/>
              <w:rPr>
                <w:lang w:val="fr-CH"/>
              </w:rPr>
            </w:pPr>
            <w:r w:rsidRPr="00E0088F">
              <w:rPr>
                <w:lang w:val="fr-CH"/>
              </w:rPr>
              <w:t>55</w:t>
            </w:r>
          </w:p>
        </w:tc>
        <w:tc>
          <w:tcPr>
            <w:tcW w:w="2551" w:type="dxa"/>
            <w:tcBorders>
              <w:top w:val="single" w:sz="6" w:space="0" w:color="auto"/>
              <w:left w:val="single" w:sz="6" w:space="0" w:color="auto"/>
              <w:bottom w:val="single" w:sz="6" w:space="0" w:color="auto"/>
              <w:right w:val="single" w:sz="6" w:space="0" w:color="auto"/>
            </w:tcBorders>
            <w:hideMark/>
          </w:tcPr>
          <w:p w14:paraId="23F3F232" w14:textId="77777777" w:rsidR="002151C3" w:rsidRPr="00E0088F" w:rsidRDefault="002151C3" w:rsidP="006C5A84">
            <w:pPr>
              <w:pStyle w:val="Tabletext"/>
              <w:keepNext/>
              <w:keepLines/>
              <w:rPr>
                <w:lang w:val="fr-CH"/>
              </w:rPr>
            </w:pPr>
            <w:r w:rsidRPr="00E0088F">
              <w:rPr>
                <w:lang w:val="fr-CH"/>
              </w:rPr>
              <w:t>Soumission électronique des fiches de notification pour les réseaux à satellite</w:t>
            </w:r>
          </w:p>
        </w:tc>
        <w:tc>
          <w:tcPr>
            <w:tcW w:w="3625" w:type="dxa"/>
            <w:tcBorders>
              <w:top w:val="single" w:sz="6" w:space="0" w:color="auto"/>
              <w:left w:val="single" w:sz="6" w:space="0" w:color="auto"/>
              <w:bottom w:val="single" w:sz="6" w:space="0" w:color="auto"/>
              <w:right w:val="single" w:sz="6" w:space="0" w:color="auto"/>
            </w:tcBorders>
            <w:hideMark/>
          </w:tcPr>
          <w:p w14:paraId="609F3557" w14:textId="77777777" w:rsidR="002151C3" w:rsidRPr="00E0088F" w:rsidRDefault="002151C3" w:rsidP="006C5A84">
            <w:pPr>
              <w:pStyle w:val="Tabletext"/>
              <w:keepNext/>
              <w:keepLines/>
              <w:rPr>
                <w:lang w:val="fr-CH"/>
              </w:rPr>
            </w:pPr>
            <w:r w:rsidRPr="00E0088F">
              <w:rPr>
                <w:lang w:val="fr-CH"/>
              </w:rPr>
              <w:t>(Rév.CMR-15). A toujours lieu d'être. Le texte a été mis à jour à la CMR-15.</w:t>
            </w:r>
          </w:p>
          <w:p w14:paraId="56CE27E4" w14:textId="77777777" w:rsidR="002151C3" w:rsidRPr="00E0088F" w:rsidRDefault="002151C3" w:rsidP="006C5A84">
            <w:pPr>
              <w:pStyle w:val="Tabletext"/>
              <w:keepNext/>
              <w:keepLines/>
              <w:rPr>
                <w:lang w:val="fr-CH"/>
              </w:rPr>
            </w:pPr>
            <w:r w:rsidRPr="00E0088F">
              <w:rPr>
                <w:lang w:val="fr-CH"/>
              </w:rPr>
              <w:t xml:space="preserve">Il est indiqué dans le Rapport de la RPC que le contenu pourra être transféré dans les parties pertinentes des Articles </w:t>
            </w:r>
            <w:r w:rsidRPr="00E0088F">
              <w:rPr>
                <w:b/>
                <w:bCs/>
                <w:lang w:val="fr-CH"/>
              </w:rPr>
              <w:t>9</w:t>
            </w:r>
            <w:r w:rsidRPr="00E0088F">
              <w:rPr>
                <w:lang w:val="fr-CH"/>
              </w:rPr>
              <w:t xml:space="preserve"> et </w:t>
            </w:r>
            <w:r w:rsidRPr="00E0088F">
              <w:rPr>
                <w:b/>
                <w:bCs/>
                <w:lang w:val="fr-CH"/>
              </w:rPr>
              <w:t>11</w:t>
            </w:r>
            <w:r w:rsidRPr="00E0088F">
              <w:rPr>
                <w:lang w:val="fr-CH"/>
              </w:rPr>
              <w:t xml:space="preserve"> ainsi que des Appendices </w:t>
            </w:r>
            <w:r w:rsidRPr="00E0088F">
              <w:rPr>
                <w:b/>
                <w:bCs/>
                <w:lang w:val="fr-CH"/>
              </w:rPr>
              <w:t>30</w:t>
            </w:r>
            <w:r w:rsidRPr="00E0088F">
              <w:rPr>
                <w:lang w:val="fr-CH"/>
              </w:rPr>
              <w:t xml:space="preserve">, </w:t>
            </w:r>
            <w:r w:rsidRPr="00E0088F">
              <w:rPr>
                <w:b/>
                <w:bCs/>
                <w:lang w:val="fr-CH"/>
              </w:rPr>
              <w:t>30A</w:t>
            </w:r>
            <w:r w:rsidRPr="00E0088F">
              <w:rPr>
                <w:lang w:val="fr-CH"/>
              </w:rPr>
              <w:t xml:space="preserve"> et </w:t>
            </w:r>
            <w:r w:rsidRPr="00E0088F">
              <w:rPr>
                <w:b/>
                <w:bCs/>
                <w:lang w:val="fr-CH"/>
              </w:rPr>
              <w:t>30B</w:t>
            </w:r>
            <w:r w:rsidRPr="00E0088F">
              <w:rPr>
                <w:lang w:val="fr-CH"/>
              </w:rPr>
              <w:t xml:space="preserve"> pour le rendre pérenne.</w:t>
            </w:r>
          </w:p>
        </w:tc>
        <w:tc>
          <w:tcPr>
            <w:tcW w:w="2045" w:type="dxa"/>
            <w:tcBorders>
              <w:top w:val="single" w:sz="6" w:space="0" w:color="auto"/>
              <w:left w:val="single" w:sz="6" w:space="0" w:color="auto"/>
              <w:bottom w:val="single" w:sz="6" w:space="0" w:color="auto"/>
              <w:right w:val="single" w:sz="6" w:space="0" w:color="auto"/>
            </w:tcBorders>
            <w:hideMark/>
          </w:tcPr>
          <w:p w14:paraId="3DDD3523" w14:textId="77777777" w:rsidR="002151C3" w:rsidRPr="00E0088F" w:rsidRDefault="002151C3" w:rsidP="006C5A84">
            <w:pPr>
              <w:pStyle w:val="Tabletext"/>
              <w:keepNext/>
              <w:keepLines/>
              <w:jc w:val="center"/>
              <w:rPr>
                <w:lang w:val="fr-CH" w:eastAsia="ja-JP"/>
              </w:rPr>
            </w:pPr>
            <w:r w:rsidRPr="00E0088F">
              <w:rPr>
                <w:lang w:val="fr-CH" w:eastAsia="ja-JP"/>
              </w:rPr>
              <w:t>NOC</w:t>
            </w:r>
          </w:p>
          <w:p w14:paraId="6A4C5B5A" w14:textId="77777777" w:rsidR="002151C3" w:rsidRPr="00E0088F" w:rsidRDefault="002151C3" w:rsidP="006C5A84">
            <w:pPr>
              <w:pStyle w:val="Tabletext"/>
              <w:keepNext/>
              <w:keepLines/>
              <w:jc w:val="center"/>
              <w:rPr>
                <w:lang w:val="fr-CH" w:eastAsia="ja-JP"/>
              </w:rPr>
            </w:pPr>
            <w:r w:rsidRPr="00E0088F">
              <w:rPr>
                <w:lang w:val="fr-CH" w:eastAsia="ja-JP"/>
              </w:rPr>
              <w:t>/SUP</w:t>
            </w:r>
          </w:p>
        </w:tc>
      </w:tr>
      <w:tr w:rsidR="002151C3" w:rsidRPr="00E0088F" w14:paraId="304E8E3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770A0BF" w14:textId="77777777" w:rsidR="002151C3" w:rsidRPr="00E0088F" w:rsidRDefault="002151C3" w:rsidP="006C5A84">
            <w:pPr>
              <w:pStyle w:val="Tabletext"/>
              <w:jc w:val="center"/>
              <w:rPr>
                <w:lang w:val="fr-CH"/>
              </w:rPr>
            </w:pPr>
            <w:r w:rsidRPr="00E0088F">
              <w:rPr>
                <w:lang w:val="fr-CH"/>
              </w:rPr>
              <w:t>63</w:t>
            </w:r>
          </w:p>
        </w:tc>
        <w:tc>
          <w:tcPr>
            <w:tcW w:w="2551" w:type="dxa"/>
            <w:tcBorders>
              <w:top w:val="single" w:sz="6" w:space="0" w:color="auto"/>
              <w:left w:val="single" w:sz="6" w:space="0" w:color="auto"/>
              <w:bottom w:val="single" w:sz="6" w:space="0" w:color="auto"/>
              <w:right w:val="single" w:sz="6" w:space="0" w:color="auto"/>
            </w:tcBorders>
            <w:hideMark/>
          </w:tcPr>
          <w:p w14:paraId="56D3703D" w14:textId="77777777" w:rsidR="002151C3" w:rsidRPr="00E0088F" w:rsidRDefault="002151C3" w:rsidP="006C5A84">
            <w:pPr>
              <w:pStyle w:val="Tabletext"/>
              <w:rPr>
                <w:color w:val="000000"/>
                <w:lang w:val="fr-CH"/>
              </w:rPr>
            </w:pPr>
            <w:r w:rsidRPr="00E0088F">
              <w:rPr>
                <w:color w:val="000000"/>
                <w:lang w:val="fr-CH"/>
              </w:rPr>
              <w:t>Protection contre les appareils ISM</w:t>
            </w:r>
          </w:p>
        </w:tc>
        <w:tc>
          <w:tcPr>
            <w:tcW w:w="3625" w:type="dxa"/>
            <w:tcBorders>
              <w:top w:val="single" w:sz="6" w:space="0" w:color="auto"/>
              <w:left w:val="single" w:sz="6" w:space="0" w:color="auto"/>
              <w:bottom w:val="single" w:sz="6" w:space="0" w:color="auto"/>
              <w:right w:val="single" w:sz="6" w:space="0" w:color="auto"/>
            </w:tcBorders>
            <w:hideMark/>
          </w:tcPr>
          <w:p w14:paraId="0885BE7D" w14:textId="77777777" w:rsidR="002151C3" w:rsidRPr="00E0088F" w:rsidRDefault="002151C3" w:rsidP="006C5A84">
            <w:pPr>
              <w:pStyle w:val="Tabletext"/>
              <w:rPr>
                <w:lang w:val="fr-CH"/>
              </w:rPr>
            </w:pPr>
            <w:r w:rsidRPr="00E0088F">
              <w:rPr>
                <w:lang w:val="fr-CH"/>
              </w:rPr>
              <w:t xml:space="preserve">(Rév.CMR-12). A toujours lieu d'être. Les études de l'UIT-R demandées en application de cette Résolution avancent, y compris la collaboration avec le CISPR. Sur cette base, il est indiqué dans le Rapport de la RPC que les points 1 et 2 du </w:t>
            </w:r>
            <w:r w:rsidRPr="00E0088F">
              <w:rPr>
                <w:i/>
                <w:iCs/>
                <w:lang w:val="fr-CH"/>
              </w:rPr>
              <w:t>invite l'UIT</w:t>
            </w:r>
            <w:r w:rsidRPr="00E0088F">
              <w:rPr>
                <w:i/>
                <w:iCs/>
                <w:lang w:val="fr-CH"/>
              </w:rPr>
              <w:noBreakHyphen/>
              <w:t>R</w:t>
            </w:r>
            <w:r w:rsidRPr="00E0088F">
              <w:rPr>
                <w:lang w:val="fr-CH"/>
              </w:rPr>
              <w:t xml:space="preserve"> devront peut-être être mis à jour compte tenu de l'évolution récente des travaux menés entre la Commission d'études 1 de l'UIT-R et le CISPR.</w:t>
            </w:r>
          </w:p>
        </w:tc>
        <w:tc>
          <w:tcPr>
            <w:tcW w:w="2045" w:type="dxa"/>
            <w:tcBorders>
              <w:top w:val="single" w:sz="6" w:space="0" w:color="auto"/>
              <w:left w:val="single" w:sz="6" w:space="0" w:color="auto"/>
              <w:bottom w:val="single" w:sz="6" w:space="0" w:color="auto"/>
              <w:right w:val="single" w:sz="6" w:space="0" w:color="auto"/>
            </w:tcBorders>
            <w:hideMark/>
          </w:tcPr>
          <w:p w14:paraId="0DE96B39" w14:textId="77777777" w:rsidR="002151C3" w:rsidRPr="00E0088F" w:rsidRDefault="002151C3" w:rsidP="006C5A84">
            <w:pPr>
              <w:pStyle w:val="Tabletext"/>
              <w:jc w:val="center"/>
              <w:rPr>
                <w:lang w:val="fr-CH"/>
              </w:rPr>
            </w:pPr>
            <w:r w:rsidRPr="00E0088F">
              <w:rPr>
                <w:lang w:val="fr-CH"/>
              </w:rPr>
              <w:t>NOC/</w:t>
            </w:r>
          </w:p>
          <w:p w14:paraId="4EC32AD2" w14:textId="77777777" w:rsidR="002151C3" w:rsidRPr="00E0088F" w:rsidRDefault="002151C3" w:rsidP="006C5A84">
            <w:pPr>
              <w:pStyle w:val="Tabletext"/>
              <w:jc w:val="center"/>
              <w:rPr>
                <w:lang w:val="fr-CH"/>
              </w:rPr>
            </w:pPr>
            <w:r w:rsidRPr="00E0088F">
              <w:rPr>
                <w:lang w:val="fr-CH"/>
              </w:rPr>
              <w:t>MOD</w:t>
            </w:r>
          </w:p>
        </w:tc>
      </w:tr>
      <w:tr w:rsidR="002151C3" w:rsidRPr="00E0088F" w14:paraId="02C2ADF3"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0B271E0" w14:textId="77777777" w:rsidR="002151C3" w:rsidRPr="00E0088F" w:rsidRDefault="002151C3" w:rsidP="006C5A84">
            <w:pPr>
              <w:pStyle w:val="Tabletext"/>
              <w:jc w:val="center"/>
              <w:rPr>
                <w:lang w:val="fr-CH"/>
              </w:rPr>
            </w:pPr>
            <w:r w:rsidRPr="00E0088F">
              <w:rPr>
                <w:lang w:val="fr-CH"/>
              </w:rPr>
              <w:t>72</w:t>
            </w:r>
          </w:p>
        </w:tc>
        <w:tc>
          <w:tcPr>
            <w:tcW w:w="2551" w:type="dxa"/>
            <w:tcBorders>
              <w:top w:val="single" w:sz="6" w:space="0" w:color="auto"/>
              <w:left w:val="single" w:sz="6" w:space="0" w:color="auto"/>
              <w:bottom w:val="single" w:sz="6" w:space="0" w:color="auto"/>
              <w:right w:val="single" w:sz="6" w:space="0" w:color="auto"/>
            </w:tcBorders>
            <w:hideMark/>
          </w:tcPr>
          <w:p w14:paraId="68C78A6B" w14:textId="77777777" w:rsidR="002151C3" w:rsidRPr="00E0088F" w:rsidRDefault="002151C3" w:rsidP="006C5A84">
            <w:pPr>
              <w:pStyle w:val="Tabletext"/>
              <w:rPr>
                <w:lang w:val="fr-CH"/>
              </w:rPr>
            </w:pPr>
            <w:r w:rsidRPr="00E0088F">
              <w:rPr>
                <w:color w:val="000000"/>
                <w:lang w:val="fr-CH"/>
              </w:rPr>
              <w:t>Travaux préparatoires au niveau régional</w:t>
            </w:r>
          </w:p>
        </w:tc>
        <w:tc>
          <w:tcPr>
            <w:tcW w:w="3625" w:type="dxa"/>
            <w:tcBorders>
              <w:top w:val="single" w:sz="6" w:space="0" w:color="auto"/>
              <w:left w:val="single" w:sz="6" w:space="0" w:color="auto"/>
              <w:bottom w:val="single" w:sz="6" w:space="0" w:color="auto"/>
              <w:right w:val="single" w:sz="6" w:space="0" w:color="auto"/>
            </w:tcBorders>
            <w:hideMark/>
          </w:tcPr>
          <w:p w14:paraId="4A16283A" w14:textId="5820ED34" w:rsidR="002151C3" w:rsidRPr="00E0088F" w:rsidRDefault="002151C3" w:rsidP="006C5A84">
            <w:pPr>
              <w:pStyle w:val="Tabletext"/>
              <w:rPr>
                <w:lang w:val="fr-CH"/>
              </w:rPr>
            </w:pPr>
            <w:r w:rsidRPr="00E0088F">
              <w:rPr>
                <w:lang w:val="fr-CH"/>
              </w:rPr>
              <w:t>(Rév.CMR-12). A toujours lieu d'être. Il est proposé de la modifier afin de continuer à encourager les activités préparatoires au niveau régional</w:t>
            </w:r>
            <w:r w:rsidR="007664A6"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F120E7D" w14:textId="77777777" w:rsidR="002151C3" w:rsidRPr="00E0088F" w:rsidRDefault="002151C3" w:rsidP="006C5A84">
            <w:pPr>
              <w:pStyle w:val="Tabletext"/>
              <w:jc w:val="center"/>
              <w:rPr>
                <w:lang w:val="fr-CH"/>
              </w:rPr>
            </w:pPr>
            <w:r w:rsidRPr="00E0088F">
              <w:rPr>
                <w:lang w:val="fr-CH" w:eastAsia="ja-JP"/>
              </w:rPr>
              <w:t>MOD</w:t>
            </w:r>
          </w:p>
        </w:tc>
      </w:tr>
      <w:tr w:rsidR="002151C3" w:rsidRPr="00E0088F" w14:paraId="72B1B32A"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1980345" w14:textId="77777777" w:rsidR="002151C3" w:rsidRPr="00E0088F" w:rsidRDefault="002151C3" w:rsidP="006C5A84">
            <w:pPr>
              <w:pStyle w:val="Tabletext"/>
              <w:jc w:val="center"/>
              <w:rPr>
                <w:lang w:val="fr-CH"/>
              </w:rPr>
            </w:pPr>
            <w:r w:rsidRPr="00E0088F">
              <w:rPr>
                <w:lang w:val="fr-CH"/>
              </w:rPr>
              <w:t>74</w:t>
            </w:r>
          </w:p>
        </w:tc>
        <w:tc>
          <w:tcPr>
            <w:tcW w:w="2551" w:type="dxa"/>
            <w:tcBorders>
              <w:top w:val="single" w:sz="6" w:space="0" w:color="auto"/>
              <w:left w:val="single" w:sz="6" w:space="0" w:color="auto"/>
              <w:bottom w:val="single" w:sz="6" w:space="0" w:color="auto"/>
              <w:right w:val="single" w:sz="6" w:space="0" w:color="auto"/>
            </w:tcBorders>
            <w:hideMark/>
          </w:tcPr>
          <w:p w14:paraId="3FC22631" w14:textId="77777777" w:rsidR="002151C3" w:rsidRPr="00E0088F" w:rsidRDefault="002151C3" w:rsidP="006C5A84">
            <w:pPr>
              <w:pStyle w:val="Tabletext"/>
              <w:rPr>
                <w:lang w:val="fr-CH"/>
              </w:rPr>
            </w:pPr>
            <w:r w:rsidRPr="00E0088F">
              <w:rPr>
                <w:color w:val="000000"/>
                <w:lang w:val="fr-CH"/>
              </w:rPr>
              <w:t xml:space="preserve">Poursuite de la mise à jour des bases techniques de l'Appendice </w:t>
            </w:r>
            <w:r w:rsidRPr="00E0088F">
              <w:rPr>
                <w:b/>
                <w:bCs/>
                <w:color w:val="000000"/>
                <w:lang w:val="fr-CH"/>
              </w:rPr>
              <w:t>7</w:t>
            </w:r>
          </w:p>
        </w:tc>
        <w:tc>
          <w:tcPr>
            <w:tcW w:w="3625" w:type="dxa"/>
            <w:tcBorders>
              <w:top w:val="single" w:sz="6" w:space="0" w:color="auto"/>
              <w:left w:val="single" w:sz="6" w:space="0" w:color="auto"/>
              <w:bottom w:val="single" w:sz="6" w:space="0" w:color="auto"/>
              <w:right w:val="single" w:sz="6" w:space="0" w:color="auto"/>
            </w:tcBorders>
            <w:hideMark/>
          </w:tcPr>
          <w:p w14:paraId="163FF226" w14:textId="5BD159EF" w:rsidR="002151C3" w:rsidRPr="00E0088F" w:rsidRDefault="002151C3" w:rsidP="006C5A84">
            <w:pPr>
              <w:pStyle w:val="Tabletext"/>
              <w:rPr>
                <w:bCs/>
                <w:lang w:val="fr-CH"/>
              </w:rPr>
            </w:pPr>
            <w:r w:rsidRPr="00E0088F">
              <w:rPr>
                <w:lang w:val="fr-CH"/>
              </w:rPr>
              <w:t xml:space="preserve">(Rév.CMR-03). A toujours lieu d'être. </w:t>
            </w:r>
            <w:r w:rsidRPr="00E0088F">
              <w:rPr>
                <w:bCs/>
                <w:lang w:val="fr-CH"/>
              </w:rPr>
              <w:t xml:space="preserve">Cette Résolution est citée dans la Résolution </w:t>
            </w:r>
            <w:r w:rsidRPr="00E0088F">
              <w:rPr>
                <w:b/>
                <w:bCs/>
                <w:lang w:val="fr-CH"/>
              </w:rPr>
              <w:t>75 (Rév.CMR-12)</w:t>
            </w:r>
            <w:r w:rsidRPr="00E0088F">
              <w:rPr>
                <w:bCs/>
                <w:lang w:val="fr-CH"/>
              </w:rPr>
              <w:t xml:space="preserve">. On procède actuellement à l'examen de la Recommandation UIT-R SM. 1448 contenant les bases techniques pour la détermination des zones de coordination afin de l'aligner avec l'Appendice </w:t>
            </w:r>
            <w:r w:rsidRPr="00E0088F">
              <w:rPr>
                <w:b/>
                <w:lang w:val="fr-CH"/>
              </w:rPr>
              <w:t>7</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2E39660F" w14:textId="77777777" w:rsidR="002151C3" w:rsidRPr="00E0088F" w:rsidRDefault="002151C3" w:rsidP="006C5A84">
            <w:pPr>
              <w:pStyle w:val="Tabletext"/>
              <w:jc w:val="center"/>
              <w:rPr>
                <w:lang w:val="fr-CH"/>
              </w:rPr>
            </w:pPr>
            <w:r w:rsidRPr="00E0088F">
              <w:rPr>
                <w:lang w:val="fr-CH"/>
              </w:rPr>
              <w:t>NOC/</w:t>
            </w:r>
          </w:p>
          <w:p w14:paraId="6B0D2783" w14:textId="77777777" w:rsidR="002151C3" w:rsidRPr="00E0088F" w:rsidRDefault="002151C3" w:rsidP="006C5A84">
            <w:pPr>
              <w:pStyle w:val="Tabletext"/>
              <w:jc w:val="center"/>
              <w:rPr>
                <w:lang w:val="fr-CH"/>
              </w:rPr>
            </w:pPr>
            <w:r w:rsidRPr="00E0088F">
              <w:rPr>
                <w:lang w:val="fr-CH"/>
              </w:rPr>
              <w:t>MOD</w:t>
            </w:r>
          </w:p>
        </w:tc>
      </w:tr>
      <w:tr w:rsidR="002151C3" w:rsidRPr="00E0088F" w14:paraId="605A5D85"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63345B9" w14:textId="77777777" w:rsidR="002151C3" w:rsidRPr="00E0088F" w:rsidRDefault="002151C3" w:rsidP="006C5A84">
            <w:pPr>
              <w:pStyle w:val="Tabletext"/>
              <w:jc w:val="center"/>
              <w:rPr>
                <w:lang w:val="fr-CH"/>
              </w:rPr>
            </w:pPr>
            <w:r w:rsidRPr="00E0088F">
              <w:rPr>
                <w:lang w:val="fr-CH"/>
              </w:rPr>
              <w:lastRenderedPageBreak/>
              <w:t>75</w:t>
            </w:r>
          </w:p>
        </w:tc>
        <w:tc>
          <w:tcPr>
            <w:tcW w:w="2551" w:type="dxa"/>
            <w:tcBorders>
              <w:top w:val="single" w:sz="6" w:space="0" w:color="auto"/>
              <w:left w:val="single" w:sz="6" w:space="0" w:color="auto"/>
              <w:bottom w:val="single" w:sz="6" w:space="0" w:color="auto"/>
              <w:right w:val="single" w:sz="6" w:space="0" w:color="auto"/>
            </w:tcBorders>
            <w:hideMark/>
          </w:tcPr>
          <w:p w14:paraId="1806A09A" w14:textId="77777777" w:rsidR="002151C3" w:rsidRPr="00E0088F" w:rsidRDefault="002151C3" w:rsidP="006C5A84">
            <w:pPr>
              <w:pStyle w:val="Tabletext"/>
              <w:rPr>
                <w:lang w:val="fr-CH"/>
              </w:rPr>
            </w:pPr>
            <w:r w:rsidRPr="00E0088F">
              <w:rPr>
                <w:color w:val="000000"/>
                <w:lang w:val="fr-CH"/>
              </w:rPr>
              <w:t>Élaboration de la base technique permettant de déterminer la zone de coordination d'une station terrienne de réception du service de recherche spatiale (espace lointain) avec des stations d'émission d'applications à haute densité du service fixe dans les bandes 31,8-32,3 GHz et 37</w:t>
            </w:r>
            <w:r w:rsidRPr="00E0088F">
              <w:rPr>
                <w:color w:val="000000"/>
                <w:lang w:val="fr-CH"/>
              </w:rPr>
              <w:noBreakHyphen/>
              <w:t>38 GHz</w:t>
            </w:r>
          </w:p>
        </w:tc>
        <w:tc>
          <w:tcPr>
            <w:tcW w:w="3625" w:type="dxa"/>
            <w:tcBorders>
              <w:top w:val="single" w:sz="6" w:space="0" w:color="auto"/>
              <w:left w:val="single" w:sz="6" w:space="0" w:color="auto"/>
              <w:bottom w:val="single" w:sz="6" w:space="0" w:color="auto"/>
              <w:right w:val="single" w:sz="6" w:space="0" w:color="auto"/>
            </w:tcBorders>
            <w:hideMark/>
          </w:tcPr>
          <w:p w14:paraId="514BF7FB" w14:textId="0A38096F" w:rsidR="002151C3" w:rsidRPr="00E0088F" w:rsidRDefault="002151C3" w:rsidP="006C5A84">
            <w:pPr>
              <w:pStyle w:val="Tabletext"/>
              <w:rPr>
                <w:bCs/>
                <w:lang w:val="fr-CH" w:eastAsia="ja-JP"/>
              </w:rPr>
            </w:pPr>
            <w:r w:rsidRPr="00E0088F">
              <w:rPr>
                <w:bCs/>
                <w:lang w:val="fr-CH" w:eastAsia="ja-JP"/>
              </w:rPr>
              <w:t>(</w:t>
            </w:r>
            <w:r w:rsidRPr="00E0088F">
              <w:rPr>
                <w:lang w:val="fr-CH"/>
              </w:rPr>
              <w:t>Rév.CMR</w:t>
            </w:r>
            <w:r w:rsidRPr="00E0088F">
              <w:rPr>
                <w:bCs/>
                <w:lang w:val="fr-CH" w:eastAsia="ja-JP"/>
              </w:rPr>
              <w:t xml:space="preserve">-12) </w:t>
            </w:r>
            <w:r w:rsidRPr="00E0088F">
              <w:rPr>
                <w:lang w:val="fr-CH"/>
              </w:rPr>
              <w:t>A toujours lieu d'être</w:t>
            </w:r>
            <w:r w:rsidRPr="00E0088F">
              <w:rPr>
                <w:bCs/>
                <w:lang w:val="fr-CH" w:eastAsia="ja-JP"/>
              </w:rPr>
              <w:t xml:space="preserve">. </w:t>
            </w:r>
            <w:r w:rsidRPr="00E0088F">
              <w:rPr>
                <w:bCs/>
                <w:lang w:val="fr-CH"/>
              </w:rPr>
              <w:t xml:space="preserve">Cette Résolution est citée dans le numéro </w:t>
            </w:r>
            <w:r w:rsidRPr="00E0088F">
              <w:rPr>
                <w:b/>
                <w:bCs/>
                <w:lang w:val="fr-CH" w:eastAsia="ja-JP"/>
              </w:rPr>
              <w:t>5.547</w:t>
            </w:r>
            <w:r w:rsidRPr="00E0088F">
              <w:rPr>
                <w:bCs/>
                <w:lang w:val="fr-CH" w:eastAsia="ja-JP"/>
              </w:rPr>
              <w:t xml:space="preserve">. </w:t>
            </w:r>
            <w:r w:rsidRPr="00E0088F">
              <w:rPr>
                <w:color w:val="000000"/>
                <w:lang w:val="fr-CH"/>
              </w:rPr>
              <w:t>Actuellement, aucun progrès n'est accompli dans le cadre des études de l'UIT-R demandées dans cette Résolution</w:t>
            </w:r>
            <w:r w:rsidRPr="00E0088F">
              <w:rPr>
                <w:bCs/>
                <w:lang w:val="fr-CH" w:eastAsia="ja-JP"/>
              </w:rPr>
              <w:t xml:space="preserve">. On pourrait proposer d'appliquer le point 2 du </w:t>
            </w:r>
            <w:r w:rsidRPr="00E0088F">
              <w:rPr>
                <w:bCs/>
                <w:i/>
                <w:iCs/>
                <w:lang w:val="fr-CH" w:eastAsia="ja-JP"/>
              </w:rPr>
              <w:t xml:space="preserve">décide </w:t>
            </w:r>
            <w:r w:rsidRPr="00E0088F">
              <w:rPr>
                <w:bCs/>
                <w:lang w:val="fr-CH" w:eastAsia="ja-JP"/>
              </w:rPr>
              <w:t xml:space="preserve">de la Résolution </w:t>
            </w:r>
            <w:r w:rsidRPr="00E0088F">
              <w:rPr>
                <w:b/>
                <w:bCs/>
                <w:lang w:val="fr-CH" w:eastAsia="ja-JP"/>
              </w:rPr>
              <w:t>95</w:t>
            </w:r>
            <w:r w:rsidRPr="00E0088F">
              <w:rPr>
                <w:bCs/>
                <w:lang w:val="fr-CH" w:eastAsia="ja-JP"/>
              </w:rPr>
              <w:t xml:space="preserve"> (en particulier le deuxième élément). Étant donné que l'objet de cette Résolution est étroitement lié à la Résolution </w:t>
            </w:r>
            <w:r w:rsidRPr="00E0088F">
              <w:rPr>
                <w:b/>
                <w:lang w:val="fr-CH" w:eastAsia="ja-JP"/>
              </w:rPr>
              <w:t>74</w:t>
            </w:r>
            <w:r w:rsidRPr="00E0088F">
              <w:rPr>
                <w:bCs/>
                <w:lang w:val="fr-CH" w:eastAsia="ja-JP"/>
              </w:rPr>
              <w:t xml:space="preserve">, l'étude identifiée dans cette Résolution pourrait, au besoin, être intégrée dans la Résolution </w:t>
            </w:r>
            <w:r w:rsidRPr="00E0088F">
              <w:rPr>
                <w:b/>
                <w:lang w:val="fr-CH" w:eastAsia="ja-JP"/>
              </w:rPr>
              <w:t>74</w:t>
            </w:r>
            <w:r w:rsidRPr="00E0088F">
              <w:rPr>
                <w:bCs/>
                <w:lang w:val="fr-CH" w:eastAsia="ja-JP"/>
              </w:rPr>
              <w:t xml:space="preserve"> de manière générale.</w:t>
            </w:r>
          </w:p>
        </w:tc>
        <w:tc>
          <w:tcPr>
            <w:tcW w:w="2045" w:type="dxa"/>
            <w:tcBorders>
              <w:top w:val="single" w:sz="6" w:space="0" w:color="auto"/>
              <w:left w:val="single" w:sz="6" w:space="0" w:color="auto"/>
              <w:bottom w:val="single" w:sz="6" w:space="0" w:color="auto"/>
              <w:right w:val="single" w:sz="6" w:space="0" w:color="auto"/>
            </w:tcBorders>
            <w:hideMark/>
          </w:tcPr>
          <w:p w14:paraId="6A752F53" w14:textId="77777777" w:rsidR="002151C3" w:rsidRPr="00E0088F" w:rsidRDefault="002151C3" w:rsidP="006C5A84">
            <w:pPr>
              <w:pStyle w:val="Tabletext"/>
              <w:jc w:val="center"/>
              <w:rPr>
                <w:lang w:val="fr-CH"/>
              </w:rPr>
            </w:pPr>
            <w:r w:rsidRPr="00E0088F">
              <w:rPr>
                <w:lang w:val="fr-CH"/>
              </w:rPr>
              <w:t>NOC/</w:t>
            </w:r>
          </w:p>
          <w:p w14:paraId="2CA56682" w14:textId="77777777" w:rsidR="002151C3" w:rsidRPr="00E0088F" w:rsidRDefault="002151C3" w:rsidP="006C5A84">
            <w:pPr>
              <w:pStyle w:val="Tabletext"/>
              <w:jc w:val="center"/>
              <w:rPr>
                <w:lang w:val="fr-CH"/>
              </w:rPr>
            </w:pPr>
            <w:r w:rsidRPr="00E0088F">
              <w:rPr>
                <w:lang w:val="fr-CH"/>
              </w:rPr>
              <w:t>SUP</w:t>
            </w:r>
          </w:p>
        </w:tc>
      </w:tr>
      <w:tr w:rsidR="002151C3" w:rsidRPr="00E0088F" w14:paraId="2AC8D0AB"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5C29E6C" w14:textId="77777777" w:rsidR="002151C3" w:rsidRPr="00E0088F" w:rsidRDefault="002151C3" w:rsidP="006C5A84">
            <w:pPr>
              <w:pStyle w:val="Tabletext"/>
              <w:jc w:val="center"/>
              <w:rPr>
                <w:lang w:val="fr-CH"/>
              </w:rPr>
            </w:pPr>
            <w:r w:rsidRPr="00E0088F">
              <w:rPr>
                <w:lang w:val="fr-CH"/>
              </w:rPr>
              <w:t>76</w:t>
            </w:r>
          </w:p>
        </w:tc>
        <w:tc>
          <w:tcPr>
            <w:tcW w:w="2551" w:type="dxa"/>
            <w:tcBorders>
              <w:top w:val="single" w:sz="6" w:space="0" w:color="auto"/>
              <w:left w:val="single" w:sz="6" w:space="0" w:color="auto"/>
              <w:bottom w:val="single" w:sz="6" w:space="0" w:color="auto"/>
              <w:right w:val="single" w:sz="6" w:space="0" w:color="auto"/>
            </w:tcBorders>
            <w:hideMark/>
          </w:tcPr>
          <w:p w14:paraId="16444651" w14:textId="62D5927D" w:rsidR="002151C3" w:rsidRPr="00E0088F" w:rsidRDefault="002C2C74" w:rsidP="006C5A84">
            <w:pPr>
              <w:pStyle w:val="Tabletext"/>
              <w:rPr>
                <w:lang w:val="fr-CH"/>
              </w:rPr>
            </w:pPr>
            <w:r w:rsidRPr="00E0088F">
              <w:rPr>
                <w:lang w:val="fr-CH"/>
              </w:rPr>
              <w:t>Élaboration de méthodes de calcul concernant la puissance surfacique équivalente cumulative produite par des systèmes non OSG dans les bandes 10,7-30 GHz</w:t>
            </w:r>
          </w:p>
        </w:tc>
        <w:tc>
          <w:tcPr>
            <w:tcW w:w="3625" w:type="dxa"/>
            <w:tcBorders>
              <w:top w:val="single" w:sz="6" w:space="0" w:color="auto"/>
              <w:left w:val="single" w:sz="6" w:space="0" w:color="auto"/>
              <w:bottom w:val="single" w:sz="6" w:space="0" w:color="auto"/>
              <w:right w:val="single" w:sz="6" w:space="0" w:color="auto"/>
            </w:tcBorders>
            <w:hideMark/>
          </w:tcPr>
          <w:p w14:paraId="544A43ED" w14:textId="77777777" w:rsidR="002151C3" w:rsidRPr="00E0088F" w:rsidRDefault="002151C3" w:rsidP="006C5A84">
            <w:pPr>
              <w:pStyle w:val="Tabletext"/>
              <w:rPr>
                <w:color w:val="000000"/>
                <w:position w:val="6"/>
                <w:sz w:val="18"/>
                <w:lang w:val="fr-CH"/>
              </w:rPr>
            </w:pPr>
            <w:r w:rsidRPr="00E0088F">
              <w:rPr>
                <w:lang w:val="fr-CH"/>
              </w:rPr>
              <w:t>(Rév.CMR-15). A toujours lieu d'être. Le texte a été en partie mis à jour à la CMR</w:t>
            </w:r>
            <w:r w:rsidRPr="00E0088F">
              <w:rPr>
                <w:lang w:val="fr-CH"/>
              </w:rPr>
              <w:noBreakHyphen/>
              <w:t xml:space="preserve">15. Cette Résolution est citée au numéro </w:t>
            </w:r>
            <w:r w:rsidRPr="00E0088F">
              <w:rPr>
                <w:b/>
                <w:bCs/>
                <w:lang w:val="fr-CH"/>
              </w:rPr>
              <w:t>22.5K</w:t>
            </w:r>
            <w:r w:rsidRPr="00E0088F">
              <w:rPr>
                <w:lang w:val="fr-CH"/>
              </w:rPr>
              <w:t xml:space="preserve"> et dans les Résolutions </w:t>
            </w:r>
            <w:r w:rsidRPr="00E0088F">
              <w:rPr>
                <w:b/>
                <w:bCs/>
                <w:lang w:val="fr-CH"/>
              </w:rPr>
              <w:t>140 (Rév.CMR-15)</w:t>
            </w:r>
            <w:r w:rsidRPr="00E0088F">
              <w:rPr>
                <w:lang w:val="fr-CH"/>
              </w:rPr>
              <w:t xml:space="preserve"> et </w:t>
            </w:r>
            <w:r w:rsidRPr="00E0088F">
              <w:rPr>
                <w:b/>
                <w:bCs/>
                <w:lang w:val="fr-CH"/>
              </w:rPr>
              <w:t>159 (CMR-15)</w:t>
            </w:r>
            <w:r w:rsidRPr="00E0088F">
              <w:rPr>
                <w:lang w:val="fr-CH"/>
              </w:rPr>
              <w:t xml:space="preserve">. La Recommandation UIT-R S.1503 a été révisée et sa nouvelle version a été approuvée. En conséquence, la partie </w:t>
            </w:r>
            <w:r w:rsidRPr="00E0088F">
              <w:rPr>
                <w:i/>
                <w:iCs/>
                <w:lang w:val="fr-CH"/>
              </w:rPr>
              <w:t>invite l'UIT-R</w:t>
            </w:r>
            <w:r w:rsidRPr="00E0088F">
              <w:rPr>
                <w:lang w:val="fr-CH"/>
              </w:rPr>
              <w:t xml:space="preserve"> devra peut-être être mise à jour compte tenu des Recommandations UIT-R S.1588 et UIT</w:t>
            </w:r>
            <w:r w:rsidRPr="00E0088F">
              <w:rPr>
                <w:lang w:val="fr-CH"/>
              </w:rPr>
              <w:noBreakHyphen/>
              <w:t>R S.1503 actuellement en vigueur; l'Annexe 1 devra peut</w:t>
            </w:r>
            <w:r w:rsidRPr="00E0088F">
              <w:rPr>
                <w:lang w:val="fr-CH"/>
              </w:rPr>
              <w:noBreakHyphen/>
              <w:t>être elle aussi être mise à jour compte tenu de l'incorporation par référence des Recommandations UIT</w:t>
            </w:r>
            <w:r w:rsidRPr="00E0088F">
              <w:rPr>
                <w:lang w:val="fr-CH"/>
              </w:rPr>
              <w:noBreakHyphen/>
              <w:t>R S.1428 et UIT</w:t>
            </w:r>
            <w:r w:rsidRPr="00E0088F">
              <w:rPr>
                <w:lang w:val="fr-CH"/>
              </w:rPr>
              <w:noBreakHyphen/>
              <w:t>R BO.1443 et de leurs versions actuellement en vigueur.</w:t>
            </w:r>
          </w:p>
        </w:tc>
        <w:tc>
          <w:tcPr>
            <w:tcW w:w="2045" w:type="dxa"/>
            <w:tcBorders>
              <w:top w:val="single" w:sz="6" w:space="0" w:color="auto"/>
              <w:left w:val="single" w:sz="6" w:space="0" w:color="auto"/>
              <w:bottom w:val="single" w:sz="6" w:space="0" w:color="auto"/>
              <w:right w:val="single" w:sz="6" w:space="0" w:color="auto"/>
            </w:tcBorders>
            <w:hideMark/>
          </w:tcPr>
          <w:p w14:paraId="401CC545" w14:textId="77777777" w:rsidR="002151C3" w:rsidRPr="00E0088F" w:rsidRDefault="002151C3" w:rsidP="006C5A84">
            <w:pPr>
              <w:pStyle w:val="Tabletext"/>
              <w:jc w:val="center"/>
              <w:rPr>
                <w:lang w:val="fr-CH"/>
              </w:rPr>
            </w:pPr>
            <w:r w:rsidRPr="00E0088F">
              <w:rPr>
                <w:lang w:val="fr-CH"/>
              </w:rPr>
              <w:t>MOD</w:t>
            </w:r>
          </w:p>
        </w:tc>
      </w:tr>
      <w:tr w:rsidR="002151C3" w:rsidRPr="00E0088F" w14:paraId="2E8C2923"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74F9F979" w14:textId="77777777" w:rsidR="002151C3" w:rsidRPr="00E0088F" w:rsidRDefault="002151C3" w:rsidP="006C5A84">
            <w:pPr>
              <w:pStyle w:val="Tabletext"/>
              <w:jc w:val="center"/>
              <w:rPr>
                <w:lang w:val="fr-CH"/>
              </w:rPr>
            </w:pPr>
            <w:r w:rsidRPr="00E0088F">
              <w:rPr>
                <w:lang w:val="fr-CH"/>
              </w:rPr>
              <w:t>80</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4E4907E" w14:textId="77777777" w:rsidR="002151C3" w:rsidRPr="00E0088F" w:rsidRDefault="002151C3" w:rsidP="006C5A84">
            <w:pPr>
              <w:pStyle w:val="Tabletext"/>
              <w:rPr>
                <w:lang w:val="fr-CH"/>
              </w:rPr>
            </w:pPr>
            <w:r w:rsidRPr="00E0088F">
              <w:rPr>
                <w:lang w:val="fr-CH"/>
              </w:rPr>
              <w:t>Procédure de diligence due dans l'application des principes énoncés dans la Constitution</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87FD3A" w14:textId="7CFBDFA6" w:rsidR="002151C3" w:rsidRPr="00E0088F" w:rsidRDefault="002151C3" w:rsidP="006C5A84">
            <w:pPr>
              <w:pStyle w:val="Tabletext"/>
              <w:rPr>
                <w:i/>
                <w:iCs/>
                <w:lang w:val="fr-CH"/>
              </w:rPr>
            </w:pPr>
            <w:r w:rsidRPr="00E0088F">
              <w:rPr>
                <w:lang w:val="fr-CH"/>
              </w:rPr>
              <w:t xml:space="preserve">(Rév.CMR-07). </w:t>
            </w:r>
            <w:r w:rsidR="006D41D0" w:rsidRPr="00E0088F">
              <w:rPr>
                <w:lang w:val="fr-CH"/>
              </w:rPr>
              <w:t>À l'issue de l'examen du</w:t>
            </w:r>
            <w:r w:rsidRPr="00E0088F">
              <w:rPr>
                <w:lang w:val="fr-CH"/>
              </w:rPr>
              <w:t xml:space="preserve"> </w:t>
            </w:r>
            <w:r w:rsidRPr="00E0088F">
              <w:rPr>
                <w:b/>
                <w:bCs/>
                <w:lang w:val="fr-CH"/>
              </w:rPr>
              <w:t>point 9.3 de l'ordre du jour</w:t>
            </w:r>
            <w:r w:rsidRPr="00E0088F">
              <w:rPr>
                <w:lang w:val="fr-CH"/>
              </w:rPr>
              <w:t xml:space="preserve"> de la CMR</w:t>
            </w:r>
            <w:r w:rsidR="00627586" w:rsidRPr="00E0088F">
              <w:rPr>
                <w:lang w:val="fr-CH"/>
              </w:rPr>
              <w:noBreakHyphen/>
            </w:r>
            <w:r w:rsidRPr="00E0088F">
              <w:rPr>
                <w:lang w:val="fr-CH"/>
              </w:rPr>
              <w:t>19, aucune proposition concernant cette Résolution</w:t>
            </w:r>
            <w:r w:rsidR="002601FA" w:rsidRPr="00E0088F">
              <w:rPr>
                <w:lang w:val="fr-CH"/>
              </w:rPr>
              <w:t xml:space="preserve"> n</w:t>
            </w:r>
            <w:r w:rsidR="006C5A84" w:rsidRPr="00E0088F">
              <w:rPr>
                <w:lang w:val="fr-CH"/>
              </w:rPr>
              <w:t>'</w:t>
            </w:r>
            <w:r w:rsidR="002601FA" w:rsidRPr="00E0088F">
              <w:rPr>
                <w:lang w:val="fr-CH"/>
              </w:rPr>
              <w:t>est faite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0A7089" w14:textId="77777777" w:rsidR="002151C3" w:rsidRPr="00E0088F" w:rsidRDefault="002151C3" w:rsidP="006C5A84">
            <w:pPr>
              <w:pStyle w:val="Tabletext"/>
              <w:jc w:val="center"/>
              <w:rPr>
                <w:lang w:val="fr-CH"/>
              </w:rPr>
            </w:pPr>
            <w:r w:rsidRPr="00E0088F">
              <w:rPr>
                <w:lang w:val="fr-CH"/>
              </w:rPr>
              <w:t>---</w:t>
            </w:r>
          </w:p>
        </w:tc>
      </w:tr>
      <w:tr w:rsidR="002151C3" w:rsidRPr="00E0088F" w14:paraId="734F30FA"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212F6BC" w14:textId="77777777" w:rsidR="002151C3" w:rsidRPr="00E0088F" w:rsidRDefault="002151C3" w:rsidP="006C5A84">
            <w:pPr>
              <w:pStyle w:val="Tabletext"/>
              <w:jc w:val="center"/>
              <w:rPr>
                <w:lang w:val="fr-CH"/>
              </w:rPr>
            </w:pPr>
            <w:r w:rsidRPr="00E0088F">
              <w:rPr>
                <w:lang w:val="fr-CH"/>
              </w:rPr>
              <w:t>81</w:t>
            </w:r>
          </w:p>
        </w:tc>
        <w:tc>
          <w:tcPr>
            <w:tcW w:w="2551" w:type="dxa"/>
            <w:tcBorders>
              <w:top w:val="single" w:sz="6" w:space="0" w:color="auto"/>
              <w:left w:val="single" w:sz="6" w:space="0" w:color="auto"/>
              <w:bottom w:val="single" w:sz="6" w:space="0" w:color="auto"/>
              <w:right w:val="single" w:sz="6" w:space="0" w:color="auto"/>
            </w:tcBorders>
            <w:hideMark/>
          </w:tcPr>
          <w:p w14:paraId="3C906E07" w14:textId="77777777" w:rsidR="002151C3" w:rsidRPr="00E0088F" w:rsidRDefault="002151C3" w:rsidP="006C5A84">
            <w:pPr>
              <w:pStyle w:val="Tabletext"/>
              <w:rPr>
                <w:lang w:val="fr-CH"/>
              </w:rPr>
            </w:pPr>
            <w:r w:rsidRPr="00E0088F">
              <w:rPr>
                <w:color w:val="000000"/>
                <w:lang w:val="fr-CH"/>
              </w:rPr>
              <w:t>Évaluation de la procédure administrative du principe de diligence due</w:t>
            </w:r>
          </w:p>
        </w:tc>
        <w:tc>
          <w:tcPr>
            <w:tcW w:w="3625" w:type="dxa"/>
            <w:tcBorders>
              <w:top w:val="single" w:sz="6" w:space="0" w:color="auto"/>
              <w:left w:val="single" w:sz="6" w:space="0" w:color="auto"/>
              <w:bottom w:val="single" w:sz="6" w:space="0" w:color="auto"/>
              <w:right w:val="single" w:sz="6" w:space="0" w:color="auto"/>
            </w:tcBorders>
            <w:hideMark/>
          </w:tcPr>
          <w:p w14:paraId="0BD9D352" w14:textId="3171EF19" w:rsidR="002151C3" w:rsidRPr="00E0088F" w:rsidRDefault="002151C3" w:rsidP="006C5A84">
            <w:pPr>
              <w:pStyle w:val="Tabletext"/>
              <w:rPr>
                <w:color w:val="000000"/>
                <w:position w:val="6"/>
                <w:sz w:val="18"/>
                <w:lang w:val="fr-CH"/>
              </w:rPr>
            </w:pPr>
            <w:r w:rsidRPr="00E0088F">
              <w:rPr>
                <w:lang w:val="fr-CH"/>
              </w:rPr>
              <w:t xml:space="preserve">(Rév.CMR-15). Il est indiqué dans le Rapport de la RPC que cette Résolution a toujours lieu d'être. Toutefois, le problème dit des «satellites fictifs» a déjà été résolu et l'objectif visé avec la Résolution </w:t>
            </w:r>
            <w:r w:rsidRPr="00E0088F">
              <w:rPr>
                <w:b/>
                <w:bCs/>
                <w:lang w:val="fr-CH"/>
              </w:rPr>
              <w:t>49 (Rév.CMR-15)</w:t>
            </w:r>
            <w:r w:rsidRPr="00E0088F">
              <w:rPr>
                <w:lang w:val="fr-CH"/>
              </w:rPr>
              <w:t xml:space="preserve">, qui contient la solution à ce problème, a été atteint (voir également la Lettre circulaire CR/301 de l'UIT-R). Aucune suite à donner n'est indiquée dans cette Résolution qui a été remplacée par la Résolution </w:t>
            </w:r>
            <w:r w:rsidRPr="00E0088F">
              <w:rPr>
                <w:b/>
                <w:bCs/>
                <w:lang w:val="fr-CH"/>
              </w:rPr>
              <w:t>49</w:t>
            </w:r>
            <w:r w:rsidRPr="00E0088F">
              <w:rPr>
                <w:lang w:val="fr-CH"/>
              </w:rPr>
              <w:t>. Il est nécessaire d'étudier la possibilité de la supprimer.</w:t>
            </w:r>
          </w:p>
        </w:tc>
        <w:tc>
          <w:tcPr>
            <w:tcW w:w="2045" w:type="dxa"/>
            <w:tcBorders>
              <w:top w:val="single" w:sz="6" w:space="0" w:color="auto"/>
              <w:left w:val="single" w:sz="6" w:space="0" w:color="auto"/>
              <w:bottom w:val="single" w:sz="6" w:space="0" w:color="auto"/>
              <w:right w:val="single" w:sz="6" w:space="0" w:color="auto"/>
            </w:tcBorders>
            <w:hideMark/>
          </w:tcPr>
          <w:p w14:paraId="3E8C9CEC" w14:textId="77777777" w:rsidR="002151C3" w:rsidRPr="00E0088F" w:rsidRDefault="002151C3" w:rsidP="006C5A84">
            <w:pPr>
              <w:pStyle w:val="Tabletext"/>
              <w:jc w:val="center"/>
              <w:rPr>
                <w:lang w:val="fr-CH"/>
              </w:rPr>
            </w:pPr>
            <w:r w:rsidRPr="00E0088F">
              <w:rPr>
                <w:lang w:val="fr-CH"/>
              </w:rPr>
              <w:t>NOC/</w:t>
            </w:r>
          </w:p>
          <w:p w14:paraId="336CE30D" w14:textId="77777777" w:rsidR="002151C3" w:rsidRPr="00E0088F" w:rsidRDefault="002151C3" w:rsidP="006C5A84">
            <w:pPr>
              <w:pStyle w:val="Tabletext"/>
              <w:jc w:val="center"/>
              <w:rPr>
                <w:lang w:val="fr-CH"/>
              </w:rPr>
            </w:pPr>
            <w:r w:rsidRPr="00E0088F">
              <w:rPr>
                <w:lang w:val="fr-CH"/>
              </w:rPr>
              <w:t>SUP</w:t>
            </w:r>
          </w:p>
        </w:tc>
      </w:tr>
      <w:tr w:rsidR="002151C3" w:rsidRPr="00E0088F" w14:paraId="006D29BF"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016DD0F" w14:textId="77777777" w:rsidR="002151C3" w:rsidRPr="00E0088F" w:rsidRDefault="002151C3" w:rsidP="006C5A84">
            <w:pPr>
              <w:pStyle w:val="Tabletext"/>
              <w:jc w:val="center"/>
              <w:rPr>
                <w:lang w:val="fr-CH"/>
              </w:rPr>
            </w:pPr>
            <w:r w:rsidRPr="00E0088F">
              <w:rPr>
                <w:lang w:val="fr-CH"/>
              </w:rPr>
              <w:lastRenderedPageBreak/>
              <w:t>85</w:t>
            </w:r>
          </w:p>
        </w:tc>
        <w:tc>
          <w:tcPr>
            <w:tcW w:w="2551" w:type="dxa"/>
            <w:tcBorders>
              <w:top w:val="single" w:sz="6" w:space="0" w:color="auto"/>
              <w:left w:val="single" w:sz="6" w:space="0" w:color="auto"/>
              <w:bottom w:val="single" w:sz="6" w:space="0" w:color="auto"/>
              <w:right w:val="single" w:sz="6" w:space="0" w:color="auto"/>
            </w:tcBorders>
            <w:hideMark/>
          </w:tcPr>
          <w:p w14:paraId="482B5434" w14:textId="77777777" w:rsidR="002151C3" w:rsidRPr="00E0088F" w:rsidRDefault="002151C3" w:rsidP="006C5A84">
            <w:pPr>
              <w:pStyle w:val="Tabletext"/>
              <w:rPr>
                <w:lang w:val="fr-CH"/>
              </w:rPr>
            </w:pPr>
            <w:r w:rsidRPr="00E0088F">
              <w:rPr>
                <w:lang w:val="fr-CH"/>
              </w:rPr>
              <w:t>Protection des systèmes OSG (SFS et SRS) vis-à-vis des systèmes du SFS non OSG</w:t>
            </w:r>
          </w:p>
        </w:tc>
        <w:tc>
          <w:tcPr>
            <w:tcW w:w="3625" w:type="dxa"/>
            <w:tcBorders>
              <w:top w:val="single" w:sz="6" w:space="0" w:color="auto"/>
              <w:left w:val="single" w:sz="6" w:space="0" w:color="auto"/>
              <w:bottom w:val="single" w:sz="6" w:space="0" w:color="auto"/>
              <w:right w:val="single" w:sz="6" w:space="0" w:color="auto"/>
            </w:tcBorders>
            <w:hideMark/>
          </w:tcPr>
          <w:p w14:paraId="414A1ADE" w14:textId="77777777" w:rsidR="002151C3" w:rsidRPr="00E0088F" w:rsidRDefault="002151C3" w:rsidP="006C5A84">
            <w:pPr>
              <w:pStyle w:val="Tabletext"/>
              <w:rPr>
                <w:lang w:val="fr-CH"/>
              </w:rPr>
            </w:pPr>
            <w:r w:rsidRPr="00E0088F">
              <w:rPr>
                <w:lang w:val="fr-CH"/>
              </w:rPr>
              <w:t>(CMR-03). A toujours lieu d'être. Des modifications apportées à la Recommandation UIT</w:t>
            </w:r>
            <w:r w:rsidRPr="00E0088F">
              <w:rPr>
                <w:lang w:val="fr-CH"/>
              </w:rPr>
              <w:noBreakHyphen/>
              <w:t>R S.1503 ont été approuvées récemment en janvier 2018.</w:t>
            </w:r>
          </w:p>
          <w:p w14:paraId="52F59788" w14:textId="77777777" w:rsidR="002151C3" w:rsidRPr="00E0088F" w:rsidRDefault="002151C3" w:rsidP="006C5A84">
            <w:pPr>
              <w:pStyle w:val="Tabletext"/>
              <w:rPr>
                <w:color w:val="000000"/>
                <w:position w:val="6"/>
                <w:sz w:val="18"/>
                <w:lang w:val="fr-CH"/>
              </w:rPr>
            </w:pPr>
            <w:r w:rsidRPr="00E0088F">
              <w:rPr>
                <w:lang w:val="fr-CH"/>
              </w:rPr>
              <w:t xml:space="preserve">Étant donné que le logiciel de validation de l'epfd est désormais disponible depuis la publication de la lettre circulaire correspondante (CR/414 du 6 décembre 2016), compte tenu du point 5 du </w:t>
            </w:r>
            <w:r w:rsidRPr="00E0088F">
              <w:rPr>
                <w:i/>
                <w:iCs/>
                <w:lang w:val="fr-CH"/>
              </w:rPr>
              <w:t>décide</w:t>
            </w:r>
            <w:r w:rsidRPr="00E0088F">
              <w:rPr>
                <w:lang w:val="fr-CH"/>
              </w:rPr>
              <w:t>, des modifications sont nécessaires à cet égard.</w:t>
            </w:r>
          </w:p>
        </w:tc>
        <w:tc>
          <w:tcPr>
            <w:tcW w:w="2045" w:type="dxa"/>
            <w:tcBorders>
              <w:top w:val="single" w:sz="6" w:space="0" w:color="auto"/>
              <w:left w:val="single" w:sz="6" w:space="0" w:color="auto"/>
              <w:bottom w:val="single" w:sz="6" w:space="0" w:color="auto"/>
              <w:right w:val="single" w:sz="6" w:space="0" w:color="auto"/>
            </w:tcBorders>
            <w:hideMark/>
          </w:tcPr>
          <w:p w14:paraId="32C310ED" w14:textId="77777777" w:rsidR="002151C3" w:rsidRPr="00E0088F" w:rsidRDefault="002151C3" w:rsidP="006C5A84">
            <w:pPr>
              <w:pStyle w:val="Tabletext"/>
              <w:jc w:val="center"/>
              <w:rPr>
                <w:lang w:val="fr-CH"/>
              </w:rPr>
            </w:pPr>
            <w:r w:rsidRPr="00E0088F">
              <w:rPr>
                <w:lang w:val="fr-CH"/>
              </w:rPr>
              <w:t>MOD</w:t>
            </w:r>
          </w:p>
        </w:tc>
      </w:tr>
      <w:tr w:rsidR="002151C3" w:rsidRPr="00E0088F" w14:paraId="078F367D"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76E72919" w14:textId="77777777" w:rsidR="002151C3" w:rsidRPr="00E0088F" w:rsidRDefault="002151C3" w:rsidP="006C5A84">
            <w:pPr>
              <w:pStyle w:val="Tabletext"/>
              <w:jc w:val="center"/>
              <w:rPr>
                <w:lang w:val="fr-CH"/>
              </w:rPr>
            </w:pPr>
            <w:r w:rsidRPr="00E0088F">
              <w:rPr>
                <w:lang w:val="fr-CH"/>
              </w:rPr>
              <w:t>86</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D20A470" w14:textId="7AEE5763" w:rsidR="002151C3" w:rsidRPr="00E0088F" w:rsidRDefault="002151C3" w:rsidP="006C5A84">
            <w:pPr>
              <w:pStyle w:val="Tabletext"/>
              <w:rPr>
                <w:lang w:val="fr-CH"/>
              </w:rPr>
            </w:pPr>
            <w:r w:rsidRPr="00E0088F">
              <w:rPr>
                <w:lang w:val="fr-CH"/>
              </w:rPr>
              <w:t>Critères à utiliser pour la mise en œuvre de la Résolution 86 (Rév.PP</w:t>
            </w:r>
            <w:r w:rsidRPr="00E0088F">
              <w:rPr>
                <w:lang w:val="fr-CH"/>
              </w:rPr>
              <w:noBreakHyphen/>
              <w:t>02)</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51218D" w14:textId="38139A13" w:rsidR="002151C3" w:rsidRPr="00E0088F" w:rsidRDefault="002151C3" w:rsidP="006C5A84">
            <w:pPr>
              <w:pStyle w:val="Tabletext"/>
              <w:rPr>
                <w:lang w:val="fr-CH"/>
              </w:rPr>
            </w:pPr>
            <w:r w:rsidRPr="00E0088F">
              <w:rPr>
                <w:lang w:val="fr-CH"/>
              </w:rPr>
              <w:t xml:space="preserve">(Rév.CMR-07). A toujours lieu d'être. À l'issue de l'examen du </w:t>
            </w:r>
            <w:r w:rsidRPr="00E0088F">
              <w:rPr>
                <w:b/>
                <w:bCs/>
                <w:lang w:val="fr-CH"/>
              </w:rPr>
              <w:t>point 10 de l'ordre du jour</w:t>
            </w:r>
            <w:r w:rsidRPr="00E0088F">
              <w:rPr>
                <w:lang w:val="fr-CH"/>
              </w:rPr>
              <w:t xml:space="preserve"> de la CMR</w:t>
            </w:r>
            <w:r w:rsidRPr="00E0088F">
              <w:rPr>
                <w:lang w:val="fr-CH"/>
              </w:rPr>
              <w:noBreakHyphen/>
              <w:t>19, cette Résolution devrait être modifiée</w:t>
            </w:r>
            <w:r w:rsidR="00C54AF1"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80CEED" w14:textId="77777777" w:rsidR="002151C3" w:rsidRPr="00E0088F" w:rsidRDefault="002151C3" w:rsidP="006C5A84">
            <w:pPr>
              <w:pStyle w:val="Tabletext"/>
              <w:jc w:val="center"/>
              <w:rPr>
                <w:lang w:val="fr-CH"/>
              </w:rPr>
            </w:pPr>
            <w:r w:rsidRPr="00E0088F">
              <w:rPr>
                <w:lang w:val="fr-CH"/>
              </w:rPr>
              <w:t>MOD</w:t>
            </w:r>
          </w:p>
        </w:tc>
      </w:tr>
      <w:tr w:rsidR="002151C3" w:rsidRPr="00E0088F" w14:paraId="61C82D02"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1C2A0B77" w14:textId="77777777" w:rsidR="002151C3" w:rsidRPr="00E0088F" w:rsidRDefault="002151C3" w:rsidP="006C5A84">
            <w:pPr>
              <w:pStyle w:val="Tabletext"/>
              <w:jc w:val="center"/>
              <w:rPr>
                <w:lang w:val="fr-CH"/>
              </w:rPr>
            </w:pPr>
            <w:r w:rsidRPr="00E0088F">
              <w:rPr>
                <w:lang w:val="fr-CH"/>
              </w:rPr>
              <w:t>95</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4069499" w14:textId="77777777" w:rsidR="002151C3" w:rsidRPr="00E0088F" w:rsidRDefault="002151C3" w:rsidP="006C5A84">
            <w:pPr>
              <w:pStyle w:val="Tabletext"/>
              <w:rPr>
                <w:lang w:val="fr-CH"/>
              </w:rPr>
            </w:pPr>
            <w:r w:rsidRPr="00E0088F">
              <w:rPr>
                <w:lang w:val="fr-CH"/>
              </w:rPr>
              <w:t>Examen des Résolutions/ Recommandations des CAMR et des CMR</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7F662E" w14:textId="0B381847" w:rsidR="002151C3" w:rsidRPr="00E0088F" w:rsidRDefault="002151C3" w:rsidP="006C5A84">
            <w:pPr>
              <w:pStyle w:val="Tabletext"/>
              <w:rPr>
                <w:lang w:val="fr-CH"/>
              </w:rPr>
            </w:pPr>
            <w:r w:rsidRPr="00E0088F">
              <w:rPr>
                <w:lang w:val="fr-CH"/>
              </w:rPr>
              <w:t xml:space="preserve">(Rév.CMR-07). À l'issue de l'examen du </w:t>
            </w:r>
            <w:r w:rsidRPr="00E0088F">
              <w:rPr>
                <w:b/>
                <w:bCs/>
                <w:lang w:val="fr-CH"/>
              </w:rPr>
              <w:t>point 4 de l'ordre du jour</w:t>
            </w:r>
            <w:r w:rsidRPr="00E0088F">
              <w:rPr>
                <w:lang w:val="fr-CH"/>
              </w:rPr>
              <w:t xml:space="preserve"> de la CMR</w:t>
            </w:r>
            <w:r w:rsidRPr="00E0088F">
              <w:rPr>
                <w:lang w:val="fr-CH"/>
              </w:rPr>
              <w:noBreakHyphen/>
              <w:t>19, cette Résolution devrait être modifiée</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7FE02E" w14:textId="77777777" w:rsidR="002151C3" w:rsidRPr="00E0088F" w:rsidRDefault="002151C3" w:rsidP="006C5A84">
            <w:pPr>
              <w:pStyle w:val="Tabletext"/>
              <w:jc w:val="center"/>
              <w:rPr>
                <w:lang w:val="fr-CH" w:eastAsia="ja-JP"/>
              </w:rPr>
            </w:pPr>
            <w:r w:rsidRPr="00E0088F">
              <w:rPr>
                <w:lang w:val="fr-CH"/>
              </w:rPr>
              <w:t>MOD</w:t>
            </w:r>
          </w:p>
        </w:tc>
      </w:tr>
      <w:tr w:rsidR="002151C3" w:rsidRPr="00E0088F" w14:paraId="571671D3"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7739FEF" w14:textId="77777777" w:rsidR="002151C3" w:rsidRPr="00E0088F" w:rsidRDefault="002151C3" w:rsidP="006C5A84">
            <w:pPr>
              <w:pStyle w:val="Tabletext"/>
              <w:jc w:val="center"/>
              <w:rPr>
                <w:lang w:val="fr-CH" w:eastAsia="ja-JP"/>
              </w:rPr>
            </w:pPr>
            <w:r w:rsidRPr="00E0088F">
              <w:rPr>
                <w:lang w:val="fr-CH" w:eastAsia="ja-JP"/>
              </w:rPr>
              <w:t>99</w:t>
            </w:r>
          </w:p>
        </w:tc>
        <w:tc>
          <w:tcPr>
            <w:tcW w:w="2551" w:type="dxa"/>
            <w:tcBorders>
              <w:top w:val="single" w:sz="6" w:space="0" w:color="auto"/>
              <w:left w:val="single" w:sz="6" w:space="0" w:color="auto"/>
              <w:bottom w:val="single" w:sz="6" w:space="0" w:color="auto"/>
              <w:right w:val="single" w:sz="6" w:space="0" w:color="auto"/>
            </w:tcBorders>
            <w:hideMark/>
          </w:tcPr>
          <w:p w14:paraId="09CB777C" w14:textId="77777777" w:rsidR="002151C3" w:rsidRPr="00E0088F" w:rsidRDefault="002151C3" w:rsidP="006C5A84">
            <w:pPr>
              <w:pStyle w:val="Tabletext"/>
              <w:rPr>
                <w:lang w:val="fr-CH"/>
              </w:rPr>
            </w:pPr>
            <w:r w:rsidRPr="00E0088F">
              <w:rPr>
                <w:lang w:val="fr-CH"/>
              </w:rPr>
              <w:t xml:space="preserve">Application provisoire de certaines dispositions du Règlement des radiocommunications, telles que révisées par la CMR-15, et abrogation de certaines Résolutions et Recommandations </w:t>
            </w:r>
          </w:p>
        </w:tc>
        <w:tc>
          <w:tcPr>
            <w:tcW w:w="3625" w:type="dxa"/>
            <w:tcBorders>
              <w:top w:val="single" w:sz="6" w:space="0" w:color="auto"/>
              <w:left w:val="single" w:sz="6" w:space="0" w:color="auto"/>
              <w:bottom w:val="single" w:sz="6" w:space="0" w:color="auto"/>
              <w:right w:val="single" w:sz="6" w:space="0" w:color="auto"/>
            </w:tcBorders>
            <w:hideMark/>
          </w:tcPr>
          <w:p w14:paraId="5DB3737D" w14:textId="77777777" w:rsidR="002151C3" w:rsidRPr="00E0088F" w:rsidRDefault="002151C3" w:rsidP="006C5A84">
            <w:pPr>
              <w:pStyle w:val="Tabletext"/>
              <w:rPr>
                <w:lang w:val="fr-CH" w:eastAsia="ja-JP"/>
              </w:rPr>
            </w:pPr>
            <w:r w:rsidRPr="00E0088F">
              <w:rPr>
                <w:lang w:val="fr-CH"/>
              </w:rPr>
              <w:t>(CMR-15). Conformément à la pratique récente lors des CMR, cette Résolution devrait être révisée ou remplacée par une nouvelle ayant les mêmes objectifs conformément aux résultats de la CMR</w:t>
            </w:r>
            <w:r w:rsidRPr="00E0088F">
              <w:rPr>
                <w:lang w:val="fr-CH"/>
              </w:rPr>
              <w:noBreakHyphen/>
              <w:t>19.</w:t>
            </w:r>
          </w:p>
        </w:tc>
        <w:tc>
          <w:tcPr>
            <w:tcW w:w="2045" w:type="dxa"/>
            <w:tcBorders>
              <w:top w:val="single" w:sz="6" w:space="0" w:color="auto"/>
              <w:left w:val="single" w:sz="6" w:space="0" w:color="auto"/>
              <w:bottom w:val="single" w:sz="6" w:space="0" w:color="auto"/>
              <w:right w:val="single" w:sz="6" w:space="0" w:color="auto"/>
            </w:tcBorders>
            <w:hideMark/>
          </w:tcPr>
          <w:p w14:paraId="48625907" w14:textId="77777777" w:rsidR="002151C3" w:rsidRPr="00E0088F" w:rsidRDefault="002151C3" w:rsidP="006C5A84">
            <w:pPr>
              <w:pStyle w:val="Tabletext"/>
              <w:jc w:val="center"/>
              <w:rPr>
                <w:lang w:val="fr-CH" w:eastAsia="ja-JP"/>
              </w:rPr>
            </w:pPr>
            <w:r w:rsidRPr="00E0088F">
              <w:rPr>
                <w:lang w:val="fr-CH" w:eastAsia="ja-JP"/>
              </w:rPr>
              <w:t>SUP/</w:t>
            </w:r>
          </w:p>
          <w:p w14:paraId="7FFE3A7B" w14:textId="77777777" w:rsidR="002151C3" w:rsidRPr="00E0088F" w:rsidRDefault="002151C3" w:rsidP="006C5A84">
            <w:pPr>
              <w:pStyle w:val="Tabletext"/>
              <w:jc w:val="center"/>
              <w:rPr>
                <w:lang w:val="fr-CH" w:eastAsia="ja-JP"/>
              </w:rPr>
            </w:pPr>
            <w:r w:rsidRPr="00E0088F">
              <w:rPr>
                <w:lang w:val="fr-CH" w:eastAsia="ja-JP"/>
              </w:rPr>
              <w:t>MOD</w:t>
            </w:r>
          </w:p>
        </w:tc>
      </w:tr>
      <w:tr w:rsidR="002151C3" w:rsidRPr="00E0088F" w14:paraId="761921B3"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3199049" w14:textId="77777777" w:rsidR="002151C3" w:rsidRPr="00E0088F" w:rsidRDefault="002151C3" w:rsidP="006C5A84">
            <w:pPr>
              <w:pStyle w:val="Tabletext"/>
              <w:jc w:val="center"/>
              <w:rPr>
                <w:lang w:val="fr-CH"/>
              </w:rPr>
            </w:pPr>
            <w:r w:rsidRPr="00E0088F">
              <w:rPr>
                <w:lang w:val="fr-CH"/>
              </w:rPr>
              <w:t>111</w:t>
            </w:r>
          </w:p>
        </w:tc>
        <w:tc>
          <w:tcPr>
            <w:tcW w:w="2551" w:type="dxa"/>
            <w:tcBorders>
              <w:top w:val="single" w:sz="6" w:space="0" w:color="auto"/>
              <w:left w:val="single" w:sz="6" w:space="0" w:color="auto"/>
              <w:bottom w:val="single" w:sz="6" w:space="0" w:color="auto"/>
              <w:right w:val="single" w:sz="6" w:space="0" w:color="auto"/>
            </w:tcBorders>
            <w:hideMark/>
          </w:tcPr>
          <w:p w14:paraId="56C0F1D2" w14:textId="77777777" w:rsidR="002151C3" w:rsidRPr="00E0088F" w:rsidRDefault="002151C3" w:rsidP="006C5A84">
            <w:pPr>
              <w:pStyle w:val="Tabletext"/>
              <w:rPr>
                <w:lang w:val="fr-CH"/>
              </w:rPr>
            </w:pPr>
            <w:r w:rsidRPr="00E0088F">
              <w:rPr>
                <w:lang w:val="fr-CH"/>
              </w:rPr>
              <w:t>Planification du SFS dans les bandes des 18, 20 et 30 GHz</w:t>
            </w:r>
          </w:p>
        </w:tc>
        <w:tc>
          <w:tcPr>
            <w:tcW w:w="3625" w:type="dxa"/>
            <w:tcBorders>
              <w:top w:val="single" w:sz="6" w:space="0" w:color="auto"/>
              <w:left w:val="single" w:sz="6" w:space="0" w:color="auto"/>
              <w:bottom w:val="single" w:sz="6" w:space="0" w:color="auto"/>
              <w:right w:val="single" w:sz="6" w:space="0" w:color="auto"/>
            </w:tcBorders>
            <w:hideMark/>
          </w:tcPr>
          <w:p w14:paraId="4309F30F" w14:textId="77777777" w:rsidR="002151C3" w:rsidRPr="00E0088F" w:rsidRDefault="002151C3" w:rsidP="006C5A84">
            <w:pPr>
              <w:pStyle w:val="Tabletext"/>
              <w:rPr>
                <w:color w:val="000000"/>
                <w:position w:val="6"/>
                <w:sz w:val="18"/>
                <w:lang w:val="fr-CH"/>
              </w:rPr>
            </w:pPr>
            <w:r w:rsidRPr="00E0088F">
              <w:rPr>
                <w:lang w:val="fr-CH"/>
              </w:rPr>
              <w:t>(Orb-88). A toujours lieu d'être.</w:t>
            </w:r>
          </w:p>
        </w:tc>
        <w:tc>
          <w:tcPr>
            <w:tcW w:w="2045" w:type="dxa"/>
            <w:tcBorders>
              <w:top w:val="single" w:sz="6" w:space="0" w:color="auto"/>
              <w:left w:val="single" w:sz="6" w:space="0" w:color="auto"/>
              <w:bottom w:val="single" w:sz="6" w:space="0" w:color="auto"/>
              <w:right w:val="single" w:sz="6" w:space="0" w:color="auto"/>
            </w:tcBorders>
            <w:hideMark/>
          </w:tcPr>
          <w:p w14:paraId="6FBE6442" w14:textId="77777777" w:rsidR="002151C3" w:rsidRPr="00E0088F" w:rsidRDefault="002151C3" w:rsidP="006C5A84">
            <w:pPr>
              <w:pStyle w:val="Tabletext"/>
              <w:jc w:val="center"/>
              <w:rPr>
                <w:lang w:val="fr-CH"/>
              </w:rPr>
            </w:pPr>
            <w:r w:rsidRPr="00E0088F">
              <w:rPr>
                <w:lang w:val="fr-CH"/>
              </w:rPr>
              <w:t>NOC</w:t>
            </w:r>
          </w:p>
        </w:tc>
      </w:tr>
      <w:tr w:rsidR="002151C3" w:rsidRPr="00E0088F" w14:paraId="47517F3B"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D2EB542" w14:textId="77777777" w:rsidR="002151C3" w:rsidRPr="00E0088F" w:rsidRDefault="002151C3" w:rsidP="006C5A84">
            <w:pPr>
              <w:pStyle w:val="Tabletext"/>
              <w:jc w:val="center"/>
              <w:rPr>
                <w:lang w:val="fr-CH"/>
              </w:rPr>
            </w:pPr>
            <w:r w:rsidRPr="00E0088F">
              <w:rPr>
                <w:lang w:val="fr-CH"/>
              </w:rPr>
              <w:t>114</w:t>
            </w:r>
          </w:p>
        </w:tc>
        <w:tc>
          <w:tcPr>
            <w:tcW w:w="2551" w:type="dxa"/>
            <w:tcBorders>
              <w:top w:val="single" w:sz="6" w:space="0" w:color="auto"/>
              <w:left w:val="single" w:sz="6" w:space="0" w:color="auto"/>
              <w:bottom w:val="single" w:sz="6" w:space="0" w:color="auto"/>
              <w:right w:val="single" w:sz="6" w:space="0" w:color="auto"/>
            </w:tcBorders>
            <w:hideMark/>
          </w:tcPr>
          <w:p w14:paraId="43EC67BD" w14:textId="58EDA130" w:rsidR="002151C3" w:rsidRPr="00E0088F" w:rsidRDefault="006D41D0" w:rsidP="006C5A84">
            <w:pPr>
              <w:pStyle w:val="Tabletext"/>
              <w:rPr>
                <w:lang w:val="fr-CH"/>
              </w:rPr>
            </w:pPr>
            <w:r w:rsidRPr="00E0088F">
              <w:rPr>
                <w:lang w:val="fr-CH"/>
              </w:rPr>
              <w:t xml:space="preserve">Compatibilité entre le SRNA et le SFS </w:t>
            </w:r>
            <w:r w:rsidR="002151C3" w:rsidRPr="00E0088F">
              <w:rPr>
                <w:lang w:val="fr-CH"/>
              </w:rPr>
              <w:t>dans la bande des 5 GHz</w:t>
            </w:r>
          </w:p>
        </w:tc>
        <w:tc>
          <w:tcPr>
            <w:tcW w:w="3625" w:type="dxa"/>
            <w:tcBorders>
              <w:top w:val="single" w:sz="6" w:space="0" w:color="auto"/>
              <w:left w:val="single" w:sz="6" w:space="0" w:color="auto"/>
              <w:bottom w:val="single" w:sz="6" w:space="0" w:color="auto"/>
              <w:right w:val="single" w:sz="6" w:space="0" w:color="auto"/>
            </w:tcBorders>
            <w:hideMark/>
          </w:tcPr>
          <w:p w14:paraId="5F54916E" w14:textId="77777777" w:rsidR="002151C3" w:rsidRPr="00E0088F" w:rsidRDefault="002151C3" w:rsidP="006C5A84">
            <w:pPr>
              <w:pStyle w:val="Tabletext"/>
              <w:rPr>
                <w:color w:val="000000"/>
                <w:position w:val="6"/>
                <w:sz w:val="18"/>
                <w:lang w:val="fr-CH"/>
              </w:rPr>
            </w:pPr>
            <w:r w:rsidRPr="00E0088F">
              <w:rPr>
                <w:lang w:val="fr-CH"/>
              </w:rPr>
              <w:t xml:space="preserve">(Rév.CMR-15). A toujours lieu d'être. Cette Résolution est citée dans les numéros </w:t>
            </w:r>
            <w:r w:rsidRPr="00E0088F">
              <w:rPr>
                <w:b/>
                <w:bCs/>
                <w:lang w:val="fr-CH"/>
              </w:rPr>
              <w:t>5.444</w:t>
            </w:r>
            <w:r w:rsidRPr="00E0088F">
              <w:rPr>
                <w:lang w:val="fr-CH"/>
              </w:rPr>
              <w:t xml:space="preserve"> et </w:t>
            </w:r>
            <w:r w:rsidRPr="00E0088F">
              <w:rPr>
                <w:b/>
                <w:bCs/>
                <w:lang w:val="fr-CH"/>
              </w:rPr>
              <w:t>5.444A</w:t>
            </w:r>
            <w:r w:rsidRPr="00E0088F">
              <w:rPr>
                <w:lang w:val="fr-CH"/>
              </w:rPr>
              <w:t xml:space="preserve"> et dans la Résolution </w:t>
            </w:r>
            <w:r w:rsidRPr="00E0088F">
              <w:rPr>
                <w:b/>
                <w:bCs/>
                <w:lang w:val="fr-CH"/>
              </w:rPr>
              <w:t>748 (Rév.CMR-15)</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A5C05A6" w14:textId="77777777" w:rsidR="002151C3" w:rsidRPr="00E0088F" w:rsidRDefault="002151C3" w:rsidP="006C5A84">
            <w:pPr>
              <w:pStyle w:val="Tabletext"/>
              <w:jc w:val="center"/>
              <w:rPr>
                <w:lang w:val="fr-CH"/>
              </w:rPr>
            </w:pPr>
            <w:r w:rsidRPr="00E0088F">
              <w:rPr>
                <w:lang w:val="fr-CH"/>
              </w:rPr>
              <w:t>NOC</w:t>
            </w:r>
          </w:p>
        </w:tc>
      </w:tr>
      <w:tr w:rsidR="002151C3" w:rsidRPr="00E0088F" w14:paraId="46AB6422"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1C8AD0AE" w14:textId="77777777" w:rsidR="002151C3" w:rsidRPr="00E0088F" w:rsidRDefault="002151C3" w:rsidP="006C5A84">
            <w:pPr>
              <w:pStyle w:val="Tabletext"/>
              <w:jc w:val="center"/>
              <w:rPr>
                <w:lang w:val="fr-CH"/>
              </w:rPr>
            </w:pPr>
            <w:r w:rsidRPr="00E0088F">
              <w:rPr>
                <w:lang w:val="fr-CH"/>
              </w:rPr>
              <w:t>122</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4745950" w14:textId="77777777" w:rsidR="002151C3" w:rsidRPr="00E0088F" w:rsidRDefault="002151C3" w:rsidP="006C5A84">
            <w:pPr>
              <w:pStyle w:val="Tabletext"/>
              <w:rPr>
                <w:lang w:val="fr-CH"/>
              </w:rPr>
            </w:pPr>
            <w:r w:rsidRPr="00E0088F">
              <w:rPr>
                <w:lang w:val="fr-CH"/>
              </w:rPr>
              <w:t>Systèmes HAPS dans les bandes des 47 et 48 GHz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3804ED" w14:textId="77777777" w:rsidR="0022601C" w:rsidRPr="00E0088F" w:rsidRDefault="002151C3" w:rsidP="006C5A84">
            <w:pPr>
              <w:pStyle w:val="Tabletext"/>
              <w:rPr>
                <w:lang w:val="fr-CH" w:eastAsia="ja-JP"/>
              </w:rPr>
            </w:pPr>
            <w:r w:rsidRPr="00E0088F">
              <w:rPr>
                <w:lang w:val="fr-CH"/>
              </w:rPr>
              <w:t xml:space="preserve">(Rév.CMR-07). A toujours lieu d'être. Cette Résolution est citée dans le numéro </w:t>
            </w:r>
            <w:r w:rsidRPr="00E0088F">
              <w:rPr>
                <w:b/>
                <w:bCs/>
                <w:lang w:val="fr-CH"/>
              </w:rPr>
              <w:t xml:space="preserve">5.552A </w:t>
            </w:r>
            <w:r w:rsidRPr="00E0088F">
              <w:rPr>
                <w:lang w:val="fr-CH"/>
              </w:rPr>
              <w:t xml:space="preserve">et dans l'Appendice </w:t>
            </w:r>
            <w:r w:rsidRPr="00E0088F">
              <w:rPr>
                <w:b/>
                <w:bCs/>
                <w:lang w:val="fr-CH"/>
              </w:rPr>
              <w:t>4</w:t>
            </w:r>
            <w:r w:rsidRPr="00E0088F">
              <w:rPr>
                <w:lang w:val="fr-CH" w:eastAsia="ja-JP"/>
              </w:rPr>
              <w:t xml:space="preserve">. </w:t>
            </w:r>
          </w:p>
          <w:p w14:paraId="4E930B15" w14:textId="79D9FE09" w:rsidR="002151C3" w:rsidRPr="00E0088F" w:rsidRDefault="006D41D0" w:rsidP="006C5A84">
            <w:pPr>
              <w:pStyle w:val="Tabletext"/>
              <w:rPr>
                <w:lang w:val="fr-CH"/>
              </w:rPr>
            </w:pPr>
            <w:r w:rsidRPr="00E0088F">
              <w:rPr>
                <w:lang w:val="fr-CH" w:eastAsia="ja-JP"/>
              </w:rPr>
              <w:t>À l'issue de l'examen du</w:t>
            </w:r>
            <w:r w:rsidR="002151C3" w:rsidRPr="00E0088F">
              <w:rPr>
                <w:lang w:val="fr-CH" w:eastAsia="ja-JP"/>
              </w:rPr>
              <w:t xml:space="preserve"> </w:t>
            </w:r>
            <w:r w:rsidR="002151C3" w:rsidRPr="00E0088F">
              <w:rPr>
                <w:b/>
                <w:bCs/>
                <w:lang w:val="fr-CH" w:eastAsia="ja-JP"/>
              </w:rPr>
              <w:t>point 1.14 de l'ordre du jour</w:t>
            </w:r>
            <w:r w:rsidR="002151C3" w:rsidRPr="00E0088F">
              <w:rPr>
                <w:lang w:val="fr-CH" w:eastAsia="ja-JP"/>
              </w:rPr>
              <w:t xml:space="preserve"> de la CMR</w:t>
            </w:r>
            <w:r w:rsidR="002151C3" w:rsidRPr="00E0088F">
              <w:rPr>
                <w:lang w:val="fr-CH" w:eastAsia="ja-JP"/>
              </w:rPr>
              <w:noBreakHyphen/>
              <w:t xml:space="preserve">19, </w:t>
            </w:r>
            <w:r w:rsidR="002151C3" w:rsidRPr="00E0088F">
              <w:rPr>
                <w:lang w:val="fr-CH"/>
              </w:rPr>
              <w:t>aucune proposition concernant cette Résolution</w:t>
            </w:r>
            <w:r w:rsidR="002601FA" w:rsidRPr="00E0088F">
              <w:rPr>
                <w:lang w:val="fr-CH"/>
              </w:rPr>
              <w:t xml:space="preserve"> n</w:t>
            </w:r>
            <w:r w:rsidR="006C5A84" w:rsidRPr="00E0088F">
              <w:rPr>
                <w:lang w:val="fr-CH"/>
              </w:rPr>
              <w:t>'</w:t>
            </w:r>
            <w:r w:rsidR="002601FA" w:rsidRPr="00E0088F">
              <w:rPr>
                <w:lang w:val="fr-CH"/>
              </w:rPr>
              <w:t>est faite</w:t>
            </w:r>
            <w:r w:rsidR="002151C3"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1D073B" w14:textId="77777777" w:rsidR="002151C3" w:rsidRPr="00E0088F" w:rsidRDefault="002151C3" w:rsidP="006C5A84">
            <w:pPr>
              <w:pStyle w:val="Tabletext"/>
              <w:jc w:val="center"/>
              <w:rPr>
                <w:lang w:val="fr-CH"/>
              </w:rPr>
            </w:pPr>
            <w:r w:rsidRPr="00E0088F">
              <w:rPr>
                <w:lang w:val="fr-CH" w:eastAsia="ja-JP"/>
              </w:rPr>
              <w:t>---</w:t>
            </w:r>
          </w:p>
        </w:tc>
      </w:tr>
      <w:tr w:rsidR="002151C3" w:rsidRPr="00E0088F" w14:paraId="42DE0B68"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82D5660" w14:textId="77777777" w:rsidR="002151C3" w:rsidRPr="00E0088F" w:rsidRDefault="002151C3" w:rsidP="006C5A84">
            <w:pPr>
              <w:pStyle w:val="Tabletext"/>
              <w:jc w:val="center"/>
              <w:rPr>
                <w:lang w:val="fr-CH"/>
              </w:rPr>
            </w:pPr>
            <w:r w:rsidRPr="00E0088F">
              <w:rPr>
                <w:lang w:val="fr-CH"/>
              </w:rPr>
              <w:t>125</w:t>
            </w:r>
          </w:p>
        </w:tc>
        <w:tc>
          <w:tcPr>
            <w:tcW w:w="2551" w:type="dxa"/>
            <w:tcBorders>
              <w:top w:val="single" w:sz="6" w:space="0" w:color="auto"/>
              <w:left w:val="single" w:sz="6" w:space="0" w:color="auto"/>
              <w:bottom w:val="single" w:sz="6" w:space="0" w:color="auto"/>
              <w:right w:val="single" w:sz="6" w:space="0" w:color="auto"/>
            </w:tcBorders>
            <w:hideMark/>
          </w:tcPr>
          <w:p w14:paraId="3E577B8A" w14:textId="77777777" w:rsidR="002151C3" w:rsidRPr="00E0088F" w:rsidRDefault="002151C3" w:rsidP="006C5A84">
            <w:pPr>
              <w:pStyle w:val="Tabletext"/>
              <w:rPr>
                <w:lang w:val="fr-CH"/>
              </w:rPr>
            </w:pPr>
            <w:r w:rsidRPr="00E0088F">
              <w:rPr>
                <w:lang w:val="fr-CH"/>
              </w:rPr>
              <w:t>Partage des fréquences dans les bandes 1 610,6</w:t>
            </w:r>
            <w:r w:rsidRPr="00E0088F">
              <w:rPr>
                <w:lang w:val="fr-CH"/>
              </w:rPr>
              <w:noBreakHyphen/>
              <w:t>1 613,8 MHz et 1 660</w:t>
            </w:r>
            <w:r w:rsidRPr="00E0088F">
              <w:rPr>
                <w:lang w:val="fr-CH"/>
              </w:rPr>
              <w:noBreakHyphen/>
              <w:t xml:space="preserve">1 660,5 MHz entre le service mobile par satellite et le service de radioastronomie </w:t>
            </w:r>
          </w:p>
        </w:tc>
        <w:tc>
          <w:tcPr>
            <w:tcW w:w="3625" w:type="dxa"/>
            <w:tcBorders>
              <w:top w:val="single" w:sz="6" w:space="0" w:color="auto"/>
              <w:left w:val="single" w:sz="6" w:space="0" w:color="auto"/>
              <w:bottom w:val="single" w:sz="6" w:space="0" w:color="auto"/>
              <w:right w:val="single" w:sz="6" w:space="0" w:color="auto"/>
            </w:tcBorders>
            <w:hideMark/>
          </w:tcPr>
          <w:p w14:paraId="3D2B2EBB" w14:textId="77777777" w:rsidR="002151C3" w:rsidRPr="00E0088F" w:rsidRDefault="002151C3" w:rsidP="006C5A84">
            <w:pPr>
              <w:pStyle w:val="Tabletext"/>
              <w:rPr>
                <w:lang w:val="fr-CH"/>
              </w:rPr>
            </w:pPr>
            <w:r w:rsidRPr="00E0088F">
              <w:rPr>
                <w:lang w:val="fr-CH"/>
              </w:rPr>
              <w:t>(Rév.CMR-12). A toujours lieu d'être</w:t>
            </w:r>
            <w:r w:rsidRPr="00E0088F">
              <w:rPr>
                <w:lang w:val="fr-CH" w:eastAsia="ja-JP"/>
              </w:rPr>
              <w:t xml:space="preserve">. Le texte a été légèrement mis à jour à la CMR-12. </w:t>
            </w:r>
            <w:r w:rsidRPr="00E0088F">
              <w:rPr>
                <w:lang w:val="fr-CH"/>
              </w:rPr>
              <w:t>Une future CMR compétente devra examiner les études de partage en cours entre le SMS et le service de radioastronomie, mais actuellement, aucun progrès n'est accompli dans le cadre des études de l'UIT-R demandées dans cette Résolution.</w:t>
            </w:r>
          </w:p>
        </w:tc>
        <w:tc>
          <w:tcPr>
            <w:tcW w:w="2045" w:type="dxa"/>
            <w:tcBorders>
              <w:top w:val="single" w:sz="6" w:space="0" w:color="auto"/>
              <w:left w:val="single" w:sz="6" w:space="0" w:color="auto"/>
              <w:bottom w:val="single" w:sz="6" w:space="0" w:color="auto"/>
              <w:right w:val="single" w:sz="6" w:space="0" w:color="auto"/>
            </w:tcBorders>
            <w:hideMark/>
          </w:tcPr>
          <w:p w14:paraId="3CAC8E5B" w14:textId="77777777" w:rsidR="002151C3" w:rsidRPr="00E0088F" w:rsidRDefault="002151C3" w:rsidP="006C5A84">
            <w:pPr>
              <w:pStyle w:val="Tabletext"/>
              <w:jc w:val="center"/>
              <w:rPr>
                <w:lang w:val="fr-CH"/>
              </w:rPr>
            </w:pPr>
            <w:r w:rsidRPr="00E0088F">
              <w:rPr>
                <w:lang w:val="fr-CH"/>
              </w:rPr>
              <w:t>NOC</w:t>
            </w:r>
          </w:p>
        </w:tc>
      </w:tr>
      <w:tr w:rsidR="002151C3" w:rsidRPr="00E0088F" w14:paraId="2840B143"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B686028" w14:textId="77777777" w:rsidR="002151C3" w:rsidRPr="00E0088F" w:rsidRDefault="002151C3" w:rsidP="006C5A84">
            <w:pPr>
              <w:pStyle w:val="Tabletext"/>
              <w:jc w:val="center"/>
              <w:rPr>
                <w:lang w:val="fr-CH"/>
              </w:rPr>
            </w:pPr>
            <w:r w:rsidRPr="00E0088F">
              <w:rPr>
                <w:lang w:val="fr-CH"/>
              </w:rPr>
              <w:t>140</w:t>
            </w:r>
          </w:p>
        </w:tc>
        <w:tc>
          <w:tcPr>
            <w:tcW w:w="2551" w:type="dxa"/>
            <w:tcBorders>
              <w:top w:val="single" w:sz="6" w:space="0" w:color="auto"/>
              <w:left w:val="single" w:sz="6" w:space="0" w:color="auto"/>
              <w:bottom w:val="single" w:sz="6" w:space="0" w:color="auto"/>
              <w:right w:val="single" w:sz="6" w:space="0" w:color="auto"/>
            </w:tcBorders>
            <w:hideMark/>
          </w:tcPr>
          <w:p w14:paraId="4E3DD465" w14:textId="77777777" w:rsidR="002151C3" w:rsidRPr="00E0088F" w:rsidRDefault="002151C3" w:rsidP="006C5A84">
            <w:pPr>
              <w:pStyle w:val="Tabletext"/>
              <w:rPr>
                <w:lang w:val="fr-CH"/>
              </w:rPr>
            </w:pPr>
            <w:r w:rsidRPr="00E0088F">
              <w:rPr>
                <w:lang w:val="fr-CH"/>
              </w:rPr>
              <w:t>Limites de puissance surfacique équivalente (epfd) dans la bande 19,7</w:t>
            </w:r>
            <w:r w:rsidRPr="00E0088F">
              <w:rPr>
                <w:lang w:val="fr-CH"/>
              </w:rPr>
              <w:noBreakHyphen/>
              <w:t>20,2 GHz</w:t>
            </w:r>
          </w:p>
        </w:tc>
        <w:tc>
          <w:tcPr>
            <w:tcW w:w="3625" w:type="dxa"/>
            <w:tcBorders>
              <w:top w:val="single" w:sz="6" w:space="0" w:color="auto"/>
              <w:left w:val="single" w:sz="6" w:space="0" w:color="auto"/>
              <w:bottom w:val="single" w:sz="6" w:space="0" w:color="auto"/>
              <w:right w:val="single" w:sz="6" w:space="0" w:color="auto"/>
            </w:tcBorders>
            <w:hideMark/>
          </w:tcPr>
          <w:p w14:paraId="3509F5D1" w14:textId="77777777" w:rsidR="002151C3" w:rsidRPr="00E0088F" w:rsidRDefault="002151C3" w:rsidP="006C5A84">
            <w:pPr>
              <w:pStyle w:val="Tabletext"/>
              <w:rPr>
                <w:color w:val="000000"/>
                <w:position w:val="6"/>
                <w:sz w:val="18"/>
                <w:lang w:val="fr-CH"/>
              </w:rPr>
            </w:pPr>
            <w:r w:rsidRPr="00E0088F">
              <w:rPr>
                <w:lang w:val="fr-CH"/>
              </w:rPr>
              <w:t xml:space="preserve">(Rév.CMR-15). A toujours lieu d'être. </w:t>
            </w:r>
            <w:r w:rsidRPr="00E0088F">
              <w:rPr>
                <w:color w:val="000000"/>
                <w:lang w:val="fr-CH"/>
              </w:rPr>
              <w:t>Le texte a été revu à la CMR-15.</w:t>
            </w:r>
            <w:r w:rsidRPr="00E0088F">
              <w:rPr>
                <w:lang w:val="fr-CH"/>
              </w:rPr>
              <w:t xml:space="preserve"> Cette Résolution est citée dans le numéro </w:t>
            </w:r>
            <w:r w:rsidRPr="00E0088F">
              <w:rPr>
                <w:b/>
                <w:bCs/>
                <w:lang w:val="fr-CH"/>
              </w:rPr>
              <w:t>22.5CA</w:t>
            </w:r>
            <w:r w:rsidRPr="00E0088F">
              <w:rPr>
                <w:bCs/>
                <w:lang w:val="fr-CH"/>
              </w:rPr>
              <w:t xml:space="preserve">. Cette Résolution présente un intérêt pour la Résolution </w:t>
            </w:r>
            <w:r w:rsidRPr="00E0088F">
              <w:rPr>
                <w:b/>
                <w:bCs/>
                <w:lang w:val="fr-CH"/>
              </w:rPr>
              <w:t>85 (CMR-15)</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5A282592" w14:textId="77777777" w:rsidR="002151C3" w:rsidRPr="00E0088F" w:rsidRDefault="002151C3" w:rsidP="006C5A84">
            <w:pPr>
              <w:pStyle w:val="Tabletext"/>
              <w:jc w:val="center"/>
              <w:rPr>
                <w:lang w:val="fr-CH"/>
              </w:rPr>
            </w:pPr>
            <w:r w:rsidRPr="00E0088F">
              <w:rPr>
                <w:lang w:val="fr-CH"/>
              </w:rPr>
              <w:t>NOC/</w:t>
            </w:r>
          </w:p>
          <w:p w14:paraId="5136394A" w14:textId="77777777" w:rsidR="002151C3" w:rsidRPr="00E0088F" w:rsidRDefault="002151C3" w:rsidP="006C5A84">
            <w:pPr>
              <w:pStyle w:val="Tabletext"/>
              <w:jc w:val="center"/>
              <w:rPr>
                <w:lang w:val="fr-CH"/>
              </w:rPr>
            </w:pPr>
            <w:r w:rsidRPr="00E0088F">
              <w:rPr>
                <w:lang w:val="fr-CH"/>
              </w:rPr>
              <w:t>MOD</w:t>
            </w:r>
          </w:p>
        </w:tc>
      </w:tr>
      <w:tr w:rsidR="002151C3" w:rsidRPr="00E0088F" w14:paraId="452B7CDE"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4DD27F6" w14:textId="77777777" w:rsidR="002151C3" w:rsidRPr="00E0088F" w:rsidRDefault="002151C3" w:rsidP="006C5A84">
            <w:pPr>
              <w:pStyle w:val="Tabletext"/>
              <w:jc w:val="center"/>
              <w:rPr>
                <w:lang w:val="fr-CH"/>
              </w:rPr>
            </w:pPr>
            <w:r w:rsidRPr="00E0088F">
              <w:rPr>
                <w:lang w:val="fr-CH"/>
              </w:rPr>
              <w:lastRenderedPageBreak/>
              <w:t>143</w:t>
            </w:r>
          </w:p>
        </w:tc>
        <w:tc>
          <w:tcPr>
            <w:tcW w:w="2551" w:type="dxa"/>
            <w:tcBorders>
              <w:top w:val="single" w:sz="6" w:space="0" w:color="auto"/>
              <w:left w:val="single" w:sz="6" w:space="0" w:color="auto"/>
              <w:bottom w:val="single" w:sz="6" w:space="0" w:color="auto"/>
              <w:right w:val="single" w:sz="6" w:space="0" w:color="auto"/>
            </w:tcBorders>
            <w:hideMark/>
          </w:tcPr>
          <w:p w14:paraId="4352F34A" w14:textId="77777777" w:rsidR="002151C3" w:rsidRPr="00E0088F" w:rsidRDefault="002151C3" w:rsidP="006C5A84">
            <w:pPr>
              <w:pStyle w:val="Tabletext"/>
              <w:rPr>
                <w:lang w:val="fr-CH"/>
              </w:rPr>
            </w:pPr>
            <w:r w:rsidRPr="00E0088F">
              <w:rPr>
                <w:lang w:val="fr-CH"/>
              </w:rPr>
              <w:t>Lignes directrices pour la mise en œuvre d'applications haute densité du SFS dans les bandes de fréquences identifiées</w:t>
            </w:r>
          </w:p>
        </w:tc>
        <w:tc>
          <w:tcPr>
            <w:tcW w:w="3625" w:type="dxa"/>
            <w:tcBorders>
              <w:top w:val="single" w:sz="6" w:space="0" w:color="auto"/>
              <w:left w:val="single" w:sz="6" w:space="0" w:color="auto"/>
              <w:bottom w:val="single" w:sz="6" w:space="0" w:color="auto"/>
              <w:right w:val="single" w:sz="6" w:space="0" w:color="auto"/>
            </w:tcBorders>
            <w:hideMark/>
          </w:tcPr>
          <w:p w14:paraId="604C3F70" w14:textId="77777777" w:rsidR="002151C3" w:rsidRPr="00E0088F" w:rsidRDefault="002151C3" w:rsidP="006C5A84">
            <w:pPr>
              <w:pStyle w:val="Tabletext"/>
              <w:rPr>
                <w:color w:val="000000"/>
                <w:position w:val="6"/>
                <w:sz w:val="18"/>
                <w:lang w:val="fr-CH"/>
              </w:rPr>
            </w:pPr>
            <w:r w:rsidRPr="00E0088F">
              <w:rPr>
                <w:lang w:val="fr-CH"/>
              </w:rPr>
              <w:t>(Rév.CMR-07). A toujours lieu d'être. Cette Résolution est citée dans le numéro </w:t>
            </w:r>
            <w:r w:rsidRPr="00E0088F">
              <w:rPr>
                <w:b/>
                <w:bCs/>
                <w:lang w:val="fr-CH"/>
              </w:rPr>
              <w:t>5.516B</w:t>
            </w:r>
            <w:r w:rsidRPr="00E0088F">
              <w:rPr>
                <w:lang w:val="fr-CH"/>
              </w:rPr>
              <w:t xml:space="preserve">. </w:t>
            </w:r>
          </w:p>
        </w:tc>
        <w:tc>
          <w:tcPr>
            <w:tcW w:w="2045" w:type="dxa"/>
            <w:tcBorders>
              <w:top w:val="single" w:sz="6" w:space="0" w:color="auto"/>
              <w:left w:val="single" w:sz="6" w:space="0" w:color="auto"/>
              <w:bottom w:val="single" w:sz="6" w:space="0" w:color="auto"/>
              <w:right w:val="single" w:sz="6" w:space="0" w:color="auto"/>
            </w:tcBorders>
            <w:hideMark/>
          </w:tcPr>
          <w:p w14:paraId="682A988E" w14:textId="77777777" w:rsidR="002151C3" w:rsidRPr="00E0088F" w:rsidRDefault="002151C3" w:rsidP="006C5A84">
            <w:pPr>
              <w:pStyle w:val="Tabletext"/>
              <w:jc w:val="center"/>
              <w:rPr>
                <w:lang w:val="fr-CH"/>
              </w:rPr>
            </w:pPr>
            <w:r w:rsidRPr="00E0088F">
              <w:rPr>
                <w:lang w:val="fr-CH"/>
              </w:rPr>
              <w:t>NOC</w:t>
            </w:r>
          </w:p>
        </w:tc>
      </w:tr>
      <w:tr w:rsidR="002151C3" w:rsidRPr="00E0088F" w14:paraId="763169A9"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0621F1A" w14:textId="77777777" w:rsidR="002151C3" w:rsidRPr="00E0088F" w:rsidRDefault="002151C3" w:rsidP="006C5A84">
            <w:pPr>
              <w:pStyle w:val="Tabletext"/>
              <w:jc w:val="center"/>
              <w:rPr>
                <w:lang w:val="fr-CH"/>
              </w:rPr>
            </w:pPr>
            <w:r w:rsidRPr="00E0088F">
              <w:rPr>
                <w:lang w:val="fr-CH"/>
              </w:rPr>
              <w:t>144</w:t>
            </w:r>
          </w:p>
        </w:tc>
        <w:tc>
          <w:tcPr>
            <w:tcW w:w="2551" w:type="dxa"/>
            <w:tcBorders>
              <w:top w:val="single" w:sz="6" w:space="0" w:color="auto"/>
              <w:left w:val="single" w:sz="6" w:space="0" w:color="auto"/>
              <w:bottom w:val="single" w:sz="6" w:space="0" w:color="auto"/>
              <w:right w:val="single" w:sz="6" w:space="0" w:color="auto"/>
            </w:tcBorders>
            <w:hideMark/>
          </w:tcPr>
          <w:p w14:paraId="3F4FE2BD" w14:textId="62E4D121" w:rsidR="002151C3" w:rsidRPr="00E0088F" w:rsidRDefault="002151C3" w:rsidP="006C5A84">
            <w:pPr>
              <w:pStyle w:val="Tabletext"/>
              <w:rPr>
                <w:lang w:val="fr-CH"/>
              </w:rPr>
            </w:pPr>
            <w:r w:rsidRPr="00E0088F">
              <w:rPr>
                <w:lang w:val="fr-CH"/>
              </w:rPr>
              <w:t>Besoins spéciaux des pays dont le territoire est petit ou étroit et qui exploitent des stations terriennes du service fixe par satellite dans la bande de fréquences 13,75</w:t>
            </w:r>
            <w:r w:rsidR="00627586" w:rsidRPr="00E0088F">
              <w:rPr>
                <w:lang w:val="fr-CH"/>
              </w:rPr>
              <w:noBreakHyphen/>
            </w:r>
            <w:r w:rsidRPr="00E0088F">
              <w:rPr>
                <w:lang w:val="fr-CH"/>
              </w:rPr>
              <w:t>14 GHz</w:t>
            </w:r>
          </w:p>
        </w:tc>
        <w:tc>
          <w:tcPr>
            <w:tcW w:w="3625" w:type="dxa"/>
            <w:tcBorders>
              <w:top w:val="single" w:sz="6" w:space="0" w:color="auto"/>
              <w:left w:val="single" w:sz="6" w:space="0" w:color="auto"/>
              <w:bottom w:val="single" w:sz="6" w:space="0" w:color="auto"/>
              <w:right w:val="single" w:sz="6" w:space="0" w:color="auto"/>
            </w:tcBorders>
            <w:hideMark/>
          </w:tcPr>
          <w:p w14:paraId="76BA52A2" w14:textId="77777777" w:rsidR="002151C3" w:rsidRPr="00E0088F" w:rsidRDefault="002151C3" w:rsidP="006C5A84">
            <w:pPr>
              <w:pStyle w:val="Tabletext"/>
              <w:rPr>
                <w:color w:val="000000"/>
                <w:position w:val="6"/>
                <w:sz w:val="18"/>
                <w:lang w:val="fr-CH"/>
              </w:rPr>
            </w:pPr>
            <w:r w:rsidRPr="00E0088F">
              <w:rPr>
                <w:lang w:val="fr-CH"/>
              </w:rPr>
              <w:t>(Rév.CMR-07). A toujours lieu d'être. Le texte a été revu à la CMR-15.</w:t>
            </w:r>
          </w:p>
        </w:tc>
        <w:tc>
          <w:tcPr>
            <w:tcW w:w="2045" w:type="dxa"/>
            <w:tcBorders>
              <w:top w:val="single" w:sz="6" w:space="0" w:color="auto"/>
              <w:left w:val="single" w:sz="6" w:space="0" w:color="auto"/>
              <w:bottom w:val="single" w:sz="6" w:space="0" w:color="auto"/>
              <w:right w:val="single" w:sz="6" w:space="0" w:color="auto"/>
            </w:tcBorders>
            <w:hideMark/>
          </w:tcPr>
          <w:p w14:paraId="65011938" w14:textId="77777777" w:rsidR="002151C3" w:rsidRPr="00E0088F" w:rsidRDefault="002151C3" w:rsidP="006C5A84">
            <w:pPr>
              <w:pStyle w:val="Tabletext"/>
              <w:jc w:val="center"/>
              <w:rPr>
                <w:lang w:val="fr-CH"/>
              </w:rPr>
            </w:pPr>
            <w:r w:rsidRPr="00E0088F">
              <w:rPr>
                <w:lang w:val="fr-CH"/>
              </w:rPr>
              <w:t>NOC</w:t>
            </w:r>
          </w:p>
        </w:tc>
      </w:tr>
      <w:tr w:rsidR="002151C3" w:rsidRPr="00E0088F" w14:paraId="597D83DA"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60AF5CF2" w14:textId="77777777" w:rsidR="002151C3" w:rsidRPr="00E0088F" w:rsidRDefault="002151C3" w:rsidP="006C5A84">
            <w:pPr>
              <w:pStyle w:val="Tabletext"/>
              <w:jc w:val="center"/>
              <w:rPr>
                <w:lang w:val="fr-CH"/>
              </w:rPr>
            </w:pPr>
            <w:r w:rsidRPr="00E0088F">
              <w:rPr>
                <w:lang w:val="fr-CH"/>
              </w:rPr>
              <w:t>145</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28DA720" w14:textId="77777777" w:rsidR="002151C3" w:rsidRPr="00E0088F" w:rsidRDefault="002151C3" w:rsidP="006C5A84">
            <w:pPr>
              <w:pStyle w:val="Tabletext"/>
              <w:rPr>
                <w:lang w:val="fr-CH"/>
              </w:rPr>
            </w:pPr>
            <w:r w:rsidRPr="00E0088F">
              <w:rPr>
                <w:lang w:val="fr-CH"/>
              </w:rPr>
              <w:t>Utilisation des bandes 27,9</w:t>
            </w:r>
            <w:r w:rsidRPr="00E0088F">
              <w:rPr>
                <w:lang w:val="fr-CH"/>
              </w:rPr>
              <w:noBreakHyphen/>
              <w:t>28,2 GHz et 31</w:t>
            </w:r>
            <w:r w:rsidRPr="00E0088F">
              <w:rPr>
                <w:lang w:val="fr-CH"/>
              </w:rPr>
              <w:noBreakHyphen/>
              <w:t xml:space="preserve">31,3 GHz par des stations placées sur des plates-formes à haute altitude dans le service fixe </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7602DF" w14:textId="1558EE5F" w:rsidR="007C5DE2" w:rsidRPr="00E0088F" w:rsidRDefault="002151C3" w:rsidP="006C5A84">
            <w:pPr>
              <w:pStyle w:val="Tabletext"/>
              <w:rPr>
                <w:lang w:val="fr-CH"/>
              </w:rPr>
            </w:pPr>
            <w:r w:rsidRPr="00E0088F">
              <w:rPr>
                <w:lang w:val="fr-CH"/>
              </w:rPr>
              <w:t xml:space="preserve">(Rév.CMR-12). A toujours lieu d'être. Cette Résolution est citée dans les numéros </w:t>
            </w:r>
            <w:r w:rsidRPr="00E0088F">
              <w:rPr>
                <w:b/>
                <w:bCs/>
                <w:lang w:val="fr-CH"/>
              </w:rPr>
              <w:t xml:space="preserve">5.537A </w:t>
            </w:r>
            <w:r w:rsidRPr="00E0088F">
              <w:rPr>
                <w:lang w:val="fr-CH"/>
              </w:rPr>
              <w:t xml:space="preserve">et </w:t>
            </w:r>
            <w:r w:rsidRPr="00E0088F">
              <w:rPr>
                <w:b/>
                <w:bCs/>
                <w:lang w:val="fr-CH"/>
              </w:rPr>
              <w:t xml:space="preserve">5.543A </w:t>
            </w:r>
            <w:r w:rsidRPr="00E0088F">
              <w:rPr>
                <w:lang w:val="fr-CH"/>
              </w:rPr>
              <w:t xml:space="preserve">ainsi que dans l'Appendice </w:t>
            </w:r>
            <w:r w:rsidRPr="00E0088F">
              <w:rPr>
                <w:b/>
                <w:bCs/>
                <w:lang w:val="fr-CH"/>
              </w:rPr>
              <w:t>4</w:t>
            </w:r>
            <w:r w:rsidRPr="00E0088F">
              <w:rPr>
                <w:lang w:val="fr-CH"/>
              </w:rPr>
              <w:t>.</w:t>
            </w:r>
          </w:p>
          <w:p w14:paraId="4F515017" w14:textId="30D4C449" w:rsidR="002151C3" w:rsidRPr="00E0088F" w:rsidRDefault="006D41D0" w:rsidP="006C5A84">
            <w:pPr>
              <w:pStyle w:val="Tabletext"/>
              <w:rPr>
                <w:color w:val="000000"/>
                <w:position w:val="6"/>
                <w:sz w:val="18"/>
                <w:lang w:val="fr-CH" w:eastAsia="ja-JP"/>
              </w:rPr>
            </w:pPr>
            <w:r w:rsidRPr="00E0088F">
              <w:rPr>
                <w:lang w:val="fr-CH"/>
              </w:rPr>
              <w:t>À l'issue de l'examen du</w:t>
            </w:r>
            <w:r w:rsidR="002151C3" w:rsidRPr="00E0088F">
              <w:rPr>
                <w:lang w:val="fr-CH"/>
              </w:rPr>
              <w:t xml:space="preserve"> </w:t>
            </w:r>
            <w:r w:rsidR="002151C3" w:rsidRPr="00E0088F">
              <w:rPr>
                <w:b/>
                <w:bCs/>
                <w:lang w:val="fr-CH"/>
              </w:rPr>
              <w:t>point 1.14 de l'ordre du jour</w:t>
            </w:r>
            <w:r w:rsidR="002151C3" w:rsidRPr="00E0088F">
              <w:rPr>
                <w:lang w:val="fr-CH"/>
              </w:rPr>
              <w:t xml:space="preserve"> de la CMR</w:t>
            </w:r>
            <w:r w:rsidR="002151C3" w:rsidRPr="00E0088F">
              <w:rPr>
                <w:lang w:val="fr-CH"/>
              </w:rPr>
              <w:noBreakHyphen/>
              <w:t>19, aucune proposition concernant cette Résolution</w:t>
            </w:r>
            <w:r w:rsidR="00253D4F" w:rsidRPr="00E0088F">
              <w:rPr>
                <w:lang w:val="fr-CH"/>
              </w:rPr>
              <w:t xml:space="preserve"> n</w:t>
            </w:r>
            <w:r w:rsidR="006C5A84" w:rsidRPr="00E0088F">
              <w:rPr>
                <w:lang w:val="fr-CH"/>
              </w:rPr>
              <w:t>'</w:t>
            </w:r>
            <w:r w:rsidR="00253D4F" w:rsidRPr="00E0088F">
              <w:rPr>
                <w:lang w:val="fr-CH"/>
              </w:rPr>
              <w:t>est faite</w:t>
            </w:r>
            <w:r w:rsidR="002151C3"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7A578C" w14:textId="77777777" w:rsidR="002151C3" w:rsidRPr="00E0088F" w:rsidRDefault="002151C3" w:rsidP="006C5A84">
            <w:pPr>
              <w:pStyle w:val="Tabletext"/>
              <w:jc w:val="center"/>
              <w:rPr>
                <w:lang w:val="fr-CH" w:eastAsia="ja-JP"/>
              </w:rPr>
            </w:pPr>
            <w:r w:rsidRPr="00E0088F">
              <w:rPr>
                <w:lang w:val="fr-CH"/>
              </w:rPr>
              <w:t>---</w:t>
            </w:r>
          </w:p>
        </w:tc>
      </w:tr>
      <w:tr w:rsidR="002151C3" w:rsidRPr="00E0088F" w14:paraId="46A21F8E"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F3834E9" w14:textId="77777777" w:rsidR="002151C3" w:rsidRPr="00E0088F" w:rsidRDefault="002151C3" w:rsidP="006C5A84">
            <w:pPr>
              <w:pStyle w:val="Tabletext"/>
              <w:jc w:val="center"/>
              <w:rPr>
                <w:lang w:val="fr-CH" w:eastAsia="ja-JP"/>
              </w:rPr>
            </w:pPr>
            <w:r w:rsidRPr="00E0088F">
              <w:rPr>
                <w:lang w:val="fr-CH" w:eastAsia="ja-JP"/>
              </w:rPr>
              <w:t>147</w:t>
            </w:r>
          </w:p>
        </w:tc>
        <w:tc>
          <w:tcPr>
            <w:tcW w:w="2551" w:type="dxa"/>
            <w:tcBorders>
              <w:top w:val="single" w:sz="6" w:space="0" w:color="auto"/>
              <w:left w:val="single" w:sz="6" w:space="0" w:color="auto"/>
              <w:bottom w:val="single" w:sz="6" w:space="0" w:color="auto"/>
              <w:right w:val="single" w:sz="6" w:space="0" w:color="auto"/>
            </w:tcBorders>
            <w:hideMark/>
          </w:tcPr>
          <w:p w14:paraId="6A52AC01" w14:textId="77777777" w:rsidR="002151C3" w:rsidRPr="00E0088F" w:rsidRDefault="002151C3" w:rsidP="006C5A84">
            <w:pPr>
              <w:pStyle w:val="Tabletext"/>
              <w:rPr>
                <w:lang w:val="fr-CH"/>
              </w:rPr>
            </w:pPr>
            <w:r w:rsidRPr="00E0088F">
              <w:rPr>
                <w:lang w:val="fr-CH"/>
              </w:rPr>
              <w:t>Limites de puissance surfacique pour certains systèmes du service fixe par satellite utilisant des orbites fortement inclinées dans la bande 17,7-19,7 GHz</w:t>
            </w:r>
          </w:p>
        </w:tc>
        <w:tc>
          <w:tcPr>
            <w:tcW w:w="3625" w:type="dxa"/>
            <w:tcBorders>
              <w:top w:val="single" w:sz="6" w:space="0" w:color="auto"/>
              <w:left w:val="single" w:sz="6" w:space="0" w:color="auto"/>
              <w:bottom w:val="single" w:sz="6" w:space="0" w:color="auto"/>
              <w:right w:val="single" w:sz="6" w:space="0" w:color="auto"/>
            </w:tcBorders>
            <w:hideMark/>
          </w:tcPr>
          <w:p w14:paraId="009D88A5" w14:textId="77777777" w:rsidR="002151C3" w:rsidRPr="00E0088F" w:rsidRDefault="002151C3" w:rsidP="006C5A84">
            <w:pPr>
              <w:pStyle w:val="Tabletext"/>
              <w:rPr>
                <w:lang w:val="fr-CH" w:eastAsia="ja-JP"/>
              </w:rPr>
            </w:pPr>
            <w:r w:rsidRPr="00E0088F">
              <w:rPr>
                <w:lang w:val="fr-CH"/>
              </w:rPr>
              <w:t>(CMR-07). A toujours lieu d'être</w:t>
            </w:r>
            <w:r w:rsidRPr="00E0088F">
              <w:rPr>
                <w:lang w:val="fr-CH" w:eastAsia="ja-JP"/>
              </w:rPr>
              <w:t xml:space="preserve">. Cette Résolution est citée dans les numéros </w:t>
            </w:r>
            <w:r w:rsidRPr="00E0088F">
              <w:rPr>
                <w:b/>
                <w:bCs/>
                <w:lang w:val="fr-CH" w:eastAsia="ja-JP"/>
              </w:rPr>
              <w:t>21.16. 6B</w:t>
            </w:r>
            <w:r w:rsidRPr="00E0088F">
              <w:rPr>
                <w:lang w:val="fr-CH" w:eastAsia="ja-JP"/>
              </w:rPr>
              <w:t xml:space="preserve"> et </w:t>
            </w:r>
            <w:r w:rsidRPr="00E0088F">
              <w:rPr>
                <w:b/>
                <w:bCs/>
                <w:lang w:val="fr-CH" w:eastAsia="ja-JP"/>
              </w:rPr>
              <w:t>6C</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368FD318" w14:textId="77777777" w:rsidR="002151C3" w:rsidRPr="00E0088F" w:rsidRDefault="002151C3" w:rsidP="006C5A84">
            <w:pPr>
              <w:pStyle w:val="Tabletext"/>
              <w:jc w:val="center"/>
              <w:rPr>
                <w:lang w:val="fr-CH" w:eastAsia="ja-JP"/>
              </w:rPr>
            </w:pPr>
            <w:r w:rsidRPr="00E0088F">
              <w:rPr>
                <w:lang w:val="fr-CH" w:eastAsia="ja-JP"/>
              </w:rPr>
              <w:t>NOC</w:t>
            </w:r>
          </w:p>
        </w:tc>
      </w:tr>
      <w:tr w:rsidR="002151C3" w:rsidRPr="00E0088F" w14:paraId="107A425E"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4A155BD" w14:textId="77777777" w:rsidR="002151C3" w:rsidRPr="00E0088F" w:rsidRDefault="002151C3" w:rsidP="006C5A84">
            <w:pPr>
              <w:pStyle w:val="Tabletext"/>
              <w:jc w:val="center"/>
              <w:rPr>
                <w:lang w:val="fr-CH" w:eastAsia="ja-JP"/>
              </w:rPr>
            </w:pPr>
            <w:r w:rsidRPr="00E0088F">
              <w:rPr>
                <w:lang w:val="fr-CH" w:eastAsia="ja-JP"/>
              </w:rPr>
              <w:t>148</w:t>
            </w:r>
          </w:p>
        </w:tc>
        <w:tc>
          <w:tcPr>
            <w:tcW w:w="2551" w:type="dxa"/>
            <w:tcBorders>
              <w:top w:val="single" w:sz="6" w:space="0" w:color="auto"/>
              <w:left w:val="single" w:sz="6" w:space="0" w:color="auto"/>
              <w:bottom w:val="single" w:sz="6" w:space="0" w:color="auto"/>
              <w:right w:val="single" w:sz="6" w:space="0" w:color="auto"/>
            </w:tcBorders>
            <w:hideMark/>
          </w:tcPr>
          <w:p w14:paraId="4C63149E" w14:textId="77777777" w:rsidR="002151C3" w:rsidRPr="00E0088F" w:rsidRDefault="002151C3" w:rsidP="006C5A84">
            <w:pPr>
              <w:pStyle w:val="Tabletext"/>
              <w:rPr>
                <w:lang w:val="fr-CH"/>
              </w:rPr>
            </w:pPr>
            <w:r w:rsidRPr="00E0088F">
              <w:rPr>
                <w:lang w:val="fr-CH"/>
              </w:rPr>
              <w:t xml:space="preserve">Systèmes à satellites auparavant énumérés dans la Partie B du Plan de l'Appendice </w:t>
            </w:r>
            <w:r w:rsidRPr="00E0088F">
              <w:rPr>
                <w:b/>
                <w:bCs/>
                <w:lang w:val="fr-CH"/>
              </w:rPr>
              <w:t>30B</w:t>
            </w:r>
            <w:r w:rsidRPr="00E0088F">
              <w:rPr>
                <w:lang w:val="fr-CH"/>
              </w:rPr>
              <w:t xml:space="preserve"> (CAMR Orb</w:t>
            </w:r>
            <w:r w:rsidRPr="00E0088F">
              <w:rPr>
                <w:lang w:val="fr-CH"/>
              </w:rPr>
              <w:noBreakHyphen/>
              <w:t>88)</w:t>
            </w:r>
          </w:p>
        </w:tc>
        <w:tc>
          <w:tcPr>
            <w:tcW w:w="3625" w:type="dxa"/>
            <w:tcBorders>
              <w:top w:val="single" w:sz="6" w:space="0" w:color="auto"/>
              <w:left w:val="single" w:sz="6" w:space="0" w:color="auto"/>
              <w:bottom w:val="single" w:sz="6" w:space="0" w:color="auto"/>
              <w:right w:val="single" w:sz="6" w:space="0" w:color="auto"/>
            </w:tcBorders>
            <w:hideMark/>
          </w:tcPr>
          <w:p w14:paraId="101ACCE4" w14:textId="77777777" w:rsidR="002151C3" w:rsidRPr="00E0088F" w:rsidRDefault="002151C3" w:rsidP="006C5A84">
            <w:pPr>
              <w:pStyle w:val="Tabletext"/>
              <w:rPr>
                <w:lang w:val="fr-CH" w:eastAsia="ja-JP"/>
              </w:rPr>
            </w:pPr>
            <w:r w:rsidRPr="00E0088F">
              <w:rPr>
                <w:lang w:val="fr-CH"/>
              </w:rPr>
              <w:t xml:space="preserve">(Rév.CMR-15). A toujours lieu d'être, en fonction des données du BR pour la Partie B. Cette Résolution est citée dans l'Appendice </w:t>
            </w:r>
            <w:r w:rsidRPr="00E0088F">
              <w:rPr>
                <w:b/>
                <w:bCs/>
                <w:lang w:val="fr-CH"/>
              </w:rPr>
              <w:t>30B</w:t>
            </w:r>
            <w:r w:rsidRPr="00E0088F">
              <w:rPr>
                <w:lang w:val="fr-CH"/>
              </w:rPr>
              <w:t>.</w:t>
            </w:r>
            <w:r w:rsidRPr="00E0088F">
              <w:rPr>
                <w:lang w:val="fr-CH" w:eastAsia="ja-JP"/>
              </w:rPr>
              <w:t xml:space="preserve"> </w:t>
            </w:r>
          </w:p>
        </w:tc>
        <w:tc>
          <w:tcPr>
            <w:tcW w:w="2045" w:type="dxa"/>
            <w:tcBorders>
              <w:top w:val="single" w:sz="6" w:space="0" w:color="auto"/>
              <w:left w:val="single" w:sz="6" w:space="0" w:color="auto"/>
              <w:bottom w:val="single" w:sz="6" w:space="0" w:color="auto"/>
              <w:right w:val="single" w:sz="6" w:space="0" w:color="auto"/>
            </w:tcBorders>
            <w:hideMark/>
          </w:tcPr>
          <w:p w14:paraId="6F32F1FC" w14:textId="77777777" w:rsidR="002151C3" w:rsidRPr="00E0088F" w:rsidRDefault="002151C3" w:rsidP="006C5A84">
            <w:pPr>
              <w:pStyle w:val="Tabletext"/>
              <w:jc w:val="center"/>
              <w:rPr>
                <w:lang w:val="fr-CH" w:eastAsia="ja-JP"/>
              </w:rPr>
            </w:pPr>
            <w:r w:rsidRPr="00E0088F">
              <w:rPr>
                <w:lang w:val="fr-CH" w:eastAsia="ja-JP"/>
              </w:rPr>
              <w:t>NOC</w:t>
            </w:r>
          </w:p>
        </w:tc>
      </w:tr>
      <w:tr w:rsidR="002151C3" w:rsidRPr="00E0088F" w14:paraId="4E54601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D50C054" w14:textId="77777777" w:rsidR="002151C3" w:rsidRPr="00E0088F" w:rsidRDefault="002151C3" w:rsidP="006C5A84">
            <w:pPr>
              <w:pStyle w:val="Tabletext"/>
              <w:jc w:val="center"/>
              <w:rPr>
                <w:lang w:val="fr-CH" w:eastAsia="ja-JP"/>
              </w:rPr>
            </w:pPr>
            <w:r w:rsidRPr="00E0088F">
              <w:rPr>
                <w:lang w:val="fr-CH" w:eastAsia="ja-JP"/>
              </w:rPr>
              <w:t>149</w:t>
            </w:r>
          </w:p>
        </w:tc>
        <w:tc>
          <w:tcPr>
            <w:tcW w:w="2551" w:type="dxa"/>
            <w:tcBorders>
              <w:top w:val="single" w:sz="6" w:space="0" w:color="auto"/>
              <w:left w:val="single" w:sz="6" w:space="0" w:color="auto"/>
              <w:bottom w:val="single" w:sz="6" w:space="0" w:color="auto"/>
              <w:right w:val="single" w:sz="6" w:space="0" w:color="auto"/>
            </w:tcBorders>
            <w:hideMark/>
          </w:tcPr>
          <w:p w14:paraId="5DEF287C" w14:textId="77777777" w:rsidR="002151C3" w:rsidRPr="00E0088F" w:rsidRDefault="002151C3" w:rsidP="006C5A84">
            <w:pPr>
              <w:pStyle w:val="Tabletext"/>
              <w:rPr>
                <w:lang w:val="fr-CH"/>
              </w:rPr>
            </w:pPr>
            <w:r w:rsidRPr="00E0088F">
              <w:rPr>
                <w:lang w:val="fr-CH"/>
              </w:rPr>
              <w:t xml:space="preserve">Soumissions présentées par de nouveaux États Membres de l'Union concernant l'Appendice </w:t>
            </w:r>
            <w:r w:rsidRPr="00E0088F">
              <w:rPr>
                <w:b/>
                <w:bCs/>
                <w:lang w:val="fr-CH"/>
              </w:rPr>
              <w:t>30B</w:t>
            </w:r>
            <w:r w:rsidRPr="00E0088F">
              <w:rPr>
                <w:lang w:val="fr-CH"/>
              </w:rPr>
              <w:t xml:space="preserve"> du Règlement des radiocommunications </w:t>
            </w:r>
          </w:p>
        </w:tc>
        <w:tc>
          <w:tcPr>
            <w:tcW w:w="3625" w:type="dxa"/>
            <w:tcBorders>
              <w:top w:val="single" w:sz="6" w:space="0" w:color="auto"/>
              <w:left w:val="single" w:sz="6" w:space="0" w:color="auto"/>
              <w:bottom w:val="single" w:sz="6" w:space="0" w:color="auto"/>
              <w:right w:val="single" w:sz="6" w:space="0" w:color="auto"/>
            </w:tcBorders>
            <w:hideMark/>
          </w:tcPr>
          <w:p w14:paraId="3AF1124F" w14:textId="77777777" w:rsidR="002151C3" w:rsidRPr="00E0088F" w:rsidRDefault="002151C3" w:rsidP="006C5A84">
            <w:pPr>
              <w:pStyle w:val="Tabletext"/>
              <w:rPr>
                <w:lang w:val="fr-CH" w:eastAsia="ja-JP"/>
              </w:rPr>
            </w:pPr>
            <w:r w:rsidRPr="00E0088F">
              <w:rPr>
                <w:lang w:val="fr-CH"/>
              </w:rPr>
              <w:t>(Rév.CMR-12). A toujours lieu d'être</w:t>
            </w:r>
            <w:r w:rsidRPr="00E0088F">
              <w:rPr>
                <w:lang w:val="fr-CH" w:eastAsia="ja-JP"/>
              </w:rPr>
              <w:t>. Ce texte a été mis à jour récemment à la CMR-12.</w:t>
            </w:r>
          </w:p>
        </w:tc>
        <w:tc>
          <w:tcPr>
            <w:tcW w:w="2045" w:type="dxa"/>
            <w:tcBorders>
              <w:top w:val="single" w:sz="6" w:space="0" w:color="auto"/>
              <w:left w:val="single" w:sz="6" w:space="0" w:color="auto"/>
              <w:bottom w:val="single" w:sz="6" w:space="0" w:color="auto"/>
              <w:right w:val="single" w:sz="6" w:space="0" w:color="auto"/>
            </w:tcBorders>
            <w:hideMark/>
          </w:tcPr>
          <w:p w14:paraId="4D5844CE" w14:textId="77777777" w:rsidR="002151C3" w:rsidRPr="00E0088F" w:rsidRDefault="002151C3" w:rsidP="006C5A84">
            <w:pPr>
              <w:pStyle w:val="Tabletext"/>
              <w:jc w:val="center"/>
              <w:rPr>
                <w:lang w:val="fr-CH" w:eastAsia="ja-JP"/>
              </w:rPr>
            </w:pPr>
            <w:r w:rsidRPr="00E0088F">
              <w:rPr>
                <w:lang w:val="fr-CH" w:eastAsia="ja-JP"/>
              </w:rPr>
              <w:t>NOC</w:t>
            </w:r>
          </w:p>
        </w:tc>
      </w:tr>
      <w:tr w:rsidR="002151C3" w:rsidRPr="00E0088F" w14:paraId="28CDB4E2"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15F71040" w14:textId="77777777" w:rsidR="002151C3" w:rsidRPr="00E0088F" w:rsidRDefault="002151C3" w:rsidP="006C5A84">
            <w:pPr>
              <w:pStyle w:val="Tabletext"/>
              <w:jc w:val="center"/>
              <w:rPr>
                <w:lang w:val="fr-CH"/>
              </w:rPr>
            </w:pPr>
            <w:r w:rsidRPr="00E0088F">
              <w:rPr>
                <w:lang w:val="fr-CH"/>
              </w:rPr>
              <w:t>150</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2371C13" w14:textId="77777777" w:rsidR="002151C3" w:rsidRPr="00E0088F" w:rsidRDefault="002151C3" w:rsidP="006C5A84">
            <w:pPr>
              <w:pStyle w:val="Tabletext"/>
              <w:rPr>
                <w:lang w:val="fr-CH"/>
              </w:rPr>
            </w:pPr>
            <w:r w:rsidRPr="00E0088F">
              <w:rPr>
                <w:lang w:val="fr-CH"/>
              </w:rPr>
              <w:t>Utilisation des bandes 6 440</w:t>
            </w:r>
            <w:r w:rsidRPr="00E0088F">
              <w:rPr>
                <w:lang w:val="fr-CH"/>
              </w:rPr>
              <w:noBreakHyphen/>
              <w:t>6 520 MHz et 6 560</w:t>
            </w:r>
            <w:r w:rsidRPr="00E0088F">
              <w:rPr>
                <w:lang w:val="fr-CH"/>
              </w:rPr>
              <w:noBreakHyphen/>
              <w:t xml:space="preserve">6 640 MHz par des liaisons passerelles de stations placées sur des plates-formes à haute altitude dans le service fixe </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73CE0EA" w14:textId="3376920A" w:rsidR="002151C3" w:rsidRPr="00E0088F" w:rsidRDefault="002151C3" w:rsidP="006C5A84">
            <w:pPr>
              <w:pStyle w:val="Tabletext"/>
              <w:rPr>
                <w:lang w:val="fr-CH"/>
              </w:rPr>
            </w:pPr>
            <w:r w:rsidRPr="00E0088F">
              <w:rPr>
                <w:lang w:val="fr-CH"/>
              </w:rPr>
              <w:t xml:space="preserve">(CMR-12). A toujours lieu d'être. </w:t>
            </w:r>
            <w:r w:rsidRPr="00E0088F">
              <w:rPr>
                <w:lang w:val="fr-CH" w:eastAsia="ja-JP"/>
              </w:rPr>
              <w:t xml:space="preserve">Cette Résolution est citée dans le numéro </w:t>
            </w:r>
            <w:r w:rsidRPr="00E0088F">
              <w:rPr>
                <w:b/>
                <w:bCs/>
                <w:lang w:val="fr-CH" w:eastAsia="ja-JP"/>
              </w:rPr>
              <w:t>5.547</w:t>
            </w:r>
            <w:r w:rsidRPr="00E0088F">
              <w:rPr>
                <w:lang w:val="fr-CH" w:eastAsia="ja-JP"/>
              </w:rPr>
              <w:t xml:space="preserve">. À l'issue de l'examen du </w:t>
            </w:r>
            <w:r w:rsidRPr="00E0088F">
              <w:rPr>
                <w:b/>
                <w:bCs/>
                <w:lang w:val="fr-CH"/>
              </w:rPr>
              <w:t>point 1.14 de l'ordre du jour</w:t>
            </w:r>
            <w:r w:rsidRPr="00E0088F">
              <w:rPr>
                <w:lang w:val="fr-CH"/>
              </w:rPr>
              <w:t xml:space="preserve"> de la CMR</w:t>
            </w:r>
            <w:r w:rsidRPr="00E0088F">
              <w:rPr>
                <w:lang w:val="fr-CH"/>
              </w:rPr>
              <w:noBreakHyphen/>
              <w:t>19, cette Résolution ne devrait pas être modifiée</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58D4CF2" w14:textId="77777777" w:rsidR="002151C3" w:rsidRPr="00E0088F" w:rsidRDefault="002151C3" w:rsidP="006C5A84">
            <w:pPr>
              <w:pStyle w:val="Tabletext"/>
              <w:jc w:val="center"/>
              <w:rPr>
                <w:lang w:val="fr-CH"/>
              </w:rPr>
            </w:pPr>
            <w:r w:rsidRPr="00E0088F">
              <w:rPr>
                <w:lang w:val="fr-CH"/>
              </w:rPr>
              <w:t>NOC</w:t>
            </w:r>
          </w:p>
        </w:tc>
      </w:tr>
      <w:tr w:rsidR="002151C3" w:rsidRPr="00E0088F" w14:paraId="5BD7320D"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6A11B30" w14:textId="77777777" w:rsidR="002151C3" w:rsidRPr="00E0088F" w:rsidRDefault="002151C3" w:rsidP="006C5A84">
            <w:pPr>
              <w:pStyle w:val="Tabletext"/>
              <w:jc w:val="center"/>
              <w:rPr>
                <w:lang w:val="fr-CH"/>
              </w:rPr>
            </w:pPr>
            <w:r w:rsidRPr="00E0088F">
              <w:rPr>
                <w:lang w:val="fr-CH"/>
              </w:rPr>
              <w:lastRenderedPageBreak/>
              <w:t>154</w:t>
            </w:r>
          </w:p>
        </w:tc>
        <w:tc>
          <w:tcPr>
            <w:tcW w:w="2551" w:type="dxa"/>
            <w:tcBorders>
              <w:top w:val="single" w:sz="6" w:space="0" w:color="auto"/>
              <w:left w:val="single" w:sz="6" w:space="0" w:color="auto"/>
              <w:bottom w:val="single" w:sz="6" w:space="0" w:color="auto"/>
              <w:right w:val="single" w:sz="6" w:space="0" w:color="auto"/>
            </w:tcBorders>
            <w:hideMark/>
          </w:tcPr>
          <w:p w14:paraId="1D9CFF85" w14:textId="77777777" w:rsidR="002151C3" w:rsidRPr="00E0088F" w:rsidRDefault="002151C3" w:rsidP="006C5A84">
            <w:pPr>
              <w:pStyle w:val="Tabletext"/>
              <w:rPr>
                <w:lang w:val="fr-CH"/>
              </w:rPr>
            </w:pPr>
            <w:r w:rsidRPr="00E0088F">
              <w:rPr>
                <w:lang w:val="fr-CH"/>
              </w:rPr>
              <w:t xml:space="preserve">Examen des mesures techniques et réglementaires propres à assurer l'exploitation actuelle et future des stations terriennes du service fixe par satellite dans la bande 3 400-4 200 MHz pour contribuer à la sécurité d'exploitation des aéronefs et à la diffusion fiable des données météorologiques dans certains pays de la Région 1 </w:t>
            </w:r>
          </w:p>
        </w:tc>
        <w:tc>
          <w:tcPr>
            <w:tcW w:w="3625" w:type="dxa"/>
            <w:tcBorders>
              <w:top w:val="single" w:sz="6" w:space="0" w:color="auto"/>
              <w:left w:val="single" w:sz="6" w:space="0" w:color="auto"/>
              <w:bottom w:val="single" w:sz="6" w:space="0" w:color="auto"/>
              <w:right w:val="single" w:sz="6" w:space="0" w:color="auto"/>
            </w:tcBorders>
            <w:hideMark/>
          </w:tcPr>
          <w:p w14:paraId="2B034731" w14:textId="77777777" w:rsidR="002151C3" w:rsidRPr="00E0088F" w:rsidRDefault="002151C3" w:rsidP="006C5A84">
            <w:pPr>
              <w:pStyle w:val="Tabletext"/>
              <w:rPr>
                <w:lang w:val="fr-CH"/>
              </w:rPr>
            </w:pPr>
            <w:r w:rsidRPr="00E0088F">
              <w:rPr>
                <w:lang w:val="fr-CH"/>
              </w:rPr>
              <w:t>(Rév.CMR-15). A toujours lieu d'être.</w:t>
            </w:r>
          </w:p>
          <w:p w14:paraId="37CEED48" w14:textId="5D50D2AB" w:rsidR="002151C3" w:rsidRPr="00E0088F" w:rsidRDefault="006D41D0" w:rsidP="006C5A84">
            <w:pPr>
              <w:pStyle w:val="Tabletext"/>
              <w:rPr>
                <w:lang w:val="fr-CH"/>
              </w:rPr>
            </w:pPr>
            <w:r w:rsidRPr="00E0088F">
              <w:rPr>
                <w:bCs/>
                <w:lang w:val="fr-CH"/>
              </w:rPr>
              <w:t>C</w:t>
            </w:r>
            <w:r w:rsidR="002151C3" w:rsidRPr="00E0088F">
              <w:rPr>
                <w:bCs/>
                <w:lang w:val="fr-CH"/>
              </w:rPr>
              <w:t xml:space="preserve">ette Résolution ne concerne que certains pays de la Région 1 et </w:t>
            </w:r>
            <w:r w:rsidR="006C5A84" w:rsidRPr="00E0088F">
              <w:rPr>
                <w:bCs/>
                <w:lang w:val="fr-CH"/>
              </w:rPr>
              <w:t xml:space="preserve">la Chine </w:t>
            </w:r>
            <w:r w:rsidR="002151C3" w:rsidRPr="00E0088F">
              <w:rPr>
                <w:bCs/>
                <w:lang w:val="fr-CH"/>
              </w:rPr>
              <w:t>n'appuie en aucun point l'application de cette question à la Région 3.</w:t>
            </w:r>
          </w:p>
        </w:tc>
        <w:tc>
          <w:tcPr>
            <w:tcW w:w="2045" w:type="dxa"/>
            <w:tcBorders>
              <w:top w:val="single" w:sz="6" w:space="0" w:color="auto"/>
              <w:left w:val="single" w:sz="6" w:space="0" w:color="auto"/>
              <w:bottom w:val="single" w:sz="6" w:space="0" w:color="auto"/>
              <w:right w:val="single" w:sz="6" w:space="0" w:color="auto"/>
            </w:tcBorders>
            <w:hideMark/>
          </w:tcPr>
          <w:p w14:paraId="1871ABC4" w14:textId="77777777" w:rsidR="002151C3" w:rsidRPr="00E0088F" w:rsidRDefault="002151C3" w:rsidP="006C5A84">
            <w:pPr>
              <w:pStyle w:val="Tabletext"/>
              <w:jc w:val="center"/>
              <w:rPr>
                <w:lang w:val="fr-CH"/>
              </w:rPr>
            </w:pPr>
            <w:r w:rsidRPr="00E0088F">
              <w:rPr>
                <w:lang w:val="fr-CH"/>
              </w:rPr>
              <w:t>N/A</w:t>
            </w:r>
          </w:p>
        </w:tc>
      </w:tr>
      <w:tr w:rsidR="002151C3" w:rsidRPr="00E0088F" w14:paraId="4856E991"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69A8113C" w14:textId="77777777" w:rsidR="002151C3" w:rsidRPr="00E0088F" w:rsidRDefault="002151C3" w:rsidP="006C5A84">
            <w:pPr>
              <w:pStyle w:val="Tabletext"/>
              <w:jc w:val="center"/>
              <w:rPr>
                <w:lang w:val="fr-CH"/>
              </w:rPr>
            </w:pPr>
            <w:r w:rsidRPr="00E0088F">
              <w:rPr>
                <w:lang w:val="fr-CH"/>
              </w:rPr>
              <w:t>155</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FAA15F1" w14:textId="77777777" w:rsidR="002151C3" w:rsidRPr="00E0088F" w:rsidRDefault="002151C3" w:rsidP="006C5A84">
            <w:pPr>
              <w:pStyle w:val="Tabletext"/>
              <w:rPr>
                <w:color w:val="000000"/>
                <w:lang w:val="fr-CH"/>
              </w:rPr>
            </w:pPr>
            <w:r w:rsidRPr="00E0088F">
              <w:rPr>
                <w:color w:val="000000"/>
                <w:lang w:val="fr-CH"/>
              </w:rPr>
              <w:t xml:space="preserve">Dispositions réglementaires relatives aux stations terriennes à bord d'un aéronef sans pilote qui fonctionnent avec des réseaux à satellite géostationnaire du service fixe par satellite dans certaines bandes de fréquences ne relevant pas d'un Plan des Appendices </w:t>
            </w:r>
            <w:r w:rsidRPr="00E0088F">
              <w:rPr>
                <w:b/>
                <w:bCs/>
                <w:color w:val="000000"/>
                <w:lang w:val="fr-CH"/>
              </w:rPr>
              <w:t>30</w:t>
            </w:r>
            <w:r w:rsidRPr="00E0088F">
              <w:rPr>
                <w:color w:val="000000"/>
                <w:lang w:val="fr-CH"/>
              </w:rPr>
              <w:t xml:space="preserve">, </w:t>
            </w:r>
            <w:r w:rsidRPr="00E0088F">
              <w:rPr>
                <w:b/>
                <w:bCs/>
                <w:color w:val="000000"/>
                <w:lang w:val="fr-CH"/>
              </w:rPr>
              <w:t>30A</w:t>
            </w:r>
            <w:r w:rsidRPr="00E0088F">
              <w:rPr>
                <w:color w:val="000000"/>
                <w:lang w:val="fr-CH"/>
              </w:rPr>
              <w:t xml:space="preserve"> et </w:t>
            </w:r>
            <w:r w:rsidRPr="00E0088F">
              <w:rPr>
                <w:b/>
                <w:bCs/>
                <w:color w:val="000000"/>
                <w:lang w:val="fr-CH"/>
              </w:rPr>
              <w:t>30B</w:t>
            </w:r>
            <w:r w:rsidRPr="00E0088F">
              <w:rPr>
                <w:color w:val="000000"/>
                <w:lang w:val="fr-CH"/>
              </w:rPr>
              <w:t xml:space="preserve"> pour les communications de contrôle et non associées à la charge utile des systèmes d'aéronef sans pilote dans des espaces aériens non réservés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18B503" w14:textId="226E81BE" w:rsidR="002151C3" w:rsidRPr="00E0088F" w:rsidRDefault="002151C3" w:rsidP="006C5A84">
            <w:pPr>
              <w:pStyle w:val="Tabletext"/>
              <w:rPr>
                <w:lang w:val="fr-CH" w:eastAsia="ja-JP"/>
              </w:rPr>
            </w:pPr>
            <w:r w:rsidRPr="00E0088F">
              <w:rPr>
                <w:lang w:val="fr-CH"/>
              </w:rPr>
              <w:t xml:space="preserve">(CMR-15). A toujours lieu d'être. </w:t>
            </w:r>
            <w:r w:rsidRPr="00E0088F">
              <w:rPr>
                <w:lang w:val="fr-CH" w:eastAsia="ja-JP"/>
              </w:rPr>
              <w:t xml:space="preserve">Cette Résolution est citée dans le numéro </w:t>
            </w:r>
            <w:r w:rsidRPr="00E0088F">
              <w:rPr>
                <w:b/>
                <w:bCs/>
                <w:lang w:val="fr-CH" w:eastAsia="ja-JP"/>
              </w:rPr>
              <w:t>5.484B</w:t>
            </w:r>
            <w:r w:rsidRPr="00E0088F">
              <w:rPr>
                <w:lang w:val="fr-CH" w:eastAsia="ja-JP"/>
              </w:rPr>
              <w:t xml:space="preserve">. </w:t>
            </w:r>
            <w:r w:rsidR="006D41D0" w:rsidRPr="00E0088F">
              <w:rPr>
                <w:lang w:val="fr-CH" w:eastAsia="ja-JP"/>
              </w:rPr>
              <w:t>A</w:t>
            </w:r>
            <w:r w:rsidRPr="00E0088F">
              <w:rPr>
                <w:lang w:val="fr-CH"/>
              </w:rPr>
              <w:t>ucune proposition concernant cette Résolution</w:t>
            </w:r>
            <w:r w:rsidR="00253D4F" w:rsidRPr="00E0088F">
              <w:rPr>
                <w:lang w:val="fr-CH"/>
              </w:rPr>
              <w:t xml:space="preserve"> n</w:t>
            </w:r>
            <w:r w:rsidR="006C5A84" w:rsidRPr="00E0088F">
              <w:rPr>
                <w:lang w:val="fr-CH"/>
              </w:rPr>
              <w:t>'</w:t>
            </w:r>
            <w:r w:rsidR="00253D4F" w:rsidRPr="00E0088F">
              <w:rPr>
                <w:lang w:val="fr-CH"/>
              </w:rPr>
              <w:t>est faite</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E514AD" w14:textId="77777777" w:rsidR="002151C3" w:rsidRPr="00E0088F" w:rsidRDefault="002151C3" w:rsidP="006C5A84">
            <w:pPr>
              <w:pStyle w:val="Tabletext"/>
              <w:jc w:val="center"/>
              <w:rPr>
                <w:lang w:val="fr-CH"/>
              </w:rPr>
            </w:pPr>
            <w:r w:rsidRPr="00E0088F">
              <w:rPr>
                <w:lang w:val="fr-CH"/>
              </w:rPr>
              <w:t>---</w:t>
            </w:r>
          </w:p>
        </w:tc>
      </w:tr>
      <w:tr w:rsidR="002151C3" w:rsidRPr="00E0088F" w14:paraId="34DA954C"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94B4CC5" w14:textId="77777777" w:rsidR="002151C3" w:rsidRPr="00E0088F" w:rsidRDefault="002151C3" w:rsidP="006C5A84">
            <w:pPr>
              <w:pStyle w:val="Tabletext"/>
              <w:jc w:val="center"/>
              <w:rPr>
                <w:lang w:val="fr-CH"/>
              </w:rPr>
            </w:pPr>
            <w:r w:rsidRPr="00E0088F">
              <w:rPr>
                <w:lang w:val="fr-CH"/>
              </w:rPr>
              <w:t>156</w:t>
            </w:r>
          </w:p>
        </w:tc>
        <w:tc>
          <w:tcPr>
            <w:tcW w:w="2551" w:type="dxa"/>
            <w:tcBorders>
              <w:top w:val="single" w:sz="6" w:space="0" w:color="auto"/>
              <w:left w:val="single" w:sz="6" w:space="0" w:color="auto"/>
              <w:bottom w:val="single" w:sz="6" w:space="0" w:color="auto"/>
              <w:right w:val="single" w:sz="6" w:space="0" w:color="auto"/>
            </w:tcBorders>
            <w:hideMark/>
          </w:tcPr>
          <w:p w14:paraId="68CD0D63" w14:textId="77777777" w:rsidR="002151C3" w:rsidRPr="00E0088F" w:rsidRDefault="002151C3" w:rsidP="006C5A84">
            <w:pPr>
              <w:pStyle w:val="Tabletext"/>
              <w:rPr>
                <w:color w:val="000000"/>
                <w:lang w:val="fr-CH"/>
              </w:rPr>
            </w:pPr>
            <w:r w:rsidRPr="00E0088F">
              <w:rPr>
                <w:color w:val="000000"/>
                <w:lang w:val="fr-CH"/>
              </w:rPr>
              <w:t>Utilisation des bandes de fréquences 19,7-20,2 GHz et 29,5-30,0 GHz par les stations terriennes en mouvement communiquant avec des stations spatiales géostationnaires du service fixe par satellite</w:t>
            </w:r>
          </w:p>
        </w:tc>
        <w:tc>
          <w:tcPr>
            <w:tcW w:w="3625" w:type="dxa"/>
            <w:tcBorders>
              <w:top w:val="single" w:sz="6" w:space="0" w:color="auto"/>
              <w:left w:val="single" w:sz="6" w:space="0" w:color="auto"/>
              <w:bottom w:val="single" w:sz="6" w:space="0" w:color="auto"/>
              <w:right w:val="single" w:sz="6" w:space="0" w:color="auto"/>
            </w:tcBorders>
            <w:hideMark/>
          </w:tcPr>
          <w:p w14:paraId="1D87776B" w14:textId="75A56240" w:rsidR="002151C3" w:rsidRPr="00E0088F" w:rsidRDefault="002151C3" w:rsidP="006C5A84">
            <w:pPr>
              <w:pStyle w:val="Tabletext"/>
              <w:rPr>
                <w:lang w:val="fr-CH"/>
              </w:rPr>
            </w:pPr>
            <w:r w:rsidRPr="00E0088F">
              <w:rPr>
                <w:lang w:val="fr-CH"/>
              </w:rPr>
              <w:t xml:space="preserve">(CMR-15). A toujours lieu d'être. </w:t>
            </w:r>
            <w:r w:rsidRPr="00E0088F">
              <w:rPr>
                <w:lang w:val="fr-CH" w:eastAsia="ja-JP"/>
              </w:rPr>
              <w:t xml:space="preserve">Cette Résolution est citée dans le numéro </w:t>
            </w:r>
            <w:r w:rsidRPr="00E0088F">
              <w:rPr>
                <w:b/>
                <w:bCs/>
                <w:lang w:val="fr-CH" w:eastAsia="ja-JP"/>
              </w:rPr>
              <w:t>5.527A</w:t>
            </w:r>
            <w:r w:rsidRPr="00E0088F">
              <w:rPr>
                <w:lang w:val="fr-CH" w:eastAsia="ja-JP"/>
              </w:rPr>
              <w:t xml:space="preserve"> et dans la Résolution </w:t>
            </w:r>
            <w:r w:rsidRPr="00E0088F">
              <w:rPr>
                <w:b/>
                <w:bCs/>
                <w:lang w:val="fr-CH" w:eastAsia="ja-JP"/>
              </w:rPr>
              <w:t>158 (Rév.CMR-15)</w:t>
            </w:r>
            <w:r w:rsidRPr="00E0088F">
              <w:rPr>
                <w:lang w:val="fr-CH" w:eastAsia="ja-JP"/>
              </w:rPr>
              <w:t>. Elle</w:t>
            </w:r>
            <w:r w:rsidRPr="00E0088F">
              <w:rPr>
                <w:lang w:val="fr-CH"/>
              </w:rPr>
              <w:t xml:space="preserve"> pourra être modifiée afin de mettre à jour le point </w:t>
            </w:r>
            <w:r w:rsidRPr="00E0088F">
              <w:rPr>
                <w:i/>
                <w:iCs/>
                <w:lang w:val="fr-CH"/>
              </w:rPr>
              <w:t>e)</w:t>
            </w:r>
            <w:r w:rsidRPr="00E0088F">
              <w:rPr>
                <w:lang w:val="fr-CH"/>
              </w:rPr>
              <w:t xml:space="preserve"> du </w:t>
            </w:r>
            <w:r w:rsidRPr="00E0088F">
              <w:rPr>
                <w:bCs/>
                <w:i/>
                <w:iCs/>
                <w:lang w:val="fr-CH"/>
              </w:rPr>
              <w:t xml:space="preserve">reconnaissant </w:t>
            </w:r>
            <w:r w:rsidRPr="00E0088F">
              <w:rPr>
                <w:bCs/>
                <w:lang w:val="fr-CH"/>
              </w:rPr>
              <w:t>au sujet des codes de classe de station UC et UF.</w:t>
            </w:r>
            <w:r w:rsidRPr="00E0088F">
              <w:rPr>
                <w:lang w:val="fr-CH" w:eastAsia="ja-JP"/>
              </w:rPr>
              <w:t xml:space="preserve"> </w:t>
            </w:r>
            <w:r w:rsidR="00F56F88" w:rsidRPr="00E0088F">
              <w:rPr>
                <w:lang w:val="fr-CH" w:eastAsia="ja-JP"/>
              </w:rPr>
              <w:t>A</w:t>
            </w:r>
            <w:r w:rsidRPr="00E0088F">
              <w:rPr>
                <w:lang w:val="fr-CH"/>
              </w:rPr>
              <w:t>ucune proposition concernant cette Résolution</w:t>
            </w:r>
            <w:r w:rsidR="00253D4F" w:rsidRPr="00E0088F">
              <w:rPr>
                <w:lang w:val="fr-CH"/>
              </w:rPr>
              <w:t xml:space="preserve"> n</w:t>
            </w:r>
            <w:r w:rsidR="006C5A84" w:rsidRPr="00E0088F">
              <w:rPr>
                <w:lang w:val="fr-CH"/>
              </w:rPr>
              <w:t>'</w:t>
            </w:r>
            <w:r w:rsidR="00253D4F" w:rsidRPr="00E0088F">
              <w:rPr>
                <w:lang w:val="fr-CH"/>
              </w:rPr>
              <w:t>est faite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70FCFF49" w14:textId="77777777" w:rsidR="002151C3" w:rsidRPr="00E0088F" w:rsidRDefault="002151C3" w:rsidP="006C5A84">
            <w:pPr>
              <w:pStyle w:val="Tabletext"/>
              <w:jc w:val="center"/>
              <w:rPr>
                <w:lang w:val="fr-CH"/>
              </w:rPr>
            </w:pPr>
            <w:r w:rsidRPr="00E0088F">
              <w:rPr>
                <w:lang w:val="fr-CH"/>
              </w:rPr>
              <w:t>---</w:t>
            </w:r>
          </w:p>
        </w:tc>
      </w:tr>
      <w:tr w:rsidR="002151C3" w:rsidRPr="00E0088F" w14:paraId="21541050"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409E4F2A" w14:textId="77777777" w:rsidR="002151C3" w:rsidRPr="00E0088F" w:rsidRDefault="002151C3" w:rsidP="006C5A84">
            <w:pPr>
              <w:pStyle w:val="Tabletext"/>
              <w:jc w:val="center"/>
              <w:rPr>
                <w:lang w:val="fr-CH"/>
              </w:rPr>
            </w:pPr>
            <w:r w:rsidRPr="00E0088F">
              <w:rPr>
                <w:lang w:val="fr-CH"/>
              </w:rPr>
              <w:t>157</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44FCDD6" w14:textId="346835E1" w:rsidR="002151C3" w:rsidRPr="00E0088F" w:rsidRDefault="002151C3" w:rsidP="006C5A84">
            <w:pPr>
              <w:pStyle w:val="Tabletext"/>
              <w:rPr>
                <w:color w:val="000000"/>
                <w:lang w:val="fr-CH"/>
              </w:rPr>
            </w:pPr>
            <w:r w:rsidRPr="00E0088F">
              <w:rPr>
                <w:color w:val="000000"/>
                <w:lang w:val="fr-CH"/>
              </w:rPr>
              <w:t>Étude des questions techniques et opérationnelles et des dispositions réglementaires relatives aux nouveaux systèmes à satellites non géostationnaires dans les bandes de fréquences 3</w:t>
            </w:r>
            <w:r w:rsidR="00627586" w:rsidRPr="00E0088F">
              <w:rPr>
                <w:color w:val="000000"/>
                <w:lang w:val="fr-CH"/>
              </w:rPr>
              <w:t> </w:t>
            </w:r>
            <w:r w:rsidRPr="00E0088F">
              <w:rPr>
                <w:color w:val="000000"/>
                <w:lang w:val="fr-CH"/>
              </w:rPr>
              <w:t>700</w:t>
            </w:r>
            <w:r w:rsidR="00627586" w:rsidRPr="00E0088F">
              <w:rPr>
                <w:color w:val="000000"/>
                <w:lang w:val="fr-CH"/>
              </w:rPr>
              <w:noBreakHyphen/>
            </w:r>
            <w:r w:rsidRPr="00E0088F">
              <w:rPr>
                <w:color w:val="000000"/>
                <w:lang w:val="fr-CH"/>
              </w:rPr>
              <w:t>4 200 MHz, 4</w:t>
            </w:r>
            <w:r w:rsidR="00627586" w:rsidRPr="00E0088F">
              <w:rPr>
                <w:color w:val="000000"/>
                <w:lang w:val="fr-CH"/>
              </w:rPr>
              <w:t> </w:t>
            </w:r>
            <w:r w:rsidRPr="00E0088F">
              <w:rPr>
                <w:color w:val="000000"/>
                <w:lang w:val="fr-CH"/>
              </w:rPr>
              <w:t>500</w:t>
            </w:r>
            <w:r w:rsidR="00627586" w:rsidRPr="00E0088F">
              <w:rPr>
                <w:color w:val="000000"/>
                <w:lang w:val="fr-CH"/>
              </w:rPr>
              <w:noBreakHyphen/>
            </w:r>
            <w:r w:rsidRPr="00E0088F">
              <w:rPr>
                <w:color w:val="000000"/>
                <w:lang w:val="fr-CH"/>
              </w:rPr>
              <w:t>4 800 MHz, et 5</w:t>
            </w:r>
            <w:r w:rsidR="00627586" w:rsidRPr="00E0088F">
              <w:rPr>
                <w:color w:val="000000"/>
                <w:lang w:val="fr-CH"/>
              </w:rPr>
              <w:t> </w:t>
            </w:r>
            <w:r w:rsidRPr="00E0088F">
              <w:rPr>
                <w:color w:val="000000"/>
                <w:lang w:val="fr-CH"/>
              </w:rPr>
              <w:t>925</w:t>
            </w:r>
            <w:r w:rsidR="00627586" w:rsidRPr="00E0088F">
              <w:rPr>
                <w:color w:val="000000"/>
                <w:lang w:val="fr-CH"/>
              </w:rPr>
              <w:noBreakHyphen/>
            </w:r>
            <w:r w:rsidRPr="00E0088F">
              <w:rPr>
                <w:color w:val="000000"/>
                <w:lang w:val="fr-CH"/>
              </w:rPr>
              <w:t>6 425 MHz et 6</w:t>
            </w:r>
            <w:r w:rsidR="00627586" w:rsidRPr="00E0088F">
              <w:rPr>
                <w:color w:val="000000"/>
                <w:lang w:val="fr-CH"/>
              </w:rPr>
              <w:t> </w:t>
            </w:r>
            <w:r w:rsidRPr="00E0088F">
              <w:rPr>
                <w:color w:val="000000"/>
                <w:lang w:val="fr-CH"/>
              </w:rPr>
              <w:t>725</w:t>
            </w:r>
            <w:r w:rsidR="00627586" w:rsidRPr="00E0088F">
              <w:rPr>
                <w:color w:val="000000"/>
                <w:lang w:val="fr-CH"/>
              </w:rPr>
              <w:noBreakHyphen/>
            </w:r>
            <w:r w:rsidRPr="00E0088F">
              <w:rPr>
                <w:color w:val="000000"/>
                <w:lang w:val="fr-CH"/>
              </w:rPr>
              <w:t>7 025 MHz attribuées au service fixe par satellite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4983A78" w14:textId="1AB8F0DA" w:rsidR="002151C3" w:rsidRPr="00E0088F" w:rsidRDefault="002151C3" w:rsidP="006C5A84">
            <w:pPr>
              <w:pStyle w:val="Tabletext"/>
              <w:rPr>
                <w:lang w:val="fr-CH"/>
              </w:rPr>
            </w:pPr>
            <w:r w:rsidRPr="00E0088F">
              <w:rPr>
                <w:lang w:val="fr-CH"/>
              </w:rPr>
              <w:t>(CMR</w:t>
            </w:r>
            <w:r w:rsidRPr="00E0088F">
              <w:rPr>
                <w:lang w:val="fr-CH"/>
              </w:rPr>
              <w:noBreakHyphen/>
              <w:t>15).</w:t>
            </w:r>
            <w:r w:rsidR="00DD0F5C" w:rsidRPr="00E0088F">
              <w:rPr>
                <w:lang w:val="fr-CH"/>
              </w:rPr>
              <w:t xml:space="preserve"> </w:t>
            </w:r>
            <w:r w:rsidRPr="00E0088F">
              <w:rPr>
                <w:lang w:val="fr-CH"/>
              </w:rPr>
              <w:t xml:space="preserve">À l'issue de l'examen </w:t>
            </w:r>
            <w:r w:rsidRPr="00E0088F">
              <w:rPr>
                <w:bCs/>
                <w:lang w:val="fr-CH"/>
              </w:rPr>
              <w:t xml:space="preserve">de la </w:t>
            </w:r>
            <w:r w:rsidRPr="00E0088F">
              <w:rPr>
                <w:b/>
                <w:lang w:val="fr-CH"/>
              </w:rPr>
              <w:t>question 9.1.3 au titre du point 9.1 de l'ordre du jour</w:t>
            </w:r>
            <w:r w:rsidRPr="00E0088F">
              <w:rPr>
                <w:bCs/>
                <w:lang w:val="fr-CH"/>
              </w:rPr>
              <w:t xml:space="preserve"> de la CMR</w:t>
            </w:r>
            <w:r w:rsidRPr="00E0088F">
              <w:rPr>
                <w:bCs/>
                <w:lang w:val="fr-CH"/>
              </w:rPr>
              <w:noBreakHyphen/>
              <w:t>19, cette Résolution devrait être supprimée.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08027B" w14:textId="77777777" w:rsidR="002151C3" w:rsidRPr="00E0088F" w:rsidRDefault="002151C3" w:rsidP="006C5A84">
            <w:pPr>
              <w:pStyle w:val="Tabletext"/>
              <w:jc w:val="center"/>
              <w:rPr>
                <w:sz w:val="18"/>
                <w:szCs w:val="18"/>
                <w:lang w:val="fr-CH"/>
              </w:rPr>
            </w:pPr>
            <w:r w:rsidRPr="00E0088F">
              <w:rPr>
                <w:lang w:val="fr-CH"/>
              </w:rPr>
              <w:t>SUP</w:t>
            </w:r>
          </w:p>
        </w:tc>
      </w:tr>
      <w:tr w:rsidR="002151C3" w:rsidRPr="00E0088F" w14:paraId="3731A137"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310288A2" w14:textId="77777777" w:rsidR="002151C3" w:rsidRPr="00E0088F" w:rsidRDefault="002151C3" w:rsidP="006C5A84">
            <w:pPr>
              <w:pStyle w:val="Tabletext"/>
              <w:jc w:val="center"/>
              <w:rPr>
                <w:lang w:val="fr-CH"/>
              </w:rPr>
            </w:pPr>
            <w:r w:rsidRPr="00E0088F">
              <w:rPr>
                <w:lang w:val="fr-CH"/>
              </w:rPr>
              <w:lastRenderedPageBreak/>
              <w:t>158</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94071D6" w14:textId="0321D97A" w:rsidR="002151C3" w:rsidRPr="00E0088F" w:rsidRDefault="002151C3" w:rsidP="006C5A84">
            <w:pPr>
              <w:pStyle w:val="Tabletext"/>
              <w:rPr>
                <w:color w:val="000000"/>
                <w:lang w:val="fr-CH"/>
              </w:rPr>
            </w:pPr>
            <w:r w:rsidRPr="00E0088F">
              <w:rPr>
                <w:color w:val="000000"/>
                <w:lang w:val="fr-CH"/>
              </w:rPr>
              <w:t>Utilisation des bandes de fréquences 17,7-19,7 GHz (espace vers Terre) et 27,5</w:t>
            </w:r>
            <w:r w:rsidR="00627586" w:rsidRPr="00E0088F">
              <w:rPr>
                <w:color w:val="000000"/>
                <w:lang w:val="fr-CH"/>
              </w:rPr>
              <w:noBreakHyphen/>
            </w:r>
            <w:r w:rsidRPr="00E0088F">
              <w:rPr>
                <w:color w:val="000000"/>
                <w:lang w:val="fr-CH"/>
              </w:rPr>
              <w:t>29,5 GHz (Terre vers espace) par les stations terriennes en mouvement communiquant avec des stations spatiales géostationnaires du service fixe par satellite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5C076B" w14:textId="43FC99B0" w:rsidR="002151C3" w:rsidRPr="00E0088F" w:rsidRDefault="002151C3" w:rsidP="006C5A84">
            <w:pPr>
              <w:pStyle w:val="Tabletext"/>
              <w:rPr>
                <w:lang w:val="fr-CH"/>
              </w:rPr>
            </w:pPr>
            <w:r w:rsidRPr="00E0088F">
              <w:rPr>
                <w:lang w:val="fr-CH"/>
              </w:rPr>
              <w:t>(CMR</w:t>
            </w:r>
            <w:r w:rsidRPr="00E0088F">
              <w:rPr>
                <w:lang w:val="fr-CH"/>
              </w:rPr>
              <w:noBreakHyphen/>
              <w:t>15).</w:t>
            </w:r>
            <w:r w:rsidR="00DD0F5C" w:rsidRPr="00E0088F">
              <w:rPr>
                <w:lang w:val="fr-CH"/>
              </w:rPr>
              <w:t xml:space="preserve"> </w:t>
            </w:r>
            <w:r w:rsidRPr="00E0088F">
              <w:rPr>
                <w:lang w:val="fr-CH"/>
              </w:rPr>
              <w:t xml:space="preserve">À l'issue de l'examen du </w:t>
            </w:r>
            <w:r w:rsidRPr="00E0088F">
              <w:rPr>
                <w:b/>
                <w:bCs/>
                <w:lang w:val="fr-CH"/>
              </w:rPr>
              <w:t>point 1.5 de l'ordre du jour</w:t>
            </w:r>
            <w:r w:rsidRPr="00E0088F">
              <w:rPr>
                <w:lang w:val="fr-CH"/>
              </w:rPr>
              <w:t xml:space="preserve"> de la CMR</w:t>
            </w:r>
            <w:r w:rsidRPr="00E0088F">
              <w:rPr>
                <w:bCs/>
                <w:lang w:val="fr-CH"/>
              </w:rPr>
              <w:noBreakHyphen/>
              <w:t>19, cette Résolution devrait être supprimée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956433" w14:textId="77777777" w:rsidR="002151C3" w:rsidRPr="00E0088F" w:rsidRDefault="002151C3" w:rsidP="006C5A84">
            <w:pPr>
              <w:pStyle w:val="Tabletext"/>
              <w:jc w:val="center"/>
              <w:rPr>
                <w:lang w:val="fr-CH"/>
              </w:rPr>
            </w:pPr>
            <w:r w:rsidRPr="00E0088F">
              <w:rPr>
                <w:lang w:val="fr-CH"/>
              </w:rPr>
              <w:t>SUP</w:t>
            </w:r>
          </w:p>
        </w:tc>
      </w:tr>
      <w:tr w:rsidR="002151C3" w:rsidRPr="00E0088F" w14:paraId="60D14B67"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060286A9" w14:textId="77777777" w:rsidR="002151C3" w:rsidRPr="00E0088F" w:rsidRDefault="002151C3" w:rsidP="006C5A84">
            <w:pPr>
              <w:pStyle w:val="Tabletext"/>
              <w:jc w:val="center"/>
              <w:rPr>
                <w:lang w:val="fr-CH"/>
              </w:rPr>
            </w:pPr>
            <w:r w:rsidRPr="00E0088F">
              <w:rPr>
                <w:lang w:val="fr-CH"/>
              </w:rPr>
              <w:t>159</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9F4C668" w14:textId="0520A7EC" w:rsidR="002151C3" w:rsidRPr="00E0088F" w:rsidRDefault="002151C3" w:rsidP="006C5A84">
            <w:pPr>
              <w:pStyle w:val="Tabletext"/>
              <w:rPr>
                <w:color w:val="000000"/>
                <w:lang w:val="fr-CH"/>
              </w:rPr>
            </w:pPr>
            <w:r w:rsidRPr="00E0088F">
              <w:rPr>
                <w:color w:val="000000"/>
                <w:lang w:val="fr-CH"/>
              </w:rPr>
              <w:t>Études des questions techniques et opérationnelles et des dispositions réglementaires relatives aux systèmes à satellites non géostationnaires du service fixe par satellite dans les bandes de fréquences 37,5</w:t>
            </w:r>
            <w:r w:rsidR="00627586" w:rsidRPr="00E0088F">
              <w:rPr>
                <w:color w:val="000000"/>
                <w:lang w:val="fr-CH"/>
              </w:rPr>
              <w:noBreakHyphen/>
            </w:r>
            <w:r w:rsidRPr="00E0088F">
              <w:rPr>
                <w:color w:val="000000"/>
                <w:lang w:val="fr-CH"/>
              </w:rPr>
              <w:t>39,5 GHz (espace vers Terre), 39,5 42,5 GHz (espace vers Terre), 47,2</w:t>
            </w:r>
            <w:r w:rsidR="00627586" w:rsidRPr="00E0088F">
              <w:rPr>
                <w:color w:val="000000"/>
                <w:lang w:val="fr-CH"/>
              </w:rPr>
              <w:noBreakHyphen/>
            </w:r>
            <w:r w:rsidRPr="00E0088F">
              <w:rPr>
                <w:color w:val="000000"/>
                <w:lang w:val="fr-CH"/>
              </w:rPr>
              <w:t>50,2 GHz (Terre vers espace) et 50,4 51,4 GHz (Terre vers espace)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6C426C" w14:textId="62DA01EC" w:rsidR="002151C3" w:rsidRPr="00E0088F" w:rsidRDefault="002151C3" w:rsidP="006C5A84">
            <w:pPr>
              <w:pStyle w:val="Tabletext"/>
              <w:rPr>
                <w:lang w:val="fr-CH"/>
              </w:rPr>
            </w:pPr>
            <w:r w:rsidRPr="00E0088F">
              <w:rPr>
                <w:lang w:val="fr-CH"/>
              </w:rPr>
              <w:t>(CMR</w:t>
            </w:r>
            <w:r w:rsidRPr="00E0088F">
              <w:rPr>
                <w:lang w:val="fr-CH"/>
              </w:rPr>
              <w:noBreakHyphen/>
              <w:t>15).</w:t>
            </w:r>
            <w:r w:rsidR="00DD0F5C" w:rsidRPr="00E0088F">
              <w:rPr>
                <w:lang w:val="fr-CH"/>
              </w:rPr>
              <w:t xml:space="preserve"> </w:t>
            </w:r>
            <w:r w:rsidR="00F56F88" w:rsidRPr="00E0088F">
              <w:rPr>
                <w:lang w:val="fr-CH"/>
              </w:rPr>
              <w:t>À l'issue de l'examen du</w:t>
            </w:r>
            <w:r w:rsidRPr="00E0088F">
              <w:rPr>
                <w:lang w:val="fr-CH"/>
              </w:rPr>
              <w:t xml:space="preserve"> </w:t>
            </w:r>
            <w:r w:rsidRPr="00E0088F">
              <w:rPr>
                <w:b/>
                <w:bCs/>
                <w:lang w:val="fr-CH"/>
              </w:rPr>
              <w:t>point 1.6 de l'ordre du jour</w:t>
            </w:r>
            <w:r w:rsidRPr="00E0088F">
              <w:rPr>
                <w:lang w:val="fr-CH"/>
              </w:rPr>
              <w:t xml:space="preserve"> de la CMR</w:t>
            </w:r>
            <w:r w:rsidRPr="00E0088F">
              <w:rPr>
                <w:bCs/>
                <w:lang w:val="fr-CH"/>
              </w:rPr>
              <w:noBreakHyphen/>
              <w:t>19,</w:t>
            </w:r>
            <w:r w:rsidRPr="00E0088F">
              <w:rPr>
                <w:lang w:val="fr-CH"/>
              </w:rPr>
              <w:t xml:space="preserve"> aucune proposition concernant cette Résolution</w:t>
            </w:r>
            <w:r w:rsidR="00253D4F" w:rsidRPr="00E0088F">
              <w:rPr>
                <w:lang w:val="fr-CH"/>
              </w:rPr>
              <w:t xml:space="preserve"> n</w:t>
            </w:r>
            <w:r w:rsidR="006C5A84" w:rsidRPr="00E0088F">
              <w:rPr>
                <w:lang w:val="fr-CH"/>
              </w:rPr>
              <w:t>'</w:t>
            </w:r>
            <w:r w:rsidR="00253D4F" w:rsidRPr="00E0088F">
              <w:rPr>
                <w:lang w:val="fr-CH"/>
              </w:rPr>
              <w:t>est faite</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3CFD62" w14:textId="77777777" w:rsidR="002151C3" w:rsidRPr="00E0088F" w:rsidRDefault="002151C3" w:rsidP="006C5A84">
            <w:pPr>
              <w:pStyle w:val="Tabletext"/>
              <w:jc w:val="center"/>
              <w:rPr>
                <w:lang w:val="fr-CH"/>
              </w:rPr>
            </w:pPr>
            <w:r w:rsidRPr="00E0088F">
              <w:rPr>
                <w:lang w:val="fr-CH"/>
              </w:rPr>
              <w:t>---</w:t>
            </w:r>
          </w:p>
        </w:tc>
      </w:tr>
      <w:tr w:rsidR="002151C3" w:rsidRPr="00E0088F" w14:paraId="70FDB95C"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8468E1A" w14:textId="77777777" w:rsidR="002151C3" w:rsidRPr="00E0088F" w:rsidRDefault="002151C3" w:rsidP="006C5A84">
            <w:pPr>
              <w:pStyle w:val="Tabletext"/>
              <w:jc w:val="center"/>
              <w:rPr>
                <w:lang w:val="fr-CH"/>
              </w:rPr>
            </w:pPr>
            <w:r w:rsidRPr="00E0088F">
              <w:rPr>
                <w:lang w:val="fr-CH"/>
              </w:rPr>
              <w:t>160</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5C65390" w14:textId="77777777" w:rsidR="002151C3" w:rsidRPr="00E0088F" w:rsidRDefault="002151C3" w:rsidP="006C5A84">
            <w:pPr>
              <w:pStyle w:val="Tabletext"/>
              <w:rPr>
                <w:color w:val="000000"/>
                <w:lang w:val="fr-CH"/>
              </w:rPr>
            </w:pPr>
            <w:r w:rsidRPr="00E0088F">
              <w:rPr>
                <w:color w:val="000000"/>
                <w:lang w:val="fr-CH"/>
              </w:rPr>
              <w:t>Faciliter l'accès aux applications large bande assurées par les stations placées sur des plates-formes à haute altitude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80862A" w14:textId="5B4A9D4F" w:rsidR="002151C3" w:rsidRPr="00E0088F" w:rsidRDefault="002151C3" w:rsidP="006C5A84">
            <w:pPr>
              <w:pStyle w:val="Tabletext"/>
              <w:rPr>
                <w:lang w:val="fr-CH"/>
              </w:rPr>
            </w:pPr>
            <w:r w:rsidRPr="00E0088F">
              <w:rPr>
                <w:lang w:val="fr-CH"/>
              </w:rPr>
              <w:t>(CMR</w:t>
            </w:r>
            <w:r w:rsidRPr="00E0088F">
              <w:rPr>
                <w:lang w:val="fr-CH"/>
              </w:rPr>
              <w:noBreakHyphen/>
              <w:t>15).</w:t>
            </w:r>
            <w:r w:rsidR="00DD0F5C" w:rsidRPr="00E0088F">
              <w:rPr>
                <w:lang w:val="fr-CH"/>
              </w:rPr>
              <w:t xml:space="preserve"> </w:t>
            </w:r>
            <w:r w:rsidRPr="00E0088F">
              <w:rPr>
                <w:lang w:val="fr-CH"/>
              </w:rPr>
              <w:t xml:space="preserve">À l'issue de l'examen du </w:t>
            </w:r>
            <w:r w:rsidRPr="00E0088F">
              <w:rPr>
                <w:b/>
                <w:bCs/>
                <w:lang w:val="fr-CH"/>
              </w:rPr>
              <w:t>point 1.14 de l'ordre du jour</w:t>
            </w:r>
            <w:r w:rsidRPr="00E0088F">
              <w:rPr>
                <w:lang w:val="fr-CH"/>
              </w:rPr>
              <w:t xml:space="preserve"> de la CMR</w:t>
            </w:r>
            <w:r w:rsidRPr="00E0088F">
              <w:rPr>
                <w:bCs/>
                <w:lang w:val="fr-CH"/>
              </w:rPr>
              <w:noBreakHyphen/>
              <w:t>19, cette Résolution devrait être supprimée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1A7E4B5" w14:textId="77777777" w:rsidR="002151C3" w:rsidRPr="00E0088F" w:rsidRDefault="002151C3" w:rsidP="006C5A84">
            <w:pPr>
              <w:pStyle w:val="Tabletext"/>
              <w:jc w:val="center"/>
              <w:rPr>
                <w:sz w:val="18"/>
                <w:szCs w:val="18"/>
                <w:lang w:val="fr-CH"/>
              </w:rPr>
            </w:pPr>
            <w:r w:rsidRPr="00E0088F">
              <w:rPr>
                <w:lang w:val="fr-CH"/>
              </w:rPr>
              <w:t>SUP</w:t>
            </w:r>
          </w:p>
        </w:tc>
      </w:tr>
      <w:tr w:rsidR="002151C3" w:rsidRPr="00E0088F" w14:paraId="54CA19CD"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0BCF4CF" w14:textId="77777777" w:rsidR="002151C3" w:rsidRPr="00E0088F" w:rsidRDefault="002151C3" w:rsidP="006C5A84">
            <w:pPr>
              <w:pStyle w:val="Tabletext"/>
              <w:jc w:val="center"/>
              <w:rPr>
                <w:lang w:val="fr-CH"/>
              </w:rPr>
            </w:pPr>
            <w:r w:rsidRPr="00E0088F">
              <w:rPr>
                <w:lang w:val="fr-CH"/>
              </w:rPr>
              <w:t>161</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C0882BC" w14:textId="77777777" w:rsidR="002151C3" w:rsidRPr="00E0088F" w:rsidRDefault="002151C3" w:rsidP="006C5A84">
            <w:pPr>
              <w:pStyle w:val="Tabletext"/>
              <w:rPr>
                <w:color w:val="000000"/>
                <w:lang w:val="fr-CH"/>
              </w:rPr>
            </w:pPr>
            <w:r w:rsidRPr="00E0088F">
              <w:rPr>
                <w:color w:val="000000"/>
                <w:lang w:val="fr-CH"/>
              </w:rPr>
              <w:t>Études relatives aux besoins de spectre et à l'attribution possible de la bande de fréquences 37,5-39,5 GHz au service fixe par satellite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8C68D2" w14:textId="59DC8B54" w:rsidR="002151C3" w:rsidRPr="00E0088F" w:rsidRDefault="002151C3" w:rsidP="006C5A84">
            <w:pPr>
              <w:pStyle w:val="Tabletext"/>
              <w:rPr>
                <w:bCs/>
                <w:lang w:val="fr-CH" w:eastAsia="ja-JP"/>
              </w:rPr>
            </w:pPr>
            <w:r w:rsidRPr="00E0088F">
              <w:rPr>
                <w:lang w:val="fr-CH"/>
              </w:rPr>
              <w:t>(CMR</w:t>
            </w:r>
            <w:r w:rsidRPr="00E0088F">
              <w:rPr>
                <w:lang w:val="fr-CH"/>
              </w:rPr>
              <w:noBreakHyphen/>
              <w:t>15). Cette Résolution est mentionnée au point 2.4 de l'ordre du jour préliminaire de la CMR-23 (voir la Rés.</w:t>
            </w:r>
            <w:r w:rsidR="00627586" w:rsidRPr="00E0088F">
              <w:rPr>
                <w:lang w:val="fr-CH"/>
              </w:rPr>
              <w:t xml:space="preserve"> </w:t>
            </w:r>
            <w:r w:rsidRPr="00E0088F">
              <w:rPr>
                <w:b/>
                <w:bCs/>
                <w:lang w:val="fr-CH"/>
              </w:rPr>
              <w:t>810 (CMR-15)</w:t>
            </w:r>
            <w:r w:rsidRPr="00E0088F">
              <w:rPr>
                <w:lang w:val="fr-CH"/>
              </w:rPr>
              <w:t xml:space="preserve">). À l'issue de l'examen du </w:t>
            </w:r>
            <w:r w:rsidRPr="00E0088F">
              <w:rPr>
                <w:b/>
                <w:bCs/>
                <w:lang w:val="fr-CH"/>
              </w:rPr>
              <w:t>point 10 de l'ordre du jour</w:t>
            </w:r>
            <w:r w:rsidRPr="00E0088F">
              <w:rPr>
                <w:lang w:val="fr-CH"/>
              </w:rPr>
              <w:t xml:space="preserve"> de la CMR</w:t>
            </w:r>
            <w:r w:rsidRPr="00E0088F">
              <w:rPr>
                <w:bCs/>
                <w:lang w:val="fr-CH"/>
              </w:rPr>
              <w:noBreakHyphen/>
              <w:t>19, cette Résolution ne devrait pas être modifiée.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9E2A50" w14:textId="77777777" w:rsidR="002151C3" w:rsidRPr="00E0088F" w:rsidRDefault="002151C3" w:rsidP="006C5A84">
            <w:pPr>
              <w:pStyle w:val="Tabletext"/>
              <w:jc w:val="center"/>
              <w:rPr>
                <w:lang w:val="fr-CH"/>
              </w:rPr>
            </w:pPr>
            <w:r w:rsidRPr="00E0088F">
              <w:rPr>
                <w:lang w:val="fr-CH"/>
              </w:rPr>
              <w:t>NOC</w:t>
            </w:r>
          </w:p>
        </w:tc>
      </w:tr>
      <w:tr w:rsidR="002151C3" w:rsidRPr="00E0088F" w14:paraId="3F8BC9BD"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684CA609" w14:textId="77777777" w:rsidR="002151C3" w:rsidRPr="00E0088F" w:rsidRDefault="002151C3" w:rsidP="006C5A84">
            <w:pPr>
              <w:pStyle w:val="Tabletext"/>
              <w:jc w:val="center"/>
              <w:rPr>
                <w:lang w:val="fr-CH"/>
              </w:rPr>
            </w:pPr>
            <w:r w:rsidRPr="00E0088F">
              <w:rPr>
                <w:lang w:val="fr-CH"/>
              </w:rPr>
              <w:t>162</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F8A9BEE" w14:textId="77777777" w:rsidR="002151C3" w:rsidRPr="00E0088F" w:rsidRDefault="002151C3" w:rsidP="006C5A84">
            <w:pPr>
              <w:pStyle w:val="Tabletext"/>
              <w:rPr>
                <w:color w:val="000000"/>
                <w:lang w:val="fr-CH"/>
              </w:rPr>
            </w:pPr>
            <w:r w:rsidRPr="00E0088F">
              <w:rPr>
                <w:color w:val="000000"/>
                <w:lang w:val="fr-CH"/>
              </w:rPr>
              <w:t>Études relatives aux besoins de spectre et à l'attribution possible de la bande de fréquences 51,4-52,4 GHz au service fixe par satellite (Terre vers espace)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8CF28B" w14:textId="5881C36D"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de la </w:t>
            </w:r>
            <w:r w:rsidRPr="00E0088F">
              <w:rPr>
                <w:b/>
                <w:bCs/>
                <w:lang w:val="fr-CH"/>
              </w:rPr>
              <w:t>question 9.1.9 au titre du point 9.1 de l'ordre du jour</w:t>
            </w:r>
            <w:r w:rsidRPr="00E0088F">
              <w:rPr>
                <w:lang w:val="fr-CH"/>
              </w:rPr>
              <w:t xml:space="preserve"> de la CMR</w:t>
            </w:r>
            <w:r w:rsidRPr="00E0088F">
              <w:rPr>
                <w:bCs/>
                <w:lang w:val="fr-CH"/>
              </w:rPr>
              <w:noBreakHyphen/>
              <w:t>19, cette Résolution devrait être supprimée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41ACB8" w14:textId="77777777" w:rsidR="002151C3" w:rsidRPr="00E0088F" w:rsidRDefault="002151C3" w:rsidP="006C5A84">
            <w:pPr>
              <w:pStyle w:val="Tabletext"/>
              <w:jc w:val="center"/>
              <w:rPr>
                <w:lang w:val="fr-CH"/>
              </w:rPr>
            </w:pPr>
            <w:r w:rsidRPr="00E0088F">
              <w:rPr>
                <w:lang w:val="fr-CH"/>
              </w:rPr>
              <w:t>SUP</w:t>
            </w:r>
          </w:p>
        </w:tc>
      </w:tr>
      <w:tr w:rsidR="002151C3" w:rsidRPr="00E0088F" w14:paraId="39BAF2A8"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0C728A8" w14:textId="77777777" w:rsidR="002151C3" w:rsidRPr="00E0088F" w:rsidRDefault="002151C3" w:rsidP="006C5A84">
            <w:pPr>
              <w:pStyle w:val="Tabletext"/>
              <w:jc w:val="center"/>
              <w:rPr>
                <w:lang w:val="fr-CH"/>
              </w:rPr>
            </w:pPr>
            <w:r w:rsidRPr="00E0088F">
              <w:rPr>
                <w:lang w:val="fr-CH"/>
              </w:rPr>
              <w:t>163</w:t>
            </w:r>
          </w:p>
        </w:tc>
        <w:tc>
          <w:tcPr>
            <w:tcW w:w="2551" w:type="dxa"/>
            <w:tcBorders>
              <w:top w:val="single" w:sz="6" w:space="0" w:color="auto"/>
              <w:left w:val="single" w:sz="6" w:space="0" w:color="auto"/>
              <w:bottom w:val="single" w:sz="6" w:space="0" w:color="auto"/>
              <w:right w:val="single" w:sz="6" w:space="0" w:color="auto"/>
            </w:tcBorders>
            <w:hideMark/>
          </w:tcPr>
          <w:p w14:paraId="236F9C6F" w14:textId="53DF3844" w:rsidR="002151C3" w:rsidRPr="00E0088F" w:rsidRDefault="00F56F88" w:rsidP="006C5A84">
            <w:pPr>
              <w:pStyle w:val="Tabletext"/>
              <w:rPr>
                <w:color w:val="000000"/>
                <w:lang w:val="fr-CH"/>
              </w:rPr>
            </w:pPr>
            <w:r w:rsidRPr="00E0088F">
              <w:rPr>
                <w:color w:val="000000"/>
                <w:lang w:val="fr-CH"/>
              </w:rPr>
              <w:t>Utilisation des bandes de fréquences 17,7-19,7 GHz (espace vers Terre) et 27,5</w:t>
            </w:r>
            <w:r w:rsidR="00627586" w:rsidRPr="00E0088F">
              <w:rPr>
                <w:color w:val="000000"/>
                <w:lang w:val="fr-CH"/>
              </w:rPr>
              <w:noBreakHyphen/>
            </w:r>
            <w:r w:rsidRPr="00E0088F">
              <w:rPr>
                <w:color w:val="000000"/>
                <w:lang w:val="fr-CH"/>
              </w:rPr>
              <w:t>29,5 GHz (Terre vers espace) par des stations terriennes en mouvement communiquant avec des stations spatiales géostationnaires du service fixe par satellite</w:t>
            </w:r>
          </w:p>
        </w:tc>
        <w:tc>
          <w:tcPr>
            <w:tcW w:w="3625" w:type="dxa"/>
            <w:tcBorders>
              <w:top w:val="single" w:sz="6" w:space="0" w:color="auto"/>
              <w:left w:val="single" w:sz="6" w:space="0" w:color="auto"/>
              <w:bottom w:val="single" w:sz="6" w:space="0" w:color="auto"/>
              <w:right w:val="single" w:sz="6" w:space="0" w:color="auto"/>
            </w:tcBorders>
            <w:hideMark/>
          </w:tcPr>
          <w:p w14:paraId="0BD11B47" w14:textId="77777777" w:rsidR="002151C3" w:rsidRPr="00E0088F" w:rsidRDefault="002151C3" w:rsidP="006C5A84">
            <w:pPr>
              <w:pStyle w:val="Tabletext"/>
              <w:rPr>
                <w:lang w:val="fr-CH"/>
              </w:rPr>
            </w:pPr>
            <w:r w:rsidRPr="00E0088F">
              <w:rPr>
                <w:lang w:val="fr-CH"/>
              </w:rPr>
              <w:t xml:space="preserve">(CMR-15). A toujours lieu d'être, mais cette question ne concerne que les Régions 1 et 2. Cette Résolution est citée dans les numéros </w:t>
            </w:r>
            <w:r w:rsidRPr="00E0088F">
              <w:rPr>
                <w:b/>
                <w:bCs/>
                <w:lang w:val="fr-CH"/>
              </w:rPr>
              <w:t>5.509B</w:t>
            </w:r>
            <w:r w:rsidRPr="00E0088F">
              <w:rPr>
                <w:lang w:val="fr-CH"/>
              </w:rPr>
              <w:t xml:space="preserve">, </w:t>
            </w:r>
            <w:r w:rsidRPr="00E0088F">
              <w:rPr>
                <w:b/>
                <w:bCs/>
                <w:lang w:val="fr-CH"/>
              </w:rPr>
              <w:t>5.509C</w:t>
            </w:r>
            <w:r w:rsidRPr="00E0088F">
              <w:rPr>
                <w:lang w:val="fr-CH"/>
              </w:rPr>
              <w:t xml:space="preserve">, </w:t>
            </w:r>
            <w:r w:rsidRPr="00E0088F">
              <w:rPr>
                <w:b/>
                <w:bCs/>
                <w:lang w:val="fr-CH"/>
              </w:rPr>
              <w:t>5.509D</w:t>
            </w:r>
            <w:r w:rsidRPr="00E0088F">
              <w:rPr>
                <w:lang w:val="fr-CH"/>
              </w:rPr>
              <w:t xml:space="preserve">, </w:t>
            </w:r>
            <w:r w:rsidRPr="00E0088F">
              <w:rPr>
                <w:b/>
                <w:bCs/>
                <w:lang w:val="fr-CH"/>
              </w:rPr>
              <w:t>5.509E</w:t>
            </w:r>
            <w:r w:rsidRPr="00E0088F">
              <w:rPr>
                <w:lang w:val="fr-CH"/>
              </w:rPr>
              <w:t xml:space="preserve">, </w:t>
            </w:r>
            <w:r w:rsidRPr="00E0088F">
              <w:rPr>
                <w:b/>
                <w:bCs/>
                <w:lang w:val="fr-CH"/>
              </w:rPr>
              <w:t>5.509F</w:t>
            </w:r>
            <w:r w:rsidRPr="00E0088F">
              <w:rPr>
                <w:lang w:val="fr-CH"/>
              </w:rPr>
              <w:t xml:space="preserve">, </w:t>
            </w:r>
            <w:r w:rsidRPr="00E0088F">
              <w:rPr>
                <w:b/>
                <w:bCs/>
                <w:lang w:val="fr-CH"/>
              </w:rPr>
              <w:t>5.510</w:t>
            </w:r>
            <w:r w:rsidRPr="00E0088F">
              <w:rPr>
                <w:lang w:val="fr-CH"/>
              </w:rPr>
              <w:t xml:space="preserve"> et </w:t>
            </w:r>
            <w:r w:rsidRPr="00E0088F">
              <w:rPr>
                <w:b/>
                <w:bCs/>
                <w:lang w:val="fr-CH"/>
              </w:rPr>
              <w:t>22.40</w:t>
            </w:r>
            <w:r w:rsidRPr="00E0088F">
              <w:rPr>
                <w:lang w:val="fr-CH"/>
              </w:rPr>
              <w:t xml:space="preserve"> ainsi que dans les Appendices </w:t>
            </w:r>
            <w:r w:rsidRPr="00E0088F">
              <w:rPr>
                <w:b/>
                <w:bCs/>
                <w:lang w:val="fr-CH"/>
              </w:rPr>
              <w:t>4</w:t>
            </w:r>
            <w:r w:rsidRPr="00E0088F">
              <w:rPr>
                <w:lang w:val="fr-CH"/>
              </w:rPr>
              <w:t xml:space="preserve"> et </w:t>
            </w:r>
            <w:r w:rsidRPr="00E0088F">
              <w:rPr>
                <w:b/>
                <w:bCs/>
                <w:lang w:val="fr-CH"/>
              </w:rPr>
              <w:t>30A</w:t>
            </w:r>
            <w:r w:rsidRPr="00E0088F">
              <w:rPr>
                <w:lang w:val="fr-CH"/>
              </w:rPr>
              <w:t xml:space="preserve">. </w:t>
            </w:r>
          </w:p>
        </w:tc>
        <w:tc>
          <w:tcPr>
            <w:tcW w:w="2045" w:type="dxa"/>
            <w:tcBorders>
              <w:top w:val="single" w:sz="6" w:space="0" w:color="auto"/>
              <w:left w:val="single" w:sz="6" w:space="0" w:color="auto"/>
              <w:bottom w:val="single" w:sz="6" w:space="0" w:color="auto"/>
              <w:right w:val="single" w:sz="6" w:space="0" w:color="auto"/>
            </w:tcBorders>
            <w:hideMark/>
          </w:tcPr>
          <w:p w14:paraId="70103B2C" w14:textId="77777777" w:rsidR="002151C3" w:rsidRPr="00E0088F" w:rsidRDefault="002151C3" w:rsidP="006C5A84">
            <w:pPr>
              <w:pStyle w:val="Tabletext"/>
              <w:jc w:val="center"/>
              <w:rPr>
                <w:lang w:val="fr-CH"/>
              </w:rPr>
            </w:pPr>
            <w:r w:rsidRPr="00E0088F">
              <w:rPr>
                <w:lang w:val="fr-CH"/>
              </w:rPr>
              <w:t>N/A</w:t>
            </w:r>
          </w:p>
        </w:tc>
      </w:tr>
      <w:tr w:rsidR="002151C3" w:rsidRPr="00E0088F" w14:paraId="44961772"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3FBF19E" w14:textId="77777777" w:rsidR="002151C3" w:rsidRPr="00E0088F" w:rsidRDefault="002151C3" w:rsidP="006C5A84">
            <w:pPr>
              <w:pStyle w:val="Tabletext"/>
              <w:jc w:val="center"/>
              <w:rPr>
                <w:lang w:val="fr-CH"/>
              </w:rPr>
            </w:pPr>
            <w:r w:rsidRPr="00E0088F">
              <w:rPr>
                <w:lang w:val="fr-CH"/>
              </w:rPr>
              <w:lastRenderedPageBreak/>
              <w:t>164</w:t>
            </w:r>
          </w:p>
        </w:tc>
        <w:tc>
          <w:tcPr>
            <w:tcW w:w="2551" w:type="dxa"/>
            <w:tcBorders>
              <w:top w:val="single" w:sz="6" w:space="0" w:color="auto"/>
              <w:left w:val="single" w:sz="6" w:space="0" w:color="auto"/>
              <w:bottom w:val="single" w:sz="6" w:space="0" w:color="auto"/>
              <w:right w:val="single" w:sz="6" w:space="0" w:color="auto"/>
            </w:tcBorders>
            <w:hideMark/>
          </w:tcPr>
          <w:p w14:paraId="03712B65" w14:textId="47583186" w:rsidR="002151C3" w:rsidRPr="00E0088F" w:rsidRDefault="002151C3" w:rsidP="006C5A84">
            <w:pPr>
              <w:pStyle w:val="Tabletext"/>
              <w:rPr>
                <w:color w:val="000000"/>
                <w:lang w:val="fr-CH"/>
              </w:rPr>
            </w:pPr>
            <w:r w:rsidRPr="00E0088F">
              <w:rPr>
                <w:color w:val="000000"/>
                <w:lang w:val="fr-CH"/>
              </w:rPr>
              <w:t>Déploiement de stations terriennes du service fixe par satellite (Terre vers espace) dans la bande de fréquences 14,5-14,</w:t>
            </w:r>
            <w:r w:rsidR="00DD0F5C" w:rsidRPr="00E0088F">
              <w:rPr>
                <w:color w:val="000000"/>
                <w:lang w:val="fr-CH"/>
              </w:rPr>
              <w:t>75 </w:t>
            </w:r>
            <w:r w:rsidRPr="00E0088F">
              <w:rPr>
                <w:color w:val="000000"/>
                <w:lang w:val="fr-CH"/>
              </w:rPr>
              <w:t>GHz dans certains pays de la Région 3 pour une utilisation autre que les liaisons de connexion du service de radiodiffusion par satellite</w:t>
            </w:r>
          </w:p>
        </w:tc>
        <w:tc>
          <w:tcPr>
            <w:tcW w:w="3625" w:type="dxa"/>
            <w:tcBorders>
              <w:top w:val="single" w:sz="6" w:space="0" w:color="auto"/>
              <w:left w:val="single" w:sz="6" w:space="0" w:color="auto"/>
              <w:bottom w:val="single" w:sz="6" w:space="0" w:color="auto"/>
              <w:right w:val="single" w:sz="6" w:space="0" w:color="auto"/>
            </w:tcBorders>
            <w:hideMark/>
          </w:tcPr>
          <w:p w14:paraId="279A71DF" w14:textId="77777777" w:rsidR="002151C3" w:rsidRPr="00E0088F" w:rsidRDefault="002151C3" w:rsidP="006C5A84">
            <w:pPr>
              <w:pStyle w:val="Tabletext"/>
              <w:rPr>
                <w:lang w:val="fr-CH"/>
              </w:rPr>
            </w:pPr>
            <w:r w:rsidRPr="00E0088F">
              <w:rPr>
                <w:lang w:val="fr-CH"/>
              </w:rPr>
              <w:t xml:space="preserve">(CMR-15). A toujours lieu d'être. Cette Résolution est citée dans les numéros </w:t>
            </w:r>
            <w:r w:rsidRPr="00E0088F">
              <w:rPr>
                <w:b/>
                <w:bCs/>
                <w:lang w:val="fr-CH"/>
              </w:rPr>
              <w:t>5.509B</w:t>
            </w:r>
            <w:r w:rsidRPr="00E0088F">
              <w:rPr>
                <w:lang w:val="fr-CH"/>
              </w:rPr>
              <w:t xml:space="preserve">, </w:t>
            </w:r>
            <w:r w:rsidRPr="00E0088F">
              <w:rPr>
                <w:b/>
                <w:bCs/>
                <w:lang w:val="fr-CH"/>
              </w:rPr>
              <w:t>5.509C</w:t>
            </w:r>
            <w:r w:rsidRPr="00E0088F">
              <w:rPr>
                <w:lang w:val="fr-CH"/>
              </w:rPr>
              <w:t xml:space="preserve">, </w:t>
            </w:r>
            <w:r w:rsidRPr="00E0088F">
              <w:rPr>
                <w:b/>
                <w:bCs/>
                <w:lang w:val="fr-CH"/>
              </w:rPr>
              <w:t>5.509D</w:t>
            </w:r>
            <w:r w:rsidRPr="00E0088F">
              <w:rPr>
                <w:lang w:val="fr-CH"/>
              </w:rPr>
              <w:t xml:space="preserve">, </w:t>
            </w:r>
            <w:r w:rsidRPr="00E0088F">
              <w:rPr>
                <w:b/>
                <w:bCs/>
                <w:lang w:val="fr-CH"/>
              </w:rPr>
              <w:t>5.509E</w:t>
            </w:r>
            <w:r w:rsidRPr="00E0088F">
              <w:rPr>
                <w:lang w:val="fr-CH"/>
              </w:rPr>
              <w:t xml:space="preserve">, </w:t>
            </w:r>
            <w:r w:rsidRPr="00E0088F">
              <w:rPr>
                <w:b/>
                <w:bCs/>
                <w:lang w:val="fr-CH"/>
              </w:rPr>
              <w:t>5.509F</w:t>
            </w:r>
            <w:r w:rsidRPr="00E0088F">
              <w:rPr>
                <w:lang w:val="fr-CH"/>
              </w:rPr>
              <w:t xml:space="preserve">, </w:t>
            </w:r>
            <w:r w:rsidRPr="00E0088F">
              <w:rPr>
                <w:b/>
                <w:bCs/>
                <w:lang w:val="fr-CH"/>
              </w:rPr>
              <w:t>5.510</w:t>
            </w:r>
            <w:r w:rsidRPr="00E0088F">
              <w:rPr>
                <w:lang w:val="fr-CH"/>
              </w:rPr>
              <w:t xml:space="preserve"> et </w:t>
            </w:r>
            <w:r w:rsidRPr="00E0088F">
              <w:rPr>
                <w:b/>
                <w:bCs/>
                <w:lang w:val="fr-CH"/>
              </w:rPr>
              <w:t>22.40</w:t>
            </w:r>
            <w:r w:rsidRPr="00E0088F">
              <w:rPr>
                <w:lang w:val="fr-CH"/>
              </w:rPr>
              <w:t xml:space="preserve"> ainsi que dans les Appendices </w:t>
            </w:r>
            <w:r w:rsidRPr="00E0088F">
              <w:rPr>
                <w:b/>
                <w:bCs/>
                <w:lang w:val="fr-CH"/>
              </w:rPr>
              <w:t>4</w:t>
            </w:r>
            <w:r w:rsidRPr="00E0088F">
              <w:rPr>
                <w:lang w:val="fr-CH"/>
              </w:rPr>
              <w:t xml:space="preserve"> et </w:t>
            </w:r>
            <w:r w:rsidRPr="00E0088F">
              <w:rPr>
                <w:b/>
                <w:bCs/>
                <w:lang w:val="fr-CH"/>
              </w:rPr>
              <w:t>30A</w:t>
            </w:r>
            <w:r w:rsidRPr="00E0088F">
              <w:rPr>
                <w:lang w:val="fr-CH"/>
              </w:rPr>
              <w:t>. Une nouvelle Recommandation UIT-R S.2112-0 relative aux lignes directrices à suivre pour mener une coordination bilatérale en vue de la conclusion d'accords explicites dans cette bande a été élaborée.</w:t>
            </w:r>
          </w:p>
        </w:tc>
        <w:tc>
          <w:tcPr>
            <w:tcW w:w="2045" w:type="dxa"/>
            <w:tcBorders>
              <w:top w:val="single" w:sz="6" w:space="0" w:color="auto"/>
              <w:left w:val="single" w:sz="6" w:space="0" w:color="auto"/>
              <w:bottom w:val="single" w:sz="6" w:space="0" w:color="auto"/>
              <w:right w:val="single" w:sz="6" w:space="0" w:color="auto"/>
            </w:tcBorders>
            <w:hideMark/>
          </w:tcPr>
          <w:p w14:paraId="6B0F49FB" w14:textId="77777777" w:rsidR="002151C3" w:rsidRPr="00E0088F" w:rsidRDefault="002151C3" w:rsidP="006C5A84">
            <w:pPr>
              <w:pStyle w:val="Tabletext"/>
              <w:jc w:val="center"/>
              <w:rPr>
                <w:lang w:val="fr-CH"/>
              </w:rPr>
            </w:pPr>
            <w:r w:rsidRPr="00E0088F">
              <w:rPr>
                <w:lang w:val="fr-CH"/>
              </w:rPr>
              <w:t>NOC</w:t>
            </w:r>
          </w:p>
        </w:tc>
      </w:tr>
      <w:tr w:rsidR="002151C3" w:rsidRPr="00E0088F" w14:paraId="5C332DB0"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D0E5498" w14:textId="77777777" w:rsidR="002151C3" w:rsidRPr="00E0088F" w:rsidRDefault="002151C3" w:rsidP="006C5A84">
            <w:pPr>
              <w:pStyle w:val="Tabletext"/>
              <w:jc w:val="center"/>
              <w:rPr>
                <w:lang w:val="fr-CH"/>
              </w:rPr>
            </w:pPr>
            <w:r w:rsidRPr="00E0088F">
              <w:rPr>
                <w:lang w:val="fr-CH"/>
              </w:rPr>
              <w:t>205</w:t>
            </w:r>
          </w:p>
        </w:tc>
        <w:tc>
          <w:tcPr>
            <w:tcW w:w="2551" w:type="dxa"/>
            <w:tcBorders>
              <w:top w:val="single" w:sz="6" w:space="0" w:color="auto"/>
              <w:left w:val="single" w:sz="6" w:space="0" w:color="auto"/>
              <w:bottom w:val="single" w:sz="6" w:space="0" w:color="auto"/>
              <w:right w:val="single" w:sz="6" w:space="0" w:color="auto"/>
            </w:tcBorders>
            <w:hideMark/>
          </w:tcPr>
          <w:p w14:paraId="39D01F70" w14:textId="77777777" w:rsidR="002151C3" w:rsidRPr="00E0088F" w:rsidRDefault="002151C3" w:rsidP="006C5A84">
            <w:pPr>
              <w:pStyle w:val="Tabletext"/>
              <w:rPr>
                <w:lang w:val="fr-CH"/>
              </w:rPr>
            </w:pPr>
            <w:r w:rsidRPr="00E0088F">
              <w:rPr>
                <w:color w:val="000000"/>
                <w:lang w:val="fr-CH"/>
              </w:rPr>
              <w:t>Protection du SMS dans la bande 406</w:t>
            </w:r>
            <w:r w:rsidRPr="00E0088F">
              <w:rPr>
                <w:color w:val="000000"/>
                <w:lang w:val="fr-CH"/>
              </w:rPr>
              <w:noBreakHyphen/>
              <w:t>406,1 MHz</w:t>
            </w:r>
          </w:p>
        </w:tc>
        <w:tc>
          <w:tcPr>
            <w:tcW w:w="3625" w:type="dxa"/>
            <w:tcBorders>
              <w:top w:val="single" w:sz="6" w:space="0" w:color="auto"/>
              <w:left w:val="single" w:sz="6" w:space="0" w:color="auto"/>
              <w:bottom w:val="single" w:sz="6" w:space="0" w:color="auto"/>
              <w:right w:val="single" w:sz="6" w:space="0" w:color="auto"/>
            </w:tcBorders>
            <w:hideMark/>
          </w:tcPr>
          <w:p w14:paraId="0052EBD3" w14:textId="77777777" w:rsidR="002151C3" w:rsidRPr="00E0088F" w:rsidRDefault="002151C3" w:rsidP="006C5A84">
            <w:pPr>
              <w:pStyle w:val="Tabletext"/>
              <w:rPr>
                <w:color w:val="000000"/>
                <w:position w:val="6"/>
                <w:sz w:val="18"/>
                <w:lang w:val="fr-CH"/>
              </w:rPr>
            </w:pPr>
            <w:r w:rsidRPr="00E0088F">
              <w:rPr>
                <w:lang w:val="fr-CH"/>
              </w:rPr>
              <w:t xml:space="preserve">(Rév.CMR-15). A toujours lieu d'être. Cette Résolution est citée dans le numéro </w:t>
            </w:r>
            <w:r w:rsidRPr="00E0088F">
              <w:rPr>
                <w:b/>
                <w:bCs/>
                <w:lang w:val="fr-CH"/>
              </w:rPr>
              <w:t>5.265</w:t>
            </w:r>
            <w:r w:rsidRPr="00E0088F">
              <w:rPr>
                <w:lang w:val="fr-CH"/>
              </w:rPr>
              <w:t xml:space="preserve"> et dans les Résolutions </w:t>
            </w:r>
            <w:r w:rsidRPr="00E0088F">
              <w:rPr>
                <w:b/>
                <w:bCs/>
                <w:lang w:val="fr-CH"/>
              </w:rPr>
              <w:t>646 (Rév.CMR-15)</w:t>
            </w:r>
            <w:r w:rsidRPr="00E0088F">
              <w:rPr>
                <w:lang w:val="fr-CH"/>
              </w:rPr>
              <w:t xml:space="preserve"> et </w:t>
            </w:r>
            <w:r w:rsidRPr="00E0088F">
              <w:rPr>
                <w:b/>
                <w:bCs/>
                <w:lang w:val="fr-CH"/>
              </w:rPr>
              <w:t>659 (CMR-15)</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082DB2DB" w14:textId="77777777" w:rsidR="002151C3" w:rsidRPr="00E0088F" w:rsidRDefault="002151C3" w:rsidP="006C5A84">
            <w:pPr>
              <w:pStyle w:val="Tabletext"/>
              <w:jc w:val="center"/>
              <w:rPr>
                <w:lang w:val="fr-CH"/>
              </w:rPr>
            </w:pPr>
            <w:r w:rsidRPr="00E0088F">
              <w:rPr>
                <w:lang w:val="fr-CH"/>
              </w:rPr>
              <w:t>NOC</w:t>
            </w:r>
          </w:p>
        </w:tc>
      </w:tr>
      <w:tr w:rsidR="002151C3" w:rsidRPr="00E0088F" w14:paraId="1FC735DF"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26C8EA6" w14:textId="77777777" w:rsidR="002151C3" w:rsidRPr="00E0088F" w:rsidRDefault="002151C3" w:rsidP="006C5A84">
            <w:pPr>
              <w:pStyle w:val="Tabletext"/>
              <w:jc w:val="center"/>
              <w:rPr>
                <w:lang w:val="fr-CH"/>
              </w:rPr>
            </w:pPr>
            <w:r w:rsidRPr="00E0088F">
              <w:rPr>
                <w:lang w:val="fr-CH"/>
              </w:rPr>
              <w:t>207</w:t>
            </w:r>
          </w:p>
        </w:tc>
        <w:tc>
          <w:tcPr>
            <w:tcW w:w="2551" w:type="dxa"/>
            <w:tcBorders>
              <w:top w:val="single" w:sz="6" w:space="0" w:color="auto"/>
              <w:left w:val="single" w:sz="6" w:space="0" w:color="auto"/>
              <w:bottom w:val="single" w:sz="6" w:space="0" w:color="auto"/>
              <w:right w:val="single" w:sz="6" w:space="0" w:color="auto"/>
            </w:tcBorders>
            <w:hideMark/>
          </w:tcPr>
          <w:p w14:paraId="09A93912" w14:textId="77777777" w:rsidR="002151C3" w:rsidRPr="00E0088F" w:rsidRDefault="002151C3" w:rsidP="006C5A84">
            <w:pPr>
              <w:pStyle w:val="Tabletext"/>
              <w:rPr>
                <w:lang w:val="fr-CH"/>
              </w:rPr>
            </w:pPr>
            <w:r w:rsidRPr="00E0088F">
              <w:rPr>
                <w:color w:val="000000"/>
                <w:lang w:val="fr-CH"/>
              </w:rPr>
              <w:t>Surveillance du SMM/SMA(R)</w:t>
            </w:r>
          </w:p>
        </w:tc>
        <w:tc>
          <w:tcPr>
            <w:tcW w:w="3625" w:type="dxa"/>
            <w:tcBorders>
              <w:top w:val="single" w:sz="6" w:space="0" w:color="auto"/>
              <w:left w:val="single" w:sz="6" w:space="0" w:color="auto"/>
              <w:bottom w:val="single" w:sz="6" w:space="0" w:color="auto"/>
              <w:right w:val="single" w:sz="6" w:space="0" w:color="auto"/>
            </w:tcBorders>
            <w:hideMark/>
          </w:tcPr>
          <w:p w14:paraId="3BFF14F2" w14:textId="77777777" w:rsidR="002151C3" w:rsidRPr="00E0088F" w:rsidRDefault="002151C3" w:rsidP="006C5A84">
            <w:pPr>
              <w:pStyle w:val="Tabletext"/>
              <w:rPr>
                <w:rStyle w:val="FootnoteReference"/>
                <w:color w:val="000000"/>
                <w:lang w:val="fr-CH"/>
              </w:rPr>
            </w:pPr>
            <w:r w:rsidRPr="00E0088F">
              <w:rPr>
                <w:lang w:val="fr-CH"/>
              </w:rPr>
              <w:t>(Rév.CMR-15). A toujours lieu d'être.</w:t>
            </w:r>
            <w:r w:rsidRPr="00E0088F">
              <w:rPr>
                <w:color w:val="000000"/>
                <w:sz w:val="24"/>
                <w:lang w:val="fr-CH"/>
              </w:rPr>
              <w:t xml:space="preserve"> </w:t>
            </w:r>
            <w:r w:rsidRPr="00E0088F">
              <w:rPr>
                <w:lang w:val="fr-CH"/>
              </w:rPr>
              <w:t>Le texte a été mis à jour à la CMR-15.</w:t>
            </w:r>
          </w:p>
        </w:tc>
        <w:tc>
          <w:tcPr>
            <w:tcW w:w="2045" w:type="dxa"/>
            <w:tcBorders>
              <w:top w:val="single" w:sz="6" w:space="0" w:color="auto"/>
              <w:left w:val="single" w:sz="6" w:space="0" w:color="auto"/>
              <w:bottom w:val="single" w:sz="6" w:space="0" w:color="auto"/>
              <w:right w:val="single" w:sz="6" w:space="0" w:color="auto"/>
            </w:tcBorders>
            <w:hideMark/>
          </w:tcPr>
          <w:p w14:paraId="43D3649A" w14:textId="77777777" w:rsidR="002151C3" w:rsidRPr="00E0088F" w:rsidRDefault="002151C3" w:rsidP="006C5A84">
            <w:pPr>
              <w:pStyle w:val="Tabletext"/>
              <w:jc w:val="center"/>
              <w:rPr>
                <w:lang w:val="fr-CH"/>
              </w:rPr>
            </w:pPr>
            <w:r w:rsidRPr="00E0088F">
              <w:rPr>
                <w:lang w:val="fr-CH"/>
              </w:rPr>
              <w:t>NOC</w:t>
            </w:r>
          </w:p>
        </w:tc>
      </w:tr>
      <w:tr w:rsidR="002151C3" w:rsidRPr="00E0088F" w14:paraId="653DE9F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6A8241" w14:textId="77777777" w:rsidR="002151C3" w:rsidRPr="00E0088F" w:rsidRDefault="002151C3" w:rsidP="006C5A84">
            <w:pPr>
              <w:pStyle w:val="Tabletext"/>
              <w:jc w:val="center"/>
              <w:rPr>
                <w:lang w:val="fr-CH"/>
              </w:rPr>
            </w:pPr>
            <w:r w:rsidRPr="00E0088F">
              <w:rPr>
                <w:lang w:val="fr-CH"/>
              </w:rPr>
              <w:t>212</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13D413" w14:textId="77777777" w:rsidR="002151C3" w:rsidRPr="00E0088F" w:rsidRDefault="002151C3" w:rsidP="006C5A84">
            <w:pPr>
              <w:pStyle w:val="Tabletext"/>
              <w:rPr>
                <w:lang w:val="fr-CH"/>
              </w:rPr>
            </w:pPr>
            <w:r w:rsidRPr="00E0088F">
              <w:rPr>
                <w:color w:val="000000"/>
                <w:lang w:val="fr-CH"/>
              </w:rPr>
              <w:t>Mise en œuvre des IMT</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BBBC49" w14:textId="72E3BB22" w:rsidR="002151C3" w:rsidRPr="00E0088F" w:rsidRDefault="002151C3" w:rsidP="006C5A84">
            <w:pPr>
              <w:pStyle w:val="Tabletext"/>
              <w:rPr>
                <w:bCs/>
                <w:lang w:val="fr-CH"/>
              </w:rPr>
            </w:pPr>
            <w:r w:rsidRPr="00E0088F">
              <w:rPr>
                <w:lang w:val="fr-CH"/>
              </w:rPr>
              <w:t xml:space="preserve">(Rév.CMR-15). </w:t>
            </w:r>
            <w:r w:rsidR="002601FA" w:rsidRPr="00E0088F">
              <w:rPr>
                <w:lang w:val="fr-CH"/>
              </w:rPr>
              <w:t xml:space="preserve">À l'issue de l'examen de la </w:t>
            </w:r>
            <w:r w:rsidRPr="00E0088F">
              <w:rPr>
                <w:b/>
                <w:bCs/>
                <w:lang w:val="fr-CH"/>
              </w:rPr>
              <w:t>question 9.1.1 du point 9.1 de l'ordre du jour</w:t>
            </w:r>
            <w:r w:rsidRPr="00E0088F">
              <w:rPr>
                <w:lang w:val="fr-CH"/>
              </w:rPr>
              <w:t xml:space="preserve"> de la CMR</w:t>
            </w:r>
            <w:r w:rsidRPr="00E0088F">
              <w:rPr>
                <w:bCs/>
                <w:lang w:val="fr-CH"/>
              </w:rPr>
              <w:noBreakHyphen/>
              <w:t>19,</w:t>
            </w:r>
            <w:r w:rsidRPr="00E0088F">
              <w:rPr>
                <w:lang w:val="fr-CH"/>
              </w:rPr>
              <w:t xml:space="preserve"> aucune proposition concernant cette Résolution</w:t>
            </w:r>
            <w:r w:rsidR="00253D4F" w:rsidRPr="00E0088F">
              <w:rPr>
                <w:lang w:val="fr-CH"/>
              </w:rPr>
              <w:t xml:space="preserve"> n</w:t>
            </w:r>
            <w:r w:rsidR="006C5A84" w:rsidRPr="00E0088F">
              <w:rPr>
                <w:lang w:val="fr-CH"/>
              </w:rPr>
              <w:t>'</w:t>
            </w:r>
            <w:r w:rsidR="00253D4F" w:rsidRPr="00E0088F">
              <w:rPr>
                <w:lang w:val="fr-CH"/>
              </w:rPr>
              <w:t>est faite</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331F21" w14:textId="77777777" w:rsidR="002151C3" w:rsidRPr="00E0088F" w:rsidRDefault="002151C3" w:rsidP="006C5A84">
            <w:pPr>
              <w:pStyle w:val="Tabletext"/>
              <w:jc w:val="center"/>
              <w:rPr>
                <w:lang w:val="fr-CH"/>
              </w:rPr>
            </w:pPr>
            <w:r w:rsidRPr="00E0088F">
              <w:rPr>
                <w:lang w:val="fr-CH"/>
              </w:rPr>
              <w:t>---</w:t>
            </w:r>
          </w:p>
        </w:tc>
      </w:tr>
      <w:tr w:rsidR="002151C3" w:rsidRPr="00E0088F" w14:paraId="6E42C94D"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3456C52" w14:textId="77777777" w:rsidR="002151C3" w:rsidRPr="00E0088F" w:rsidRDefault="002151C3" w:rsidP="006C5A84">
            <w:pPr>
              <w:pStyle w:val="Tabletext"/>
              <w:jc w:val="center"/>
              <w:rPr>
                <w:lang w:val="fr-CH"/>
              </w:rPr>
            </w:pPr>
            <w:r w:rsidRPr="00E0088F">
              <w:rPr>
                <w:lang w:val="fr-CH"/>
              </w:rPr>
              <w:t>215</w:t>
            </w:r>
          </w:p>
        </w:tc>
        <w:tc>
          <w:tcPr>
            <w:tcW w:w="2551" w:type="dxa"/>
            <w:tcBorders>
              <w:top w:val="single" w:sz="6" w:space="0" w:color="auto"/>
              <w:left w:val="single" w:sz="6" w:space="0" w:color="auto"/>
              <w:bottom w:val="single" w:sz="6" w:space="0" w:color="auto"/>
              <w:right w:val="single" w:sz="6" w:space="0" w:color="auto"/>
            </w:tcBorders>
            <w:hideMark/>
          </w:tcPr>
          <w:p w14:paraId="6959331E" w14:textId="17A59B1F" w:rsidR="002151C3" w:rsidRPr="00E0088F" w:rsidRDefault="002151C3" w:rsidP="006C5A84">
            <w:pPr>
              <w:pStyle w:val="Tabletext"/>
              <w:rPr>
                <w:lang w:val="fr-CH"/>
              </w:rPr>
            </w:pPr>
            <w:r w:rsidRPr="00E0088F">
              <w:rPr>
                <w:color w:val="000000"/>
                <w:lang w:val="fr-CH"/>
              </w:rPr>
              <w:t>Coordination entre systèmes du SMS</w:t>
            </w:r>
            <w:r w:rsidRPr="00E0088F">
              <w:rPr>
                <w:lang w:val="fr-CH"/>
              </w:rPr>
              <w:t xml:space="preserve"> </w:t>
            </w:r>
            <w:r w:rsidR="00253D4F" w:rsidRPr="00E0088F">
              <w:rPr>
                <w:lang w:val="fr-CH"/>
              </w:rPr>
              <w:t>dans la bande 1</w:t>
            </w:r>
            <w:r w:rsidR="00627586" w:rsidRPr="00E0088F">
              <w:rPr>
                <w:lang w:val="fr-CH"/>
              </w:rPr>
              <w:noBreakHyphen/>
            </w:r>
            <w:r w:rsidR="00253D4F" w:rsidRPr="00E0088F">
              <w:rPr>
                <w:lang w:val="fr-CH"/>
              </w:rPr>
              <w:t>3</w:t>
            </w:r>
            <w:r w:rsidR="00627586" w:rsidRPr="00E0088F">
              <w:rPr>
                <w:lang w:val="fr-CH"/>
              </w:rPr>
              <w:t> </w:t>
            </w:r>
            <w:r w:rsidR="00253D4F" w:rsidRPr="00E0088F">
              <w:rPr>
                <w:lang w:val="fr-CH"/>
              </w:rPr>
              <w:t>GHz</w:t>
            </w:r>
          </w:p>
        </w:tc>
        <w:tc>
          <w:tcPr>
            <w:tcW w:w="3625" w:type="dxa"/>
            <w:tcBorders>
              <w:top w:val="single" w:sz="6" w:space="0" w:color="auto"/>
              <w:left w:val="single" w:sz="6" w:space="0" w:color="auto"/>
              <w:bottom w:val="single" w:sz="6" w:space="0" w:color="auto"/>
              <w:right w:val="single" w:sz="6" w:space="0" w:color="auto"/>
            </w:tcBorders>
            <w:hideMark/>
          </w:tcPr>
          <w:p w14:paraId="1E0B01FB" w14:textId="77777777" w:rsidR="002151C3" w:rsidRPr="00E0088F" w:rsidRDefault="002151C3" w:rsidP="006C5A84">
            <w:pPr>
              <w:pStyle w:val="Tabletext"/>
              <w:rPr>
                <w:lang w:val="fr-CH"/>
              </w:rPr>
            </w:pPr>
            <w:r w:rsidRPr="00E0088F">
              <w:rPr>
                <w:lang w:val="fr-CH"/>
              </w:rPr>
              <w:t>(Rév.CMR-12). A toujours lieu d'être. A toujours lieu d'être. Le texte a été mis à jour à la CMR-12. Actuellement, aucun progrès n'est accompli dans le cadre des études de l'UIT-R demandées dans cette Résolution.</w:t>
            </w:r>
          </w:p>
        </w:tc>
        <w:tc>
          <w:tcPr>
            <w:tcW w:w="2045" w:type="dxa"/>
            <w:tcBorders>
              <w:top w:val="single" w:sz="6" w:space="0" w:color="auto"/>
              <w:left w:val="single" w:sz="6" w:space="0" w:color="auto"/>
              <w:bottom w:val="single" w:sz="6" w:space="0" w:color="auto"/>
              <w:right w:val="single" w:sz="6" w:space="0" w:color="auto"/>
            </w:tcBorders>
            <w:hideMark/>
          </w:tcPr>
          <w:p w14:paraId="2757CC3B" w14:textId="77777777" w:rsidR="002151C3" w:rsidRPr="00E0088F" w:rsidRDefault="002151C3" w:rsidP="006C5A84">
            <w:pPr>
              <w:pStyle w:val="Tabletext"/>
              <w:jc w:val="center"/>
              <w:rPr>
                <w:lang w:val="fr-CH"/>
              </w:rPr>
            </w:pPr>
            <w:r w:rsidRPr="00E0088F">
              <w:rPr>
                <w:lang w:val="fr-CH"/>
              </w:rPr>
              <w:t>NOC</w:t>
            </w:r>
          </w:p>
        </w:tc>
      </w:tr>
      <w:tr w:rsidR="002151C3" w:rsidRPr="00E0088F" w14:paraId="51A7DD0B"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3316EF5" w14:textId="77777777" w:rsidR="002151C3" w:rsidRPr="00E0088F" w:rsidRDefault="002151C3" w:rsidP="006C5A84">
            <w:pPr>
              <w:pStyle w:val="Tabletext"/>
              <w:jc w:val="center"/>
              <w:rPr>
                <w:lang w:val="fr-CH"/>
              </w:rPr>
            </w:pPr>
            <w:r w:rsidRPr="00E0088F">
              <w:rPr>
                <w:lang w:val="fr-CH"/>
              </w:rPr>
              <w:t>217</w:t>
            </w:r>
          </w:p>
        </w:tc>
        <w:tc>
          <w:tcPr>
            <w:tcW w:w="2551" w:type="dxa"/>
            <w:tcBorders>
              <w:top w:val="single" w:sz="6" w:space="0" w:color="auto"/>
              <w:left w:val="single" w:sz="6" w:space="0" w:color="auto"/>
              <w:bottom w:val="single" w:sz="6" w:space="0" w:color="auto"/>
              <w:right w:val="single" w:sz="6" w:space="0" w:color="auto"/>
            </w:tcBorders>
            <w:hideMark/>
          </w:tcPr>
          <w:p w14:paraId="6A7A7AB4" w14:textId="77777777" w:rsidR="002151C3" w:rsidRPr="00E0088F" w:rsidRDefault="002151C3" w:rsidP="006C5A84">
            <w:pPr>
              <w:pStyle w:val="Tabletext"/>
              <w:rPr>
                <w:lang w:val="fr-CH"/>
              </w:rPr>
            </w:pPr>
            <w:r w:rsidRPr="00E0088F">
              <w:rPr>
                <w:color w:val="000000"/>
                <w:lang w:val="fr-CH"/>
              </w:rPr>
              <w:t>Radars profileurs de vent</w:t>
            </w:r>
          </w:p>
        </w:tc>
        <w:tc>
          <w:tcPr>
            <w:tcW w:w="3625" w:type="dxa"/>
            <w:tcBorders>
              <w:top w:val="single" w:sz="6" w:space="0" w:color="auto"/>
              <w:left w:val="single" w:sz="6" w:space="0" w:color="auto"/>
              <w:bottom w:val="single" w:sz="6" w:space="0" w:color="auto"/>
              <w:right w:val="single" w:sz="6" w:space="0" w:color="auto"/>
            </w:tcBorders>
            <w:hideMark/>
          </w:tcPr>
          <w:p w14:paraId="77C23317" w14:textId="77777777" w:rsidR="002151C3" w:rsidRPr="00E0088F" w:rsidRDefault="002151C3" w:rsidP="006C5A84">
            <w:pPr>
              <w:pStyle w:val="Tabletext"/>
              <w:rPr>
                <w:lang w:val="fr-CH" w:eastAsia="ja-JP"/>
              </w:rPr>
            </w:pPr>
            <w:r w:rsidRPr="00E0088F">
              <w:rPr>
                <w:lang w:val="fr-CH"/>
              </w:rPr>
              <w:t xml:space="preserve">(CMR-97). A toujours lieu d'être. Cette Résolution est citée dans les numéros </w:t>
            </w:r>
            <w:r w:rsidRPr="00E0088F">
              <w:rPr>
                <w:b/>
                <w:bCs/>
                <w:lang w:val="fr-CH"/>
              </w:rPr>
              <w:t>5.162A</w:t>
            </w:r>
            <w:r w:rsidRPr="00E0088F">
              <w:rPr>
                <w:lang w:val="fr-CH"/>
              </w:rPr>
              <w:t xml:space="preserve"> et </w:t>
            </w:r>
            <w:r w:rsidRPr="00E0088F">
              <w:rPr>
                <w:b/>
                <w:bCs/>
                <w:lang w:val="fr-CH"/>
              </w:rPr>
              <w:t>5.291A</w:t>
            </w:r>
            <w:r w:rsidRPr="00E0088F">
              <w:rPr>
                <w:lang w:val="fr-CH"/>
              </w:rPr>
              <w:t xml:space="preserve"> ainsi que dans la Résolution </w:t>
            </w:r>
            <w:r w:rsidRPr="00E0088F">
              <w:rPr>
                <w:b/>
                <w:bCs/>
                <w:lang w:val="fr-CH"/>
              </w:rPr>
              <w:t>658 (CMR-15)</w:t>
            </w:r>
            <w:r w:rsidRPr="00E0088F">
              <w:rPr>
                <w:lang w:val="fr-CH"/>
              </w:rPr>
              <w:t>.</w:t>
            </w:r>
            <w:r w:rsidRPr="00E0088F">
              <w:rPr>
                <w:color w:val="000000"/>
                <w:sz w:val="24"/>
                <w:lang w:val="fr-CH"/>
              </w:rPr>
              <w:t xml:space="preserve"> </w:t>
            </w:r>
            <w:r w:rsidRPr="00E0088F">
              <w:rPr>
                <w:lang w:val="fr-CH"/>
              </w:rPr>
              <w:t>Des corrections de forme ont été apportées au texte par le Secrétariat à la CMR</w:t>
            </w:r>
            <w:r w:rsidRPr="00E0088F">
              <w:rPr>
                <w:lang w:val="fr-CH"/>
              </w:rPr>
              <w:noBreakHyphen/>
              <w:t>15.</w:t>
            </w:r>
          </w:p>
        </w:tc>
        <w:tc>
          <w:tcPr>
            <w:tcW w:w="2045" w:type="dxa"/>
            <w:tcBorders>
              <w:top w:val="single" w:sz="6" w:space="0" w:color="auto"/>
              <w:left w:val="single" w:sz="6" w:space="0" w:color="auto"/>
              <w:bottom w:val="single" w:sz="6" w:space="0" w:color="auto"/>
              <w:right w:val="single" w:sz="6" w:space="0" w:color="auto"/>
            </w:tcBorders>
            <w:hideMark/>
          </w:tcPr>
          <w:p w14:paraId="702EE22D" w14:textId="77777777" w:rsidR="002151C3" w:rsidRPr="00E0088F" w:rsidRDefault="002151C3" w:rsidP="006C5A84">
            <w:pPr>
              <w:pStyle w:val="Tabletext"/>
              <w:jc w:val="center"/>
              <w:rPr>
                <w:lang w:val="fr-CH"/>
              </w:rPr>
            </w:pPr>
            <w:r w:rsidRPr="00E0088F">
              <w:rPr>
                <w:lang w:val="fr-CH"/>
              </w:rPr>
              <w:t>NOC</w:t>
            </w:r>
          </w:p>
        </w:tc>
      </w:tr>
      <w:tr w:rsidR="002151C3" w:rsidRPr="00E0088F" w14:paraId="3435814C"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FD7E336" w14:textId="77777777" w:rsidR="002151C3" w:rsidRPr="00E0088F" w:rsidRDefault="002151C3" w:rsidP="006C5A84">
            <w:pPr>
              <w:pStyle w:val="Tabletext"/>
              <w:jc w:val="center"/>
              <w:rPr>
                <w:lang w:val="fr-CH"/>
              </w:rPr>
            </w:pPr>
            <w:r w:rsidRPr="00E0088F">
              <w:rPr>
                <w:lang w:val="fr-CH"/>
              </w:rPr>
              <w:t>221</w:t>
            </w:r>
          </w:p>
        </w:tc>
        <w:tc>
          <w:tcPr>
            <w:tcW w:w="2551" w:type="dxa"/>
            <w:tcBorders>
              <w:top w:val="single" w:sz="6" w:space="0" w:color="auto"/>
              <w:left w:val="single" w:sz="6" w:space="0" w:color="auto"/>
              <w:bottom w:val="single" w:sz="6" w:space="0" w:color="auto"/>
              <w:right w:val="single" w:sz="6" w:space="0" w:color="auto"/>
            </w:tcBorders>
            <w:hideMark/>
          </w:tcPr>
          <w:p w14:paraId="08345DE5" w14:textId="092CF1DD" w:rsidR="002151C3" w:rsidRPr="00E0088F" w:rsidRDefault="002151C3" w:rsidP="006C5A84">
            <w:pPr>
              <w:pStyle w:val="Tabletext"/>
              <w:rPr>
                <w:lang w:val="fr-CH"/>
              </w:rPr>
            </w:pPr>
            <w:r w:rsidRPr="00E0088F">
              <w:rPr>
                <w:color w:val="000000"/>
                <w:lang w:val="fr-CH"/>
              </w:rPr>
              <w:t xml:space="preserve">Stations </w:t>
            </w:r>
            <w:r w:rsidR="007E4673" w:rsidRPr="00E0088F">
              <w:rPr>
                <w:color w:val="000000"/>
                <w:lang w:val="fr-CH"/>
              </w:rPr>
              <w:t xml:space="preserve">placées sur des plates-formes à haute altitude </w:t>
            </w:r>
            <w:r w:rsidRPr="00E0088F">
              <w:rPr>
                <w:color w:val="000000"/>
                <w:lang w:val="fr-CH"/>
              </w:rPr>
              <w:t>pour les IMT</w:t>
            </w:r>
            <w:r w:rsidR="007E4673" w:rsidRPr="00E0088F">
              <w:rPr>
                <w:color w:val="000000"/>
                <w:lang w:val="fr-CH"/>
              </w:rPr>
              <w:t>-2000</w:t>
            </w:r>
            <w:r w:rsidRPr="00E0088F">
              <w:rPr>
                <w:color w:val="000000"/>
                <w:lang w:val="fr-CH"/>
              </w:rPr>
              <w:t xml:space="preserve"> dans les bandes autour de 2 GHz</w:t>
            </w:r>
          </w:p>
        </w:tc>
        <w:tc>
          <w:tcPr>
            <w:tcW w:w="3625" w:type="dxa"/>
            <w:tcBorders>
              <w:top w:val="single" w:sz="6" w:space="0" w:color="auto"/>
              <w:left w:val="single" w:sz="6" w:space="0" w:color="auto"/>
              <w:bottom w:val="single" w:sz="6" w:space="0" w:color="auto"/>
              <w:right w:val="single" w:sz="6" w:space="0" w:color="auto"/>
            </w:tcBorders>
            <w:hideMark/>
          </w:tcPr>
          <w:p w14:paraId="5C02D469" w14:textId="77777777" w:rsidR="002151C3" w:rsidRPr="00E0088F" w:rsidRDefault="002151C3" w:rsidP="006C5A84">
            <w:pPr>
              <w:pStyle w:val="Tabletext"/>
              <w:rPr>
                <w:lang w:val="fr-CH" w:eastAsia="ja-JP"/>
              </w:rPr>
            </w:pPr>
            <w:r w:rsidRPr="00E0088F">
              <w:rPr>
                <w:lang w:val="fr-CH"/>
              </w:rPr>
              <w:t>(Rév.CMR-07). A toujours lieu d'être.</w:t>
            </w:r>
            <w:r w:rsidRPr="00E0088F">
              <w:rPr>
                <w:lang w:val="fr-CH" w:eastAsia="ja-JP"/>
              </w:rPr>
              <w:t xml:space="preserve"> Cette Résolution est citée dans le numéro </w:t>
            </w:r>
            <w:r w:rsidRPr="00E0088F">
              <w:rPr>
                <w:b/>
                <w:bCs/>
                <w:lang w:val="fr-CH" w:eastAsia="ja-JP"/>
              </w:rPr>
              <w:t>5.388A</w:t>
            </w:r>
            <w:r w:rsidRPr="00E0088F">
              <w:rPr>
                <w:lang w:val="fr-CH" w:eastAsia="ja-JP"/>
              </w:rPr>
              <w:t xml:space="preserve">. Les études de l'UIT-R demandées dans cette Résolution n'ont pas avancé faute de </w:t>
            </w:r>
            <w:r w:rsidRPr="00E0088F">
              <w:rPr>
                <w:bCs/>
                <w:lang w:val="fr-CH" w:eastAsia="ja-JP"/>
              </w:rPr>
              <w:t>contributions</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739B9F27" w14:textId="77777777" w:rsidR="002151C3" w:rsidRPr="00E0088F" w:rsidRDefault="002151C3" w:rsidP="006C5A84">
            <w:pPr>
              <w:pStyle w:val="Tabletext"/>
              <w:jc w:val="center"/>
              <w:rPr>
                <w:lang w:val="fr-CH"/>
              </w:rPr>
            </w:pPr>
            <w:r w:rsidRPr="00E0088F">
              <w:rPr>
                <w:lang w:val="fr-CH"/>
              </w:rPr>
              <w:t>NOC</w:t>
            </w:r>
          </w:p>
        </w:tc>
      </w:tr>
      <w:tr w:rsidR="002151C3" w:rsidRPr="00E0088F" w14:paraId="664673E1"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3AE0A45" w14:textId="77777777" w:rsidR="002151C3" w:rsidRPr="00E0088F" w:rsidRDefault="002151C3" w:rsidP="006C5A84">
            <w:pPr>
              <w:pStyle w:val="Tabletext"/>
              <w:jc w:val="center"/>
              <w:rPr>
                <w:lang w:val="fr-CH"/>
              </w:rPr>
            </w:pPr>
            <w:r w:rsidRPr="00E0088F">
              <w:rPr>
                <w:lang w:val="fr-CH"/>
              </w:rPr>
              <w:t>222</w:t>
            </w:r>
          </w:p>
        </w:tc>
        <w:tc>
          <w:tcPr>
            <w:tcW w:w="2551" w:type="dxa"/>
            <w:tcBorders>
              <w:top w:val="single" w:sz="6" w:space="0" w:color="auto"/>
              <w:left w:val="single" w:sz="6" w:space="0" w:color="auto"/>
              <w:bottom w:val="single" w:sz="6" w:space="0" w:color="auto"/>
              <w:right w:val="single" w:sz="6" w:space="0" w:color="auto"/>
            </w:tcBorders>
            <w:hideMark/>
          </w:tcPr>
          <w:p w14:paraId="46CC9B62" w14:textId="77777777" w:rsidR="002151C3" w:rsidRPr="00E0088F" w:rsidRDefault="002151C3" w:rsidP="006C5A84">
            <w:pPr>
              <w:pStyle w:val="Tabletext"/>
              <w:rPr>
                <w:lang w:val="fr-CH"/>
              </w:rPr>
            </w:pPr>
            <w:r w:rsidRPr="00E0088F">
              <w:rPr>
                <w:lang w:val="fr-CH"/>
              </w:rPr>
              <w:t>Utilisation des bandes 1</w:t>
            </w:r>
            <w:r w:rsidRPr="00E0088F">
              <w:rPr>
                <w:rFonts w:ascii="Tms Rmn" w:hAnsi="Tms Rmn"/>
                <w:lang w:val="fr-CH"/>
              </w:rPr>
              <w:t> </w:t>
            </w:r>
            <w:r w:rsidRPr="00E0088F">
              <w:rPr>
                <w:lang w:val="fr-CH"/>
              </w:rPr>
              <w:t>525</w:t>
            </w:r>
            <w:r w:rsidRPr="00E0088F">
              <w:rPr>
                <w:b/>
                <w:lang w:val="fr-CH"/>
              </w:rPr>
              <w:noBreakHyphen/>
            </w:r>
            <w:r w:rsidRPr="00E0088F">
              <w:rPr>
                <w:lang w:val="fr-CH"/>
              </w:rPr>
              <w:t>1</w:t>
            </w:r>
            <w:r w:rsidRPr="00E0088F">
              <w:rPr>
                <w:rFonts w:ascii="Tms Rmn" w:hAnsi="Tms Rmn"/>
                <w:lang w:val="fr-CH"/>
              </w:rPr>
              <w:t> </w:t>
            </w:r>
            <w:r w:rsidRPr="00E0088F">
              <w:rPr>
                <w:lang w:val="fr-CH"/>
              </w:rPr>
              <w:t>559 MHz et 1</w:t>
            </w:r>
            <w:r w:rsidRPr="00E0088F">
              <w:rPr>
                <w:rFonts w:ascii="Tms Rmn" w:hAnsi="Tms Rmn"/>
                <w:lang w:val="fr-CH"/>
              </w:rPr>
              <w:t> </w:t>
            </w:r>
            <w:r w:rsidRPr="00E0088F">
              <w:rPr>
                <w:lang w:val="fr-CH"/>
              </w:rPr>
              <w:t>626,5</w:t>
            </w:r>
            <w:r w:rsidRPr="00E0088F">
              <w:rPr>
                <w:b/>
                <w:lang w:val="fr-CH"/>
              </w:rPr>
              <w:noBreakHyphen/>
            </w:r>
            <w:r w:rsidRPr="00E0088F">
              <w:rPr>
                <w:lang w:val="fr-CH"/>
              </w:rPr>
              <w:t>1</w:t>
            </w:r>
            <w:r w:rsidRPr="00E0088F">
              <w:rPr>
                <w:rFonts w:ascii="Tms Rmn" w:hAnsi="Tms Rmn"/>
                <w:lang w:val="fr-CH"/>
              </w:rPr>
              <w:t> </w:t>
            </w:r>
            <w:r w:rsidRPr="00E0088F">
              <w:rPr>
                <w:lang w:val="fr-CH"/>
              </w:rPr>
              <w:t>660,5 MHz par le service mobile par satellite et études visant à assurer la disponibilité de spectre à long terme pour le service mobile aéronautique par satellite (R)</w:t>
            </w:r>
          </w:p>
        </w:tc>
        <w:tc>
          <w:tcPr>
            <w:tcW w:w="3625" w:type="dxa"/>
            <w:tcBorders>
              <w:top w:val="single" w:sz="6" w:space="0" w:color="auto"/>
              <w:left w:val="single" w:sz="6" w:space="0" w:color="auto"/>
              <w:bottom w:val="single" w:sz="6" w:space="0" w:color="auto"/>
              <w:right w:val="single" w:sz="6" w:space="0" w:color="auto"/>
            </w:tcBorders>
            <w:hideMark/>
          </w:tcPr>
          <w:p w14:paraId="3271DFC9" w14:textId="77777777" w:rsidR="002151C3" w:rsidRPr="00E0088F" w:rsidRDefault="002151C3" w:rsidP="006C5A84">
            <w:pPr>
              <w:pStyle w:val="Tabletext"/>
              <w:rPr>
                <w:lang w:val="fr-CH"/>
              </w:rPr>
            </w:pPr>
            <w:r w:rsidRPr="00E0088F">
              <w:rPr>
                <w:lang w:val="fr-CH"/>
              </w:rPr>
              <w:t>(Rév.CMR-12). A toujours lieu d'être.</w:t>
            </w:r>
            <w:r w:rsidRPr="00E0088F">
              <w:rPr>
                <w:color w:val="000000"/>
                <w:sz w:val="24"/>
                <w:lang w:val="fr-CH"/>
              </w:rPr>
              <w:t xml:space="preserve"> </w:t>
            </w:r>
            <w:r w:rsidRPr="00E0088F">
              <w:rPr>
                <w:lang w:val="fr-CH"/>
              </w:rPr>
              <w:t xml:space="preserve">Le texte a été mis à jour à la CMR-12. Cette Résolution est citée dans les numéros </w:t>
            </w:r>
            <w:r w:rsidRPr="00E0088F">
              <w:rPr>
                <w:b/>
                <w:bCs/>
                <w:lang w:val="fr-CH"/>
              </w:rPr>
              <w:t>5.353A</w:t>
            </w:r>
            <w:r w:rsidRPr="00E0088F">
              <w:rPr>
                <w:lang w:val="fr-CH"/>
              </w:rPr>
              <w:t xml:space="preserve"> et </w:t>
            </w:r>
            <w:r w:rsidRPr="00E0088F">
              <w:rPr>
                <w:b/>
                <w:bCs/>
                <w:lang w:val="fr-CH"/>
              </w:rPr>
              <w:t>5.357A</w:t>
            </w:r>
            <w:r w:rsidRPr="00E0088F">
              <w:rPr>
                <w:lang w:val="fr-CH"/>
              </w:rPr>
              <w:t>.</w:t>
            </w:r>
            <w:r w:rsidRPr="00E0088F">
              <w:rPr>
                <w:color w:val="000000"/>
                <w:sz w:val="24"/>
                <w:lang w:val="fr-CH"/>
              </w:rPr>
              <w:t xml:space="preserve"> </w:t>
            </w:r>
            <w:r w:rsidRPr="00E0088F">
              <w:rPr>
                <w:lang w:val="fr-CH"/>
              </w:rPr>
              <w:t>Il faut déterminer si les études de l'UIT-R demandées dans cette Résolution ont progressé.</w:t>
            </w:r>
          </w:p>
        </w:tc>
        <w:tc>
          <w:tcPr>
            <w:tcW w:w="2045" w:type="dxa"/>
            <w:tcBorders>
              <w:top w:val="single" w:sz="6" w:space="0" w:color="auto"/>
              <w:left w:val="single" w:sz="6" w:space="0" w:color="auto"/>
              <w:bottom w:val="single" w:sz="6" w:space="0" w:color="auto"/>
              <w:right w:val="single" w:sz="6" w:space="0" w:color="auto"/>
            </w:tcBorders>
            <w:hideMark/>
          </w:tcPr>
          <w:p w14:paraId="55A2EC0C" w14:textId="77777777" w:rsidR="002151C3" w:rsidRPr="00E0088F" w:rsidRDefault="002151C3" w:rsidP="006C5A84">
            <w:pPr>
              <w:pStyle w:val="Tabletext"/>
              <w:jc w:val="center"/>
              <w:rPr>
                <w:lang w:val="fr-CH" w:eastAsia="ja-JP"/>
              </w:rPr>
            </w:pPr>
            <w:r w:rsidRPr="00E0088F">
              <w:rPr>
                <w:lang w:val="fr-CH" w:eastAsia="ja-JP"/>
              </w:rPr>
              <w:t>NOC</w:t>
            </w:r>
          </w:p>
        </w:tc>
      </w:tr>
      <w:tr w:rsidR="002151C3" w:rsidRPr="00E0088F" w14:paraId="781C33AD" w14:textId="77777777" w:rsidTr="00627586">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37D871AE" w14:textId="77777777" w:rsidR="002151C3" w:rsidRPr="00E0088F" w:rsidRDefault="002151C3" w:rsidP="006C5A84">
            <w:pPr>
              <w:pStyle w:val="Tabletext"/>
              <w:jc w:val="center"/>
              <w:rPr>
                <w:lang w:val="fr-CH"/>
              </w:rPr>
            </w:pPr>
            <w:r w:rsidRPr="00E0088F">
              <w:rPr>
                <w:lang w:val="fr-CH"/>
              </w:rPr>
              <w:lastRenderedPageBreak/>
              <w:t>223</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58DEC1E" w14:textId="77777777" w:rsidR="002151C3" w:rsidRPr="00E0088F" w:rsidRDefault="002151C3" w:rsidP="006C5A84">
            <w:pPr>
              <w:pStyle w:val="Tabletext"/>
              <w:rPr>
                <w:lang w:val="fr-CH"/>
              </w:rPr>
            </w:pPr>
            <w:r w:rsidRPr="00E0088F">
              <w:rPr>
                <w:color w:val="000000"/>
                <w:lang w:val="fr-CH"/>
              </w:rPr>
              <w:t>Bandes de fréquences additionnelles identifiées pour les IMT</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A7EE73" w14:textId="22CEA60B" w:rsidR="002151C3" w:rsidRPr="00E0088F" w:rsidRDefault="002151C3" w:rsidP="006C5A84">
            <w:pPr>
              <w:pStyle w:val="Tabletext"/>
              <w:rPr>
                <w:lang w:val="fr-CH"/>
              </w:rPr>
            </w:pPr>
            <w:r w:rsidRPr="00E0088F">
              <w:rPr>
                <w:lang w:val="fr-CH"/>
              </w:rPr>
              <w:t>(Rév.CMR-</w:t>
            </w:r>
            <w:r w:rsidRPr="00E0088F">
              <w:rPr>
                <w:rFonts w:eastAsiaTheme="minorEastAsia"/>
                <w:lang w:val="fr-CH" w:eastAsia="ja-JP"/>
              </w:rPr>
              <w:t>15</w:t>
            </w:r>
            <w:r w:rsidRPr="00E0088F">
              <w:rPr>
                <w:lang w:val="fr-CH"/>
              </w:rPr>
              <w:t>) A toujours lieu d'être</w:t>
            </w:r>
            <w:r w:rsidRPr="00E0088F">
              <w:rPr>
                <w:rFonts w:eastAsiaTheme="minorEastAsia"/>
                <w:bCs/>
                <w:lang w:val="fr-CH" w:eastAsia="ja-JP"/>
              </w:rPr>
              <w:t>.</w:t>
            </w:r>
            <w:r w:rsidRPr="00E0088F">
              <w:rPr>
                <w:lang w:val="fr-CH"/>
              </w:rPr>
              <w:t xml:space="preserve"> </w:t>
            </w:r>
            <w:r w:rsidRPr="00E0088F">
              <w:rPr>
                <w:lang w:val="fr-CH" w:eastAsia="ja-JP"/>
              </w:rPr>
              <w:t>Cette Résolution est citée dans les numéros</w:t>
            </w:r>
            <w:r w:rsidRPr="00E0088F">
              <w:rPr>
                <w:b/>
                <w:bCs/>
                <w:lang w:val="fr-CH"/>
              </w:rPr>
              <w:t> </w:t>
            </w:r>
            <w:r w:rsidRPr="00E0088F">
              <w:rPr>
                <w:rStyle w:val="IntenseReference"/>
                <w:u w:val="none"/>
                <w:lang w:val="fr-CH"/>
              </w:rPr>
              <w:t>5.341A, 5.341B, 5.341C, 5.346, 5.346A,</w:t>
            </w:r>
            <w:r w:rsidRPr="00E0088F">
              <w:rPr>
                <w:rStyle w:val="IntenseReference"/>
                <w:rFonts w:eastAsia="Malgun Gothic"/>
                <w:u w:val="none"/>
                <w:lang w:val="fr-CH" w:eastAsia="ko-KR"/>
              </w:rPr>
              <w:t xml:space="preserve"> </w:t>
            </w:r>
            <w:r w:rsidRPr="00E0088F">
              <w:rPr>
                <w:b/>
                <w:lang w:val="fr-CH"/>
              </w:rPr>
              <w:t>5.384A</w:t>
            </w:r>
            <w:r w:rsidRPr="00E0088F">
              <w:rPr>
                <w:rFonts w:eastAsia="Malgun Gothic"/>
                <w:bCs/>
                <w:lang w:val="fr-CH" w:eastAsia="ko-KR"/>
              </w:rPr>
              <w:t>,</w:t>
            </w:r>
            <w:r w:rsidRPr="00E0088F">
              <w:rPr>
                <w:bCs/>
                <w:lang w:val="fr-CH"/>
              </w:rPr>
              <w:t xml:space="preserve"> </w:t>
            </w:r>
            <w:r w:rsidRPr="00E0088F">
              <w:rPr>
                <w:b/>
                <w:lang w:val="fr-CH"/>
              </w:rPr>
              <w:t>5.388</w:t>
            </w:r>
            <w:r w:rsidRPr="00E0088F">
              <w:rPr>
                <w:rFonts w:eastAsia="Malgun Gothic"/>
                <w:b/>
                <w:lang w:val="fr-CH" w:eastAsia="ko-KR"/>
              </w:rPr>
              <w:t xml:space="preserve">, </w:t>
            </w:r>
            <w:r w:rsidRPr="00E0088F">
              <w:rPr>
                <w:rStyle w:val="IntenseReference"/>
                <w:u w:val="none"/>
                <w:lang w:val="fr-CH"/>
              </w:rPr>
              <w:t>5.429B, 5.429D, 5.429F, 5.441A</w:t>
            </w:r>
            <w:r w:rsidRPr="00E0088F">
              <w:rPr>
                <w:lang w:val="fr-CH"/>
              </w:rPr>
              <w:t xml:space="preserve"> et</w:t>
            </w:r>
            <w:r w:rsidR="001A420B" w:rsidRPr="00E0088F">
              <w:rPr>
                <w:lang w:val="fr-CH"/>
              </w:rPr>
              <w:t xml:space="preserve"> </w:t>
            </w:r>
            <w:r w:rsidR="001A420B" w:rsidRPr="00E0088F">
              <w:rPr>
                <w:b/>
                <w:bCs/>
                <w:lang w:val="fr-CH"/>
              </w:rPr>
              <w:t>5.441B</w:t>
            </w:r>
            <w:r w:rsidR="001A420B" w:rsidRPr="00E0088F">
              <w:rPr>
                <w:lang w:val="fr-CH"/>
              </w:rPr>
              <w:t xml:space="preserve">, ainsi que dans la Résolution </w:t>
            </w:r>
            <w:r w:rsidR="001A420B" w:rsidRPr="00E0088F">
              <w:rPr>
                <w:b/>
                <w:bCs/>
                <w:lang w:val="fr-CH"/>
              </w:rPr>
              <w:t>903 (Rév.CMR-15)</w:t>
            </w:r>
            <w:r w:rsidR="001A420B" w:rsidRPr="00E0088F">
              <w:rPr>
                <w:lang w:val="fr-CH"/>
              </w:rPr>
              <w:t xml:space="preserve">. </w:t>
            </w:r>
            <w:r w:rsidRPr="00E0088F">
              <w:rPr>
                <w:rFonts w:eastAsiaTheme="minorEastAsia"/>
                <w:bCs/>
                <w:lang w:val="fr-CH" w:eastAsia="ja-JP"/>
              </w:rPr>
              <w:t xml:space="preserve">Actuellement, les </w:t>
            </w:r>
            <w:r w:rsidRPr="00E0088F">
              <w:rPr>
                <w:color w:val="000000"/>
                <w:lang w:val="fr-CH"/>
              </w:rPr>
              <w:t xml:space="preserve">études de l'UIT-R demandées dans cette Résolution progressent, par exemple les études sur le partage et la compatibilité et les dispositions de fréquences, incluant la compatibilité dans les bandes adjacentes entre les IMT de Terre et le SMS dans la bande de fréquences </w:t>
            </w:r>
            <w:r w:rsidRPr="00E0088F">
              <w:rPr>
                <w:bCs/>
                <w:lang w:val="fr-CH" w:eastAsia="ja-JP"/>
              </w:rPr>
              <w:t>1</w:t>
            </w:r>
            <w:r w:rsidR="00851828" w:rsidRPr="00E0088F">
              <w:rPr>
                <w:bCs/>
                <w:lang w:val="fr-CH" w:eastAsia="ja-JP"/>
              </w:rPr>
              <w:t> </w:t>
            </w:r>
            <w:r w:rsidRPr="00E0088F">
              <w:rPr>
                <w:bCs/>
                <w:lang w:val="fr-CH" w:eastAsia="ja-JP"/>
              </w:rPr>
              <w:t>518-1</w:t>
            </w:r>
            <w:r w:rsidR="00851828" w:rsidRPr="00E0088F">
              <w:rPr>
                <w:bCs/>
                <w:lang w:val="fr-CH" w:eastAsia="ja-JP"/>
              </w:rPr>
              <w:t> </w:t>
            </w:r>
            <w:r w:rsidRPr="00E0088F">
              <w:rPr>
                <w:bCs/>
                <w:lang w:val="fr-CH" w:eastAsia="ja-JP"/>
              </w:rPr>
              <w:t>525</w:t>
            </w:r>
            <w:r w:rsidR="00851828" w:rsidRPr="00E0088F">
              <w:rPr>
                <w:bCs/>
                <w:lang w:val="fr-CH" w:eastAsia="ja-JP"/>
              </w:rPr>
              <w:t> </w:t>
            </w:r>
            <w:r w:rsidRPr="00E0088F">
              <w:rPr>
                <w:bCs/>
                <w:lang w:val="fr-CH" w:eastAsia="ja-JP"/>
              </w:rPr>
              <w:t>MHz.</w:t>
            </w:r>
            <w:r w:rsidRPr="00E0088F">
              <w:rPr>
                <w:rFonts w:eastAsiaTheme="minorEastAsia"/>
                <w:bCs/>
                <w:lang w:val="fr-CH" w:eastAsia="ja-JP"/>
              </w:rPr>
              <w:t xml:space="preserve"> On pourrait tenir compte des résultats de la CMR-19 concernant le numéro </w:t>
            </w:r>
            <w:r w:rsidRPr="00E0088F">
              <w:rPr>
                <w:rFonts w:eastAsiaTheme="minorEastAsia"/>
                <w:b/>
                <w:bCs/>
                <w:lang w:val="fr-CH" w:eastAsia="ja-JP"/>
              </w:rPr>
              <w:t>5.441B</w:t>
            </w:r>
            <w:r w:rsidRPr="00E0088F">
              <w:rPr>
                <w:rFonts w:eastAsiaTheme="minorEastAsia"/>
                <w:bCs/>
                <w:lang w:val="fr-CH" w:eastAsia="ja-JP"/>
              </w:rPr>
              <w:t xml:space="preserve"> pour l'examen du statut de cette Résolution.</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738A6B" w14:textId="77777777" w:rsidR="002151C3" w:rsidRPr="00E0088F" w:rsidRDefault="002151C3" w:rsidP="006C5A84">
            <w:pPr>
              <w:pStyle w:val="Tabletext"/>
              <w:jc w:val="center"/>
              <w:rPr>
                <w:lang w:val="fr-CH"/>
              </w:rPr>
            </w:pPr>
            <w:r w:rsidRPr="00E0088F">
              <w:rPr>
                <w:lang w:val="fr-CH"/>
              </w:rPr>
              <w:t>NOC/</w:t>
            </w:r>
          </w:p>
          <w:p w14:paraId="2C920024" w14:textId="77777777" w:rsidR="002151C3" w:rsidRPr="00E0088F" w:rsidRDefault="002151C3" w:rsidP="006C5A84">
            <w:pPr>
              <w:pStyle w:val="Tabletext"/>
              <w:jc w:val="center"/>
              <w:rPr>
                <w:lang w:val="fr-CH"/>
              </w:rPr>
            </w:pPr>
            <w:r w:rsidRPr="00E0088F">
              <w:rPr>
                <w:lang w:val="fr-CH"/>
              </w:rPr>
              <w:t>MOD</w:t>
            </w:r>
          </w:p>
        </w:tc>
      </w:tr>
      <w:tr w:rsidR="002151C3" w:rsidRPr="00E0088F" w14:paraId="0F9D6097"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CF76270" w14:textId="77777777" w:rsidR="002151C3" w:rsidRPr="00E0088F" w:rsidRDefault="002151C3" w:rsidP="006C5A84">
            <w:pPr>
              <w:pStyle w:val="Tabletext"/>
              <w:jc w:val="center"/>
              <w:rPr>
                <w:lang w:val="fr-CH"/>
              </w:rPr>
            </w:pPr>
            <w:r w:rsidRPr="00E0088F">
              <w:rPr>
                <w:lang w:val="fr-CH"/>
              </w:rPr>
              <w:t>224</w:t>
            </w:r>
          </w:p>
        </w:tc>
        <w:tc>
          <w:tcPr>
            <w:tcW w:w="2551" w:type="dxa"/>
            <w:tcBorders>
              <w:top w:val="single" w:sz="6" w:space="0" w:color="auto"/>
              <w:left w:val="single" w:sz="6" w:space="0" w:color="auto"/>
              <w:bottom w:val="single" w:sz="6" w:space="0" w:color="auto"/>
              <w:right w:val="single" w:sz="6" w:space="0" w:color="auto"/>
            </w:tcBorders>
            <w:hideMark/>
          </w:tcPr>
          <w:p w14:paraId="698866C9" w14:textId="77777777" w:rsidR="002151C3" w:rsidRPr="00E0088F" w:rsidRDefault="002151C3" w:rsidP="006C5A84">
            <w:pPr>
              <w:pStyle w:val="Tabletext"/>
              <w:rPr>
                <w:lang w:val="fr-CH"/>
              </w:rPr>
            </w:pPr>
            <w:r w:rsidRPr="00E0088F">
              <w:rPr>
                <w:color w:val="000000"/>
                <w:lang w:val="fr-CH"/>
              </w:rPr>
              <w:t>Bandes de fréquences pour la composante de Terre des IMT au</w:t>
            </w:r>
            <w:r w:rsidRPr="00E0088F">
              <w:rPr>
                <w:color w:val="000000"/>
                <w:lang w:val="fr-CH"/>
              </w:rPr>
              <w:noBreakHyphen/>
              <w:t>dessous de 1 GHz</w:t>
            </w:r>
            <w:r w:rsidRPr="00E0088F">
              <w:rPr>
                <w:lang w:val="fr-CH"/>
              </w:rPr>
              <w:t>.</w:t>
            </w:r>
          </w:p>
        </w:tc>
        <w:tc>
          <w:tcPr>
            <w:tcW w:w="3625" w:type="dxa"/>
            <w:tcBorders>
              <w:top w:val="single" w:sz="6" w:space="0" w:color="auto"/>
              <w:left w:val="single" w:sz="6" w:space="0" w:color="auto"/>
              <w:bottom w:val="single" w:sz="6" w:space="0" w:color="auto"/>
              <w:right w:val="single" w:sz="6" w:space="0" w:color="auto"/>
            </w:tcBorders>
            <w:hideMark/>
          </w:tcPr>
          <w:p w14:paraId="30DC0FDA" w14:textId="77777777" w:rsidR="002151C3" w:rsidRPr="00E0088F" w:rsidRDefault="002151C3" w:rsidP="006C5A84">
            <w:pPr>
              <w:pStyle w:val="Tabletext"/>
              <w:rPr>
                <w:lang w:val="fr-CH"/>
              </w:rPr>
            </w:pPr>
            <w:r w:rsidRPr="00E0088F">
              <w:rPr>
                <w:lang w:val="fr-CH"/>
              </w:rPr>
              <w:t>(Rév.CMR-15). A toujours lieu d'être.</w:t>
            </w:r>
          </w:p>
          <w:p w14:paraId="0558E814" w14:textId="77777777" w:rsidR="002151C3" w:rsidRPr="00E0088F" w:rsidRDefault="002151C3" w:rsidP="006C5A84">
            <w:pPr>
              <w:pStyle w:val="Tabletext"/>
              <w:rPr>
                <w:lang w:val="fr-CH"/>
              </w:rPr>
            </w:pPr>
            <w:r w:rsidRPr="00E0088F">
              <w:rPr>
                <w:lang w:val="fr-CH" w:eastAsia="ja-JP"/>
              </w:rPr>
              <w:t>Cette Résolution est citée dans les numéros</w:t>
            </w:r>
            <w:r w:rsidRPr="00E0088F">
              <w:rPr>
                <w:bCs/>
                <w:lang w:val="fr-CH"/>
              </w:rPr>
              <w:t> </w:t>
            </w:r>
            <w:r w:rsidRPr="00E0088F">
              <w:rPr>
                <w:rStyle w:val="IntenseReference"/>
                <w:u w:val="none"/>
                <w:lang w:val="fr-CH"/>
              </w:rPr>
              <w:t>5.286AA, 5.295, 5.308A, 5.312A, 5.316B</w:t>
            </w:r>
            <w:r w:rsidRPr="00E0088F">
              <w:rPr>
                <w:lang w:val="fr-CH"/>
              </w:rPr>
              <w:t xml:space="preserve"> et</w:t>
            </w:r>
            <w:r w:rsidRPr="00E0088F">
              <w:rPr>
                <w:b/>
                <w:lang w:val="fr-CH"/>
              </w:rPr>
              <w:t xml:space="preserve"> 5.317A</w:t>
            </w:r>
            <w:r w:rsidRPr="00E0088F">
              <w:rPr>
                <w:rFonts w:eastAsia="Malgun Gothic"/>
                <w:lang w:val="fr-CH" w:eastAsia="ko-KR"/>
              </w:rPr>
              <w:t xml:space="preserve"> ainsi que dans les Résolutions </w:t>
            </w:r>
            <w:r w:rsidRPr="00E0088F">
              <w:rPr>
                <w:rFonts w:eastAsia="Malgun Gothic"/>
                <w:b/>
                <w:lang w:val="fr-CH" w:eastAsia="ko-KR"/>
              </w:rPr>
              <w:t>749 (Rév.CMR-15)</w:t>
            </w:r>
            <w:r w:rsidRPr="00E0088F">
              <w:rPr>
                <w:rFonts w:eastAsia="Malgun Gothic"/>
                <w:lang w:val="fr-CH" w:eastAsia="ko-KR"/>
              </w:rPr>
              <w:t xml:space="preserve"> et </w:t>
            </w:r>
            <w:r w:rsidRPr="00E0088F">
              <w:rPr>
                <w:rFonts w:eastAsia="Malgun Gothic"/>
                <w:b/>
                <w:lang w:val="fr-CH" w:eastAsia="ko-KR"/>
              </w:rPr>
              <w:t>760 (CMR-15)</w:t>
            </w:r>
            <w:r w:rsidRPr="00E0088F">
              <w:rPr>
                <w:rFonts w:eastAsiaTheme="minorEastAsia"/>
                <w:lang w:val="fr-CH" w:eastAsia="ja-JP"/>
              </w:rPr>
              <w:t>.</w:t>
            </w:r>
            <w:r w:rsidRPr="00E0088F">
              <w:rPr>
                <w:rFonts w:eastAsiaTheme="minorEastAsia"/>
                <w:bCs/>
                <w:lang w:val="fr-CH" w:eastAsia="ja-JP"/>
              </w:rPr>
              <w:t xml:space="preserve"> Actuellement, les </w:t>
            </w:r>
            <w:r w:rsidRPr="00E0088F">
              <w:rPr>
                <w:color w:val="000000"/>
                <w:lang w:val="fr-CH"/>
              </w:rPr>
              <w:t>études de l'UIT-R demandées dans cette Résolution progressent, par exemple la définition de dispositions de fréquences</w:t>
            </w:r>
            <w:r w:rsidRPr="00E0088F">
              <w:rPr>
                <w:rFonts w:eastAsiaTheme="minorEastAsia"/>
                <w:bCs/>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3ECBFE7D" w14:textId="77777777" w:rsidR="002151C3" w:rsidRPr="00E0088F" w:rsidRDefault="002151C3" w:rsidP="006C5A84">
            <w:pPr>
              <w:pStyle w:val="Tabletext"/>
              <w:jc w:val="center"/>
              <w:rPr>
                <w:lang w:val="fr-CH"/>
              </w:rPr>
            </w:pPr>
            <w:r w:rsidRPr="00E0088F">
              <w:rPr>
                <w:lang w:val="fr-CH"/>
              </w:rPr>
              <w:t>NOC/</w:t>
            </w:r>
          </w:p>
          <w:p w14:paraId="32EED63B" w14:textId="77777777" w:rsidR="002151C3" w:rsidRPr="00E0088F" w:rsidRDefault="002151C3" w:rsidP="006C5A84">
            <w:pPr>
              <w:pStyle w:val="Tabletext"/>
              <w:jc w:val="center"/>
              <w:rPr>
                <w:lang w:val="fr-CH"/>
              </w:rPr>
            </w:pPr>
            <w:r w:rsidRPr="00E0088F">
              <w:rPr>
                <w:lang w:val="fr-CH"/>
              </w:rPr>
              <w:t>MOD</w:t>
            </w:r>
          </w:p>
        </w:tc>
      </w:tr>
      <w:tr w:rsidR="002151C3" w:rsidRPr="00E0088F" w14:paraId="691C2725"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38F3B74" w14:textId="77777777" w:rsidR="002151C3" w:rsidRPr="00E0088F" w:rsidRDefault="002151C3" w:rsidP="006C5A84">
            <w:pPr>
              <w:pStyle w:val="Tabletext"/>
              <w:jc w:val="center"/>
              <w:rPr>
                <w:lang w:val="fr-CH"/>
              </w:rPr>
            </w:pPr>
            <w:r w:rsidRPr="00E0088F">
              <w:rPr>
                <w:lang w:val="fr-CH"/>
              </w:rPr>
              <w:t>225</w:t>
            </w:r>
          </w:p>
        </w:tc>
        <w:tc>
          <w:tcPr>
            <w:tcW w:w="2551" w:type="dxa"/>
            <w:tcBorders>
              <w:top w:val="single" w:sz="6" w:space="0" w:color="auto"/>
              <w:left w:val="single" w:sz="6" w:space="0" w:color="auto"/>
              <w:bottom w:val="single" w:sz="6" w:space="0" w:color="auto"/>
              <w:right w:val="single" w:sz="6" w:space="0" w:color="auto"/>
            </w:tcBorders>
            <w:hideMark/>
          </w:tcPr>
          <w:p w14:paraId="48E88644" w14:textId="77777777" w:rsidR="002151C3" w:rsidRPr="00E0088F" w:rsidRDefault="002151C3" w:rsidP="006C5A84">
            <w:pPr>
              <w:pStyle w:val="Tabletext"/>
              <w:rPr>
                <w:lang w:val="fr-CH"/>
              </w:rPr>
            </w:pPr>
            <w:r w:rsidRPr="00E0088F">
              <w:rPr>
                <w:color w:val="000000"/>
                <w:lang w:val="fr-CH"/>
              </w:rPr>
              <w:t>Utilisation de bandes de fréquences additionnelles pour la composante satellite des IMT</w:t>
            </w:r>
          </w:p>
        </w:tc>
        <w:tc>
          <w:tcPr>
            <w:tcW w:w="3625" w:type="dxa"/>
            <w:tcBorders>
              <w:top w:val="single" w:sz="6" w:space="0" w:color="auto"/>
              <w:left w:val="single" w:sz="6" w:space="0" w:color="auto"/>
              <w:bottom w:val="single" w:sz="6" w:space="0" w:color="auto"/>
              <w:right w:val="single" w:sz="6" w:space="0" w:color="auto"/>
            </w:tcBorders>
            <w:hideMark/>
          </w:tcPr>
          <w:p w14:paraId="1B73B03A" w14:textId="77777777" w:rsidR="002151C3" w:rsidRPr="00E0088F" w:rsidRDefault="002151C3" w:rsidP="006C5A84">
            <w:pPr>
              <w:pStyle w:val="Tabletext"/>
              <w:rPr>
                <w:lang w:val="fr-CH"/>
              </w:rPr>
            </w:pPr>
            <w:r w:rsidRPr="00E0088F">
              <w:rPr>
                <w:lang w:val="fr-CH"/>
              </w:rPr>
              <w:t xml:space="preserve">(Rév.CMR-12). A toujours lieu d'être. Cette Résolution est citée dans le numéro </w:t>
            </w:r>
            <w:r w:rsidRPr="00E0088F">
              <w:rPr>
                <w:b/>
                <w:bCs/>
                <w:lang w:val="fr-CH"/>
              </w:rPr>
              <w:t>5.351A</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03C6C86" w14:textId="77777777" w:rsidR="002151C3" w:rsidRPr="00E0088F" w:rsidRDefault="002151C3" w:rsidP="006C5A84">
            <w:pPr>
              <w:pStyle w:val="Tabletext"/>
              <w:jc w:val="center"/>
              <w:rPr>
                <w:lang w:val="fr-CH"/>
              </w:rPr>
            </w:pPr>
            <w:r w:rsidRPr="00E0088F">
              <w:rPr>
                <w:lang w:val="fr-CH"/>
              </w:rPr>
              <w:t>NOC</w:t>
            </w:r>
          </w:p>
        </w:tc>
      </w:tr>
      <w:tr w:rsidR="002151C3" w:rsidRPr="00E0088F" w14:paraId="4D153B58"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7816A7CE" w14:textId="77777777" w:rsidR="002151C3" w:rsidRPr="00E0088F" w:rsidRDefault="002151C3" w:rsidP="006C5A84">
            <w:pPr>
              <w:pStyle w:val="Tabletext"/>
              <w:jc w:val="center"/>
              <w:rPr>
                <w:lang w:val="fr-CH"/>
              </w:rPr>
            </w:pPr>
            <w:r w:rsidRPr="00E0088F">
              <w:rPr>
                <w:lang w:val="fr-CH"/>
              </w:rPr>
              <w:t>229</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8308339" w14:textId="77777777" w:rsidR="002151C3" w:rsidRPr="00E0088F" w:rsidRDefault="002151C3" w:rsidP="006C5A84">
            <w:pPr>
              <w:pStyle w:val="Tabletext"/>
              <w:rPr>
                <w:lang w:val="fr-CH"/>
              </w:rPr>
            </w:pPr>
            <w:r w:rsidRPr="00E0088F">
              <w:rPr>
                <w:color w:val="000000"/>
                <w:lang w:val="fr-CH"/>
              </w:rPr>
              <w:t>Utilisation des bandes 5 150</w:t>
            </w:r>
            <w:r w:rsidRPr="00E0088F">
              <w:rPr>
                <w:color w:val="000000"/>
                <w:lang w:val="fr-CH"/>
              </w:rPr>
              <w:noBreakHyphen/>
              <w:t>5 250 MHz, 5 250</w:t>
            </w:r>
            <w:r w:rsidRPr="00E0088F">
              <w:rPr>
                <w:color w:val="000000"/>
                <w:lang w:val="fr-CH"/>
              </w:rPr>
              <w:noBreakHyphen/>
              <w:t>5 350 MHz et 5 470</w:t>
            </w:r>
            <w:r w:rsidRPr="00E0088F">
              <w:rPr>
                <w:color w:val="000000"/>
                <w:lang w:val="fr-CH"/>
              </w:rPr>
              <w:noBreakHyphen/>
              <w:t>5 725 MHz pour les systèmes d'accès hertzien, réseaux locaux hertziens compris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826DF13" w14:textId="778CAD82" w:rsidR="002151C3" w:rsidRPr="00E0088F" w:rsidRDefault="002151C3" w:rsidP="006C5A84">
            <w:pPr>
              <w:pStyle w:val="Tabletext"/>
              <w:rPr>
                <w:lang w:val="fr-CH"/>
              </w:rPr>
            </w:pPr>
            <w:r w:rsidRPr="00E0088F">
              <w:rPr>
                <w:bCs/>
                <w:lang w:val="fr-CH"/>
              </w:rPr>
              <w:t xml:space="preserve">(Rév.CMR-12). A toujours lieu d'être. </w:t>
            </w:r>
            <w:r w:rsidRPr="00E0088F">
              <w:rPr>
                <w:lang w:val="fr-CH" w:eastAsia="ja-JP"/>
              </w:rPr>
              <w:t xml:space="preserve">Cette Résolution est citée dans </w:t>
            </w:r>
            <w:r w:rsidRPr="00E0088F">
              <w:rPr>
                <w:bCs/>
                <w:lang w:val="fr-CH"/>
              </w:rPr>
              <w:t xml:space="preserve">les numéros </w:t>
            </w:r>
            <w:r w:rsidRPr="00E0088F">
              <w:rPr>
                <w:b/>
                <w:lang w:val="fr-CH"/>
              </w:rPr>
              <w:t>5.446A, 5.447</w:t>
            </w:r>
            <w:r w:rsidRPr="00E0088F">
              <w:rPr>
                <w:bCs/>
                <w:lang w:val="fr-CH"/>
              </w:rPr>
              <w:t xml:space="preserve"> et </w:t>
            </w:r>
            <w:r w:rsidRPr="00E0088F">
              <w:rPr>
                <w:b/>
                <w:lang w:val="fr-CH"/>
              </w:rPr>
              <w:t>5.453</w:t>
            </w:r>
            <w:r w:rsidRPr="00E0088F">
              <w:rPr>
                <w:bCs/>
                <w:lang w:val="fr-CH"/>
              </w:rPr>
              <w:t xml:space="preserve"> ainsi que dans les Résolutions </w:t>
            </w:r>
            <w:r w:rsidRPr="00E0088F">
              <w:rPr>
                <w:b/>
                <w:lang w:val="fr-CH"/>
              </w:rPr>
              <w:t>239 (CMR-15)</w:t>
            </w:r>
            <w:r w:rsidRPr="00E0088F">
              <w:rPr>
                <w:bCs/>
                <w:lang w:val="fr-CH"/>
              </w:rPr>
              <w:t xml:space="preserve"> et </w:t>
            </w:r>
            <w:r w:rsidRPr="00E0088F">
              <w:rPr>
                <w:b/>
                <w:lang w:val="fr-CH"/>
              </w:rPr>
              <w:t>764 (CMR-15)</w:t>
            </w:r>
            <w:r w:rsidRPr="00E0088F">
              <w:rPr>
                <w:bCs/>
                <w:lang w:val="fr-CH"/>
              </w:rPr>
              <w:t xml:space="preserve">. </w:t>
            </w:r>
            <w:r w:rsidR="00441D54" w:rsidRPr="00E0088F">
              <w:rPr>
                <w:lang w:val="fr-CH"/>
              </w:rPr>
              <w:t xml:space="preserve">À l'issue de l'examen du </w:t>
            </w:r>
            <w:r w:rsidRPr="00E0088F">
              <w:rPr>
                <w:b/>
                <w:bCs/>
                <w:lang w:val="fr-CH"/>
              </w:rPr>
              <w:t>point 1.16 de l'ordre du jour</w:t>
            </w:r>
            <w:r w:rsidRPr="00E0088F">
              <w:rPr>
                <w:lang w:val="fr-CH"/>
              </w:rPr>
              <w:t xml:space="preserve"> de la CMR</w:t>
            </w:r>
            <w:r w:rsidRPr="00E0088F">
              <w:rPr>
                <w:lang w:val="fr-CH"/>
              </w:rPr>
              <w:noBreakHyphen/>
              <w:t xml:space="preserve">19, aucune proposition concernant cette </w:t>
            </w:r>
            <w:r w:rsidR="00E21BDF" w:rsidRPr="00E0088F">
              <w:rPr>
                <w:lang w:val="fr-CH"/>
              </w:rPr>
              <w:t>Résolution</w:t>
            </w:r>
            <w:r w:rsidR="00FD2051" w:rsidRPr="00E0088F">
              <w:rPr>
                <w:lang w:val="fr-CH"/>
              </w:rPr>
              <w:t xml:space="preserve"> n</w:t>
            </w:r>
            <w:r w:rsidR="006C5A84" w:rsidRPr="00E0088F">
              <w:rPr>
                <w:lang w:val="fr-CH"/>
              </w:rPr>
              <w:t>'</w:t>
            </w:r>
            <w:r w:rsidR="00FD2051" w:rsidRPr="00E0088F">
              <w:rPr>
                <w:lang w:val="fr-CH"/>
              </w:rPr>
              <w:t>est faite</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648ACAD" w14:textId="77777777" w:rsidR="002151C3" w:rsidRPr="00E0088F" w:rsidRDefault="002151C3" w:rsidP="006C5A84">
            <w:pPr>
              <w:pStyle w:val="Tabletext"/>
              <w:jc w:val="center"/>
              <w:rPr>
                <w:lang w:val="fr-CH"/>
              </w:rPr>
            </w:pPr>
            <w:r w:rsidRPr="00E0088F">
              <w:rPr>
                <w:lang w:val="fr-CH"/>
              </w:rPr>
              <w:t>---</w:t>
            </w:r>
          </w:p>
        </w:tc>
      </w:tr>
      <w:tr w:rsidR="002151C3" w:rsidRPr="00E0088F" w14:paraId="237E551D"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42927849" w14:textId="77777777" w:rsidR="002151C3" w:rsidRPr="00E0088F" w:rsidRDefault="002151C3" w:rsidP="006C5A84">
            <w:pPr>
              <w:pStyle w:val="Tabletext"/>
              <w:jc w:val="center"/>
              <w:rPr>
                <w:lang w:val="fr-CH"/>
              </w:rPr>
            </w:pPr>
            <w:r w:rsidRPr="00E0088F">
              <w:rPr>
                <w:lang w:val="fr-CH"/>
              </w:rPr>
              <w:t>235</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81D4FC8" w14:textId="45264BC5" w:rsidR="002151C3" w:rsidRPr="00E0088F" w:rsidRDefault="002151C3" w:rsidP="006C5A84">
            <w:pPr>
              <w:pStyle w:val="Tabletext"/>
              <w:rPr>
                <w:lang w:val="fr-CH"/>
              </w:rPr>
            </w:pPr>
            <w:r w:rsidRPr="00E0088F">
              <w:rPr>
                <w:lang w:val="fr-CH"/>
              </w:rPr>
              <w:t>Examen de l</w:t>
            </w:r>
            <w:r w:rsidR="008B447E" w:rsidRPr="00E0088F">
              <w:rPr>
                <w:lang w:val="fr-CH"/>
              </w:rPr>
              <w:t>'</w:t>
            </w:r>
            <w:r w:rsidRPr="00E0088F">
              <w:rPr>
                <w:lang w:val="fr-CH"/>
              </w:rPr>
              <w:t>utilisation du spectre dans la bande de fréquences 470-960 MHz en Région 1</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8A552A" w14:textId="77777777" w:rsidR="002151C3" w:rsidRPr="00E0088F" w:rsidRDefault="002151C3" w:rsidP="006C5A84">
            <w:pPr>
              <w:pStyle w:val="Tabletext"/>
              <w:rPr>
                <w:lang w:val="fr-CH"/>
              </w:rPr>
            </w:pPr>
            <w:r w:rsidRPr="00E0088F">
              <w:rPr>
                <w:lang w:val="fr-CH"/>
              </w:rPr>
              <w:t>(CMR</w:t>
            </w:r>
            <w:r w:rsidRPr="00E0088F">
              <w:rPr>
                <w:lang w:val="fr-CH"/>
              </w:rPr>
              <w:noBreakHyphen/>
              <w:t xml:space="preserve">15). </w:t>
            </w:r>
            <w:r w:rsidRPr="00E0088F">
              <w:rPr>
                <w:lang w:val="fr-CH" w:eastAsia="ja-JP"/>
              </w:rPr>
              <w:t>Cette Résolution est</w:t>
            </w:r>
            <w:r w:rsidRPr="00E0088F">
              <w:rPr>
                <w:lang w:val="fr-CH"/>
              </w:rPr>
              <w:t xml:space="preserve"> mentionnée au point 2.5 de l'ordre du jour préliminaire de la CMR-23. À l'issue de l'examen du </w:t>
            </w:r>
            <w:r w:rsidRPr="00E0088F">
              <w:rPr>
                <w:b/>
                <w:bCs/>
                <w:lang w:val="fr-CH"/>
              </w:rPr>
              <w:t>point 10 de l'ordre du jour</w:t>
            </w:r>
            <w:r w:rsidRPr="00E0088F">
              <w:rPr>
                <w:lang w:val="fr-CH"/>
              </w:rPr>
              <w:t xml:space="preserve"> de la CMR</w:t>
            </w:r>
            <w:r w:rsidRPr="00E0088F">
              <w:rPr>
                <w:lang w:val="fr-CH"/>
              </w:rPr>
              <w:noBreakHyphen/>
              <w:t>19, cette Résolution ne devrait pas être modifiée.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F21E39" w14:textId="77777777" w:rsidR="002151C3" w:rsidRPr="00E0088F" w:rsidRDefault="002151C3" w:rsidP="006C5A84">
            <w:pPr>
              <w:pStyle w:val="Tabletext"/>
              <w:jc w:val="center"/>
              <w:rPr>
                <w:lang w:val="fr-CH"/>
              </w:rPr>
            </w:pPr>
            <w:r w:rsidRPr="00E0088F">
              <w:rPr>
                <w:lang w:val="fr-CH"/>
              </w:rPr>
              <w:t>NOC</w:t>
            </w:r>
          </w:p>
        </w:tc>
      </w:tr>
      <w:tr w:rsidR="002151C3" w:rsidRPr="00E0088F" w14:paraId="0F80A26D"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4093FC4C" w14:textId="77777777" w:rsidR="002151C3" w:rsidRPr="00E0088F" w:rsidRDefault="002151C3" w:rsidP="006C5A84">
            <w:pPr>
              <w:pStyle w:val="Tabletext"/>
              <w:jc w:val="center"/>
              <w:rPr>
                <w:lang w:val="fr-CH"/>
              </w:rPr>
            </w:pPr>
            <w:r w:rsidRPr="00E0088F">
              <w:rPr>
                <w:lang w:val="fr-CH"/>
              </w:rPr>
              <w:t>236</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842C362" w14:textId="77777777" w:rsidR="002151C3" w:rsidRPr="00E0088F" w:rsidRDefault="002151C3" w:rsidP="006C5A84">
            <w:pPr>
              <w:pStyle w:val="Tabletext"/>
              <w:rPr>
                <w:lang w:val="fr-CH"/>
              </w:rPr>
            </w:pPr>
            <w:r w:rsidRPr="00E0088F">
              <w:rPr>
                <w:lang w:val="fr-CH"/>
              </w:rPr>
              <w:t>Systèmes de radiocommunication ferroviaires train/voie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4E3CEE" w14:textId="4E7725DC"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1.11 de l'ordre du jour</w:t>
            </w:r>
            <w:r w:rsidRPr="00E0088F">
              <w:rPr>
                <w:lang w:val="fr-CH"/>
              </w:rPr>
              <w:t xml:space="preserve"> de la CMR</w:t>
            </w:r>
            <w:r w:rsidRPr="00E0088F">
              <w:rPr>
                <w:bCs/>
                <w:lang w:val="fr-CH"/>
              </w:rPr>
              <w:noBreakHyphen/>
              <w:t>19, cette Résolution devrait être supprimée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841E06" w14:textId="77777777" w:rsidR="002151C3" w:rsidRPr="00E0088F" w:rsidRDefault="002151C3" w:rsidP="006C5A84">
            <w:pPr>
              <w:pStyle w:val="Tabletext"/>
              <w:jc w:val="center"/>
              <w:rPr>
                <w:lang w:val="fr-CH"/>
              </w:rPr>
            </w:pPr>
            <w:r w:rsidRPr="00E0088F">
              <w:rPr>
                <w:lang w:val="fr-CH"/>
              </w:rPr>
              <w:t>SUP</w:t>
            </w:r>
          </w:p>
        </w:tc>
      </w:tr>
      <w:tr w:rsidR="002151C3" w:rsidRPr="00E0088F" w14:paraId="3A9AC820"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4E3E5B2" w14:textId="77777777" w:rsidR="002151C3" w:rsidRPr="00E0088F" w:rsidRDefault="002151C3" w:rsidP="006C5A84">
            <w:pPr>
              <w:pStyle w:val="Tabletext"/>
              <w:jc w:val="center"/>
              <w:rPr>
                <w:lang w:val="fr-CH"/>
              </w:rPr>
            </w:pPr>
            <w:r w:rsidRPr="00E0088F">
              <w:rPr>
                <w:lang w:val="fr-CH"/>
              </w:rPr>
              <w:t>237</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5EFBD0C" w14:textId="77777777" w:rsidR="002151C3" w:rsidRPr="00E0088F" w:rsidRDefault="002151C3" w:rsidP="006C5A84">
            <w:pPr>
              <w:pStyle w:val="Tabletext"/>
              <w:rPr>
                <w:lang w:val="fr-CH"/>
              </w:rPr>
            </w:pPr>
            <w:r w:rsidRPr="00E0088F">
              <w:rPr>
                <w:lang w:val="fr-CH"/>
              </w:rPr>
              <w:t>Applications des systèmes de transport intelligents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3457F8" w14:textId="4BF439B2"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1.12 de l'ordre du jour</w:t>
            </w:r>
            <w:r w:rsidRPr="00E0088F">
              <w:rPr>
                <w:lang w:val="fr-CH"/>
              </w:rPr>
              <w:t xml:space="preserve"> de la CMR</w:t>
            </w:r>
            <w:r w:rsidRPr="00E0088F">
              <w:rPr>
                <w:bCs/>
                <w:lang w:val="fr-CH"/>
              </w:rPr>
              <w:noBreakHyphen/>
              <w:t>19, cette Résolution devrait être supprimée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1F7A12" w14:textId="77777777" w:rsidR="002151C3" w:rsidRPr="00E0088F" w:rsidRDefault="002151C3" w:rsidP="006C5A84">
            <w:pPr>
              <w:pStyle w:val="Tabletext"/>
              <w:jc w:val="center"/>
              <w:rPr>
                <w:lang w:val="fr-CH"/>
              </w:rPr>
            </w:pPr>
            <w:r w:rsidRPr="00E0088F">
              <w:rPr>
                <w:lang w:val="fr-CH"/>
              </w:rPr>
              <w:t>SUP</w:t>
            </w:r>
          </w:p>
        </w:tc>
      </w:tr>
      <w:tr w:rsidR="002151C3" w:rsidRPr="00E0088F" w14:paraId="225571BF"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EFC4751" w14:textId="77777777" w:rsidR="002151C3" w:rsidRPr="00E0088F" w:rsidRDefault="002151C3" w:rsidP="006C5A84">
            <w:pPr>
              <w:pStyle w:val="Tabletext"/>
              <w:jc w:val="center"/>
              <w:rPr>
                <w:lang w:val="fr-CH"/>
              </w:rPr>
            </w:pPr>
            <w:r w:rsidRPr="00E0088F">
              <w:rPr>
                <w:lang w:val="fr-CH"/>
              </w:rPr>
              <w:lastRenderedPageBreak/>
              <w:t>238</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F48EA83" w14:textId="77777777" w:rsidR="002151C3" w:rsidRPr="00E0088F" w:rsidRDefault="002151C3" w:rsidP="006C5A84">
            <w:pPr>
              <w:pStyle w:val="Tabletext"/>
              <w:rPr>
                <w:lang w:val="fr-CH"/>
              </w:rPr>
            </w:pPr>
            <w:r w:rsidRPr="00E0088F">
              <w:rPr>
                <w:lang w:val="fr-CH"/>
              </w:rPr>
              <w:t>Études sur les questions liées aux fréquences en vue de l'identification de bandes de fréquences pour les Télécommunications mobiles internationales (IMT), y compris des attributions additionnelles possibles à titre primaire au service mobile dans une ou plusieurs parties de la gamme de fréquences comprise entre 24,25 et 86 GHz pour le développement futur des IMT à l'horizon 2020 et au</w:t>
            </w:r>
            <w:r w:rsidRPr="00E0088F">
              <w:rPr>
                <w:lang w:val="fr-CH"/>
              </w:rPr>
              <w:noBreakHyphen/>
              <w:t>delà</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594F45" w14:textId="77777777"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1.13 de l'ordre du jour</w:t>
            </w:r>
            <w:r w:rsidRPr="00E0088F">
              <w:rPr>
                <w:lang w:val="fr-CH"/>
              </w:rPr>
              <w:t xml:space="preserve"> de la CMR</w:t>
            </w:r>
            <w:r w:rsidRPr="00E0088F">
              <w:rPr>
                <w:bCs/>
                <w:lang w:val="fr-CH"/>
              </w:rPr>
              <w:noBreakHyphen/>
              <w:t>19, il est convenu que cette Résolution devrait être supprimée ou modifiée.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43064D" w14:textId="77777777" w:rsidR="002151C3" w:rsidRPr="00E0088F" w:rsidRDefault="002151C3" w:rsidP="006C5A84">
            <w:pPr>
              <w:pStyle w:val="Tabletext"/>
              <w:jc w:val="center"/>
              <w:rPr>
                <w:lang w:val="fr-CH"/>
              </w:rPr>
            </w:pPr>
            <w:r w:rsidRPr="00E0088F">
              <w:rPr>
                <w:lang w:val="fr-CH"/>
              </w:rPr>
              <w:t>SUP/MOD</w:t>
            </w:r>
          </w:p>
        </w:tc>
      </w:tr>
      <w:tr w:rsidR="002151C3" w:rsidRPr="00E0088F" w14:paraId="5E10D69C"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42F96196" w14:textId="77777777" w:rsidR="002151C3" w:rsidRPr="00E0088F" w:rsidRDefault="002151C3" w:rsidP="006C5A84">
            <w:pPr>
              <w:pStyle w:val="Tabletext"/>
              <w:jc w:val="center"/>
              <w:rPr>
                <w:lang w:val="fr-CH"/>
              </w:rPr>
            </w:pPr>
            <w:r w:rsidRPr="00E0088F">
              <w:rPr>
                <w:lang w:val="fr-CH"/>
              </w:rPr>
              <w:t>239</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4218FFB" w14:textId="77777777" w:rsidR="002151C3" w:rsidRPr="00E0088F" w:rsidRDefault="002151C3" w:rsidP="006C5A84">
            <w:pPr>
              <w:pStyle w:val="Tabletext"/>
              <w:rPr>
                <w:lang w:val="fr-CH"/>
              </w:rPr>
            </w:pPr>
            <w:r w:rsidRPr="00E0088F">
              <w:rPr>
                <w:lang w:val="fr-CH"/>
              </w:rPr>
              <w:t>Études relatives aux systèmes d'accès hertzien, y compris les réseaux locaux hertziens, dans les bandes de fréquences comprises entre 5 150 MHz et 5 925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9D7DE1" w14:textId="4C3A5960"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1.16 de l'ordre du jour</w:t>
            </w:r>
            <w:r w:rsidRPr="00E0088F">
              <w:rPr>
                <w:lang w:val="fr-CH"/>
              </w:rPr>
              <w:t xml:space="preserve"> de la CMR</w:t>
            </w:r>
            <w:r w:rsidRPr="00E0088F">
              <w:rPr>
                <w:bCs/>
                <w:lang w:val="fr-CH"/>
              </w:rPr>
              <w:noBreakHyphen/>
              <w:t>19, cette Résolution devrait être supprimée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F2F795" w14:textId="77777777" w:rsidR="002151C3" w:rsidRPr="00E0088F" w:rsidRDefault="002151C3" w:rsidP="006C5A84">
            <w:pPr>
              <w:pStyle w:val="Tabletext"/>
              <w:jc w:val="center"/>
              <w:rPr>
                <w:lang w:val="fr-CH"/>
              </w:rPr>
            </w:pPr>
            <w:r w:rsidRPr="00E0088F">
              <w:rPr>
                <w:lang w:val="fr-CH"/>
              </w:rPr>
              <w:t>SUP</w:t>
            </w:r>
          </w:p>
        </w:tc>
      </w:tr>
      <w:tr w:rsidR="002151C3" w:rsidRPr="00E0088F" w14:paraId="64CBBA85"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7060373" w14:textId="77777777" w:rsidR="002151C3" w:rsidRPr="00E0088F" w:rsidRDefault="002151C3" w:rsidP="006C5A84">
            <w:pPr>
              <w:pStyle w:val="Tabletext"/>
              <w:jc w:val="center"/>
              <w:rPr>
                <w:lang w:val="fr-CH"/>
              </w:rPr>
            </w:pPr>
            <w:r w:rsidRPr="00E0088F">
              <w:rPr>
                <w:lang w:val="fr-CH"/>
              </w:rPr>
              <w:t>331</w:t>
            </w:r>
          </w:p>
        </w:tc>
        <w:tc>
          <w:tcPr>
            <w:tcW w:w="2551" w:type="dxa"/>
            <w:tcBorders>
              <w:top w:val="single" w:sz="6" w:space="0" w:color="auto"/>
              <w:left w:val="single" w:sz="6" w:space="0" w:color="auto"/>
              <w:bottom w:val="single" w:sz="6" w:space="0" w:color="auto"/>
              <w:right w:val="single" w:sz="6" w:space="0" w:color="auto"/>
            </w:tcBorders>
            <w:hideMark/>
          </w:tcPr>
          <w:p w14:paraId="4CBF3861" w14:textId="77777777" w:rsidR="002151C3" w:rsidRPr="00E0088F" w:rsidRDefault="002151C3" w:rsidP="006C5A84">
            <w:pPr>
              <w:pStyle w:val="Tabletext"/>
              <w:rPr>
                <w:lang w:val="fr-CH" w:eastAsia="zh-CN"/>
              </w:rPr>
            </w:pPr>
            <w:r w:rsidRPr="00E0088F">
              <w:rPr>
                <w:lang w:val="fr-CH"/>
              </w:rPr>
              <w:t>Exploitation du Système mondial de détresse et de sécurité en mer (SMDSM)</w:t>
            </w:r>
          </w:p>
        </w:tc>
        <w:tc>
          <w:tcPr>
            <w:tcW w:w="3625" w:type="dxa"/>
            <w:tcBorders>
              <w:top w:val="single" w:sz="6" w:space="0" w:color="auto"/>
              <w:left w:val="single" w:sz="6" w:space="0" w:color="auto"/>
              <w:bottom w:val="single" w:sz="6" w:space="0" w:color="auto"/>
              <w:right w:val="single" w:sz="6" w:space="0" w:color="auto"/>
            </w:tcBorders>
            <w:hideMark/>
          </w:tcPr>
          <w:p w14:paraId="5EE2C6C4" w14:textId="77777777" w:rsidR="002151C3" w:rsidRPr="00E0088F" w:rsidRDefault="002151C3" w:rsidP="006C5A84">
            <w:pPr>
              <w:pStyle w:val="Tabletext"/>
              <w:rPr>
                <w:lang w:val="fr-CH"/>
              </w:rPr>
            </w:pPr>
            <w:r w:rsidRPr="00E0088F">
              <w:rPr>
                <w:bCs/>
                <w:lang w:val="fr-CH"/>
              </w:rPr>
              <w:t xml:space="preserve">(Rév.CMR-12). A toujours lieu d'être. </w:t>
            </w:r>
            <w:r w:rsidRPr="00E0088F">
              <w:rPr>
                <w:lang w:val="fr-CH"/>
              </w:rPr>
              <w:t>Le texte a été mis à jour à la CMR-12.</w:t>
            </w:r>
            <w:r w:rsidRPr="00E0088F">
              <w:rPr>
                <w:lang w:val="fr-CH" w:eastAsia="ja-JP"/>
              </w:rPr>
              <w:t xml:space="preserve"> Les études de l'UIT-R demandées n'ont pas été réalisées à ce jour. </w:t>
            </w:r>
          </w:p>
        </w:tc>
        <w:tc>
          <w:tcPr>
            <w:tcW w:w="2045" w:type="dxa"/>
            <w:tcBorders>
              <w:top w:val="single" w:sz="6" w:space="0" w:color="auto"/>
              <w:left w:val="single" w:sz="6" w:space="0" w:color="auto"/>
              <w:bottom w:val="single" w:sz="6" w:space="0" w:color="auto"/>
              <w:right w:val="single" w:sz="6" w:space="0" w:color="auto"/>
            </w:tcBorders>
            <w:hideMark/>
          </w:tcPr>
          <w:p w14:paraId="3CF02BC3" w14:textId="77777777" w:rsidR="002151C3" w:rsidRPr="00E0088F" w:rsidRDefault="002151C3" w:rsidP="006C5A84">
            <w:pPr>
              <w:pStyle w:val="Tabletext"/>
              <w:jc w:val="center"/>
              <w:rPr>
                <w:lang w:val="fr-CH"/>
              </w:rPr>
            </w:pPr>
            <w:r w:rsidRPr="00E0088F">
              <w:rPr>
                <w:lang w:val="fr-CH"/>
              </w:rPr>
              <w:t>NOC</w:t>
            </w:r>
          </w:p>
        </w:tc>
      </w:tr>
      <w:tr w:rsidR="002151C3" w:rsidRPr="00E0088F" w14:paraId="04187BF2"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6BF629F" w14:textId="77777777" w:rsidR="002151C3" w:rsidRPr="00E0088F" w:rsidRDefault="002151C3" w:rsidP="006C5A84">
            <w:pPr>
              <w:pStyle w:val="Tabletext"/>
              <w:jc w:val="center"/>
              <w:rPr>
                <w:lang w:val="fr-CH"/>
              </w:rPr>
            </w:pPr>
            <w:r w:rsidRPr="00E0088F">
              <w:rPr>
                <w:lang w:val="fr-CH"/>
              </w:rPr>
              <w:t>339</w:t>
            </w:r>
          </w:p>
        </w:tc>
        <w:tc>
          <w:tcPr>
            <w:tcW w:w="2551" w:type="dxa"/>
            <w:tcBorders>
              <w:top w:val="single" w:sz="6" w:space="0" w:color="auto"/>
              <w:left w:val="single" w:sz="6" w:space="0" w:color="auto"/>
              <w:bottom w:val="single" w:sz="6" w:space="0" w:color="auto"/>
              <w:right w:val="single" w:sz="6" w:space="0" w:color="auto"/>
            </w:tcBorders>
            <w:hideMark/>
          </w:tcPr>
          <w:p w14:paraId="27375397" w14:textId="77777777" w:rsidR="002151C3" w:rsidRPr="00E0088F" w:rsidRDefault="002151C3" w:rsidP="006C5A84">
            <w:pPr>
              <w:pStyle w:val="Tabletext"/>
              <w:rPr>
                <w:lang w:val="fr-CH"/>
              </w:rPr>
            </w:pPr>
            <w:r w:rsidRPr="00E0088F">
              <w:rPr>
                <w:color w:val="000000"/>
                <w:lang w:val="fr-CH"/>
              </w:rPr>
              <w:t>Coordination des services NAVTEX</w:t>
            </w:r>
          </w:p>
        </w:tc>
        <w:tc>
          <w:tcPr>
            <w:tcW w:w="3625" w:type="dxa"/>
            <w:tcBorders>
              <w:top w:val="single" w:sz="6" w:space="0" w:color="auto"/>
              <w:left w:val="single" w:sz="6" w:space="0" w:color="auto"/>
              <w:bottom w:val="single" w:sz="6" w:space="0" w:color="auto"/>
              <w:right w:val="single" w:sz="6" w:space="0" w:color="auto"/>
            </w:tcBorders>
            <w:hideMark/>
          </w:tcPr>
          <w:p w14:paraId="108E9C01" w14:textId="77777777" w:rsidR="002151C3" w:rsidRPr="00E0088F" w:rsidRDefault="002151C3" w:rsidP="006C5A84">
            <w:pPr>
              <w:pStyle w:val="Tabletext"/>
              <w:rPr>
                <w:lang w:val="fr-CH"/>
              </w:rPr>
            </w:pPr>
            <w:r w:rsidRPr="00E0088F">
              <w:rPr>
                <w:lang w:val="fr-CH"/>
              </w:rPr>
              <w:t>(Rév.CMR-07). A toujours lieu d'être.</w:t>
            </w:r>
            <w:r w:rsidRPr="00E0088F">
              <w:rPr>
                <w:color w:val="000000"/>
                <w:sz w:val="24"/>
                <w:lang w:val="fr-CH"/>
              </w:rPr>
              <w:t xml:space="preserve"> </w:t>
            </w:r>
            <w:r w:rsidRPr="00E0088F">
              <w:rPr>
                <w:lang w:val="fr-CH"/>
              </w:rPr>
              <w:t xml:space="preserve">Cette Résolution est citée dans le numéro </w:t>
            </w:r>
            <w:r w:rsidRPr="00E0088F">
              <w:rPr>
                <w:b/>
                <w:bCs/>
                <w:lang w:val="fr-CH"/>
              </w:rPr>
              <w:t>5.79A</w:t>
            </w:r>
            <w:r w:rsidRPr="00E0088F">
              <w:rPr>
                <w:lang w:val="fr-CH"/>
              </w:rPr>
              <w:t xml:space="preserve"> et dans l'Appendice </w:t>
            </w:r>
            <w:r w:rsidRPr="00E0088F">
              <w:rPr>
                <w:b/>
                <w:bCs/>
                <w:lang w:val="fr-CH"/>
              </w:rPr>
              <w:t>15 (Rév.CMR</w:t>
            </w:r>
            <w:r w:rsidRPr="00E0088F">
              <w:rPr>
                <w:b/>
                <w:bCs/>
                <w:lang w:val="fr-CH"/>
              </w:rPr>
              <w:noBreakHyphen/>
              <w:t>15)</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A03852A" w14:textId="77777777" w:rsidR="002151C3" w:rsidRPr="00E0088F" w:rsidRDefault="002151C3" w:rsidP="006C5A84">
            <w:pPr>
              <w:pStyle w:val="Tabletext"/>
              <w:jc w:val="center"/>
              <w:rPr>
                <w:lang w:val="fr-CH"/>
              </w:rPr>
            </w:pPr>
            <w:r w:rsidRPr="00E0088F">
              <w:rPr>
                <w:lang w:val="fr-CH"/>
              </w:rPr>
              <w:t>NOC</w:t>
            </w:r>
          </w:p>
        </w:tc>
      </w:tr>
      <w:tr w:rsidR="002151C3" w:rsidRPr="00E0088F" w14:paraId="4BE208DA"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A57A4AB" w14:textId="77777777" w:rsidR="002151C3" w:rsidRPr="00E0088F" w:rsidRDefault="002151C3" w:rsidP="006C5A84">
            <w:pPr>
              <w:pStyle w:val="Tabletext"/>
              <w:jc w:val="center"/>
              <w:rPr>
                <w:lang w:val="fr-CH"/>
              </w:rPr>
            </w:pPr>
            <w:r w:rsidRPr="00E0088F">
              <w:rPr>
                <w:lang w:val="fr-CH"/>
              </w:rPr>
              <w:t>343</w:t>
            </w:r>
          </w:p>
        </w:tc>
        <w:tc>
          <w:tcPr>
            <w:tcW w:w="2551" w:type="dxa"/>
            <w:tcBorders>
              <w:top w:val="single" w:sz="6" w:space="0" w:color="auto"/>
              <w:left w:val="single" w:sz="6" w:space="0" w:color="auto"/>
              <w:bottom w:val="single" w:sz="6" w:space="0" w:color="auto"/>
              <w:right w:val="single" w:sz="6" w:space="0" w:color="auto"/>
            </w:tcBorders>
            <w:hideMark/>
          </w:tcPr>
          <w:p w14:paraId="4F54FEF9" w14:textId="77777777" w:rsidR="002151C3" w:rsidRPr="00E0088F" w:rsidRDefault="002151C3" w:rsidP="006C5A84">
            <w:pPr>
              <w:pStyle w:val="Tabletext"/>
              <w:rPr>
                <w:lang w:val="fr-CH"/>
              </w:rPr>
            </w:pPr>
            <w:r w:rsidRPr="00E0088F">
              <w:rPr>
                <w:color w:val="000000"/>
                <w:lang w:val="fr-CH"/>
              </w:rPr>
              <w:t>Certificats (navires utilisant les équipements SMDSM sur une base non obligatoire)</w:t>
            </w:r>
          </w:p>
        </w:tc>
        <w:tc>
          <w:tcPr>
            <w:tcW w:w="3625" w:type="dxa"/>
            <w:tcBorders>
              <w:top w:val="single" w:sz="6" w:space="0" w:color="auto"/>
              <w:left w:val="single" w:sz="6" w:space="0" w:color="auto"/>
              <w:bottom w:val="single" w:sz="6" w:space="0" w:color="auto"/>
              <w:right w:val="single" w:sz="6" w:space="0" w:color="auto"/>
            </w:tcBorders>
            <w:hideMark/>
          </w:tcPr>
          <w:p w14:paraId="0AC681E8" w14:textId="77777777" w:rsidR="002151C3" w:rsidRPr="00E0088F" w:rsidRDefault="002151C3" w:rsidP="006C5A84">
            <w:pPr>
              <w:pStyle w:val="Tabletext"/>
              <w:rPr>
                <w:lang w:val="fr-CH"/>
              </w:rPr>
            </w:pPr>
            <w:r w:rsidRPr="00E0088F">
              <w:rPr>
                <w:lang w:val="fr-CH"/>
              </w:rPr>
              <w:t xml:space="preserve">(Rév.CMR-12). A toujours lieu d'être (pour assurer les communications entre les navires SOLAS et les navires non SOLAS). Le texte a été mis à jour à la CMR-12. Cette Résolution est citée dans les numéros </w:t>
            </w:r>
            <w:r w:rsidRPr="00E0088F">
              <w:rPr>
                <w:b/>
                <w:bCs/>
                <w:lang w:val="fr-CH"/>
              </w:rPr>
              <w:t>47.27A</w:t>
            </w:r>
            <w:r w:rsidRPr="00E0088F">
              <w:rPr>
                <w:lang w:val="fr-CH"/>
              </w:rPr>
              <w:t xml:space="preserve"> et </w:t>
            </w:r>
            <w:r w:rsidRPr="00E0088F">
              <w:rPr>
                <w:b/>
                <w:bCs/>
                <w:lang w:val="fr-CH"/>
              </w:rPr>
              <w:t>48.7</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7C7266E3" w14:textId="77777777" w:rsidR="002151C3" w:rsidRPr="00E0088F" w:rsidRDefault="002151C3" w:rsidP="006C5A84">
            <w:pPr>
              <w:pStyle w:val="Tabletext"/>
              <w:jc w:val="center"/>
              <w:rPr>
                <w:lang w:val="fr-CH"/>
              </w:rPr>
            </w:pPr>
            <w:r w:rsidRPr="00E0088F">
              <w:rPr>
                <w:lang w:val="fr-CH"/>
              </w:rPr>
              <w:t>NOC</w:t>
            </w:r>
          </w:p>
        </w:tc>
      </w:tr>
      <w:tr w:rsidR="002151C3" w:rsidRPr="00E0088F" w14:paraId="26B8FD82" w14:textId="77777777" w:rsidTr="002151C3">
        <w:trPr>
          <w:cantSplit/>
          <w:trHeight w:val="1490"/>
          <w:jc w:val="center"/>
        </w:trPr>
        <w:tc>
          <w:tcPr>
            <w:tcW w:w="843" w:type="dxa"/>
            <w:tcBorders>
              <w:top w:val="single" w:sz="6" w:space="0" w:color="auto"/>
              <w:left w:val="single" w:sz="6" w:space="0" w:color="auto"/>
              <w:bottom w:val="single" w:sz="6" w:space="0" w:color="auto"/>
              <w:right w:val="single" w:sz="6" w:space="0" w:color="auto"/>
            </w:tcBorders>
            <w:hideMark/>
          </w:tcPr>
          <w:p w14:paraId="397A6CBC" w14:textId="77777777" w:rsidR="002151C3" w:rsidRPr="00E0088F" w:rsidRDefault="002151C3" w:rsidP="006C5A84">
            <w:pPr>
              <w:pStyle w:val="Tabletext"/>
              <w:jc w:val="center"/>
              <w:rPr>
                <w:lang w:val="fr-CH"/>
              </w:rPr>
            </w:pPr>
            <w:r w:rsidRPr="00E0088F">
              <w:rPr>
                <w:lang w:val="fr-CH"/>
              </w:rPr>
              <w:t>344</w:t>
            </w:r>
          </w:p>
        </w:tc>
        <w:tc>
          <w:tcPr>
            <w:tcW w:w="2551" w:type="dxa"/>
            <w:tcBorders>
              <w:top w:val="single" w:sz="6" w:space="0" w:color="auto"/>
              <w:left w:val="single" w:sz="6" w:space="0" w:color="auto"/>
              <w:bottom w:val="single" w:sz="6" w:space="0" w:color="auto"/>
              <w:right w:val="single" w:sz="6" w:space="0" w:color="auto"/>
            </w:tcBorders>
            <w:hideMark/>
          </w:tcPr>
          <w:p w14:paraId="28AA4476" w14:textId="77777777" w:rsidR="002151C3" w:rsidRPr="00E0088F" w:rsidRDefault="002151C3" w:rsidP="006C5A84">
            <w:pPr>
              <w:pStyle w:val="Tabletext"/>
              <w:rPr>
                <w:color w:val="000000"/>
                <w:lang w:val="fr-CH"/>
              </w:rPr>
            </w:pPr>
            <w:r w:rsidRPr="00E0088F">
              <w:rPr>
                <w:color w:val="000000"/>
                <w:lang w:val="fr-CH"/>
              </w:rPr>
              <w:t>Épuisement des ressources MMSI</w:t>
            </w:r>
          </w:p>
        </w:tc>
        <w:tc>
          <w:tcPr>
            <w:tcW w:w="3625" w:type="dxa"/>
            <w:tcBorders>
              <w:top w:val="single" w:sz="6" w:space="0" w:color="auto"/>
              <w:left w:val="single" w:sz="6" w:space="0" w:color="auto"/>
              <w:bottom w:val="single" w:sz="6" w:space="0" w:color="auto"/>
              <w:right w:val="single" w:sz="6" w:space="0" w:color="auto"/>
            </w:tcBorders>
            <w:hideMark/>
          </w:tcPr>
          <w:p w14:paraId="27112661" w14:textId="77777777" w:rsidR="002151C3" w:rsidRPr="00E0088F" w:rsidRDefault="002151C3" w:rsidP="006C5A84">
            <w:pPr>
              <w:pStyle w:val="Tabletext"/>
              <w:rPr>
                <w:lang w:val="fr-CH"/>
              </w:rPr>
            </w:pPr>
            <w:r w:rsidRPr="00E0088F">
              <w:rPr>
                <w:lang w:val="fr-CH"/>
              </w:rPr>
              <w:t>(Rév.CMR-12). A toujours lieu d'être</w:t>
            </w:r>
            <w:r w:rsidRPr="00E0088F">
              <w:rPr>
                <w:rFonts w:asciiTheme="majorBidi" w:hAnsiTheme="majorBidi" w:cstheme="majorBidi"/>
                <w:lang w:val="fr-CH" w:eastAsia="ja-JP"/>
              </w:rPr>
              <w:t>. Le texte a été mis à jour à la CMR-12.</w:t>
            </w:r>
          </w:p>
          <w:p w14:paraId="57FA23F7" w14:textId="77777777" w:rsidR="002151C3" w:rsidRPr="00E0088F" w:rsidRDefault="002151C3" w:rsidP="006C5A84">
            <w:pPr>
              <w:pStyle w:val="Tabletext"/>
              <w:rPr>
                <w:lang w:val="fr-CH"/>
              </w:rPr>
            </w:pPr>
            <w:r w:rsidRPr="00E0088F">
              <w:rPr>
                <w:lang w:val="fr-CH"/>
              </w:rPr>
              <w:t xml:space="preserve">Les stations «Inmarsat B et M» citées dans le </w:t>
            </w:r>
            <w:r w:rsidRPr="00E0088F">
              <w:rPr>
                <w:i/>
                <w:iCs/>
                <w:lang w:val="fr-CH"/>
              </w:rPr>
              <w:t>notant</w:t>
            </w:r>
            <w:r w:rsidRPr="00E0088F">
              <w:rPr>
                <w:lang w:val="fr-CH"/>
              </w:rPr>
              <w:t xml:space="preserve"> ne sont plus en service depuis fin 2016 et 2017, respectivement. De plus, la prise en compte des satellites du SMSDS autres que ceux d'Inmarsat est à l'examen à l'OMI. Il faudra peut-être apporter des modifications à cet égard. Cette Résolution devra peut-être être mise à jour compte tenu des modifications apportées à la Recommandation UIT-R M.585-7 en ce qui concerne la référence à Inmarsat et les références aux systèmes/équipements du SMS.</w:t>
            </w:r>
          </w:p>
        </w:tc>
        <w:tc>
          <w:tcPr>
            <w:tcW w:w="2045" w:type="dxa"/>
            <w:tcBorders>
              <w:top w:val="single" w:sz="6" w:space="0" w:color="auto"/>
              <w:left w:val="single" w:sz="6" w:space="0" w:color="auto"/>
              <w:bottom w:val="single" w:sz="6" w:space="0" w:color="auto"/>
              <w:right w:val="single" w:sz="6" w:space="0" w:color="auto"/>
            </w:tcBorders>
            <w:hideMark/>
          </w:tcPr>
          <w:p w14:paraId="32429492" w14:textId="77777777" w:rsidR="002151C3" w:rsidRPr="00E0088F" w:rsidRDefault="002151C3" w:rsidP="006C5A84">
            <w:pPr>
              <w:pStyle w:val="Tabletext"/>
              <w:jc w:val="center"/>
              <w:rPr>
                <w:lang w:val="fr-CH" w:eastAsia="ja-JP"/>
              </w:rPr>
            </w:pPr>
            <w:r w:rsidRPr="00E0088F">
              <w:rPr>
                <w:lang w:val="fr-CH"/>
              </w:rPr>
              <w:t>NOC</w:t>
            </w:r>
            <w:r w:rsidRPr="00E0088F">
              <w:rPr>
                <w:lang w:val="fr-CH" w:eastAsia="ja-JP"/>
              </w:rPr>
              <w:t>/</w:t>
            </w:r>
          </w:p>
          <w:p w14:paraId="3F4A76B6" w14:textId="77777777" w:rsidR="002151C3" w:rsidRPr="00E0088F" w:rsidRDefault="002151C3" w:rsidP="006C5A84">
            <w:pPr>
              <w:pStyle w:val="Tabletext"/>
              <w:jc w:val="center"/>
              <w:rPr>
                <w:lang w:val="fr-CH" w:eastAsia="ja-JP"/>
              </w:rPr>
            </w:pPr>
            <w:r w:rsidRPr="00E0088F">
              <w:rPr>
                <w:lang w:val="fr-CH" w:eastAsia="ja-JP"/>
              </w:rPr>
              <w:t>MOD</w:t>
            </w:r>
          </w:p>
        </w:tc>
      </w:tr>
      <w:tr w:rsidR="002151C3" w:rsidRPr="00E0088F" w14:paraId="68943806"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1E23274" w14:textId="77777777" w:rsidR="002151C3" w:rsidRPr="00E0088F" w:rsidRDefault="002151C3" w:rsidP="006C5A84">
            <w:pPr>
              <w:pStyle w:val="Tabletext"/>
              <w:jc w:val="center"/>
              <w:rPr>
                <w:lang w:val="fr-CH"/>
              </w:rPr>
            </w:pPr>
            <w:r w:rsidRPr="00E0088F">
              <w:rPr>
                <w:lang w:val="fr-CH"/>
              </w:rPr>
              <w:lastRenderedPageBreak/>
              <w:t>349</w:t>
            </w:r>
          </w:p>
        </w:tc>
        <w:tc>
          <w:tcPr>
            <w:tcW w:w="2551" w:type="dxa"/>
            <w:tcBorders>
              <w:top w:val="single" w:sz="6" w:space="0" w:color="auto"/>
              <w:left w:val="single" w:sz="6" w:space="0" w:color="auto"/>
              <w:bottom w:val="single" w:sz="6" w:space="0" w:color="auto"/>
              <w:right w:val="single" w:sz="6" w:space="0" w:color="auto"/>
            </w:tcBorders>
            <w:hideMark/>
          </w:tcPr>
          <w:p w14:paraId="7DB657E4" w14:textId="77777777" w:rsidR="002151C3" w:rsidRPr="00E0088F" w:rsidRDefault="002151C3" w:rsidP="006C5A84">
            <w:pPr>
              <w:pStyle w:val="Tabletext"/>
              <w:rPr>
                <w:lang w:val="fr-CH"/>
              </w:rPr>
            </w:pPr>
            <w:r w:rsidRPr="00E0088F">
              <w:rPr>
                <w:color w:val="000000"/>
                <w:lang w:val="fr-CH"/>
              </w:rPr>
              <w:t>Fausses alertes dans le SMDSM</w:t>
            </w:r>
          </w:p>
        </w:tc>
        <w:tc>
          <w:tcPr>
            <w:tcW w:w="3625" w:type="dxa"/>
            <w:tcBorders>
              <w:top w:val="single" w:sz="6" w:space="0" w:color="auto"/>
              <w:left w:val="single" w:sz="6" w:space="0" w:color="auto"/>
              <w:bottom w:val="single" w:sz="6" w:space="0" w:color="auto"/>
              <w:right w:val="single" w:sz="6" w:space="0" w:color="auto"/>
            </w:tcBorders>
            <w:hideMark/>
          </w:tcPr>
          <w:p w14:paraId="5756B82B" w14:textId="77777777" w:rsidR="002151C3" w:rsidRPr="00E0088F" w:rsidRDefault="002151C3" w:rsidP="006C5A84">
            <w:pPr>
              <w:pStyle w:val="Tabletext"/>
              <w:rPr>
                <w:lang w:val="fr-CH"/>
              </w:rPr>
            </w:pPr>
            <w:r w:rsidRPr="00E0088F">
              <w:rPr>
                <w:lang w:val="fr-CH"/>
              </w:rPr>
              <w:t xml:space="preserve">(Rév.CMR-12). A toujours lieu d'être. </w:t>
            </w:r>
            <w:r w:rsidRPr="00E0088F">
              <w:rPr>
                <w:rFonts w:asciiTheme="majorBidi" w:hAnsiTheme="majorBidi" w:cstheme="majorBidi"/>
                <w:lang w:val="fr-CH" w:eastAsia="ja-JP"/>
              </w:rPr>
              <w:t>Le texte a été mis à jour à la CMR-12.</w:t>
            </w:r>
            <w:r w:rsidRPr="00E0088F">
              <w:rPr>
                <w:lang w:val="fr-CH" w:eastAsia="ja-JP"/>
              </w:rPr>
              <w:t xml:space="preserve"> Cette Résolution est citée dans le numéro </w:t>
            </w:r>
            <w:r w:rsidRPr="00E0088F">
              <w:rPr>
                <w:b/>
                <w:bCs/>
                <w:lang w:val="fr-CH" w:eastAsia="ja-JP"/>
              </w:rPr>
              <w:t>32.10A</w:t>
            </w:r>
            <w:r w:rsidRPr="00E0088F">
              <w:rPr>
                <w:lang w:val="fr-CH" w:eastAsia="ja-JP"/>
              </w:rPr>
              <w:t xml:space="preserve">. L'examen du texte analogue à celui de la Résolution </w:t>
            </w:r>
            <w:r w:rsidRPr="00E0088F">
              <w:rPr>
                <w:b/>
                <w:bCs/>
                <w:lang w:val="fr-CH" w:eastAsia="ja-JP"/>
              </w:rPr>
              <w:t xml:space="preserve">344 </w:t>
            </w:r>
            <w:r w:rsidRPr="00E0088F">
              <w:rPr>
                <w:lang w:val="fr-CH" w:eastAsia="ja-JP"/>
              </w:rPr>
              <w:t>pourrait être envisagé. L</w:t>
            </w:r>
            <w:r w:rsidRPr="00E0088F">
              <w:rPr>
                <w:lang w:val="fr-CH"/>
              </w:rPr>
              <w:t>a nouvelle Recommandation UIT-R M.493</w:t>
            </w:r>
            <w:r w:rsidRPr="00E0088F">
              <w:rPr>
                <w:lang w:val="fr-CH"/>
              </w:rPr>
              <w:noBreakHyphen/>
              <w:t>15 a été approuvée en janvier 2019.</w:t>
            </w:r>
          </w:p>
        </w:tc>
        <w:tc>
          <w:tcPr>
            <w:tcW w:w="2045" w:type="dxa"/>
            <w:tcBorders>
              <w:top w:val="single" w:sz="6" w:space="0" w:color="auto"/>
              <w:left w:val="single" w:sz="6" w:space="0" w:color="auto"/>
              <w:bottom w:val="single" w:sz="6" w:space="0" w:color="auto"/>
              <w:right w:val="single" w:sz="6" w:space="0" w:color="auto"/>
            </w:tcBorders>
            <w:hideMark/>
          </w:tcPr>
          <w:p w14:paraId="34E42AA7" w14:textId="77777777" w:rsidR="002151C3" w:rsidRPr="00E0088F" w:rsidRDefault="002151C3" w:rsidP="006C5A84">
            <w:pPr>
              <w:pStyle w:val="Tabletext"/>
              <w:jc w:val="center"/>
              <w:rPr>
                <w:lang w:val="fr-CH"/>
              </w:rPr>
            </w:pPr>
            <w:r w:rsidRPr="00E0088F">
              <w:rPr>
                <w:lang w:val="fr-CH"/>
              </w:rPr>
              <w:t>NOC/</w:t>
            </w:r>
          </w:p>
          <w:p w14:paraId="30452B20" w14:textId="77777777" w:rsidR="002151C3" w:rsidRPr="00E0088F" w:rsidRDefault="002151C3" w:rsidP="006C5A84">
            <w:pPr>
              <w:pStyle w:val="Tabletext"/>
              <w:jc w:val="center"/>
              <w:rPr>
                <w:lang w:val="fr-CH"/>
              </w:rPr>
            </w:pPr>
            <w:r w:rsidRPr="00E0088F">
              <w:rPr>
                <w:lang w:val="fr-CH"/>
              </w:rPr>
              <w:t>MOD</w:t>
            </w:r>
          </w:p>
        </w:tc>
      </w:tr>
      <w:tr w:rsidR="002151C3" w:rsidRPr="00E0088F" w14:paraId="5E7958B4"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9363060" w14:textId="77777777" w:rsidR="002151C3" w:rsidRPr="00E0088F" w:rsidRDefault="002151C3" w:rsidP="006C5A84">
            <w:pPr>
              <w:pStyle w:val="Tabletext"/>
              <w:jc w:val="center"/>
              <w:rPr>
                <w:lang w:val="fr-CH"/>
              </w:rPr>
            </w:pPr>
            <w:r w:rsidRPr="00E0088F">
              <w:rPr>
                <w:lang w:val="fr-CH"/>
              </w:rPr>
              <w:t>352</w:t>
            </w:r>
          </w:p>
        </w:tc>
        <w:tc>
          <w:tcPr>
            <w:tcW w:w="2551" w:type="dxa"/>
            <w:tcBorders>
              <w:top w:val="single" w:sz="6" w:space="0" w:color="auto"/>
              <w:left w:val="single" w:sz="6" w:space="0" w:color="auto"/>
              <w:bottom w:val="single" w:sz="6" w:space="0" w:color="auto"/>
              <w:right w:val="single" w:sz="6" w:space="0" w:color="auto"/>
            </w:tcBorders>
            <w:hideMark/>
          </w:tcPr>
          <w:p w14:paraId="4EEA7F75" w14:textId="77777777" w:rsidR="002151C3" w:rsidRPr="00E0088F" w:rsidRDefault="002151C3" w:rsidP="006C5A84">
            <w:pPr>
              <w:pStyle w:val="Tabletext"/>
              <w:rPr>
                <w:lang w:val="fr-CH"/>
              </w:rPr>
            </w:pPr>
            <w:r w:rsidRPr="00E0088F">
              <w:rPr>
                <w:color w:val="000000"/>
                <w:lang w:val="fr-CH"/>
              </w:rPr>
              <w:t>Utilisation des fréquences porteuses 12 290 kHz et 16 420 kHz pour les appels liés à la sécurité à destination ou en provenance des centres de coordination des opérations de sauvetage</w:t>
            </w:r>
            <w:r w:rsidRPr="00E0088F">
              <w:rPr>
                <w:lang w:val="fr-CH"/>
              </w:rPr>
              <w:t xml:space="preserve"> </w:t>
            </w:r>
          </w:p>
        </w:tc>
        <w:tc>
          <w:tcPr>
            <w:tcW w:w="3625" w:type="dxa"/>
            <w:tcBorders>
              <w:top w:val="single" w:sz="6" w:space="0" w:color="auto"/>
              <w:left w:val="single" w:sz="6" w:space="0" w:color="auto"/>
              <w:bottom w:val="single" w:sz="6" w:space="0" w:color="auto"/>
              <w:right w:val="single" w:sz="6" w:space="0" w:color="auto"/>
            </w:tcBorders>
            <w:hideMark/>
          </w:tcPr>
          <w:p w14:paraId="15288845" w14:textId="77777777" w:rsidR="002151C3" w:rsidRPr="00E0088F" w:rsidRDefault="002151C3" w:rsidP="006C5A84">
            <w:pPr>
              <w:pStyle w:val="Tabletext"/>
              <w:rPr>
                <w:lang w:val="fr-CH" w:eastAsia="ja-JP"/>
              </w:rPr>
            </w:pPr>
            <w:r w:rsidRPr="00E0088F">
              <w:rPr>
                <w:lang w:val="fr-CH"/>
              </w:rPr>
              <w:t>(CMR-03). A toujours lieu d'être. Cette Résolution est citée dans le numéro </w:t>
            </w:r>
            <w:r w:rsidRPr="00E0088F">
              <w:rPr>
                <w:b/>
                <w:bCs/>
                <w:lang w:val="fr-CH"/>
              </w:rPr>
              <w:t>52.221A</w:t>
            </w:r>
            <w:r w:rsidRPr="00E0088F">
              <w:rPr>
                <w:lang w:val="fr-CH"/>
              </w:rPr>
              <w:t xml:space="preserve"> et dans l'Appendice </w:t>
            </w:r>
            <w:r w:rsidRPr="00E0088F">
              <w:rPr>
                <w:b/>
                <w:bCs/>
                <w:lang w:val="fr-CH"/>
              </w:rPr>
              <w:t>17</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F006D99" w14:textId="77777777" w:rsidR="002151C3" w:rsidRPr="00E0088F" w:rsidRDefault="002151C3" w:rsidP="006C5A84">
            <w:pPr>
              <w:pStyle w:val="Tabletext"/>
              <w:jc w:val="center"/>
              <w:rPr>
                <w:lang w:val="fr-CH"/>
              </w:rPr>
            </w:pPr>
            <w:r w:rsidRPr="00E0088F">
              <w:rPr>
                <w:lang w:val="fr-CH"/>
              </w:rPr>
              <w:t>NOC</w:t>
            </w:r>
          </w:p>
        </w:tc>
      </w:tr>
      <w:tr w:rsidR="002151C3" w:rsidRPr="00E0088F" w14:paraId="27597169" w14:textId="77777777" w:rsidTr="002151C3">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04CCE39" w14:textId="77777777" w:rsidR="002151C3" w:rsidRPr="00E0088F" w:rsidRDefault="002151C3" w:rsidP="006C5A84">
            <w:pPr>
              <w:pStyle w:val="Tabletext"/>
              <w:jc w:val="center"/>
              <w:rPr>
                <w:lang w:val="fr-CH" w:eastAsia="ja-JP"/>
              </w:rPr>
            </w:pPr>
            <w:r w:rsidRPr="00E0088F">
              <w:rPr>
                <w:lang w:val="fr-CH" w:eastAsia="ja-JP"/>
              </w:rPr>
              <w:t>354</w:t>
            </w:r>
          </w:p>
        </w:tc>
        <w:tc>
          <w:tcPr>
            <w:tcW w:w="2551" w:type="dxa"/>
            <w:tcBorders>
              <w:top w:val="single" w:sz="6" w:space="0" w:color="auto"/>
              <w:left w:val="single" w:sz="6" w:space="0" w:color="auto"/>
              <w:bottom w:val="single" w:sz="6" w:space="0" w:color="auto"/>
              <w:right w:val="single" w:sz="6" w:space="0" w:color="auto"/>
            </w:tcBorders>
            <w:hideMark/>
          </w:tcPr>
          <w:p w14:paraId="4D9062EF" w14:textId="77777777" w:rsidR="002151C3" w:rsidRPr="00E0088F" w:rsidRDefault="002151C3" w:rsidP="006C5A84">
            <w:pPr>
              <w:pStyle w:val="Tabletext"/>
              <w:rPr>
                <w:lang w:val="fr-CH" w:eastAsia="ja-JP"/>
              </w:rPr>
            </w:pPr>
            <w:r w:rsidRPr="00E0088F">
              <w:rPr>
                <w:lang w:val="fr-CH"/>
              </w:rPr>
              <w:t>Procédures de détresse et de sécurité en radiotéléphonie sur la fréquence 2</w:t>
            </w:r>
            <w:r w:rsidRPr="00E0088F">
              <w:rPr>
                <w:rFonts w:ascii="Tms Rmn" w:hAnsi="Tms Rmn"/>
                <w:lang w:val="fr-CH"/>
              </w:rPr>
              <w:t> </w:t>
            </w:r>
            <w:r w:rsidRPr="00E0088F">
              <w:rPr>
                <w:lang w:val="fr-CH"/>
              </w:rPr>
              <w:t>182 kHz</w:t>
            </w:r>
          </w:p>
        </w:tc>
        <w:tc>
          <w:tcPr>
            <w:tcW w:w="3625" w:type="dxa"/>
            <w:tcBorders>
              <w:top w:val="single" w:sz="6" w:space="0" w:color="auto"/>
              <w:left w:val="single" w:sz="6" w:space="0" w:color="auto"/>
              <w:bottom w:val="single" w:sz="6" w:space="0" w:color="auto"/>
              <w:right w:val="single" w:sz="6" w:space="0" w:color="auto"/>
            </w:tcBorders>
            <w:hideMark/>
          </w:tcPr>
          <w:p w14:paraId="373038FA" w14:textId="77777777" w:rsidR="002151C3" w:rsidRPr="00E0088F" w:rsidRDefault="002151C3" w:rsidP="006C5A84">
            <w:pPr>
              <w:pStyle w:val="Tabletext"/>
              <w:rPr>
                <w:lang w:val="fr-CH" w:eastAsia="ja-JP"/>
              </w:rPr>
            </w:pPr>
            <w:r w:rsidRPr="00E0088F">
              <w:rPr>
                <w:lang w:val="fr-CH"/>
              </w:rPr>
              <w:t>(CMR-07). A toujours lieu d'être</w:t>
            </w:r>
            <w:r w:rsidRPr="00E0088F">
              <w:rPr>
                <w:lang w:val="fr-CH" w:eastAsia="ja-JP"/>
              </w:rPr>
              <w:t>. Cette Résolution est citée dans les numéros </w:t>
            </w:r>
            <w:r w:rsidRPr="00E0088F">
              <w:rPr>
                <w:b/>
                <w:bCs/>
                <w:lang w:val="fr-CH" w:eastAsia="ja-JP"/>
              </w:rPr>
              <w:t>52.101</w:t>
            </w:r>
            <w:r w:rsidRPr="00E0088F">
              <w:rPr>
                <w:lang w:val="fr-CH" w:eastAsia="ja-JP"/>
              </w:rPr>
              <w:t xml:space="preserve"> et </w:t>
            </w:r>
            <w:r w:rsidRPr="00E0088F">
              <w:rPr>
                <w:b/>
                <w:bCs/>
                <w:lang w:val="fr-CH" w:eastAsia="ja-JP"/>
              </w:rPr>
              <w:t>52.189</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5006939B" w14:textId="77777777" w:rsidR="002151C3" w:rsidRPr="00E0088F" w:rsidRDefault="002151C3" w:rsidP="006C5A84">
            <w:pPr>
              <w:pStyle w:val="Tabletext"/>
              <w:jc w:val="center"/>
              <w:rPr>
                <w:lang w:val="fr-CH" w:eastAsia="ja-JP"/>
              </w:rPr>
            </w:pPr>
            <w:r w:rsidRPr="00E0088F">
              <w:rPr>
                <w:lang w:val="fr-CH" w:eastAsia="ja-JP"/>
              </w:rPr>
              <w:t>NOC</w:t>
            </w:r>
          </w:p>
        </w:tc>
      </w:tr>
      <w:tr w:rsidR="002151C3" w:rsidRPr="00E0088F" w14:paraId="79D35AE0" w14:textId="77777777" w:rsidTr="002151C3">
        <w:trPr>
          <w:cantSplit/>
          <w:trHeight w:val="995"/>
          <w:jc w:val="center"/>
        </w:trPr>
        <w:tc>
          <w:tcPr>
            <w:tcW w:w="843" w:type="dxa"/>
            <w:tcBorders>
              <w:top w:val="single" w:sz="6" w:space="0" w:color="auto"/>
              <w:left w:val="single" w:sz="6" w:space="0" w:color="auto"/>
              <w:bottom w:val="single" w:sz="6" w:space="0" w:color="auto"/>
              <w:right w:val="single" w:sz="6" w:space="0" w:color="auto"/>
            </w:tcBorders>
            <w:hideMark/>
          </w:tcPr>
          <w:p w14:paraId="2D60834A" w14:textId="77777777" w:rsidR="002151C3" w:rsidRPr="00E0088F" w:rsidRDefault="002151C3" w:rsidP="006C5A84">
            <w:pPr>
              <w:pStyle w:val="Tabletext"/>
              <w:jc w:val="center"/>
              <w:rPr>
                <w:lang w:val="fr-CH" w:eastAsia="ja-JP"/>
              </w:rPr>
            </w:pPr>
            <w:r w:rsidRPr="00E0088F">
              <w:rPr>
                <w:lang w:val="fr-CH" w:eastAsia="ja-JP"/>
              </w:rPr>
              <w:t>356</w:t>
            </w:r>
          </w:p>
        </w:tc>
        <w:tc>
          <w:tcPr>
            <w:tcW w:w="2551" w:type="dxa"/>
            <w:tcBorders>
              <w:top w:val="single" w:sz="6" w:space="0" w:color="auto"/>
              <w:left w:val="single" w:sz="6" w:space="0" w:color="auto"/>
              <w:bottom w:val="single" w:sz="6" w:space="0" w:color="auto"/>
              <w:right w:val="single" w:sz="6" w:space="0" w:color="auto"/>
            </w:tcBorders>
            <w:hideMark/>
          </w:tcPr>
          <w:p w14:paraId="6A9985EC" w14:textId="77777777" w:rsidR="002151C3" w:rsidRPr="00E0088F" w:rsidRDefault="002151C3" w:rsidP="006C5A84">
            <w:pPr>
              <w:pStyle w:val="Tabletext"/>
              <w:rPr>
                <w:lang w:val="fr-CH"/>
              </w:rPr>
            </w:pPr>
            <w:r w:rsidRPr="00E0088F">
              <w:rPr>
                <w:lang w:val="fr-CH"/>
              </w:rPr>
              <w:t>Enregistrement auprès de l'UIT d'informations relatives au service maritime</w:t>
            </w:r>
          </w:p>
        </w:tc>
        <w:tc>
          <w:tcPr>
            <w:tcW w:w="3625" w:type="dxa"/>
            <w:tcBorders>
              <w:top w:val="single" w:sz="6" w:space="0" w:color="auto"/>
              <w:left w:val="single" w:sz="6" w:space="0" w:color="auto"/>
              <w:bottom w:val="single" w:sz="6" w:space="0" w:color="auto"/>
              <w:right w:val="single" w:sz="6" w:space="0" w:color="auto"/>
            </w:tcBorders>
            <w:hideMark/>
          </w:tcPr>
          <w:p w14:paraId="1EB398FC" w14:textId="77777777" w:rsidR="002151C3" w:rsidRPr="00E0088F" w:rsidRDefault="002151C3" w:rsidP="006C5A84">
            <w:pPr>
              <w:pStyle w:val="Tabletext"/>
              <w:rPr>
                <w:lang w:val="fr-CH"/>
              </w:rPr>
            </w:pPr>
            <w:r w:rsidRPr="00E0088F">
              <w:rPr>
                <w:lang w:val="fr-CH"/>
              </w:rPr>
              <w:t>(CMR-07). A toujours lieu d'être</w:t>
            </w:r>
            <w:r w:rsidRPr="00E0088F">
              <w:rPr>
                <w:lang w:val="fr-CH" w:eastAsia="ja-JP"/>
              </w:rPr>
              <w:t xml:space="preserve">. </w:t>
            </w:r>
            <w:r w:rsidRPr="00E0088F">
              <w:rPr>
                <w:lang w:val="fr-CH"/>
              </w:rPr>
              <w:t>Les consultations à mener par l'UIT</w:t>
            </w:r>
            <w:r w:rsidRPr="00E0088F">
              <w:rPr>
                <w:lang w:val="fr-CH"/>
              </w:rPr>
              <w:noBreakHyphen/>
              <w:t xml:space="preserve">R demandées dans cette Résolution sont toujours en cours; processus permanent au sein du GT 5B et à l'OMI. Sur la base des besoins relatifs aux nouveaux systèmes maritimes; modifier éventuellement la partie </w:t>
            </w:r>
            <w:r w:rsidRPr="00E0088F">
              <w:rPr>
                <w:i/>
                <w:iCs/>
                <w:lang w:val="fr-CH"/>
              </w:rPr>
              <w:t>invite l'UIT-R</w:t>
            </w:r>
            <w:r w:rsidRPr="00E0088F">
              <w:rPr>
                <w:lang w:val="fr-CH"/>
              </w:rPr>
              <w:t xml:space="preserve"> afin de lire: «à mener </w:t>
            </w:r>
            <w:r w:rsidRPr="00E0088F">
              <w:rPr>
                <w:u w:val="single"/>
                <w:lang w:val="fr-CH"/>
              </w:rPr>
              <w:t>à intervalles réguliers</w:t>
            </w:r>
            <w:r w:rsidRPr="00E0088F">
              <w:rPr>
                <w:lang w:val="fr-CH"/>
              </w:rPr>
              <w:t xml:space="preserve"> des consultations...».</w:t>
            </w:r>
          </w:p>
        </w:tc>
        <w:tc>
          <w:tcPr>
            <w:tcW w:w="2045" w:type="dxa"/>
            <w:tcBorders>
              <w:top w:val="single" w:sz="6" w:space="0" w:color="auto"/>
              <w:left w:val="single" w:sz="6" w:space="0" w:color="auto"/>
              <w:bottom w:val="single" w:sz="6" w:space="0" w:color="auto"/>
              <w:right w:val="single" w:sz="6" w:space="0" w:color="auto"/>
            </w:tcBorders>
            <w:hideMark/>
          </w:tcPr>
          <w:p w14:paraId="6B00C4C0" w14:textId="77777777" w:rsidR="002151C3" w:rsidRPr="00E0088F" w:rsidRDefault="002151C3" w:rsidP="006C5A84">
            <w:pPr>
              <w:pStyle w:val="Tabletext"/>
              <w:jc w:val="center"/>
              <w:rPr>
                <w:lang w:val="fr-CH" w:eastAsia="ja-JP"/>
              </w:rPr>
            </w:pPr>
            <w:r w:rsidRPr="00E0088F">
              <w:rPr>
                <w:lang w:val="fr-CH" w:eastAsia="ja-JP"/>
              </w:rPr>
              <w:t>NOC/</w:t>
            </w:r>
          </w:p>
          <w:p w14:paraId="1788E55A" w14:textId="77777777" w:rsidR="002151C3" w:rsidRPr="00E0088F" w:rsidRDefault="002151C3" w:rsidP="006C5A84">
            <w:pPr>
              <w:pStyle w:val="Tabletext"/>
              <w:jc w:val="center"/>
              <w:rPr>
                <w:lang w:val="fr-CH" w:eastAsia="ja-JP"/>
              </w:rPr>
            </w:pPr>
            <w:r w:rsidRPr="00E0088F">
              <w:rPr>
                <w:lang w:val="fr-CH" w:eastAsia="ja-JP"/>
              </w:rPr>
              <w:t>MOD</w:t>
            </w:r>
          </w:p>
        </w:tc>
      </w:tr>
      <w:tr w:rsidR="002151C3" w:rsidRPr="00E0088F" w14:paraId="5E5BE714"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3C523185" w14:textId="77777777" w:rsidR="002151C3" w:rsidRPr="00E0088F" w:rsidRDefault="002151C3" w:rsidP="006C5A84">
            <w:pPr>
              <w:pStyle w:val="Tabletext"/>
              <w:jc w:val="center"/>
              <w:rPr>
                <w:lang w:val="fr-CH"/>
              </w:rPr>
            </w:pPr>
            <w:r w:rsidRPr="00E0088F">
              <w:rPr>
                <w:lang w:val="fr-CH"/>
              </w:rPr>
              <w:t>359</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84295C1" w14:textId="77777777" w:rsidR="002151C3" w:rsidRPr="00E0088F" w:rsidRDefault="002151C3" w:rsidP="006C5A84">
            <w:pPr>
              <w:pStyle w:val="Tabletext"/>
              <w:rPr>
                <w:lang w:val="fr-CH"/>
              </w:rPr>
            </w:pPr>
            <w:r w:rsidRPr="00E0088F">
              <w:rPr>
                <w:lang w:val="fr-CH"/>
              </w:rPr>
              <w:t xml:space="preserve">Examen de dispositions réglementaires relatives à la modernisation du Système mondial de détresse et de sécurité en mer et d'études portant sur la navigation électronique </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77F02B" w14:textId="15D160D8" w:rsidR="002151C3" w:rsidRPr="00E0088F" w:rsidRDefault="002151C3" w:rsidP="006C5A84">
            <w:pPr>
              <w:pStyle w:val="Tabletext"/>
              <w:rPr>
                <w:lang w:val="fr-CH" w:eastAsia="nl-NL"/>
              </w:rPr>
            </w:pPr>
            <w:r w:rsidRPr="00E0088F">
              <w:rPr>
                <w:lang w:val="fr-CH" w:eastAsia="nl-NL"/>
              </w:rPr>
              <w:t xml:space="preserve">(Rév.CMR-15). </w:t>
            </w:r>
            <w:r w:rsidRPr="00E0088F">
              <w:rPr>
                <w:lang w:val="fr-CH"/>
              </w:rPr>
              <w:t xml:space="preserve">À l'issue de l'examen du </w:t>
            </w:r>
            <w:r w:rsidRPr="00E0088F">
              <w:rPr>
                <w:b/>
                <w:bCs/>
                <w:lang w:val="fr-CH"/>
              </w:rPr>
              <w:t>point 1.8 de l'ordre du jour</w:t>
            </w:r>
            <w:r w:rsidRPr="00E0088F">
              <w:rPr>
                <w:lang w:val="fr-CH"/>
              </w:rPr>
              <w:t xml:space="preserve"> de la CMR</w:t>
            </w:r>
            <w:r w:rsidRPr="00E0088F">
              <w:rPr>
                <w:bCs/>
                <w:lang w:val="fr-CH"/>
              </w:rPr>
              <w:noBreakHyphen/>
              <w:t xml:space="preserve">19, </w:t>
            </w:r>
            <w:r w:rsidR="00066E61" w:rsidRPr="00E0088F">
              <w:rPr>
                <w:bCs/>
                <w:lang w:val="fr-CH"/>
              </w:rPr>
              <w:t>aucune proposition concernant cette Résolution n</w:t>
            </w:r>
            <w:r w:rsidR="006C5A84" w:rsidRPr="00E0088F">
              <w:rPr>
                <w:bCs/>
                <w:lang w:val="fr-CH"/>
              </w:rPr>
              <w:t>'</w:t>
            </w:r>
            <w:r w:rsidR="00066E61" w:rsidRPr="00E0088F">
              <w:rPr>
                <w:bCs/>
                <w:lang w:val="fr-CH"/>
              </w:rPr>
              <w:t>est faite</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458068" w14:textId="37B9443F" w:rsidR="002151C3" w:rsidRPr="00E0088F" w:rsidRDefault="00441D54" w:rsidP="006C5A84">
            <w:pPr>
              <w:pStyle w:val="Tabletext"/>
              <w:jc w:val="center"/>
              <w:rPr>
                <w:lang w:val="fr-CH" w:eastAsia="ja-JP"/>
              </w:rPr>
            </w:pPr>
            <w:r w:rsidRPr="00E0088F">
              <w:rPr>
                <w:lang w:val="fr-CH" w:eastAsia="ja-JP"/>
              </w:rPr>
              <w:t>SUP</w:t>
            </w:r>
          </w:p>
        </w:tc>
      </w:tr>
      <w:tr w:rsidR="002151C3" w:rsidRPr="00E0088F" w14:paraId="3BF9C3F2"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06BCC72E" w14:textId="77777777" w:rsidR="002151C3" w:rsidRPr="00E0088F" w:rsidRDefault="002151C3" w:rsidP="006C5A84">
            <w:pPr>
              <w:pStyle w:val="Tabletext"/>
              <w:jc w:val="center"/>
              <w:rPr>
                <w:lang w:val="fr-CH"/>
              </w:rPr>
            </w:pPr>
            <w:r w:rsidRPr="00E0088F">
              <w:rPr>
                <w:lang w:val="fr-CH"/>
              </w:rPr>
              <w:t>360</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331EC2E" w14:textId="77777777" w:rsidR="002151C3" w:rsidRPr="00E0088F" w:rsidRDefault="002151C3" w:rsidP="006C5A84">
            <w:pPr>
              <w:pStyle w:val="Tabletext"/>
              <w:rPr>
                <w:lang w:val="fr-CH"/>
              </w:rPr>
            </w:pPr>
            <w:r w:rsidRPr="00E0088F">
              <w:rPr>
                <w:lang w:val="fr-CH"/>
              </w:rPr>
              <w:t>Examen des dispositions réglementaires et des attributions de fréquences au service mobile maritime par satellite pour permettre l'exploitation de la composante satellite du système d'échange de données en ondes métriques et l'amélioration des radiocommunications maritimes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3E6A96" w14:textId="2166CB95" w:rsidR="002151C3" w:rsidRPr="00E0088F" w:rsidRDefault="002151C3" w:rsidP="006C5A84">
            <w:pPr>
              <w:pStyle w:val="Tabletext"/>
              <w:rPr>
                <w:lang w:val="fr-CH" w:eastAsia="ja-JP"/>
              </w:rPr>
            </w:pPr>
            <w:r w:rsidRPr="00E0088F">
              <w:rPr>
                <w:lang w:val="fr-CH" w:eastAsia="nl-NL"/>
              </w:rPr>
              <w:t xml:space="preserve">(Rév.CMR-15). </w:t>
            </w:r>
            <w:r w:rsidRPr="00E0088F">
              <w:rPr>
                <w:lang w:val="fr-CH"/>
              </w:rPr>
              <w:t xml:space="preserve">À l'issue de l'examen du </w:t>
            </w:r>
            <w:r w:rsidRPr="00E0088F">
              <w:rPr>
                <w:b/>
                <w:bCs/>
                <w:lang w:val="fr-CH" w:eastAsia="nl-NL"/>
              </w:rPr>
              <w:t>point 1.9.2 de l'ordre du jour</w:t>
            </w:r>
            <w:r w:rsidRPr="00E0088F">
              <w:rPr>
                <w:lang w:val="fr-CH" w:eastAsia="nl-NL"/>
              </w:rPr>
              <w:t xml:space="preserve"> de la CMR</w:t>
            </w:r>
            <w:r w:rsidRPr="00E0088F">
              <w:rPr>
                <w:lang w:val="fr-CH" w:eastAsia="nl-NL"/>
              </w:rPr>
              <w:noBreakHyphen/>
              <w:t xml:space="preserve">19, </w:t>
            </w:r>
            <w:r w:rsidRPr="00E0088F">
              <w:rPr>
                <w:bCs/>
                <w:lang w:val="fr-CH"/>
              </w:rPr>
              <w:t>cette Résolution devrait être supprimée</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8C0070" w14:textId="77777777" w:rsidR="002151C3" w:rsidRPr="00E0088F" w:rsidRDefault="002151C3" w:rsidP="006C5A84">
            <w:pPr>
              <w:pStyle w:val="Tabletext"/>
              <w:jc w:val="center"/>
              <w:rPr>
                <w:lang w:val="fr-CH" w:eastAsia="ja-JP"/>
              </w:rPr>
            </w:pPr>
            <w:r w:rsidRPr="00E0088F">
              <w:rPr>
                <w:lang w:val="fr-CH" w:eastAsia="ja-JP"/>
              </w:rPr>
              <w:t>SUP</w:t>
            </w:r>
          </w:p>
        </w:tc>
      </w:tr>
      <w:tr w:rsidR="002151C3" w:rsidRPr="00E0088F" w14:paraId="06038A27" w14:textId="77777777" w:rsidTr="001A420B">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77DEED08" w14:textId="77777777" w:rsidR="002151C3" w:rsidRPr="00E0088F" w:rsidRDefault="002151C3" w:rsidP="006C5A84">
            <w:pPr>
              <w:pStyle w:val="Tabletext"/>
              <w:jc w:val="center"/>
              <w:rPr>
                <w:lang w:val="fr-CH"/>
              </w:rPr>
            </w:pPr>
            <w:r w:rsidRPr="00E0088F">
              <w:rPr>
                <w:lang w:val="fr-CH"/>
              </w:rPr>
              <w:t>361</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E384F1B" w14:textId="77777777" w:rsidR="002151C3" w:rsidRPr="00E0088F" w:rsidRDefault="002151C3" w:rsidP="006C5A84">
            <w:pPr>
              <w:pStyle w:val="Tabletext"/>
              <w:rPr>
                <w:lang w:val="fr-CH"/>
              </w:rPr>
            </w:pPr>
            <w:r w:rsidRPr="00E0088F">
              <w:rPr>
                <w:lang w:val="fr-CH"/>
              </w:rPr>
              <w:t>Examen de dispositions réglementaires relatives à la modernisation du Système mondial de détresse et de sécurité en mer et à la mise en œuvre de la navigation électronique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13F9AC0" w14:textId="7F9CD01E" w:rsidR="002151C3" w:rsidRPr="00E0088F" w:rsidRDefault="002151C3" w:rsidP="006C5A84">
            <w:pPr>
              <w:pStyle w:val="Tabletext"/>
              <w:rPr>
                <w:bCs/>
                <w:lang w:val="fr-CH" w:eastAsia="ja-JP"/>
              </w:rPr>
            </w:pPr>
            <w:r w:rsidRPr="00E0088F">
              <w:rPr>
                <w:lang w:val="fr-CH"/>
              </w:rPr>
              <w:t>(CMR</w:t>
            </w:r>
            <w:r w:rsidRPr="00E0088F">
              <w:rPr>
                <w:lang w:val="fr-CH"/>
              </w:rPr>
              <w:noBreakHyphen/>
              <w:t xml:space="preserve">15). Cette Résolution est mentionnée au point 2.1 de l'ordre du jour préliminaire de la CMR-23. À l'issue de l'examen du </w:t>
            </w:r>
            <w:r w:rsidRPr="00E0088F">
              <w:rPr>
                <w:b/>
                <w:bCs/>
                <w:lang w:val="fr-CH"/>
              </w:rPr>
              <w:t>point 10 de l'ordre du jour</w:t>
            </w:r>
            <w:r w:rsidRPr="00E0088F">
              <w:rPr>
                <w:lang w:val="fr-CH"/>
              </w:rPr>
              <w:t xml:space="preserve"> de la CMR-19, cette Résolution devrait être modifiée</w:t>
            </w:r>
            <w:r w:rsidRPr="00E0088F">
              <w:rPr>
                <w:bCs/>
                <w:lang w:val="fr-CH" w:eastAsia="ja-JP"/>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20665B" w14:textId="77777777" w:rsidR="002151C3" w:rsidRPr="00E0088F" w:rsidRDefault="002151C3" w:rsidP="006C5A84">
            <w:pPr>
              <w:pStyle w:val="Tabletext"/>
              <w:jc w:val="center"/>
              <w:rPr>
                <w:lang w:val="fr-CH" w:eastAsia="ja-JP"/>
              </w:rPr>
            </w:pPr>
            <w:r w:rsidRPr="00E0088F">
              <w:rPr>
                <w:lang w:val="fr-CH"/>
              </w:rPr>
              <w:t>MOD</w:t>
            </w:r>
          </w:p>
        </w:tc>
      </w:tr>
      <w:tr w:rsidR="002151C3" w:rsidRPr="00E0088F" w14:paraId="02FF969E"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0D7AC85" w14:textId="77777777" w:rsidR="002151C3" w:rsidRPr="00E0088F" w:rsidRDefault="002151C3" w:rsidP="006C5A84">
            <w:pPr>
              <w:pStyle w:val="Tabletext"/>
              <w:jc w:val="center"/>
              <w:rPr>
                <w:lang w:val="fr-CH"/>
              </w:rPr>
            </w:pPr>
            <w:r w:rsidRPr="00E0088F">
              <w:rPr>
                <w:lang w:val="fr-CH"/>
              </w:rPr>
              <w:lastRenderedPageBreak/>
              <w:t>362</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D02468D" w14:textId="0A760DFE" w:rsidR="002151C3" w:rsidRPr="00E0088F" w:rsidRDefault="002151C3" w:rsidP="006C5A84">
            <w:pPr>
              <w:pStyle w:val="Tabletext"/>
              <w:rPr>
                <w:lang w:val="fr-CH"/>
              </w:rPr>
            </w:pPr>
            <w:r w:rsidRPr="00E0088F">
              <w:rPr>
                <w:lang w:val="fr-CH"/>
              </w:rPr>
              <w:t>Dispositifs de radiocommunication maritimes autonomes fonctionnant dans la bande de fréquences 156</w:t>
            </w:r>
            <w:r w:rsidR="001A420B" w:rsidRPr="00E0088F">
              <w:rPr>
                <w:lang w:val="fr-CH"/>
              </w:rPr>
              <w:noBreakHyphen/>
            </w:r>
            <w:r w:rsidRPr="00E0088F">
              <w:rPr>
                <w:lang w:val="fr-CH"/>
              </w:rPr>
              <w:t>162,05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598010" w14:textId="3DE9098E"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eastAsia="nl-NL"/>
              </w:rPr>
              <w:t>point 1.9.1 de l'ordre du jour</w:t>
            </w:r>
            <w:r w:rsidRPr="00E0088F">
              <w:rPr>
                <w:lang w:val="fr-CH" w:eastAsia="nl-NL"/>
              </w:rPr>
              <w:t xml:space="preserve"> de la CMR</w:t>
            </w:r>
            <w:r w:rsidRPr="00E0088F">
              <w:rPr>
                <w:lang w:val="fr-CH" w:eastAsia="nl-NL"/>
              </w:rPr>
              <w:noBreakHyphen/>
              <w:t xml:space="preserve">19, </w:t>
            </w:r>
            <w:r w:rsidRPr="00E0088F">
              <w:rPr>
                <w:bCs/>
                <w:lang w:val="fr-CH"/>
              </w:rPr>
              <w:t>cette Résolution devrait être supprimée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92D4EF" w14:textId="77777777" w:rsidR="002151C3" w:rsidRPr="00E0088F" w:rsidRDefault="002151C3" w:rsidP="006C5A84">
            <w:pPr>
              <w:pStyle w:val="Tabletext"/>
              <w:jc w:val="center"/>
              <w:rPr>
                <w:lang w:val="fr-CH" w:eastAsia="ja-JP"/>
              </w:rPr>
            </w:pPr>
            <w:r w:rsidRPr="00E0088F">
              <w:rPr>
                <w:lang w:val="fr-CH"/>
              </w:rPr>
              <w:t>SUP</w:t>
            </w:r>
          </w:p>
        </w:tc>
      </w:tr>
      <w:tr w:rsidR="002151C3" w:rsidRPr="00E0088F" w14:paraId="401897EE"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241CAF2" w14:textId="77777777" w:rsidR="002151C3" w:rsidRPr="00E0088F" w:rsidRDefault="002151C3" w:rsidP="006C5A84">
            <w:pPr>
              <w:pStyle w:val="Tabletext"/>
              <w:jc w:val="center"/>
              <w:rPr>
                <w:lang w:val="fr-CH"/>
              </w:rPr>
            </w:pPr>
            <w:r w:rsidRPr="00E0088F">
              <w:rPr>
                <w:lang w:val="fr-CH"/>
              </w:rPr>
              <w:t>405</w:t>
            </w:r>
          </w:p>
        </w:tc>
        <w:tc>
          <w:tcPr>
            <w:tcW w:w="2551" w:type="dxa"/>
            <w:tcBorders>
              <w:top w:val="single" w:sz="6" w:space="0" w:color="auto"/>
              <w:left w:val="single" w:sz="6" w:space="0" w:color="auto"/>
              <w:bottom w:val="single" w:sz="6" w:space="0" w:color="auto"/>
              <w:right w:val="single" w:sz="6" w:space="0" w:color="auto"/>
            </w:tcBorders>
            <w:hideMark/>
          </w:tcPr>
          <w:p w14:paraId="51136B73" w14:textId="77777777" w:rsidR="002151C3" w:rsidRPr="00E0088F" w:rsidRDefault="002151C3" w:rsidP="006C5A84">
            <w:pPr>
              <w:pStyle w:val="Tabletext"/>
              <w:rPr>
                <w:lang w:val="fr-CH"/>
              </w:rPr>
            </w:pPr>
            <w:r w:rsidRPr="00E0088F">
              <w:rPr>
                <w:lang w:val="fr-CH"/>
              </w:rPr>
              <w:t xml:space="preserve">Fréquences du service mobile aéronautique (R) </w:t>
            </w:r>
          </w:p>
        </w:tc>
        <w:tc>
          <w:tcPr>
            <w:tcW w:w="3625" w:type="dxa"/>
            <w:tcBorders>
              <w:top w:val="single" w:sz="6" w:space="0" w:color="auto"/>
              <w:left w:val="single" w:sz="6" w:space="0" w:color="auto"/>
              <w:bottom w:val="single" w:sz="6" w:space="0" w:color="auto"/>
              <w:right w:val="single" w:sz="6" w:space="0" w:color="auto"/>
            </w:tcBorders>
            <w:hideMark/>
          </w:tcPr>
          <w:p w14:paraId="710DFAD5" w14:textId="77777777" w:rsidR="002151C3" w:rsidRPr="00E0088F" w:rsidRDefault="002151C3" w:rsidP="006C5A84">
            <w:pPr>
              <w:pStyle w:val="Tabletext"/>
              <w:rPr>
                <w:lang w:val="fr-CH"/>
              </w:rPr>
            </w:pPr>
            <w:r w:rsidRPr="00E0088F">
              <w:rPr>
                <w:lang w:val="fr-CH"/>
              </w:rPr>
              <w:t>(CAMR-92). A toujours lieu d'être; activités en cours à l'OACI.</w:t>
            </w:r>
          </w:p>
        </w:tc>
        <w:tc>
          <w:tcPr>
            <w:tcW w:w="2045" w:type="dxa"/>
            <w:tcBorders>
              <w:top w:val="single" w:sz="6" w:space="0" w:color="auto"/>
              <w:left w:val="single" w:sz="6" w:space="0" w:color="auto"/>
              <w:bottom w:val="single" w:sz="6" w:space="0" w:color="auto"/>
              <w:right w:val="single" w:sz="6" w:space="0" w:color="auto"/>
            </w:tcBorders>
            <w:hideMark/>
          </w:tcPr>
          <w:p w14:paraId="405CB856" w14:textId="77777777" w:rsidR="002151C3" w:rsidRPr="00E0088F" w:rsidRDefault="002151C3" w:rsidP="006C5A84">
            <w:pPr>
              <w:pStyle w:val="Tabletext"/>
              <w:jc w:val="center"/>
              <w:rPr>
                <w:lang w:val="fr-CH"/>
              </w:rPr>
            </w:pPr>
            <w:r w:rsidRPr="00E0088F">
              <w:rPr>
                <w:lang w:val="fr-CH"/>
              </w:rPr>
              <w:t>NOC</w:t>
            </w:r>
          </w:p>
        </w:tc>
      </w:tr>
      <w:tr w:rsidR="002151C3" w:rsidRPr="00E0088F" w14:paraId="2A0D53E4"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A895364" w14:textId="77777777" w:rsidR="002151C3" w:rsidRPr="00E0088F" w:rsidRDefault="002151C3" w:rsidP="006C5A84">
            <w:pPr>
              <w:pStyle w:val="Tabletext"/>
              <w:jc w:val="center"/>
              <w:rPr>
                <w:lang w:val="fr-CH"/>
              </w:rPr>
            </w:pPr>
            <w:r w:rsidRPr="00E0088F">
              <w:rPr>
                <w:lang w:val="fr-CH"/>
              </w:rPr>
              <w:t>413</w:t>
            </w:r>
          </w:p>
        </w:tc>
        <w:tc>
          <w:tcPr>
            <w:tcW w:w="2551" w:type="dxa"/>
            <w:tcBorders>
              <w:top w:val="single" w:sz="6" w:space="0" w:color="auto"/>
              <w:left w:val="single" w:sz="6" w:space="0" w:color="auto"/>
              <w:bottom w:val="single" w:sz="6" w:space="0" w:color="auto"/>
              <w:right w:val="single" w:sz="6" w:space="0" w:color="auto"/>
            </w:tcBorders>
            <w:hideMark/>
          </w:tcPr>
          <w:p w14:paraId="5150D335" w14:textId="77777777" w:rsidR="002151C3" w:rsidRPr="00E0088F" w:rsidRDefault="002151C3" w:rsidP="006C5A84">
            <w:pPr>
              <w:pStyle w:val="Tabletext"/>
              <w:rPr>
                <w:lang w:val="fr-CH"/>
              </w:rPr>
            </w:pPr>
            <w:r w:rsidRPr="00E0088F">
              <w:rPr>
                <w:lang w:val="fr-CH"/>
              </w:rPr>
              <w:t>Utilisation de la bande 108</w:t>
            </w:r>
            <w:r w:rsidRPr="00E0088F">
              <w:rPr>
                <w:lang w:val="fr-CH"/>
              </w:rPr>
              <w:noBreakHyphen/>
              <w:t>117,975 MHz par le service mobile aéronautique (R) (SMA(R))</w:t>
            </w:r>
          </w:p>
        </w:tc>
        <w:tc>
          <w:tcPr>
            <w:tcW w:w="3625" w:type="dxa"/>
            <w:tcBorders>
              <w:top w:val="single" w:sz="6" w:space="0" w:color="auto"/>
              <w:left w:val="single" w:sz="6" w:space="0" w:color="auto"/>
              <w:bottom w:val="single" w:sz="6" w:space="0" w:color="auto"/>
              <w:right w:val="single" w:sz="6" w:space="0" w:color="auto"/>
            </w:tcBorders>
            <w:hideMark/>
          </w:tcPr>
          <w:p w14:paraId="24C374B8" w14:textId="77777777" w:rsidR="002151C3" w:rsidRPr="00E0088F" w:rsidRDefault="002151C3" w:rsidP="006C5A84">
            <w:pPr>
              <w:pStyle w:val="Tabletext"/>
              <w:rPr>
                <w:lang w:val="fr-CH"/>
              </w:rPr>
            </w:pPr>
            <w:r w:rsidRPr="00E0088F">
              <w:rPr>
                <w:lang w:val="fr-CH"/>
              </w:rPr>
              <w:t xml:space="preserve">(Rév.CMR-12). A toujours lieu d'être. Le texte a été mis à jour à la CMR-12. Cette Résolution est citée dans le numéro </w:t>
            </w:r>
            <w:r w:rsidRPr="00E0088F">
              <w:rPr>
                <w:b/>
                <w:bCs/>
                <w:lang w:val="fr-CH"/>
              </w:rPr>
              <w:t>5.197A</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79616FDC" w14:textId="77777777" w:rsidR="002151C3" w:rsidRPr="00E0088F" w:rsidRDefault="002151C3" w:rsidP="006C5A84">
            <w:pPr>
              <w:pStyle w:val="Tabletext"/>
              <w:jc w:val="center"/>
              <w:rPr>
                <w:lang w:val="fr-CH"/>
              </w:rPr>
            </w:pPr>
            <w:r w:rsidRPr="00E0088F">
              <w:rPr>
                <w:lang w:val="fr-CH"/>
              </w:rPr>
              <w:t>NOC</w:t>
            </w:r>
          </w:p>
        </w:tc>
      </w:tr>
      <w:tr w:rsidR="002151C3" w:rsidRPr="00E0088F" w14:paraId="555295AF"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C582D2A" w14:textId="77777777" w:rsidR="002151C3" w:rsidRPr="00E0088F" w:rsidRDefault="002151C3" w:rsidP="006C5A84">
            <w:pPr>
              <w:pStyle w:val="Tabletext"/>
              <w:jc w:val="center"/>
              <w:rPr>
                <w:lang w:val="fr-CH"/>
              </w:rPr>
            </w:pPr>
            <w:r w:rsidRPr="00E0088F">
              <w:rPr>
                <w:lang w:val="fr-CH"/>
              </w:rPr>
              <w:t>416</w:t>
            </w:r>
          </w:p>
        </w:tc>
        <w:tc>
          <w:tcPr>
            <w:tcW w:w="2551" w:type="dxa"/>
            <w:tcBorders>
              <w:top w:val="single" w:sz="6" w:space="0" w:color="auto"/>
              <w:left w:val="single" w:sz="6" w:space="0" w:color="auto"/>
              <w:bottom w:val="single" w:sz="6" w:space="0" w:color="auto"/>
              <w:right w:val="single" w:sz="6" w:space="0" w:color="auto"/>
            </w:tcBorders>
            <w:hideMark/>
          </w:tcPr>
          <w:p w14:paraId="3DC98E35" w14:textId="77777777" w:rsidR="002151C3" w:rsidRPr="00E0088F" w:rsidRDefault="002151C3" w:rsidP="006C5A84">
            <w:pPr>
              <w:pStyle w:val="Tabletext"/>
              <w:rPr>
                <w:lang w:val="fr-CH"/>
              </w:rPr>
            </w:pPr>
            <w:r w:rsidRPr="00E0088F">
              <w:rPr>
                <w:lang w:val="fr-CH"/>
              </w:rPr>
              <w:t>Utilisation des bandes 4 400</w:t>
            </w:r>
            <w:r w:rsidRPr="00E0088F">
              <w:rPr>
                <w:lang w:val="fr-CH"/>
              </w:rPr>
              <w:noBreakHyphen/>
              <w:t>4 940 MHz et 5 925</w:t>
            </w:r>
            <w:r w:rsidRPr="00E0088F">
              <w:rPr>
                <w:lang w:val="fr-CH"/>
              </w:rPr>
              <w:noBreakHyphen/>
              <w:t>6 700 MHz par une application de télémesure mobile aéronautique</w:t>
            </w:r>
          </w:p>
        </w:tc>
        <w:tc>
          <w:tcPr>
            <w:tcW w:w="3625" w:type="dxa"/>
            <w:tcBorders>
              <w:top w:val="single" w:sz="6" w:space="0" w:color="auto"/>
              <w:left w:val="single" w:sz="6" w:space="0" w:color="auto"/>
              <w:bottom w:val="single" w:sz="6" w:space="0" w:color="auto"/>
              <w:right w:val="single" w:sz="6" w:space="0" w:color="auto"/>
            </w:tcBorders>
            <w:hideMark/>
          </w:tcPr>
          <w:p w14:paraId="78615AF2" w14:textId="77777777" w:rsidR="002151C3" w:rsidRPr="00E0088F" w:rsidRDefault="002151C3" w:rsidP="006C5A84">
            <w:pPr>
              <w:pStyle w:val="Tabletext"/>
              <w:rPr>
                <w:lang w:val="fr-CH"/>
              </w:rPr>
            </w:pPr>
            <w:r w:rsidRPr="00E0088F">
              <w:rPr>
                <w:lang w:val="fr-CH"/>
              </w:rPr>
              <w:t xml:space="preserve">(CMR-07). A toujours lieu d'être. Cette Résolution est citée dans les numéros </w:t>
            </w:r>
            <w:r w:rsidRPr="00E0088F">
              <w:rPr>
                <w:b/>
                <w:bCs/>
                <w:lang w:val="fr-CH"/>
              </w:rPr>
              <w:t>5.440A</w:t>
            </w:r>
            <w:r w:rsidRPr="00E0088F">
              <w:rPr>
                <w:lang w:val="fr-CH"/>
              </w:rPr>
              <w:t xml:space="preserve">, </w:t>
            </w:r>
            <w:r w:rsidRPr="00E0088F">
              <w:rPr>
                <w:b/>
                <w:bCs/>
                <w:lang w:val="fr-CH"/>
              </w:rPr>
              <w:t>5.442</w:t>
            </w:r>
            <w:r w:rsidRPr="00E0088F">
              <w:rPr>
                <w:lang w:val="fr-CH"/>
              </w:rPr>
              <w:t xml:space="preserve"> et </w:t>
            </w:r>
            <w:r w:rsidRPr="00E0088F">
              <w:rPr>
                <w:b/>
                <w:bCs/>
                <w:lang w:val="fr-CH"/>
              </w:rPr>
              <w:t>5.457C</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9EAF1FF" w14:textId="77777777" w:rsidR="002151C3" w:rsidRPr="00E0088F" w:rsidRDefault="002151C3" w:rsidP="006C5A84">
            <w:pPr>
              <w:pStyle w:val="Tabletext"/>
              <w:jc w:val="center"/>
              <w:rPr>
                <w:lang w:val="fr-CH"/>
              </w:rPr>
            </w:pPr>
            <w:r w:rsidRPr="00E0088F">
              <w:rPr>
                <w:lang w:val="fr-CH"/>
              </w:rPr>
              <w:t>NOC</w:t>
            </w:r>
          </w:p>
        </w:tc>
      </w:tr>
      <w:tr w:rsidR="002151C3" w:rsidRPr="00E0088F" w14:paraId="1FDE28AF"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C453071" w14:textId="77777777" w:rsidR="002151C3" w:rsidRPr="00E0088F" w:rsidRDefault="002151C3" w:rsidP="006C5A84">
            <w:pPr>
              <w:pStyle w:val="Tabletext"/>
              <w:jc w:val="center"/>
              <w:rPr>
                <w:lang w:val="fr-CH"/>
              </w:rPr>
            </w:pPr>
            <w:r w:rsidRPr="00E0088F">
              <w:rPr>
                <w:lang w:val="fr-CH"/>
              </w:rPr>
              <w:t>417</w:t>
            </w:r>
          </w:p>
        </w:tc>
        <w:tc>
          <w:tcPr>
            <w:tcW w:w="2551" w:type="dxa"/>
            <w:tcBorders>
              <w:top w:val="single" w:sz="6" w:space="0" w:color="auto"/>
              <w:left w:val="single" w:sz="6" w:space="0" w:color="auto"/>
              <w:bottom w:val="single" w:sz="6" w:space="0" w:color="auto"/>
              <w:right w:val="single" w:sz="6" w:space="0" w:color="auto"/>
            </w:tcBorders>
            <w:hideMark/>
          </w:tcPr>
          <w:p w14:paraId="65603F08" w14:textId="77777777" w:rsidR="002151C3" w:rsidRPr="00E0088F" w:rsidRDefault="002151C3" w:rsidP="006C5A84">
            <w:pPr>
              <w:pStyle w:val="Tabletext"/>
              <w:rPr>
                <w:lang w:val="fr-CH"/>
              </w:rPr>
            </w:pPr>
            <w:r w:rsidRPr="00E0088F">
              <w:rPr>
                <w:lang w:val="fr-CH"/>
              </w:rPr>
              <w:t>Utilisation de la bande 960</w:t>
            </w:r>
            <w:r w:rsidRPr="00E0088F">
              <w:rPr>
                <w:lang w:val="fr-CH"/>
              </w:rPr>
              <w:noBreakHyphen/>
              <w:t>1 164 MHz par le service mobile aéronautique (R)</w:t>
            </w:r>
          </w:p>
        </w:tc>
        <w:tc>
          <w:tcPr>
            <w:tcW w:w="3625" w:type="dxa"/>
            <w:tcBorders>
              <w:top w:val="single" w:sz="6" w:space="0" w:color="auto"/>
              <w:left w:val="single" w:sz="6" w:space="0" w:color="auto"/>
              <w:bottom w:val="single" w:sz="6" w:space="0" w:color="auto"/>
              <w:right w:val="single" w:sz="6" w:space="0" w:color="auto"/>
            </w:tcBorders>
            <w:hideMark/>
          </w:tcPr>
          <w:p w14:paraId="385F09E5" w14:textId="77777777" w:rsidR="002151C3" w:rsidRPr="00E0088F" w:rsidRDefault="002151C3" w:rsidP="006C5A84">
            <w:pPr>
              <w:pStyle w:val="Tabletext"/>
              <w:rPr>
                <w:lang w:val="fr-CH"/>
              </w:rPr>
            </w:pPr>
            <w:r w:rsidRPr="00E0088F">
              <w:rPr>
                <w:lang w:val="fr-CH"/>
              </w:rPr>
              <w:t xml:space="preserve">(Rév.CMR-15). A toujours lieu d'être. Le texte a été mis à jour à la CMR-15. Cette Résolution est citée dans le numéro </w:t>
            </w:r>
            <w:r w:rsidRPr="00E0088F">
              <w:rPr>
                <w:b/>
                <w:bCs/>
                <w:lang w:val="fr-CH"/>
              </w:rPr>
              <w:t>5.327A</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310B76ED" w14:textId="77777777" w:rsidR="002151C3" w:rsidRPr="00E0088F" w:rsidRDefault="002151C3" w:rsidP="006C5A84">
            <w:pPr>
              <w:pStyle w:val="Tabletext"/>
              <w:jc w:val="center"/>
              <w:rPr>
                <w:lang w:val="fr-CH"/>
              </w:rPr>
            </w:pPr>
            <w:r w:rsidRPr="00E0088F">
              <w:rPr>
                <w:lang w:val="fr-CH"/>
              </w:rPr>
              <w:t>NOC</w:t>
            </w:r>
          </w:p>
        </w:tc>
      </w:tr>
      <w:tr w:rsidR="002151C3" w:rsidRPr="00E0088F" w14:paraId="757A62A2"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8CB7919" w14:textId="77777777" w:rsidR="002151C3" w:rsidRPr="00E0088F" w:rsidRDefault="002151C3" w:rsidP="006C5A84">
            <w:pPr>
              <w:pStyle w:val="Tabletext"/>
              <w:jc w:val="center"/>
              <w:rPr>
                <w:lang w:val="fr-CH"/>
              </w:rPr>
            </w:pPr>
            <w:r w:rsidRPr="00E0088F">
              <w:rPr>
                <w:lang w:val="fr-CH"/>
              </w:rPr>
              <w:t>418</w:t>
            </w:r>
          </w:p>
        </w:tc>
        <w:tc>
          <w:tcPr>
            <w:tcW w:w="2551" w:type="dxa"/>
            <w:tcBorders>
              <w:top w:val="single" w:sz="6" w:space="0" w:color="auto"/>
              <w:left w:val="single" w:sz="6" w:space="0" w:color="auto"/>
              <w:bottom w:val="single" w:sz="6" w:space="0" w:color="auto"/>
              <w:right w:val="single" w:sz="6" w:space="0" w:color="auto"/>
            </w:tcBorders>
            <w:hideMark/>
          </w:tcPr>
          <w:p w14:paraId="20F17E6A" w14:textId="77777777" w:rsidR="002151C3" w:rsidRPr="00E0088F" w:rsidRDefault="002151C3" w:rsidP="006C5A84">
            <w:pPr>
              <w:pStyle w:val="Tabletext"/>
              <w:rPr>
                <w:lang w:val="fr-CH"/>
              </w:rPr>
            </w:pPr>
            <w:r w:rsidRPr="00E0088F">
              <w:rPr>
                <w:lang w:val="fr-CH"/>
              </w:rPr>
              <w:t>Utilisation de la bande 5 091</w:t>
            </w:r>
            <w:r w:rsidRPr="00E0088F">
              <w:rPr>
                <w:lang w:val="fr-CH"/>
              </w:rPr>
              <w:noBreakHyphen/>
              <w:t>5 250 MHz par le service mobile aéronautique pour les applications de télémesure</w:t>
            </w:r>
          </w:p>
        </w:tc>
        <w:tc>
          <w:tcPr>
            <w:tcW w:w="3625" w:type="dxa"/>
            <w:tcBorders>
              <w:top w:val="single" w:sz="6" w:space="0" w:color="auto"/>
              <w:left w:val="single" w:sz="6" w:space="0" w:color="auto"/>
              <w:bottom w:val="single" w:sz="6" w:space="0" w:color="auto"/>
              <w:right w:val="single" w:sz="6" w:space="0" w:color="auto"/>
            </w:tcBorders>
            <w:hideMark/>
          </w:tcPr>
          <w:p w14:paraId="6B8B632D" w14:textId="77777777" w:rsidR="002151C3" w:rsidRPr="00E0088F" w:rsidRDefault="002151C3" w:rsidP="006C5A84">
            <w:pPr>
              <w:rPr>
                <w:rFonts w:eastAsia="Malgun Gothic"/>
                <w:sz w:val="20"/>
                <w:lang w:val="fr-CH" w:eastAsia="ko-KR"/>
              </w:rPr>
            </w:pPr>
            <w:r w:rsidRPr="00E0088F">
              <w:rPr>
                <w:sz w:val="20"/>
                <w:lang w:val="fr-CH"/>
              </w:rPr>
              <w:t>(Rév.CMR-15). A toujours lieu d'être. Le texte a été mis à jour à la CMR-15. Cette Résolution est citée dans les numéros</w:t>
            </w:r>
            <w:r w:rsidRPr="00E0088F">
              <w:rPr>
                <w:rFonts w:eastAsia="Malgun Gothic"/>
                <w:sz w:val="20"/>
                <w:lang w:val="fr-CH" w:eastAsia="ko-KR"/>
              </w:rPr>
              <w:t xml:space="preserve"> </w:t>
            </w:r>
            <w:r w:rsidRPr="00E0088F">
              <w:rPr>
                <w:rFonts w:eastAsiaTheme="minorEastAsia"/>
                <w:b/>
                <w:sz w:val="20"/>
                <w:lang w:val="fr-CH" w:eastAsia="ja-JP"/>
              </w:rPr>
              <w:t>5.444B</w:t>
            </w:r>
            <w:r w:rsidRPr="00E0088F">
              <w:rPr>
                <w:rFonts w:eastAsia="Malgun Gothic"/>
                <w:b/>
                <w:sz w:val="20"/>
                <w:lang w:val="fr-CH" w:eastAsia="ko-KR"/>
              </w:rPr>
              <w:t xml:space="preserve"> </w:t>
            </w:r>
            <w:r w:rsidRPr="00E0088F">
              <w:rPr>
                <w:rFonts w:eastAsia="Malgun Gothic"/>
                <w:sz w:val="20"/>
                <w:lang w:val="fr-CH" w:eastAsia="ko-KR"/>
              </w:rPr>
              <w:t xml:space="preserve">et </w:t>
            </w:r>
            <w:r w:rsidRPr="00E0088F">
              <w:rPr>
                <w:rFonts w:eastAsiaTheme="minorEastAsia"/>
                <w:b/>
                <w:sz w:val="20"/>
                <w:lang w:val="fr-CH" w:eastAsia="ja-JP"/>
              </w:rPr>
              <w:t>5.446C</w:t>
            </w:r>
            <w:r w:rsidRPr="00E0088F">
              <w:rPr>
                <w:rFonts w:eastAsia="Malgun Gothic"/>
                <w:sz w:val="20"/>
                <w:lang w:val="fr-CH" w:eastAsia="ko-KR"/>
              </w:rPr>
              <w:t>.</w:t>
            </w:r>
          </w:p>
          <w:p w14:paraId="5D6897CD" w14:textId="77777777" w:rsidR="002151C3" w:rsidRPr="00E0088F" w:rsidRDefault="002151C3" w:rsidP="006C5A84">
            <w:pPr>
              <w:pStyle w:val="Tabletext"/>
              <w:rPr>
                <w:lang w:val="fr-CH"/>
              </w:rPr>
            </w:pPr>
            <w:r w:rsidRPr="00E0088F">
              <w:rPr>
                <w:lang w:val="fr-CH"/>
              </w:rPr>
              <w:t xml:space="preserve">La nouvelle Recommandation UIT-R M.2122-0 pour la bande 5 150-5 250 MHz a été approuvée en janvier 2019, de sorte qu'on pourrait envisager de supprimer la partie </w:t>
            </w:r>
            <w:r w:rsidRPr="00E0088F">
              <w:rPr>
                <w:i/>
                <w:iCs/>
                <w:lang w:val="fr-CH"/>
              </w:rPr>
              <w:t>invite le Secteur des radiocommunications de l'UIT</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10948764" w14:textId="77777777" w:rsidR="002151C3" w:rsidRPr="00E0088F" w:rsidRDefault="002151C3" w:rsidP="006C5A84">
            <w:pPr>
              <w:pStyle w:val="Tabletext"/>
              <w:jc w:val="center"/>
              <w:rPr>
                <w:lang w:val="fr-CH"/>
              </w:rPr>
            </w:pPr>
            <w:r w:rsidRPr="00E0088F">
              <w:rPr>
                <w:lang w:val="fr-CH"/>
              </w:rPr>
              <w:t>NOC/</w:t>
            </w:r>
          </w:p>
          <w:p w14:paraId="2D1ABABB" w14:textId="77777777" w:rsidR="002151C3" w:rsidRPr="00E0088F" w:rsidRDefault="002151C3" w:rsidP="006C5A84">
            <w:pPr>
              <w:pStyle w:val="Tabletext"/>
              <w:jc w:val="center"/>
              <w:rPr>
                <w:lang w:val="fr-CH"/>
              </w:rPr>
            </w:pPr>
            <w:r w:rsidRPr="00E0088F">
              <w:rPr>
                <w:lang w:val="fr-CH"/>
              </w:rPr>
              <w:t>MOD</w:t>
            </w:r>
          </w:p>
        </w:tc>
      </w:tr>
      <w:tr w:rsidR="002151C3" w:rsidRPr="00E0088F" w14:paraId="6A03B59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326E4B9" w14:textId="77777777" w:rsidR="002151C3" w:rsidRPr="00E0088F" w:rsidRDefault="002151C3" w:rsidP="006C5A84">
            <w:pPr>
              <w:pStyle w:val="Tabletext"/>
              <w:jc w:val="center"/>
              <w:rPr>
                <w:lang w:val="fr-CH"/>
              </w:rPr>
            </w:pPr>
            <w:r w:rsidRPr="00E0088F">
              <w:rPr>
                <w:lang w:val="fr-CH"/>
              </w:rPr>
              <w:t>422</w:t>
            </w:r>
          </w:p>
        </w:tc>
        <w:tc>
          <w:tcPr>
            <w:tcW w:w="2551" w:type="dxa"/>
            <w:tcBorders>
              <w:top w:val="single" w:sz="6" w:space="0" w:color="auto"/>
              <w:left w:val="single" w:sz="6" w:space="0" w:color="auto"/>
              <w:bottom w:val="single" w:sz="6" w:space="0" w:color="auto"/>
              <w:right w:val="single" w:sz="6" w:space="0" w:color="auto"/>
            </w:tcBorders>
            <w:hideMark/>
          </w:tcPr>
          <w:p w14:paraId="3621816C" w14:textId="77777777" w:rsidR="002151C3" w:rsidRPr="00E0088F" w:rsidRDefault="002151C3" w:rsidP="006C5A84">
            <w:pPr>
              <w:pStyle w:val="Tabletext"/>
              <w:rPr>
                <w:lang w:val="fr-CH"/>
              </w:rPr>
            </w:pPr>
            <w:r w:rsidRPr="00E0088F">
              <w:rPr>
                <w:lang w:val="fr-CH"/>
              </w:rPr>
              <w:t>Élaboration d'une méthode permettant de calculer les besoins de spectre du service mobile aéronautique par satellite (R) dans les bandes de fréquences 1 545</w:t>
            </w:r>
            <w:r w:rsidRPr="00E0088F">
              <w:rPr>
                <w:lang w:val="fr-CH"/>
              </w:rPr>
              <w:noBreakHyphen/>
              <w:t>1 555 MHz (espace vers Terre fermière) et 1 646,5</w:t>
            </w:r>
            <w:r w:rsidRPr="00E0088F">
              <w:rPr>
                <w:lang w:val="fr-CH"/>
              </w:rPr>
              <w:noBreakHyphen/>
              <w:t>1 656,5 MHz (Terre vers espace)</w:t>
            </w:r>
          </w:p>
        </w:tc>
        <w:tc>
          <w:tcPr>
            <w:tcW w:w="3625" w:type="dxa"/>
            <w:tcBorders>
              <w:top w:val="single" w:sz="6" w:space="0" w:color="auto"/>
              <w:left w:val="single" w:sz="6" w:space="0" w:color="auto"/>
              <w:bottom w:val="single" w:sz="6" w:space="0" w:color="auto"/>
              <w:right w:val="single" w:sz="6" w:space="0" w:color="auto"/>
            </w:tcBorders>
            <w:hideMark/>
          </w:tcPr>
          <w:p w14:paraId="3E6EDB95" w14:textId="77777777" w:rsidR="002151C3" w:rsidRPr="00E0088F" w:rsidRDefault="002151C3" w:rsidP="006C5A84">
            <w:pPr>
              <w:pStyle w:val="Tabletext"/>
              <w:rPr>
                <w:lang w:val="fr-CH"/>
              </w:rPr>
            </w:pPr>
            <w:r w:rsidRPr="00E0088F">
              <w:rPr>
                <w:lang w:val="fr-CH"/>
              </w:rPr>
              <w:t>(CMR-12). A toujours lieu d'être</w:t>
            </w:r>
            <w:r w:rsidRPr="00E0088F">
              <w:rPr>
                <w:bCs/>
                <w:lang w:val="fr-CH"/>
              </w:rPr>
              <w:t xml:space="preserve">. </w:t>
            </w:r>
            <w:r w:rsidRPr="00E0088F">
              <w:rPr>
                <w:lang w:val="fr-CH"/>
              </w:rPr>
              <w:t>Cette Résolution est citée dans la</w:t>
            </w:r>
            <w:r w:rsidRPr="00E0088F">
              <w:rPr>
                <w:bCs/>
                <w:lang w:val="fr-CH"/>
              </w:rPr>
              <w:t xml:space="preserve"> Résolution </w:t>
            </w:r>
            <w:r w:rsidRPr="00E0088F">
              <w:rPr>
                <w:b/>
                <w:bCs/>
                <w:lang w:val="fr-CH"/>
              </w:rPr>
              <w:t>222 (Rév.CMR-12)</w:t>
            </w:r>
            <w:r w:rsidRPr="00E0088F">
              <w:rPr>
                <w:bCs/>
                <w:lang w:val="fr-CH"/>
              </w:rPr>
              <w:t>.</w:t>
            </w:r>
          </w:p>
          <w:p w14:paraId="3DEACAAE" w14:textId="61F5D682" w:rsidR="002151C3" w:rsidRPr="00E0088F" w:rsidRDefault="002151C3" w:rsidP="006C5A84">
            <w:pPr>
              <w:pStyle w:val="Tabletext"/>
              <w:rPr>
                <w:lang w:val="fr-CH"/>
              </w:rPr>
            </w:pPr>
            <w:r w:rsidRPr="00E0088F">
              <w:rPr>
                <w:lang w:val="fr-CH"/>
              </w:rPr>
              <w:t>Mise en œuvre à la suite de l'approbation de la Recommandation UIT</w:t>
            </w:r>
            <w:r w:rsidRPr="00E0088F">
              <w:rPr>
                <w:lang w:val="fr-CH"/>
              </w:rPr>
              <w:noBreakHyphen/>
              <w:t>R M.2091. Par conséquent, il est proposé de supprimer cette Résolution</w:t>
            </w:r>
            <w:r w:rsidR="008F5E7F"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736E5019" w14:textId="77777777" w:rsidR="002151C3" w:rsidRPr="00E0088F" w:rsidRDefault="002151C3" w:rsidP="006C5A84">
            <w:pPr>
              <w:pStyle w:val="Tabletext"/>
              <w:jc w:val="center"/>
              <w:rPr>
                <w:lang w:val="fr-CH"/>
              </w:rPr>
            </w:pPr>
            <w:r w:rsidRPr="00E0088F">
              <w:rPr>
                <w:lang w:val="fr-CH"/>
              </w:rPr>
              <w:t>SUP</w:t>
            </w:r>
          </w:p>
        </w:tc>
      </w:tr>
      <w:tr w:rsidR="002151C3" w:rsidRPr="00E0088F" w14:paraId="3AB6D2AE"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B5A018D" w14:textId="77777777" w:rsidR="002151C3" w:rsidRPr="00E0088F" w:rsidRDefault="002151C3" w:rsidP="006C5A84">
            <w:pPr>
              <w:pStyle w:val="Tabletext"/>
              <w:jc w:val="center"/>
              <w:rPr>
                <w:lang w:val="fr-CH"/>
              </w:rPr>
            </w:pPr>
            <w:r w:rsidRPr="00E0088F">
              <w:rPr>
                <w:lang w:val="fr-CH"/>
              </w:rPr>
              <w:t>424</w:t>
            </w:r>
          </w:p>
        </w:tc>
        <w:tc>
          <w:tcPr>
            <w:tcW w:w="2551" w:type="dxa"/>
            <w:tcBorders>
              <w:top w:val="single" w:sz="6" w:space="0" w:color="auto"/>
              <w:left w:val="single" w:sz="6" w:space="0" w:color="auto"/>
              <w:bottom w:val="single" w:sz="6" w:space="0" w:color="auto"/>
              <w:right w:val="single" w:sz="6" w:space="0" w:color="auto"/>
            </w:tcBorders>
            <w:hideMark/>
          </w:tcPr>
          <w:p w14:paraId="36FA51B2" w14:textId="77777777" w:rsidR="002151C3" w:rsidRPr="00E0088F" w:rsidRDefault="002151C3" w:rsidP="006C5A84">
            <w:pPr>
              <w:pStyle w:val="Tabletext"/>
              <w:rPr>
                <w:lang w:val="fr-CH"/>
              </w:rPr>
            </w:pPr>
            <w:r w:rsidRPr="00E0088F">
              <w:rPr>
                <w:lang w:val="fr-CH"/>
              </w:rPr>
              <w:t>Utilisation des systèmes de communication hertzienne entre équipements d'avionique à bord d'un aéronef dans la bande de fréquences 4 200-4 400 MHz</w:t>
            </w:r>
          </w:p>
        </w:tc>
        <w:tc>
          <w:tcPr>
            <w:tcW w:w="3625" w:type="dxa"/>
            <w:tcBorders>
              <w:top w:val="single" w:sz="6" w:space="0" w:color="auto"/>
              <w:left w:val="single" w:sz="6" w:space="0" w:color="auto"/>
              <w:bottom w:val="single" w:sz="6" w:space="0" w:color="auto"/>
              <w:right w:val="single" w:sz="6" w:space="0" w:color="auto"/>
            </w:tcBorders>
            <w:hideMark/>
          </w:tcPr>
          <w:p w14:paraId="3C1CDA7A" w14:textId="77777777" w:rsidR="002151C3" w:rsidRPr="00E0088F" w:rsidRDefault="002151C3" w:rsidP="006C5A84">
            <w:pPr>
              <w:pStyle w:val="Tabletext"/>
              <w:rPr>
                <w:lang w:val="fr-CH"/>
              </w:rPr>
            </w:pPr>
            <w:r w:rsidRPr="00E0088F">
              <w:rPr>
                <w:lang w:val="fr-CH"/>
              </w:rPr>
              <w:t>(CMR</w:t>
            </w:r>
            <w:r w:rsidRPr="00E0088F">
              <w:rPr>
                <w:lang w:val="fr-CH"/>
              </w:rPr>
              <w:noBreakHyphen/>
              <w:t xml:space="preserve">15). A toujours lieu d'être. La Résolution est citée dans le numéro </w:t>
            </w:r>
            <w:r w:rsidRPr="00E0088F">
              <w:rPr>
                <w:b/>
                <w:bCs/>
                <w:lang w:val="fr-CH"/>
              </w:rPr>
              <w:t>5.436</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39F658BB" w14:textId="77777777" w:rsidR="002151C3" w:rsidRPr="00E0088F" w:rsidRDefault="002151C3" w:rsidP="006C5A84">
            <w:pPr>
              <w:pStyle w:val="Tabletext"/>
              <w:jc w:val="center"/>
              <w:rPr>
                <w:lang w:val="fr-CH"/>
              </w:rPr>
            </w:pPr>
            <w:r w:rsidRPr="00E0088F">
              <w:rPr>
                <w:lang w:val="fr-CH"/>
              </w:rPr>
              <w:t>NOC</w:t>
            </w:r>
          </w:p>
        </w:tc>
      </w:tr>
      <w:tr w:rsidR="002151C3" w:rsidRPr="00E0088F" w14:paraId="2759F01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2BD2166" w14:textId="77777777" w:rsidR="002151C3" w:rsidRPr="00E0088F" w:rsidRDefault="002151C3" w:rsidP="006C5A84">
            <w:pPr>
              <w:pStyle w:val="Tabletext"/>
              <w:jc w:val="center"/>
              <w:rPr>
                <w:lang w:val="fr-CH"/>
              </w:rPr>
            </w:pPr>
            <w:r w:rsidRPr="00E0088F">
              <w:rPr>
                <w:lang w:val="fr-CH"/>
              </w:rPr>
              <w:lastRenderedPageBreak/>
              <w:t>425</w:t>
            </w:r>
          </w:p>
        </w:tc>
        <w:tc>
          <w:tcPr>
            <w:tcW w:w="2551" w:type="dxa"/>
            <w:tcBorders>
              <w:top w:val="single" w:sz="6" w:space="0" w:color="auto"/>
              <w:left w:val="single" w:sz="6" w:space="0" w:color="auto"/>
              <w:bottom w:val="single" w:sz="6" w:space="0" w:color="auto"/>
              <w:right w:val="single" w:sz="6" w:space="0" w:color="auto"/>
            </w:tcBorders>
            <w:hideMark/>
          </w:tcPr>
          <w:p w14:paraId="7CB704C4" w14:textId="77777777" w:rsidR="002151C3" w:rsidRPr="00E0088F" w:rsidRDefault="002151C3" w:rsidP="006C5A84">
            <w:pPr>
              <w:pStyle w:val="Tabletext"/>
              <w:rPr>
                <w:lang w:val="fr-CH"/>
              </w:rPr>
            </w:pPr>
            <w:r w:rsidRPr="00E0088F">
              <w:rPr>
                <w:lang w:val="fr-CH"/>
              </w:rPr>
              <w:t xml:space="preserve">Utilisation de la bande de </w:t>
            </w:r>
            <w:r w:rsidRPr="00E0088F">
              <w:rPr>
                <w:spacing w:val="-4"/>
                <w:lang w:val="fr-CH"/>
              </w:rPr>
              <w:t>fréquences 1 087,7-1 092,3 MHz</w:t>
            </w:r>
            <w:r w:rsidRPr="00E0088F">
              <w:rPr>
                <w:lang w:val="fr-CH"/>
              </w:rPr>
              <w:t xml:space="preserve"> par le service mobile aéronautique (R) par satellite (Terre vers espace) pour faciliter le suivi des vols à l'échelle mondiale pour l'aviation civile</w:t>
            </w:r>
          </w:p>
        </w:tc>
        <w:tc>
          <w:tcPr>
            <w:tcW w:w="3625" w:type="dxa"/>
            <w:tcBorders>
              <w:top w:val="single" w:sz="6" w:space="0" w:color="auto"/>
              <w:left w:val="single" w:sz="6" w:space="0" w:color="auto"/>
              <w:bottom w:val="single" w:sz="6" w:space="0" w:color="auto"/>
              <w:right w:val="single" w:sz="6" w:space="0" w:color="auto"/>
            </w:tcBorders>
            <w:hideMark/>
          </w:tcPr>
          <w:p w14:paraId="143ED4AF" w14:textId="77777777" w:rsidR="002151C3" w:rsidRPr="00E0088F" w:rsidRDefault="002151C3" w:rsidP="006C5A84">
            <w:pPr>
              <w:pStyle w:val="Tabletext"/>
              <w:rPr>
                <w:lang w:val="fr-CH"/>
              </w:rPr>
            </w:pPr>
            <w:r w:rsidRPr="00E0088F">
              <w:rPr>
                <w:lang w:val="fr-CH"/>
              </w:rPr>
              <w:t>(CMR</w:t>
            </w:r>
            <w:r w:rsidRPr="00E0088F">
              <w:rPr>
                <w:lang w:val="fr-CH"/>
              </w:rPr>
              <w:noBreakHyphen/>
              <w:t xml:space="preserve">15). A toujours lieu d'être. Cette Résolution est citée dans le numéro </w:t>
            </w:r>
            <w:r w:rsidRPr="00E0088F">
              <w:rPr>
                <w:b/>
                <w:bCs/>
                <w:lang w:val="fr-CH"/>
              </w:rPr>
              <w:t>5.328AA.</w:t>
            </w:r>
            <w:r w:rsidRPr="00E0088F">
              <w:rPr>
                <w:lang w:val="fr-CH"/>
              </w:rPr>
              <w:t xml:space="preserve"> La partie invite l'UIT-R pourrait être modifiée compte tenu des résultats des études inclus dans le Rapport UIT</w:t>
            </w:r>
            <w:r w:rsidRPr="00E0088F">
              <w:rPr>
                <w:lang w:val="fr-CH"/>
              </w:rPr>
              <w:noBreakHyphen/>
              <w:t>R M.2396-0 en octobre 2016.</w:t>
            </w:r>
          </w:p>
        </w:tc>
        <w:tc>
          <w:tcPr>
            <w:tcW w:w="2045" w:type="dxa"/>
            <w:tcBorders>
              <w:top w:val="single" w:sz="6" w:space="0" w:color="auto"/>
              <w:left w:val="single" w:sz="6" w:space="0" w:color="auto"/>
              <w:bottom w:val="single" w:sz="6" w:space="0" w:color="auto"/>
              <w:right w:val="single" w:sz="6" w:space="0" w:color="auto"/>
            </w:tcBorders>
            <w:hideMark/>
          </w:tcPr>
          <w:p w14:paraId="4971EC41" w14:textId="77777777" w:rsidR="002151C3" w:rsidRPr="00E0088F" w:rsidRDefault="002151C3" w:rsidP="006C5A84">
            <w:pPr>
              <w:pStyle w:val="Tabletext"/>
              <w:jc w:val="center"/>
              <w:rPr>
                <w:lang w:val="fr-CH"/>
              </w:rPr>
            </w:pPr>
            <w:r w:rsidRPr="00E0088F">
              <w:rPr>
                <w:lang w:val="fr-CH"/>
              </w:rPr>
              <w:t>NOC/</w:t>
            </w:r>
          </w:p>
          <w:p w14:paraId="328159AC" w14:textId="77777777" w:rsidR="002151C3" w:rsidRPr="00E0088F" w:rsidRDefault="002151C3" w:rsidP="006C5A84">
            <w:pPr>
              <w:pStyle w:val="Tabletext"/>
              <w:jc w:val="center"/>
              <w:rPr>
                <w:lang w:val="fr-CH"/>
              </w:rPr>
            </w:pPr>
            <w:r w:rsidRPr="00E0088F">
              <w:rPr>
                <w:lang w:val="fr-CH"/>
              </w:rPr>
              <w:t>MOD</w:t>
            </w:r>
          </w:p>
        </w:tc>
      </w:tr>
      <w:tr w:rsidR="002151C3" w:rsidRPr="00E0088F" w14:paraId="6140BB64"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405C0BE1" w14:textId="77777777" w:rsidR="002151C3" w:rsidRPr="00E0088F" w:rsidRDefault="002151C3" w:rsidP="006C5A84">
            <w:pPr>
              <w:pStyle w:val="Tabletext"/>
              <w:jc w:val="center"/>
              <w:rPr>
                <w:lang w:val="fr-CH"/>
              </w:rPr>
            </w:pPr>
            <w:r w:rsidRPr="00E0088F">
              <w:rPr>
                <w:lang w:val="fr-CH"/>
              </w:rPr>
              <w:t>426</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6407DB3" w14:textId="77777777" w:rsidR="002151C3" w:rsidRPr="00E0088F" w:rsidRDefault="002151C3" w:rsidP="006C5A84">
            <w:pPr>
              <w:pStyle w:val="Tabletext"/>
              <w:rPr>
                <w:lang w:val="fr-CH"/>
              </w:rPr>
            </w:pPr>
            <w:r w:rsidRPr="00E0088F">
              <w:rPr>
                <w:lang w:val="fr-CH"/>
              </w:rPr>
              <w:t>Études relatives aux besoins de fréquences et aux dispositions réglementaires en vue de la mise en place et de l'utilisation du Système mondial de détresse et de sécurité aéronautique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22F008" w14:textId="19A3D233"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w:t>
            </w:r>
            <w:r w:rsidR="001A420B" w:rsidRPr="00E0088F">
              <w:rPr>
                <w:b/>
                <w:bCs/>
                <w:lang w:val="fr-CH"/>
              </w:rPr>
              <w:t> </w:t>
            </w:r>
            <w:r w:rsidRPr="00E0088F">
              <w:rPr>
                <w:b/>
                <w:bCs/>
                <w:lang w:val="fr-CH"/>
              </w:rPr>
              <w:t>1.10 de l'ordre du jour</w:t>
            </w:r>
            <w:r w:rsidRPr="00E0088F">
              <w:rPr>
                <w:lang w:val="fr-CH"/>
              </w:rPr>
              <w:t xml:space="preserve"> de la CMR</w:t>
            </w:r>
            <w:r w:rsidR="00356D4B" w:rsidRPr="00E0088F">
              <w:rPr>
                <w:lang w:val="fr-CH"/>
              </w:rPr>
              <w:noBreakHyphen/>
            </w:r>
            <w:r w:rsidRPr="00E0088F">
              <w:rPr>
                <w:lang w:val="fr-CH"/>
              </w:rPr>
              <w:t>19, cette Résolution devrait être supprimée.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5F18A1" w14:textId="77777777" w:rsidR="002151C3" w:rsidRPr="00E0088F" w:rsidRDefault="002151C3" w:rsidP="006C5A84">
            <w:pPr>
              <w:pStyle w:val="Tabletext"/>
              <w:jc w:val="center"/>
              <w:rPr>
                <w:lang w:val="fr-CH"/>
              </w:rPr>
            </w:pPr>
            <w:r w:rsidRPr="00E0088F">
              <w:rPr>
                <w:lang w:val="fr-CH"/>
              </w:rPr>
              <w:t>SUP</w:t>
            </w:r>
          </w:p>
        </w:tc>
      </w:tr>
      <w:tr w:rsidR="002151C3" w:rsidRPr="00E0088F" w14:paraId="2AA45C74"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B61E28B" w14:textId="77777777" w:rsidR="002151C3" w:rsidRPr="00E0088F" w:rsidRDefault="002151C3" w:rsidP="006C5A84">
            <w:pPr>
              <w:pStyle w:val="Tabletext"/>
              <w:jc w:val="center"/>
              <w:rPr>
                <w:lang w:val="fr-CH"/>
              </w:rPr>
            </w:pPr>
            <w:r w:rsidRPr="00E0088F">
              <w:rPr>
                <w:lang w:val="fr-CH"/>
              </w:rPr>
              <w:t>506</w:t>
            </w:r>
          </w:p>
        </w:tc>
        <w:tc>
          <w:tcPr>
            <w:tcW w:w="2551" w:type="dxa"/>
            <w:tcBorders>
              <w:top w:val="single" w:sz="6" w:space="0" w:color="auto"/>
              <w:left w:val="single" w:sz="6" w:space="0" w:color="auto"/>
              <w:bottom w:val="single" w:sz="6" w:space="0" w:color="auto"/>
              <w:right w:val="single" w:sz="6" w:space="0" w:color="auto"/>
            </w:tcBorders>
            <w:hideMark/>
          </w:tcPr>
          <w:p w14:paraId="453CA199" w14:textId="77777777" w:rsidR="002151C3" w:rsidRPr="00E0088F" w:rsidRDefault="002151C3" w:rsidP="006C5A84">
            <w:pPr>
              <w:pStyle w:val="Tabletext"/>
              <w:rPr>
                <w:lang w:val="fr-CH"/>
              </w:rPr>
            </w:pPr>
            <w:r w:rsidRPr="00E0088F">
              <w:rPr>
                <w:lang w:val="fr-CH"/>
              </w:rPr>
              <w:t>OSG uniquement, dans la bande des 12 GHz attribués au SRS</w:t>
            </w:r>
          </w:p>
        </w:tc>
        <w:tc>
          <w:tcPr>
            <w:tcW w:w="3625" w:type="dxa"/>
            <w:tcBorders>
              <w:top w:val="single" w:sz="6" w:space="0" w:color="auto"/>
              <w:left w:val="single" w:sz="6" w:space="0" w:color="auto"/>
              <w:bottom w:val="single" w:sz="6" w:space="0" w:color="auto"/>
              <w:right w:val="single" w:sz="6" w:space="0" w:color="auto"/>
            </w:tcBorders>
            <w:hideMark/>
          </w:tcPr>
          <w:p w14:paraId="42103FC7" w14:textId="77777777" w:rsidR="002151C3" w:rsidRPr="00E0088F" w:rsidRDefault="002151C3" w:rsidP="006C5A84">
            <w:pPr>
              <w:pStyle w:val="Tabletext"/>
              <w:rPr>
                <w:lang w:val="fr-CH"/>
              </w:rPr>
            </w:pPr>
            <w:r w:rsidRPr="00E0088F">
              <w:rPr>
                <w:lang w:val="fr-CH"/>
              </w:rPr>
              <w:t>(Rév.CMR-97). A toujours lieu d'être.</w:t>
            </w:r>
          </w:p>
        </w:tc>
        <w:tc>
          <w:tcPr>
            <w:tcW w:w="2045" w:type="dxa"/>
            <w:tcBorders>
              <w:top w:val="single" w:sz="6" w:space="0" w:color="auto"/>
              <w:left w:val="single" w:sz="6" w:space="0" w:color="auto"/>
              <w:bottom w:val="single" w:sz="6" w:space="0" w:color="auto"/>
              <w:right w:val="single" w:sz="6" w:space="0" w:color="auto"/>
            </w:tcBorders>
            <w:hideMark/>
          </w:tcPr>
          <w:p w14:paraId="046B7CEE" w14:textId="77777777" w:rsidR="002151C3" w:rsidRPr="00E0088F" w:rsidRDefault="002151C3" w:rsidP="006C5A84">
            <w:pPr>
              <w:pStyle w:val="Tabletext"/>
              <w:jc w:val="center"/>
              <w:rPr>
                <w:lang w:val="fr-CH"/>
              </w:rPr>
            </w:pPr>
            <w:r w:rsidRPr="00E0088F">
              <w:rPr>
                <w:lang w:val="fr-CH"/>
              </w:rPr>
              <w:t>NOC</w:t>
            </w:r>
          </w:p>
        </w:tc>
      </w:tr>
      <w:tr w:rsidR="002151C3" w:rsidRPr="00E0088F" w14:paraId="2E599516"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E7B8522" w14:textId="77777777" w:rsidR="002151C3" w:rsidRPr="00E0088F" w:rsidRDefault="002151C3" w:rsidP="006C5A84">
            <w:pPr>
              <w:pStyle w:val="Tabletext"/>
              <w:jc w:val="center"/>
              <w:rPr>
                <w:lang w:val="fr-CH"/>
              </w:rPr>
            </w:pPr>
            <w:r w:rsidRPr="00E0088F">
              <w:rPr>
                <w:lang w:val="fr-CH"/>
              </w:rPr>
              <w:t>507</w:t>
            </w:r>
          </w:p>
        </w:tc>
        <w:tc>
          <w:tcPr>
            <w:tcW w:w="2551" w:type="dxa"/>
            <w:tcBorders>
              <w:top w:val="single" w:sz="6" w:space="0" w:color="auto"/>
              <w:left w:val="single" w:sz="6" w:space="0" w:color="auto"/>
              <w:bottom w:val="single" w:sz="6" w:space="0" w:color="auto"/>
              <w:right w:val="single" w:sz="6" w:space="0" w:color="auto"/>
            </w:tcBorders>
            <w:hideMark/>
          </w:tcPr>
          <w:p w14:paraId="63AF75FD" w14:textId="77777777" w:rsidR="002151C3" w:rsidRPr="00E0088F" w:rsidRDefault="002151C3" w:rsidP="006C5A84">
            <w:pPr>
              <w:pStyle w:val="Tabletext"/>
              <w:rPr>
                <w:lang w:val="fr-CH"/>
              </w:rPr>
            </w:pPr>
            <w:r w:rsidRPr="00E0088F">
              <w:rPr>
                <w:lang w:val="fr-CH"/>
              </w:rPr>
              <w:t>Accords/Plans pour le SRS</w:t>
            </w:r>
          </w:p>
        </w:tc>
        <w:tc>
          <w:tcPr>
            <w:tcW w:w="3625" w:type="dxa"/>
            <w:tcBorders>
              <w:top w:val="single" w:sz="6" w:space="0" w:color="auto"/>
              <w:left w:val="single" w:sz="6" w:space="0" w:color="auto"/>
              <w:bottom w:val="single" w:sz="6" w:space="0" w:color="auto"/>
              <w:right w:val="single" w:sz="6" w:space="0" w:color="auto"/>
            </w:tcBorders>
            <w:hideMark/>
          </w:tcPr>
          <w:p w14:paraId="5D4E68DD" w14:textId="77777777" w:rsidR="002151C3" w:rsidRPr="00E0088F" w:rsidRDefault="002151C3" w:rsidP="006C5A84">
            <w:pPr>
              <w:pStyle w:val="Tabletext"/>
              <w:rPr>
                <w:lang w:val="fr-CH"/>
              </w:rPr>
            </w:pPr>
            <w:r w:rsidRPr="00E0088F">
              <w:rPr>
                <w:lang w:val="fr-CH"/>
              </w:rPr>
              <w:t xml:space="preserve">(Rév.CMR-15). A toujours lieu d'être. Cette Résolution est citée dans le numéro </w:t>
            </w:r>
            <w:r w:rsidRPr="00E0088F">
              <w:rPr>
                <w:b/>
                <w:bCs/>
                <w:lang w:val="fr-CH"/>
              </w:rPr>
              <w:t>11.37.2</w:t>
            </w:r>
            <w:r w:rsidRPr="00E0088F">
              <w:rPr>
                <w:lang w:val="fr-CH"/>
              </w:rPr>
              <w:t xml:space="preserve"> et dans l'Appendice </w:t>
            </w:r>
            <w:r w:rsidRPr="00E0088F">
              <w:rPr>
                <w:b/>
                <w:bCs/>
                <w:lang w:val="fr-CH"/>
              </w:rPr>
              <w:t>30</w:t>
            </w:r>
            <w:r w:rsidRPr="00E0088F">
              <w:rPr>
                <w:lang w:val="fr-CH"/>
              </w:rPr>
              <w:t>.</w:t>
            </w:r>
          </w:p>
          <w:p w14:paraId="2419CD17" w14:textId="77777777" w:rsidR="002151C3" w:rsidRPr="00E0088F" w:rsidRDefault="002151C3" w:rsidP="006C5A84">
            <w:pPr>
              <w:pStyle w:val="Tabletext"/>
              <w:rPr>
                <w:lang w:val="fr-CH"/>
              </w:rPr>
            </w:pPr>
            <w:r w:rsidRPr="00E0088F">
              <w:rPr>
                <w:lang w:val="fr-CH"/>
              </w:rPr>
              <w:t xml:space="preserve">Doit être mise à jour étant donné que la Résolution </w:t>
            </w:r>
            <w:r w:rsidRPr="00E0088F">
              <w:rPr>
                <w:b/>
                <w:bCs/>
                <w:lang w:val="fr-CH"/>
                <w:rPrChange w:id="7" w:author="Unknown" w:date="2019-02-21T23:48:00Z">
                  <w:rPr/>
                </w:rPrChange>
              </w:rPr>
              <w:t>33</w:t>
            </w:r>
            <w:r w:rsidRPr="00E0088F">
              <w:rPr>
                <w:lang w:val="fr-CH"/>
              </w:rPr>
              <w:t>, qui est citée dans cette Résolution, est supprimée.</w:t>
            </w:r>
          </w:p>
        </w:tc>
        <w:tc>
          <w:tcPr>
            <w:tcW w:w="2045" w:type="dxa"/>
            <w:tcBorders>
              <w:top w:val="single" w:sz="6" w:space="0" w:color="auto"/>
              <w:left w:val="single" w:sz="6" w:space="0" w:color="auto"/>
              <w:bottom w:val="single" w:sz="6" w:space="0" w:color="auto"/>
              <w:right w:val="single" w:sz="6" w:space="0" w:color="auto"/>
            </w:tcBorders>
            <w:hideMark/>
          </w:tcPr>
          <w:p w14:paraId="0CDDA6ED" w14:textId="77777777" w:rsidR="002151C3" w:rsidRPr="00E0088F" w:rsidRDefault="002151C3" w:rsidP="006C5A84">
            <w:pPr>
              <w:pStyle w:val="Tabletext"/>
              <w:jc w:val="center"/>
              <w:rPr>
                <w:lang w:val="fr-CH"/>
              </w:rPr>
            </w:pPr>
            <w:r w:rsidRPr="00E0088F">
              <w:rPr>
                <w:lang w:val="fr-CH"/>
              </w:rPr>
              <w:t>MOD</w:t>
            </w:r>
          </w:p>
        </w:tc>
      </w:tr>
      <w:tr w:rsidR="002151C3" w:rsidRPr="00E0088F" w14:paraId="2BEEABBB"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DB92F4E" w14:textId="77777777" w:rsidR="002151C3" w:rsidRPr="00E0088F" w:rsidRDefault="002151C3" w:rsidP="006C5A84">
            <w:pPr>
              <w:pStyle w:val="Tabletext"/>
              <w:jc w:val="center"/>
              <w:rPr>
                <w:lang w:val="fr-CH"/>
              </w:rPr>
            </w:pPr>
            <w:r w:rsidRPr="00E0088F">
              <w:rPr>
                <w:lang w:val="fr-CH"/>
              </w:rPr>
              <w:t>517</w:t>
            </w:r>
          </w:p>
        </w:tc>
        <w:tc>
          <w:tcPr>
            <w:tcW w:w="2551" w:type="dxa"/>
            <w:tcBorders>
              <w:top w:val="single" w:sz="6" w:space="0" w:color="auto"/>
              <w:left w:val="single" w:sz="6" w:space="0" w:color="auto"/>
              <w:bottom w:val="single" w:sz="6" w:space="0" w:color="auto"/>
              <w:right w:val="single" w:sz="6" w:space="0" w:color="auto"/>
            </w:tcBorders>
            <w:hideMark/>
          </w:tcPr>
          <w:p w14:paraId="045893AA" w14:textId="77777777" w:rsidR="002151C3" w:rsidRPr="00E0088F" w:rsidRDefault="002151C3" w:rsidP="006C5A84">
            <w:pPr>
              <w:pStyle w:val="Tabletext"/>
              <w:rPr>
                <w:lang w:val="fr-CH"/>
              </w:rPr>
            </w:pPr>
            <w:r w:rsidRPr="00E0088F">
              <w:rPr>
                <w:lang w:val="fr-CH"/>
              </w:rPr>
              <w:t>Mise en œuvre d'émissions à modulation numérique dans les bandes d'ondes décamétriques attribuées à la radiodiffusion</w:t>
            </w:r>
          </w:p>
        </w:tc>
        <w:tc>
          <w:tcPr>
            <w:tcW w:w="3625" w:type="dxa"/>
            <w:tcBorders>
              <w:top w:val="single" w:sz="6" w:space="0" w:color="auto"/>
              <w:left w:val="single" w:sz="6" w:space="0" w:color="auto"/>
              <w:bottom w:val="single" w:sz="6" w:space="0" w:color="auto"/>
              <w:right w:val="single" w:sz="6" w:space="0" w:color="auto"/>
            </w:tcBorders>
            <w:hideMark/>
          </w:tcPr>
          <w:p w14:paraId="55258971" w14:textId="77777777" w:rsidR="002151C3" w:rsidRPr="00E0088F" w:rsidRDefault="002151C3" w:rsidP="006C5A84">
            <w:pPr>
              <w:pStyle w:val="Tabletext"/>
              <w:rPr>
                <w:lang w:val="fr-CH"/>
              </w:rPr>
            </w:pPr>
            <w:r w:rsidRPr="00E0088F">
              <w:rPr>
                <w:lang w:val="fr-CH"/>
              </w:rPr>
              <w:t>(Rév.CMR-15). A toujours lieu d'être.</w:t>
            </w:r>
            <w:r w:rsidRPr="00E0088F">
              <w:rPr>
                <w:color w:val="000000"/>
                <w:sz w:val="24"/>
                <w:lang w:val="fr-CH"/>
              </w:rPr>
              <w:t xml:space="preserve"> </w:t>
            </w:r>
            <w:r w:rsidRPr="00E0088F">
              <w:rPr>
                <w:lang w:val="fr-CH"/>
              </w:rPr>
              <w:t xml:space="preserve">Cette Résolution est citée dans le numéro </w:t>
            </w:r>
            <w:r w:rsidRPr="00E0088F">
              <w:rPr>
                <w:b/>
                <w:bCs/>
                <w:lang w:val="fr-CH"/>
              </w:rPr>
              <w:t>5.134</w:t>
            </w:r>
            <w:r w:rsidRPr="00E0088F">
              <w:rPr>
                <w:lang w:val="fr-CH"/>
              </w:rPr>
              <w:t xml:space="preserve">, dans l'Appendice </w:t>
            </w:r>
            <w:r w:rsidRPr="00E0088F">
              <w:rPr>
                <w:b/>
                <w:bCs/>
                <w:lang w:val="fr-CH"/>
              </w:rPr>
              <w:t>11</w:t>
            </w:r>
            <w:r w:rsidRPr="00E0088F">
              <w:rPr>
                <w:lang w:val="fr-CH"/>
              </w:rPr>
              <w:t xml:space="preserve">, dans les Résolutions </w:t>
            </w:r>
            <w:r w:rsidRPr="00E0088F">
              <w:rPr>
                <w:b/>
                <w:bCs/>
                <w:lang w:val="fr-CH"/>
              </w:rPr>
              <w:t>543 (CMR-03)</w:t>
            </w:r>
            <w:r w:rsidRPr="00E0088F">
              <w:rPr>
                <w:lang w:val="fr-CH"/>
              </w:rPr>
              <w:t xml:space="preserve"> et </w:t>
            </w:r>
            <w:r w:rsidRPr="00E0088F">
              <w:rPr>
                <w:b/>
                <w:bCs/>
                <w:lang w:val="fr-CH"/>
              </w:rPr>
              <w:t>550 (CMR</w:t>
            </w:r>
            <w:r w:rsidRPr="00E0088F">
              <w:rPr>
                <w:b/>
                <w:bCs/>
                <w:lang w:val="fr-CH"/>
              </w:rPr>
              <w:noBreakHyphen/>
              <w:t>07)</w:t>
            </w:r>
            <w:r w:rsidRPr="00E0088F">
              <w:rPr>
                <w:lang w:val="fr-CH"/>
              </w:rPr>
              <w:t xml:space="preserve"> ainsi que dans la Recommandation </w:t>
            </w:r>
            <w:r w:rsidRPr="00E0088F">
              <w:rPr>
                <w:b/>
                <w:bCs/>
                <w:lang w:val="fr-CH"/>
              </w:rPr>
              <w:t>503 (Rév.CMR-2000)</w:t>
            </w:r>
            <w:r w:rsidRPr="00E0088F">
              <w:rPr>
                <w:lang w:val="fr-CH"/>
              </w:rPr>
              <w:t>. Le texte a été mis à jour à la CMR-15.</w:t>
            </w:r>
          </w:p>
        </w:tc>
        <w:tc>
          <w:tcPr>
            <w:tcW w:w="2045" w:type="dxa"/>
            <w:tcBorders>
              <w:top w:val="single" w:sz="6" w:space="0" w:color="auto"/>
              <w:left w:val="single" w:sz="6" w:space="0" w:color="auto"/>
              <w:bottom w:val="single" w:sz="6" w:space="0" w:color="auto"/>
              <w:right w:val="single" w:sz="6" w:space="0" w:color="auto"/>
            </w:tcBorders>
            <w:hideMark/>
          </w:tcPr>
          <w:p w14:paraId="1C16A618" w14:textId="77777777" w:rsidR="002151C3" w:rsidRPr="00E0088F" w:rsidRDefault="002151C3" w:rsidP="006C5A84">
            <w:pPr>
              <w:pStyle w:val="Tabletext"/>
              <w:jc w:val="center"/>
              <w:rPr>
                <w:lang w:val="fr-CH"/>
              </w:rPr>
            </w:pPr>
            <w:r w:rsidRPr="00E0088F">
              <w:rPr>
                <w:lang w:val="fr-CH"/>
              </w:rPr>
              <w:t>NOC</w:t>
            </w:r>
          </w:p>
        </w:tc>
      </w:tr>
      <w:tr w:rsidR="002151C3" w:rsidRPr="00E0088F" w14:paraId="5E38FF4A"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E3EE392" w14:textId="77777777" w:rsidR="002151C3" w:rsidRPr="00E0088F" w:rsidRDefault="002151C3" w:rsidP="006C5A84">
            <w:pPr>
              <w:pStyle w:val="Tabletext"/>
              <w:jc w:val="center"/>
              <w:rPr>
                <w:lang w:val="fr-CH"/>
              </w:rPr>
            </w:pPr>
            <w:r w:rsidRPr="00E0088F">
              <w:rPr>
                <w:lang w:val="fr-CH"/>
              </w:rPr>
              <w:t>526</w:t>
            </w:r>
          </w:p>
        </w:tc>
        <w:tc>
          <w:tcPr>
            <w:tcW w:w="2551" w:type="dxa"/>
            <w:tcBorders>
              <w:top w:val="single" w:sz="6" w:space="0" w:color="auto"/>
              <w:left w:val="single" w:sz="6" w:space="0" w:color="auto"/>
              <w:bottom w:val="single" w:sz="6" w:space="0" w:color="auto"/>
              <w:right w:val="single" w:sz="6" w:space="0" w:color="auto"/>
            </w:tcBorders>
            <w:hideMark/>
          </w:tcPr>
          <w:p w14:paraId="4DAD528C" w14:textId="77777777" w:rsidR="002151C3" w:rsidRPr="00E0088F" w:rsidRDefault="002151C3" w:rsidP="006C5A84">
            <w:pPr>
              <w:pStyle w:val="Tabletext"/>
              <w:rPr>
                <w:lang w:val="fr-CH"/>
              </w:rPr>
            </w:pPr>
            <w:r w:rsidRPr="00E0088F">
              <w:rPr>
                <w:lang w:val="fr-CH"/>
              </w:rPr>
              <w:t>Dispositions additionnelles pour la TVHD</w:t>
            </w:r>
          </w:p>
        </w:tc>
        <w:tc>
          <w:tcPr>
            <w:tcW w:w="3625" w:type="dxa"/>
            <w:tcBorders>
              <w:top w:val="single" w:sz="6" w:space="0" w:color="auto"/>
              <w:left w:val="single" w:sz="6" w:space="0" w:color="auto"/>
              <w:bottom w:val="single" w:sz="6" w:space="0" w:color="auto"/>
              <w:right w:val="single" w:sz="6" w:space="0" w:color="auto"/>
            </w:tcBorders>
            <w:hideMark/>
          </w:tcPr>
          <w:p w14:paraId="0D449E1A" w14:textId="77777777" w:rsidR="002151C3" w:rsidRPr="00E0088F" w:rsidRDefault="002151C3" w:rsidP="006C5A84">
            <w:pPr>
              <w:pStyle w:val="Tabletext"/>
              <w:rPr>
                <w:lang w:val="fr-CH"/>
              </w:rPr>
            </w:pPr>
            <w:r w:rsidRPr="00E0088F">
              <w:rPr>
                <w:lang w:val="fr-CH"/>
              </w:rPr>
              <w:t xml:space="preserve">(Rév.CMR-12). A toujours lieu d'être. </w:t>
            </w:r>
            <w:r w:rsidRPr="00E0088F">
              <w:rPr>
                <w:bCs/>
                <w:lang w:val="fr-CH"/>
              </w:rPr>
              <w:t>Cette Résolution concerne uniquement la Région 2.</w:t>
            </w:r>
          </w:p>
        </w:tc>
        <w:tc>
          <w:tcPr>
            <w:tcW w:w="2045" w:type="dxa"/>
            <w:tcBorders>
              <w:top w:val="single" w:sz="6" w:space="0" w:color="auto"/>
              <w:left w:val="single" w:sz="6" w:space="0" w:color="auto"/>
              <w:bottom w:val="single" w:sz="6" w:space="0" w:color="auto"/>
              <w:right w:val="single" w:sz="6" w:space="0" w:color="auto"/>
            </w:tcBorders>
            <w:hideMark/>
          </w:tcPr>
          <w:p w14:paraId="1C720BBC" w14:textId="77777777" w:rsidR="002151C3" w:rsidRPr="00E0088F" w:rsidRDefault="002151C3" w:rsidP="006C5A84">
            <w:pPr>
              <w:pStyle w:val="Tabletext"/>
              <w:jc w:val="center"/>
              <w:rPr>
                <w:lang w:val="fr-CH"/>
              </w:rPr>
            </w:pPr>
            <w:r w:rsidRPr="00E0088F">
              <w:rPr>
                <w:lang w:val="fr-CH"/>
              </w:rPr>
              <w:t>N/A</w:t>
            </w:r>
          </w:p>
        </w:tc>
      </w:tr>
      <w:tr w:rsidR="002151C3" w:rsidRPr="00E0088F" w14:paraId="7AECB646"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BA6AB79" w14:textId="77777777" w:rsidR="002151C3" w:rsidRPr="00E0088F" w:rsidRDefault="002151C3" w:rsidP="006C5A84">
            <w:pPr>
              <w:pStyle w:val="Tabletext"/>
              <w:keepNext/>
              <w:keepLines/>
              <w:jc w:val="center"/>
              <w:rPr>
                <w:lang w:val="fr-CH"/>
              </w:rPr>
            </w:pPr>
            <w:r w:rsidRPr="00E0088F">
              <w:rPr>
                <w:lang w:val="fr-CH"/>
              </w:rPr>
              <w:t>528</w:t>
            </w:r>
          </w:p>
        </w:tc>
        <w:tc>
          <w:tcPr>
            <w:tcW w:w="2551" w:type="dxa"/>
            <w:tcBorders>
              <w:top w:val="single" w:sz="6" w:space="0" w:color="auto"/>
              <w:left w:val="single" w:sz="6" w:space="0" w:color="auto"/>
              <w:bottom w:val="single" w:sz="6" w:space="0" w:color="auto"/>
              <w:right w:val="single" w:sz="6" w:space="0" w:color="auto"/>
            </w:tcBorders>
            <w:hideMark/>
          </w:tcPr>
          <w:p w14:paraId="540D28E2" w14:textId="77777777" w:rsidR="002151C3" w:rsidRPr="00E0088F" w:rsidRDefault="002151C3" w:rsidP="006C5A84">
            <w:pPr>
              <w:pStyle w:val="Tabletext"/>
              <w:keepNext/>
              <w:keepLines/>
              <w:rPr>
                <w:lang w:val="fr-CH"/>
              </w:rPr>
            </w:pPr>
            <w:r w:rsidRPr="00E0088F">
              <w:rPr>
                <w:lang w:val="fr-CH"/>
              </w:rPr>
              <w:t>SRS (sonore) dans la bande des 1,5 GHz</w:t>
            </w:r>
          </w:p>
        </w:tc>
        <w:tc>
          <w:tcPr>
            <w:tcW w:w="3625" w:type="dxa"/>
            <w:tcBorders>
              <w:top w:val="single" w:sz="6" w:space="0" w:color="auto"/>
              <w:left w:val="single" w:sz="6" w:space="0" w:color="auto"/>
              <w:bottom w:val="single" w:sz="6" w:space="0" w:color="auto"/>
              <w:right w:val="single" w:sz="6" w:space="0" w:color="auto"/>
            </w:tcBorders>
            <w:hideMark/>
          </w:tcPr>
          <w:p w14:paraId="17E63D79" w14:textId="77777777" w:rsidR="002151C3" w:rsidRPr="00E0088F" w:rsidRDefault="002151C3" w:rsidP="006C5A84">
            <w:pPr>
              <w:pStyle w:val="Tabletext"/>
              <w:keepNext/>
              <w:keepLines/>
              <w:rPr>
                <w:lang w:val="fr-CH"/>
              </w:rPr>
            </w:pPr>
            <w:r w:rsidRPr="00E0088F">
              <w:rPr>
                <w:lang w:val="fr-CH"/>
              </w:rPr>
              <w:t xml:space="preserve">(Rév.CMR-15). A toujours lieu d'être. Cette Résolution est citée dans les numéros </w:t>
            </w:r>
            <w:r w:rsidRPr="00E0088F">
              <w:rPr>
                <w:b/>
                <w:bCs/>
                <w:lang w:val="fr-CH"/>
              </w:rPr>
              <w:t>5.345, 5.393</w:t>
            </w:r>
            <w:r w:rsidRPr="00E0088F">
              <w:rPr>
                <w:lang w:val="fr-CH"/>
              </w:rPr>
              <w:t xml:space="preserve"> et </w:t>
            </w:r>
            <w:r w:rsidRPr="00E0088F">
              <w:rPr>
                <w:b/>
                <w:bCs/>
                <w:lang w:val="fr-CH"/>
              </w:rPr>
              <w:t>5.418</w:t>
            </w:r>
            <w:r w:rsidRPr="00E0088F">
              <w:rPr>
                <w:lang w:val="fr-CH"/>
              </w:rPr>
              <w:t xml:space="preserve"> ainsi que dans la Résolution </w:t>
            </w:r>
            <w:r w:rsidRPr="00E0088F">
              <w:rPr>
                <w:b/>
                <w:bCs/>
                <w:lang w:val="fr-CH"/>
              </w:rPr>
              <w:t>539 (Rév.CMR-15)</w:t>
            </w:r>
            <w:r w:rsidRPr="00E0088F">
              <w:rPr>
                <w:lang w:val="fr-CH"/>
              </w:rPr>
              <w:t>.</w:t>
            </w:r>
          </w:p>
          <w:p w14:paraId="76D0F67D" w14:textId="77777777" w:rsidR="002151C3" w:rsidRPr="00E0088F" w:rsidRDefault="002151C3" w:rsidP="006C5A84">
            <w:pPr>
              <w:pStyle w:val="Tabletext"/>
              <w:keepNext/>
              <w:keepLines/>
              <w:rPr>
                <w:lang w:val="fr-CH"/>
              </w:rPr>
            </w:pPr>
            <w:r w:rsidRPr="00E0088F">
              <w:rPr>
                <w:lang w:val="fr-CH"/>
              </w:rPr>
              <w:t xml:space="preserve">Pour examen par une future CMR; étant donné que le point 1 du </w:t>
            </w:r>
            <w:r w:rsidRPr="00E0088F">
              <w:rPr>
                <w:i/>
                <w:iCs/>
                <w:lang w:val="fr-CH"/>
                <w:rPrChange w:id="8" w:author="Unknown" w:date="2019-02-21T23:48:00Z">
                  <w:rPr/>
                </w:rPrChange>
              </w:rPr>
              <w:t>décide</w:t>
            </w:r>
            <w:r w:rsidRPr="00E0088F">
              <w:rPr>
                <w:lang w:val="fr-CH"/>
              </w:rPr>
              <w:t xml:space="preserve"> est obsolète, nécessitera peut</w:t>
            </w:r>
            <w:r w:rsidRPr="00E0088F">
              <w:rPr>
                <w:lang w:val="fr-CH"/>
              </w:rPr>
              <w:noBreakHyphen/>
              <w:t xml:space="preserve">être d'être mise à jour; la Résolution </w:t>
            </w:r>
            <w:r w:rsidRPr="00E0088F">
              <w:rPr>
                <w:b/>
                <w:bCs/>
                <w:lang w:val="fr-CH"/>
              </w:rPr>
              <w:t>33</w:t>
            </w:r>
            <w:r w:rsidRPr="00E0088F">
              <w:rPr>
                <w:lang w:val="fr-CH"/>
              </w:rPr>
              <w:t xml:space="preserve"> sera peut-être supprimée.</w:t>
            </w:r>
          </w:p>
        </w:tc>
        <w:tc>
          <w:tcPr>
            <w:tcW w:w="2045" w:type="dxa"/>
            <w:tcBorders>
              <w:top w:val="single" w:sz="6" w:space="0" w:color="auto"/>
              <w:left w:val="single" w:sz="6" w:space="0" w:color="auto"/>
              <w:bottom w:val="single" w:sz="6" w:space="0" w:color="auto"/>
              <w:right w:val="single" w:sz="6" w:space="0" w:color="auto"/>
            </w:tcBorders>
            <w:hideMark/>
          </w:tcPr>
          <w:p w14:paraId="498D07B4" w14:textId="77777777" w:rsidR="002151C3" w:rsidRPr="00E0088F" w:rsidRDefault="002151C3" w:rsidP="006C5A84">
            <w:pPr>
              <w:pStyle w:val="Tabletext"/>
              <w:keepNext/>
              <w:keepLines/>
              <w:jc w:val="center"/>
              <w:rPr>
                <w:lang w:val="fr-CH"/>
              </w:rPr>
            </w:pPr>
            <w:r w:rsidRPr="00E0088F">
              <w:rPr>
                <w:lang w:val="fr-CH"/>
              </w:rPr>
              <w:t>NOC/</w:t>
            </w:r>
          </w:p>
          <w:p w14:paraId="426D6C9E" w14:textId="77777777" w:rsidR="002151C3" w:rsidRPr="00E0088F" w:rsidRDefault="002151C3" w:rsidP="006C5A84">
            <w:pPr>
              <w:pStyle w:val="Tabletext"/>
              <w:keepNext/>
              <w:keepLines/>
              <w:jc w:val="center"/>
              <w:rPr>
                <w:lang w:val="fr-CH"/>
              </w:rPr>
            </w:pPr>
            <w:r w:rsidRPr="00E0088F">
              <w:rPr>
                <w:lang w:val="fr-CH"/>
              </w:rPr>
              <w:t>MOD</w:t>
            </w:r>
          </w:p>
        </w:tc>
      </w:tr>
      <w:tr w:rsidR="002151C3" w:rsidRPr="00E0088F" w14:paraId="509499DD"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6198334" w14:textId="77777777" w:rsidR="002151C3" w:rsidRPr="00E0088F" w:rsidRDefault="002151C3" w:rsidP="006C5A84">
            <w:pPr>
              <w:pStyle w:val="Tabletext"/>
              <w:jc w:val="center"/>
              <w:rPr>
                <w:lang w:val="fr-CH"/>
              </w:rPr>
            </w:pPr>
            <w:r w:rsidRPr="00E0088F">
              <w:rPr>
                <w:lang w:val="fr-CH"/>
              </w:rPr>
              <w:t>535</w:t>
            </w:r>
          </w:p>
        </w:tc>
        <w:tc>
          <w:tcPr>
            <w:tcW w:w="2551" w:type="dxa"/>
            <w:tcBorders>
              <w:top w:val="single" w:sz="6" w:space="0" w:color="auto"/>
              <w:left w:val="single" w:sz="6" w:space="0" w:color="auto"/>
              <w:bottom w:val="single" w:sz="6" w:space="0" w:color="auto"/>
              <w:right w:val="single" w:sz="6" w:space="0" w:color="auto"/>
            </w:tcBorders>
            <w:hideMark/>
          </w:tcPr>
          <w:p w14:paraId="7BCB51C1" w14:textId="77777777" w:rsidR="002151C3" w:rsidRPr="00E0088F" w:rsidRDefault="002151C3" w:rsidP="006C5A84">
            <w:pPr>
              <w:pStyle w:val="Tabletext"/>
              <w:rPr>
                <w:lang w:val="fr-CH"/>
              </w:rPr>
            </w:pPr>
            <w:r w:rsidRPr="00E0088F">
              <w:rPr>
                <w:lang w:val="fr-CH"/>
              </w:rPr>
              <w:t>Application de l'Article 12</w:t>
            </w:r>
          </w:p>
        </w:tc>
        <w:tc>
          <w:tcPr>
            <w:tcW w:w="3625" w:type="dxa"/>
            <w:tcBorders>
              <w:top w:val="single" w:sz="6" w:space="0" w:color="auto"/>
              <w:left w:val="single" w:sz="6" w:space="0" w:color="auto"/>
              <w:bottom w:val="single" w:sz="6" w:space="0" w:color="auto"/>
              <w:right w:val="single" w:sz="6" w:space="0" w:color="auto"/>
            </w:tcBorders>
            <w:hideMark/>
          </w:tcPr>
          <w:p w14:paraId="420C6095" w14:textId="77777777" w:rsidR="002151C3" w:rsidRPr="00E0088F" w:rsidRDefault="002151C3" w:rsidP="006C5A84">
            <w:pPr>
              <w:pStyle w:val="Tabletext"/>
              <w:rPr>
                <w:lang w:val="fr-CH"/>
              </w:rPr>
            </w:pPr>
            <w:r w:rsidRPr="00E0088F">
              <w:rPr>
                <w:lang w:val="fr-CH"/>
              </w:rPr>
              <w:t xml:space="preserve">(Rév.CMR-15). A toujours lieu d'être. Suppression du point 1 du </w:t>
            </w:r>
            <w:r w:rsidRPr="00E0088F">
              <w:rPr>
                <w:i/>
                <w:iCs/>
                <w:lang w:val="fr-CH"/>
              </w:rPr>
              <w:t>charge le Directeur</w:t>
            </w:r>
            <w:r w:rsidRPr="00E0088F">
              <w:rPr>
                <w:lang w:val="fr-CH"/>
              </w:rPr>
              <w:t>, car l'Annexe a déjà été mise en œuvre, et aucune Règle de procédure n'est nécessaire étant donné que les administrations ont été informées à ce sujet par le biais de lettres circulaires et d'une page web du BR.</w:t>
            </w:r>
          </w:p>
        </w:tc>
        <w:tc>
          <w:tcPr>
            <w:tcW w:w="2045" w:type="dxa"/>
            <w:tcBorders>
              <w:top w:val="single" w:sz="6" w:space="0" w:color="auto"/>
              <w:left w:val="single" w:sz="6" w:space="0" w:color="auto"/>
              <w:bottom w:val="single" w:sz="6" w:space="0" w:color="auto"/>
              <w:right w:val="single" w:sz="6" w:space="0" w:color="auto"/>
            </w:tcBorders>
            <w:hideMark/>
          </w:tcPr>
          <w:p w14:paraId="6FE21D8D" w14:textId="77777777" w:rsidR="002151C3" w:rsidRPr="00E0088F" w:rsidRDefault="002151C3" w:rsidP="006C5A84">
            <w:pPr>
              <w:pStyle w:val="Tabletext"/>
              <w:jc w:val="center"/>
              <w:rPr>
                <w:lang w:val="fr-CH"/>
              </w:rPr>
            </w:pPr>
            <w:r w:rsidRPr="00E0088F">
              <w:rPr>
                <w:lang w:val="fr-CH"/>
              </w:rPr>
              <w:t>MOD</w:t>
            </w:r>
          </w:p>
        </w:tc>
      </w:tr>
      <w:tr w:rsidR="002151C3" w:rsidRPr="00E0088F" w14:paraId="10C567FC"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FDFA5FF" w14:textId="77777777" w:rsidR="002151C3" w:rsidRPr="00E0088F" w:rsidRDefault="002151C3" w:rsidP="006C5A84">
            <w:pPr>
              <w:pStyle w:val="Tabletext"/>
              <w:jc w:val="center"/>
              <w:rPr>
                <w:lang w:val="fr-CH"/>
              </w:rPr>
            </w:pPr>
            <w:r w:rsidRPr="00E0088F">
              <w:rPr>
                <w:lang w:val="fr-CH"/>
              </w:rPr>
              <w:t>536</w:t>
            </w:r>
          </w:p>
        </w:tc>
        <w:tc>
          <w:tcPr>
            <w:tcW w:w="2551" w:type="dxa"/>
            <w:tcBorders>
              <w:top w:val="single" w:sz="6" w:space="0" w:color="auto"/>
              <w:left w:val="single" w:sz="6" w:space="0" w:color="auto"/>
              <w:bottom w:val="single" w:sz="6" w:space="0" w:color="auto"/>
              <w:right w:val="single" w:sz="6" w:space="0" w:color="auto"/>
            </w:tcBorders>
            <w:hideMark/>
          </w:tcPr>
          <w:p w14:paraId="71F02B5C" w14:textId="77777777" w:rsidR="002151C3" w:rsidRPr="00E0088F" w:rsidRDefault="002151C3" w:rsidP="006C5A84">
            <w:pPr>
              <w:pStyle w:val="Tabletext"/>
              <w:rPr>
                <w:lang w:val="fr-CH"/>
              </w:rPr>
            </w:pPr>
            <w:r w:rsidRPr="00E0088F">
              <w:rPr>
                <w:lang w:val="fr-CH"/>
              </w:rPr>
              <w:t>Satellites du SRS desservant d'autres pays</w:t>
            </w:r>
          </w:p>
        </w:tc>
        <w:tc>
          <w:tcPr>
            <w:tcW w:w="3625" w:type="dxa"/>
            <w:tcBorders>
              <w:top w:val="single" w:sz="6" w:space="0" w:color="auto"/>
              <w:left w:val="single" w:sz="6" w:space="0" w:color="auto"/>
              <w:bottom w:val="single" w:sz="6" w:space="0" w:color="auto"/>
              <w:right w:val="single" w:sz="6" w:space="0" w:color="auto"/>
            </w:tcBorders>
            <w:hideMark/>
          </w:tcPr>
          <w:p w14:paraId="25BC4EDA" w14:textId="77777777" w:rsidR="002151C3" w:rsidRPr="00E0088F" w:rsidRDefault="002151C3" w:rsidP="006C5A84">
            <w:pPr>
              <w:pStyle w:val="Tabletext"/>
              <w:rPr>
                <w:lang w:val="fr-CH"/>
              </w:rPr>
            </w:pPr>
            <w:r w:rsidRPr="00E0088F">
              <w:rPr>
                <w:lang w:val="fr-CH"/>
              </w:rPr>
              <w:t>(CMR-97). A toujours lieu d'être.</w:t>
            </w:r>
          </w:p>
        </w:tc>
        <w:tc>
          <w:tcPr>
            <w:tcW w:w="2045" w:type="dxa"/>
            <w:tcBorders>
              <w:top w:val="single" w:sz="6" w:space="0" w:color="auto"/>
              <w:left w:val="single" w:sz="6" w:space="0" w:color="auto"/>
              <w:bottom w:val="single" w:sz="6" w:space="0" w:color="auto"/>
              <w:right w:val="single" w:sz="6" w:space="0" w:color="auto"/>
            </w:tcBorders>
            <w:hideMark/>
          </w:tcPr>
          <w:p w14:paraId="4429C05C" w14:textId="77777777" w:rsidR="002151C3" w:rsidRPr="00E0088F" w:rsidRDefault="002151C3" w:rsidP="006C5A84">
            <w:pPr>
              <w:pStyle w:val="Tabletext"/>
              <w:jc w:val="center"/>
              <w:rPr>
                <w:lang w:val="fr-CH"/>
              </w:rPr>
            </w:pPr>
            <w:r w:rsidRPr="00E0088F">
              <w:rPr>
                <w:lang w:val="fr-CH"/>
              </w:rPr>
              <w:t>NOC</w:t>
            </w:r>
          </w:p>
        </w:tc>
      </w:tr>
      <w:tr w:rsidR="002151C3" w:rsidRPr="00E0088F" w14:paraId="26DA6C4F"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032EADE" w14:textId="77777777" w:rsidR="002151C3" w:rsidRPr="00E0088F" w:rsidRDefault="002151C3" w:rsidP="006C5A84">
            <w:pPr>
              <w:pStyle w:val="Tabletext"/>
              <w:jc w:val="center"/>
              <w:rPr>
                <w:lang w:val="fr-CH"/>
              </w:rPr>
            </w:pPr>
            <w:r w:rsidRPr="00E0088F">
              <w:rPr>
                <w:lang w:val="fr-CH"/>
              </w:rPr>
              <w:lastRenderedPageBreak/>
              <w:t>539</w:t>
            </w:r>
          </w:p>
        </w:tc>
        <w:tc>
          <w:tcPr>
            <w:tcW w:w="2551" w:type="dxa"/>
            <w:tcBorders>
              <w:top w:val="single" w:sz="6" w:space="0" w:color="auto"/>
              <w:left w:val="single" w:sz="6" w:space="0" w:color="auto"/>
              <w:bottom w:val="single" w:sz="6" w:space="0" w:color="auto"/>
              <w:right w:val="single" w:sz="6" w:space="0" w:color="auto"/>
            </w:tcBorders>
            <w:hideMark/>
          </w:tcPr>
          <w:p w14:paraId="3C690297" w14:textId="77777777" w:rsidR="002151C3" w:rsidRPr="00E0088F" w:rsidRDefault="002151C3" w:rsidP="006C5A84">
            <w:pPr>
              <w:pStyle w:val="Tabletext"/>
              <w:rPr>
                <w:lang w:val="fr-CH"/>
              </w:rPr>
            </w:pPr>
            <w:r w:rsidRPr="00E0088F">
              <w:rPr>
                <w:lang w:val="fr-CH"/>
              </w:rPr>
              <w:t>Utilisation de la bande 2 630</w:t>
            </w:r>
            <w:r w:rsidRPr="00E0088F">
              <w:rPr>
                <w:lang w:val="fr-CH"/>
              </w:rPr>
              <w:noBreakHyphen/>
              <w:t>2 655 MHz par les systèmes à satellites non OSG du SRS</w:t>
            </w:r>
          </w:p>
        </w:tc>
        <w:tc>
          <w:tcPr>
            <w:tcW w:w="3625" w:type="dxa"/>
            <w:tcBorders>
              <w:top w:val="single" w:sz="6" w:space="0" w:color="auto"/>
              <w:left w:val="single" w:sz="6" w:space="0" w:color="auto"/>
              <w:bottom w:val="single" w:sz="6" w:space="0" w:color="auto"/>
              <w:right w:val="single" w:sz="6" w:space="0" w:color="auto"/>
            </w:tcBorders>
            <w:hideMark/>
          </w:tcPr>
          <w:p w14:paraId="239540B0" w14:textId="77777777" w:rsidR="002151C3" w:rsidRPr="00E0088F" w:rsidRDefault="002151C3" w:rsidP="006C5A84">
            <w:pPr>
              <w:pStyle w:val="Tabletext"/>
              <w:rPr>
                <w:lang w:val="fr-CH"/>
              </w:rPr>
            </w:pPr>
            <w:r w:rsidRPr="00E0088F">
              <w:rPr>
                <w:lang w:val="fr-CH"/>
              </w:rPr>
              <w:t>(Rév.CMR-15). A toujours lieu d'être pour certains pays de la Région 3.</w:t>
            </w:r>
            <w:r w:rsidRPr="00E0088F">
              <w:rPr>
                <w:color w:val="000000"/>
                <w:sz w:val="24"/>
                <w:lang w:val="fr-CH"/>
              </w:rPr>
              <w:t xml:space="preserve"> </w:t>
            </w:r>
            <w:r w:rsidRPr="00E0088F">
              <w:rPr>
                <w:lang w:val="fr-CH"/>
              </w:rPr>
              <w:t xml:space="preserve">Cette Résolution est citée dans le numéro </w:t>
            </w:r>
            <w:r w:rsidRPr="00E0088F">
              <w:rPr>
                <w:b/>
                <w:bCs/>
                <w:lang w:val="fr-CH"/>
              </w:rPr>
              <w:t>5.418</w:t>
            </w:r>
            <w:r w:rsidRPr="00E0088F">
              <w:rPr>
                <w:lang w:val="fr-CH"/>
              </w:rPr>
              <w:t xml:space="preserve">, dans l'Appendice </w:t>
            </w:r>
            <w:r w:rsidRPr="00E0088F">
              <w:rPr>
                <w:b/>
                <w:bCs/>
                <w:lang w:val="fr-CH"/>
              </w:rPr>
              <w:t>5</w:t>
            </w:r>
            <w:r w:rsidRPr="00E0088F">
              <w:rPr>
                <w:lang w:val="fr-CH"/>
              </w:rPr>
              <w:t xml:space="preserve"> et dans la Résolution </w:t>
            </w:r>
            <w:r w:rsidRPr="00E0088F">
              <w:rPr>
                <w:b/>
                <w:bCs/>
                <w:lang w:val="fr-CH"/>
              </w:rPr>
              <w:t>903 (Rév.CMR-15)</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2FDF5C08" w14:textId="77777777" w:rsidR="002151C3" w:rsidRPr="00E0088F" w:rsidRDefault="002151C3" w:rsidP="006C5A84">
            <w:pPr>
              <w:pStyle w:val="Tabletext"/>
              <w:jc w:val="center"/>
              <w:rPr>
                <w:lang w:val="fr-CH"/>
              </w:rPr>
            </w:pPr>
            <w:r w:rsidRPr="00E0088F">
              <w:rPr>
                <w:lang w:val="fr-CH"/>
              </w:rPr>
              <w:t>NOC</w:t>
            </w:r>
          </w:p>
        </w:tc>
      </w:tr>
      <w:tr w:rsidR="002151C3" w:rsidRPr="00E0088F" w14:paraId="75973D09"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479DE87" w14:textId="77777777" w:rsidR="002151C3" w:rsidRPr="00E0088F" w:rsidRDefault="002151C3" w:rsidP="006C5A84">
            <w:pPr>
              <w:pStyle w:val="Tabletext"/>
              <w:jc w:val="center"/>
              <w:rPr>
                <w:lang w:val="fr-CH"/>
              </w:rPr>
            </w:pPr>
            <w:r w:rsidRPr="00E0088F">
              <w:rPr>
                <w:lang w:val="fr-CH"/>
              </w:rPr>
              <w:t>543</w:t>
            </w:r>
          </w:p>
        </w:tc>
        <w:tc>
          <w:tcPr>
            <w:tcW w:w="2551" w:type="dxa"/>
            <w:tcBorders>
              <w:top w:val="single" w:sz="6" w:space="0" w:color="auto"/>
              <w:left w:val="single" w:sz="6" w:space="0" w:color="auto"/>
              <w:bottom w:val="single" w:sz="6" w:space="0" w:color="auto"/>
              <w:right w:val="single" w:sz="6" w:space="0" w:color="auto"/>
            </w:tcBorders>
            <w:hideMark/>
          </w:tcPr>
          <w:p w14:paraId="725AB3FC" w14:textId="77777777" w:rsidR="002151C3" w:rsidRPr="00E0088F" w:rsidRDefault="002151C3" w:rsidP="006C5A84">
            <w:pPr>
              <w:pStyle w:val="Tabletext"/>
              <w:rPr>
                <w:lang w:val="fr-CH"/>
              </w:rPr>
            </w:pPr>
            <w:r w:rsidRPr="00E0088F">
              <w:rPr>
                <w:lang w:val="fr-CH"/>
              </w:rPr>
              <w:t>Valeurs provisoires des rapports de protection radiofréquence (RF) pour les émissions analogiques et numériques dans le service de radiodiffusion en ondes décamétriques</w:t>
            </w:r>
          </w:p>
        </w:tc>
        <w:tc>
          <w:tcPr>
            <w:tcW w:w="3625" w:type="dxa"/>
            <w:tcBorders>
              <w:top w:val="single" w:sz="6" w:space="0" w:color="auto"/>
              <w:left w:val="single" w:sz="6" w:space="0" w:color="auto"/>
              <w:bottom w:val="single" w:sz="6" w:space="0" w:color="auto"/>
              <w:right w:val="single" w:sz="6" w:space="0" w:color="auto"/>
            </w:tcBorders>
            <w:hideMark/>
          </w:tcPr>
          <w:p w14:paraId="1CB7CDAD" w14:textId="48601870" w:rsidR="002151C3" w:rsidRPr="00E0088F" w:rsidRDefault="002151C3" w:rsidP="006C5A84">
            <w:pPr>
              <w:pStyle w:val="Tabletext"/>
              <w:rPr>
                <w:lang w:val="fr-CH"/>
              </w:rPr>
            </w:pPr>
            <w:r w:rsidRPr="00E0088F">
              <w:rPr>
                <w:lang w:val="fr-CH"/>
              </w:rPr>
              <w:t xml:space="preserve">(CMR-03). A toujours lieu d'être, sachant que la mise en œuvre de la modulation numérique dans </w:t>
            </w:r>
            <w:r w:rsidRPr="00E0088F">
              <w:rPr>
                <w:color w:val="000000"/>
                <w:lang w:val="fr-CH"/>
              </w:rPr>
              <w:t>le service de radiodiffusion en ondes décamétriques</w:t>
            </w:r>
            <w:r w:rsidRPr="00E0088F">
              <w:rPr>
                <w:lang w:val="fr-CH"/>
              </w:rPr>
              <w:t xml:space="preserve"> ne s'est pas encore généralisée. Cette Résolution est citée </w:t>
            </w:r>
            <w:r w:rsidR="00417DF5" w:rsidRPr="00E0088F">
              <w:rPr>
                <w:lang w:val="fr-CH"/>
              </w:rPr>
              <w:t>dans</w:t>
            </w:r>
            <w:r w:rsidRPr="00E0088F">
              <w:rPr>
                <w:lang w:val="fr-CH"/>
              </w:rPr>
              <w:t xml:space="preserve"> la Partie C de</w:t>
            </w:r>
            <w:r w:rsidRPr="00E0088F">
              <w:rPr>
                <w:rFonts w:eastAsia="Malgun Gothic"/>
                <w:szCs w:val="22"/>
                <w:lang w:val="fr-CH" w:eastAsia="ko-KR"/>
              </w:rPr>
              <w:t xml:space="preserve"> l'Appendice </w:t>
            </w:r>
            <w:r w:rsidRPr="00E0088F">
              <w:rPr>
                <w:rFonts w:eastAsia="Malgun Gothic"/>
                <w:b/>
                <w:szCs w:val="22"/>
                <w:lang w:val="fr-CH" w:eastAsia="ko-KR"/>
              </w:rPr>
              <w:t xml:space="preserve">11 </w:t>
            </w:r>
            <w:r w:rsidRPr="00E0088F">
              <w:rPr>
                <w:rFonts w:eastAsia="Malgun Gothic"/>
                <w:szCs w:val="22"/>
                <w:lang w:val="fr-CH" w:eastAsia="ko-KR"/>
              </w:rPr>
              <w:t xml:space="preserve">ainsi que dans les Résolutions </w:t>
            </w:r>
            <w:r w:rsidRPr="00E0088F">
              <w:rPr>
                <w:rFonts w:eastAsia="Malgun Gothic"/>
                <w:b/>
                <w:szCs w:val="22"/>
                <w:lang w:val="fr-CH" w:eastAsia="ko-KR"/>
              </w:rPr>
              <w:t>517 (Rév.CMR</w:t>
            </w:r>
            <w:r w:rsidRPr="00E0088F">
              <w:rPr>
                <w:rFonts w:eastAsia="Malgun Gothic"/>
                <w:b/>
                <w:szCs w:val="22"/>
                <w:lang w:val="fr-CH" w:eastAsia="ko-KR"/>
              </w:rPr>
              <w:noBreakHyphen/>
              <w:t>15)</w:t>
            </w:r>
            <w:r w:rsidRPr="00E0088F">
              <w:rPr>
                <w:rFonts w:eastAsia="Malgun Gothic"/>
                <w:szCs w:val="22"/>
                <w:lang w:val="fr-CH" w:eastAsia="ko-KR"/>
              </w:rPr>
              <w:t xml:space="preserve"> et </w:t>
            </w:r>
            <w:r w:rsidRPr="00E0088F">
              <w:rPr>
                <w:rFonts w:eastAsia="Malgun Gothic"/>
                <w:b/>
                <w:szCs w:val="22"/>
                <w:lang w:val="fr-CH" w:eastAsia="ko-KR"/>
              </w:rPr>
              <w:t>535 (Rév.CMR-15)</w:t>
            </w:r>
            <w:r w:rsidRPr="00E0088F">
              <w:rPr>
                <w:szCs w:val="22"/>
                <w:lang w:val="fr-CH"/>
              </w:rPr>
              <w:t>.</w:t>
            </w:r>
            <w:r w:rsidRPr="00E0088F">
              <w:rPr>
                <w:szCs w:val="22"/>
                <w:lang w:val="fr-CH" w:eastAsia="ja-JP"/>
              </w:rPr>
              <w:t xml:space="preserve"> Suite à la Note du Secrétariat, la référence à la Résolution </w:t>
            </w:r>
            <w:r w:rsidRPr="00E0088F">
              <w:rPr>
                <w:b/>
                <w:bCs/>
                <w:szCs w:val="22"/>
                <w:lang w:val="fr-CH" w:eastAsia="ja-JP"/>
              </w:rPr>
              <w:t>517 (Rév.CMR-03)</w:t>
            </w:r>
            <w:r w:rsidRPr="00E0088F">
              <w:rPr>
                <w:szCs w:val="22"/>
                <w:lang w:val="fr-CH" w:eastAsia="ja-JP"/>
              </w:rPr>
              <w:t xml:space="preserve"> devra peut-être être mise à jour sur le plan de la forme.</w:t>
            </w:r>
          </w:p>
          <w:p w14:paraId="525A1487" w14:textId="77777777" w:rsidR="002151C3" w:rsidRPr="00E0088F" w:rsidRDefault="002151C3" w:rsidP="006C5A84">
            <w:pPr>
              <w:pStyle w:val="Tabletext"/>
              <w:rPr>
                <w:lang w:val="fr-CH"/>
              </w:rPr>
            </w:pPr>
            <w:r w:rsidRPr="00E0088F">
              <w:rPr>
                <w:lang w:val="fr-CH"/>
              </w:rPr>
              <w:t xml:space="preserve">Le point 2 du </w:t>
            </w:r>
            <w:r w:rsidRPr="00E0088F">
              <w:rPr>
                <w:i/>
                <w:iCs/>
                <w:lang w:val="fr-CH"/>
              </w:rPr>
              <w:t>invite l'UIT-R</w:t>
            </w:r>
            <w:r w:rsidRPr="00E0088F">
              <w:rPr>
                <w:lang w:val="fr-CH"/>
              </w:rPr>
              <w:t xml:space="preserve"> devra être supprimé, car il est obsolète (voir le rapport du Directeur à la CMR-07 concernant la mise en œuvre de cette Résolution).</w:t>
            </w:r>
          </w:p>
        </w:tc>
        <w:tc>
          <w:tcPr>
            <w:tcW w:w="2045" w:type="dxa"/>
            <w:tcBorders>
              <w:top w:val="single" w:sz="6" w:space="0" w:color="auto"/>
              <w:left w:val="single" w:sz="6" w:space="0" w:color="auto"/>
              <w:bottom w:val="single" w:sz="6" w:space="0" w:color="auto"/>
              <w:right w:val="single" w:sz="6" w:space="0" w:color="auto"/>
            </w:tcBorders>
            <w:hideMark/>
          </w:tcPr>
          <w:p w14:paraId="64D25F19" w14:textId="77777777" w:rsidR="002151C3" w:rsidRPr="00E0088F" w:rsidRDefault="002151C3" w:rsidP="006C5A84">
            <w:pPr>
              <w:pStyle w:val="Tabletext"/>
              <w:jc w:val="center"/>
              <w:rPr>
                <w:lang w:val="fr-CH"/>
              </w:rPr>
            </w:pPr>
            <w:r w:rsidRPr="00E0088F">
              <w:rPr>
                <w:lang w:val="fr-CH"/>
              </w:rPr>
              <w:t>MOD</w:t>
            </w:r>
          </w:p>
        </w:tc>
      </w:tr>
      <w:tr w:rsidR="002151C3" w:rsidRPr="00E0088F" w14:paraId="19B9A337"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60D853E" w14:textId="77777777" w:rsidR="002151C3" w:rsidRPr="00E0088F" w:rsidRDefault="002151C3" w:rsidP="006C5A84">
            <w:pPr>
              <w:pStyle w:val="Tabletext"/>
              <w:jc w:val="center"/>
              <w:rPr>
                <w:lang w:val="fr-CH"/>
              </w:rPr>
            </w:pPr>
            <w:r w:rsidRPr="00E0088F">
              <w:rPr>
                <w:lang w:val="fr-CH"/>
              </w:rPr>
              <w:t>548</w:t>
            </w:r>
          </w:p>
        </w:tc>
        <w:tc>
          <w:tcPr>
            <w:tcW w:w="2551" w:type="dxa"/>
            <w:tcBorders>
              <w:top w:val="single" w:sz="6" w:space="0" w:color="auto"/>
              <w:left w:val="single" w:sz="6" w:space="0" w:color="auto"/>
              <w:bottom w:val="single" w:sz="6" w:space="0" w:color="auto"/>
              <w:right w:val="single" w:sz="6" w:space="0" w:color="auto"/>
            </w:tcBorders>
            <w:hideMark/>
          </w:tcPr>
          <w:p w14:paraId="0FBD88D9" w14:textId="77777777" w:rsidR="002151C3" w:rsidRPr="00E0088F" w:rsidRDefault="002151C3" w:rsidP="006C5A84">
            <w:pPr>
              <w:pStyle w:val="Tabletext"/>
              <w:rPr>
                <w:lang w:val="fr-CH"/>
              </w:rPr>
            </w:pPr>
            <w:r w:rsidRPr="00E0088F">
              <w:rPr>
                <w:lang w:val="fr-CH"/>
              </w:rPr>
              <w:t>Application du concept de groupement dans les Appendices </w:t>
            </w:r>
            <w:r w:rsidRPr="00E0088F">
              <w:rPr>
                <w:b/>
                <w:bCs/>
                <w:lang w:val="fr-CH"/>
              </w:rPr>
              <w:t>30/30A</w:t>
            </w:r>
            <w:r w:rsidRPr="00E0088F">
              <w:rPr>
                <w:lang w:val="fr-CH"/>
              </w:rPr>
              <w:t xml:space="preserve"> dans les Régions 1 et 3</w:t>
            </w:r>
          </w:p>
        </w:tc>
        <w:tc>
          <w:tcPr>
            <w:tcW w:w="3625" w:type="dxa"/>
            <w:tcBorders>
              <w:top w:val="single" w:sz="6" w:space="0" w:color="auto"/>
              <w:left w:val="single" w:sz="6" w:space="0" w:color="auto"/>
              <w:bottom w:val="single" w:sz="6" w:space="0" w:color="auto"/>
              <w:right w:val="single" w:sz="6" w:space="0" w:color="auto"/>
            </w:tcBorders>
            <w:hideMark/>
          </w:tcPr>
          <w:p w14:paraId="7537A0D4" w14:textId="77777777" w:rsidR="002151C3" w:rsidRPr="00E0088F" w:rsidRDefault="002151C3" w:rsidP="006C5A84">
            <w:pPr>
              <w:pStyle w:val="Tabletext"/>
              <w:rPr>
                <w:rStyle w:val="FootnoteReference"/>
                <w:lang w:val="fr-CH"/>
              </w:rPr>
            </w:pPr>
            <w:r w:rsidRPr="00E0088F">
              <w:rPr>
                <w:lang w:val="fr-CH"/>
                <w:rPrChange w:id="9" w:author="Unknown" w:date="2019-02-21T23:48:00Z">
                  <w:rPr>
                    <w:position w:val="6"/>
                    <w:sz w:val="18"/>
                  </w:rPr>
                </w:rPrChange>
              </w:rPr>
              <w:t>(Rév.CMR-12). A toujours lieu d'être.</w:t>
            </w:r>
            <w:r w:rsidRPr="00E0088F">
              <w:rPr>
                <w:lang w:val="fr-CH"/>
              </w:rPr>
              <w:t xml:space="preserve"> Le texte a été mis à jour à la CMR-12.</w:t>
            </w:r>
          </w:p>
        </w:tc>
        <w:tc>
          <w:tcPr>
            <w:tcW w:w="2045" w:type="dxa"/>
            <w:tcBorders>
              <w:top w:val="single" w:sz="6" w:space="0" w:color="auto"/>
              <w:left w:val="single" w:sz="6" w:space="0" w:color="auto"/>
              <w:bottom w:val="single" w:sz="6" w:space="0" w:color="auto"/>
              <w:right w:val="single" w:sz="6" w:space="0" w:color="auto"/>
            </w:tcBorders>
            <w:hideMark/>
          </w:tcPr>
          <w:p w14:paraId="7221E777" w14:textId="77777777" w:rsidR="002151C3" w:rsidRPr="00E0088F" w:rsidRDefault="002151C3" w:rsidP="006C5A84">
            <w:pPr>
              <w:pStyle w:val="Tabletext"/>
              <w:jc w:val="center"/>
              <w:rPr>
                <w:lang w:val="fr-CH"/>
              </w:rPr>
            </w:pPr>
            <w:r w:rsidRPr="00E0088F">
              <w:rPr>
                <w:lang w:val="fr-CH"/>
              </w:rPr>
              <w:t>NOC</w:t>
            </w:r>
          </w:p>
        </w:tc>
      </w:tr>
      <w:tr w:rsidR="002151C3" w:rsidRPr="00E0088F" w14:paraId="4E3D5049"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1B72683" w14:textId="77777777" w:rsidR="002151C3" w:rsidRPr="00E0088F" w:rsidRDefault="002151C3" w:rsidP="006C5A84">
            <w:pPr>
              <w:pStyle w:val="Tabletext"/>
              <w:jc w:val="center"/>
              <w:rPr>
                <w:lang w:val="fr-CH"/>
              </w:rPr>
            </w:pPr>
            <w:r w:rsidRPr="00E0088F">
              <w:rPr>
                <w:lang w:val="fr-CH"/>
              </w:rPr>
              <w:t>549</w:t>
            </w:r>
          </w:p>
        </w:tc>
        <w:tc>
          <w:tcPr>
            <w:tcW w:w="2551" w:type="dxa"/>
            <w:tcBorders>
              <w:top w:val="single" w:sz="6" w:space="0" w:color="auto"/>
              <w:left w:val="single" w:sz="6" w:space="0" w:color="auto"/>
              <w:bottom w:val="single" w:sz="6" w:space="0" w:color="auto"/>
              <w:right w:val="single" w:sz="6" w:space="0" w:color="auto"/>
            </w:tcBorders>
            <w:hideMark/>
          </w:tcPr>
          <w:p w14:paraId="6A4D2589" w14:textId="77777777" w:rsidR="002151C3" w:rsidRPr="00E0088F" w:rsidRDefault="002151C3" w:rsidP="006C5A84">
            <w:pPr>
              <w:pStyle w:val="Tabletext"/>
              <w:rPr>
                <w:lang w:val="fr-CH"/>
              </w:rPr>
            </w:pPr>
            <w:r w:rsidRPr="00E0088F">
              <w:rPr>
                <w:lang w:val="fr-CH"/>
              </w:rPr>
              <w:t>Utilisation de la bande 620</w:t>
            </w:r>
            <w:r w:rsidRPr="00E0088F">
              <w:rPr>
                <w:lang w:val="fr-CH"/>
              </w:rPr>
              <w:noBreakHyphen/>
              <w:t>790 MHz pour des assignations existantes au service de radiodiffusion par satellite</w:t>
            </w:r>
          </w:p>
        </w:tc>
        <w:tc>
          <w:tcPr>
            <w:tcW w:w="3625" w:type="dxa"/>
            <w:tcBorders>
              <w:top w:val="single" w:sz="6" w:space="0" w:color="auto"/>
              <w:left w:val="single" w:sz="6" w:space="0" w:color="auto"/>
              <w:bottom w:val="single" w:sz="6" w:space="0" w:color="auto"/>
              <w:right w:val="single" w:sz="6" w:space="0" w:color="auto"/>
            </w:tcBorders>
            <w:hideMark/>
          </w:tcPr>
          <w:p w14:paraId="2CA5F095" w14:textId="77777777" w:rsidR="002151C3" w:rsidRPr="00E0088F" w:rsidRDefault="002151C3" w:rsidP="006C5A84">
            <w:pPr>
              <w:pStyle w:val="Tabletext"/>
              <w:rPr>
                <w:lang w:val="fr-CH"/>
              </w:rPr>
            </w:pPr>
            <w:r w:rsidRPr="00E0088F">
              <w:rPr>
                <w:lang w:val="fr-CH"/>
              </w:rPr>
              <w:t>(CMR-07). A toujours lieu d'être. Le statut d'exploitation de deux stations du SRS citées dans cette Résolution doit être confirmé.</w:t>
            </w:r>
          </w:p>
          <w:p w14:paraId="750B5F9D" w14:textId="77777777" w:rsidR="002151C3" w:rsidRPr="00E0088F" w:rsidRDefault="002151C3" w:rsidP="006C5A84">
            <w:pPr>
              <w:pStyle w:val="Tabletext"/>
              <w:rPr>
                <w:lang w:val="fr-CH"/>
              </w:rPr>
            </w:pPr>
            <w:r w:rsidRPr="00E0088F">
              <w:rPr>
                <w:lang w:val="fr-CH"/>
              </w:rPr>
              <w:t xml:space="preserve">Cette Résolution est citée dans le numéro </w:t>
            </w:r>
            <w:r w:rsidRPr="00E0088F">
              <w:rPr>
                <w:b/>
                <w:bCs/>
                <w:lang w:val="fr-CH"/>
              </w:rPr>
              <w:t>5.311A</w:t>
            </w:r>
            <w:r w:rsidRPr="00E0088F">
              <w:rPr>
                <w:lang w:val="fr-CH"/>
              </w:rPr>
              <w:t xml:space="preserve"> et dans l'Appendice </w:t>
            </w:r>
            <w:r w:rsidRPr="00E0088F">
              <w:rPr>
                <w:b/>
                <w:bCs/>
                <w:lang w:val="fr-CH"/>
              </w:rPr>
              <w:t>5</w:t>
            </w:r>
            <w:r w:rsidRPr="00E0088F">
              <w:rPr>
                <w:lang w:val="fr-CH"/>
              </w:rPr>
              <w:t>.</w:t>
            </w:r>
          </w:p>
          <w:p w14:paraId="506001EB" w14:textId="77777777" w:rsidR="002151C3" w:rsidRPr="00E0088F" w:rsidRDefault="002151C3" w:rsidP="006C5A84">
            <w:pPr>
              <w:pStyle w:val="Tabletext"/>
              <w:rPr>
                <w:lang w:val="fr-CH"/>
              </w:rPr>
            </w:pPr>
            <w:r w:rsidRPr="00E0088F">
              <w:rPr>
                <w:lang w:val="fr-CH"/>
              </w:rPr>
              <w:t>Il faut examiner la possibilité de supprimer cette Résolution.</w:t>
            </w:r>
          </w:p>
        </w:tc>
        <w:tc>
          <w:tcPr>
            <w:tcW w:w="2045" w:type="dxa"/>
            <w:tcBorders>
              <w:top w:val="single" w:sz="6" w:space="0" w:color="auto"/>
              <w:left w:val="single" w:sz="6" w:space="0" w:color="auto"/>
              <w:bottom w:val="single" w:sz="6" w:space="0" w:color="auto"/>
              <w:right w:val="single" w:sz="6" w:space="0" w:color="auto"/>
            </w:tcBorders>
            <w:hideMark/>
          </w:tcPr>
          <w:p w14:paraId="0E368631" w14:textId="77777777" w:rsidR="002151C3" w:rsidRPr="00E0088F" w:rsidRDefault="002151C3" w:rsidP="006C5A84">
            <w:pPr>
              <w:pStyle w:val="Tabletext"/>
              <w:jc w:val="center"/>
              <w:rPr>
                <w:lang w:val="fr-CH"/>
              </w:rPr>
            </w:pPr>
            <w:r w:rsidRPr="00E0088F">
              <w:rPr>
                <w:lang w:val="fr-CH"/>
              </w:rPr>
              <w:t>NOC/</w:t>
            </w:r>
          </w:p>
          <w:p w14:paraId="5CC6B5E7" w14:textId="77777777" w:rsidR="002151C3" w:rsidRPr="00E0088F" w:rsidRDefault="002151C3" w:rsidP="006C5A84">
            <w:pPr>
              <w:pStyle w:val="Tabletext"/>
              <w:jc w:val="center"/>
              <w:rPr>
                <w:lang w:val="fr-CH"/>
              </w:rPr>
            </w:pPr>
            <w:r w:rsidRPr="00E0088F">
              <w:rPr>
                <w:lang w:val="fr-CH"/>
              </w:rPr>
              <w:t>SUP</w:t>
            </w:r>
          </w:p>
        </w:tc>
      </w:tr>
      <w:tr w:rsidR="002151C3" w:rsidRPr="00E0088F" w14:paraId="1A28E3B1"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13DD38B" w14:textId="77777777" w:rsidR="002151C3" w:rsidRPr="00E0088F" w:rsidRDefault="002151C3" w:rsidP="006C5A84">
            <w:pPr>
              <w:pStyle w:val="Tabletext"/>
              <w:jc w:val="center"/>
              <w:rPr>
                <w:lang w:val="fr-CH"/>
              </w:rPr>
            </w:pPr>
            <w:r w:rsidRPr="00E0088F">
              <w:rPr>
                <w:lang w:val="fr-CH"/>
              </w:rPr>
              <w:t>550</w:t>
            </w:r>
          </w:p>
        </w:tc>
        <w:tc>
          <w:tcPr>
            <w:tcW w:w="2551" w:type="dxa"/>
            <w:tcBorders>
              <w:top w:val="single" w:sz="6" w:space="0" w:color="auto"/>
              <w:left w:val="single" w:sz="6" w:space="0" w:color="auto"/>
              <w:bottom w:val="single" w:sz="6" w:space="0" w:color="auto"/>
              <w:right w:val="single" w:sz="6" w:space="0" w:color="auto"/>
            </w:tcBorders>
            <w:hideMark/>
          </w:tcPr>
          <w:p w14:paraId="5BE938DC" w14:textId="77777777" w:rsidR="002151C3" w:rsidRPr="00E0088F" w:rsidRDefault="002151C3" w:rsidP="006C5A84">
            <w:pPr>
              <w:pStyle w:val="Tabletext"/>
              <w:rPr>
                <w:lang w:val="fr-CH"/>
              </w:rPr>
            </w:pPr>
            <w:r w:rsidRPr="00E0088F">
              <w:rPr>
                <w:lang w:val="fr-CH"/>
              </w:rPr>
              <w:t>Renseignements relatifs au service de radiodiffusion en ondes décamétriques</w:t>
            </w:r>
          </w:p>
        </w:tc>
        <w:tc>
          <w:tcPr>
            <w:tcW w:w="3625" w:type="dxa"/>
            <w:tcBorders>
              <w:top w:val="single" w:sz="6" w:space="0" w:color="auto"/>
              <w:left w:val="single" w:sz="6" w:space="0" w:color="auto"/>
              <w:bottom w:val="single" w:sz="6" w:space="0" w:color="auto"/>
              <w:right w:val="single" w:sz="6" w:space="0" w:color="auto"/>
            </w:tcBorders>
            <w:hideMark/>
          </w:tcPr>
          <w:p w14:paraId="1D37470F" w14:textId="77777777" w:rsidR="002151C3" w:rsidRPr="00E0088F" w:rsidRDefault="002151C3" w:rsidP="006C5A84">
            <w:pPr>
              <w:pStyle w:val="Tabletext"/>
              <w:rPr>
                <w:lang w:val="fr-CH"/>
              </w:rPr>
            </w:pPr>
            <w:r w:rsidRPr="00E0088F">
              <w:rPr>
                <w:lang w:val="fr-CH"/>
              </w:rPr>
              <w:t xml:space="preserve">(CMR-07). A toujours lieu d'être. Modification d'ordre rédactionnel – mettre à jour la référence qui est faite à la Résolution </w:t>
            </w:r>
            <w:r w:rsidRPr="00E0088F">
              <w:rPr>
                <w:b/>
                <w:lang w:val="fr-CH"/>
              </w:rPr>
              <w:t>517</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6CADDCF1" w14:textId="77777777" w:rsidR="002151C3" w:rsidRPr="00E0088F" w:rsidRDefault="002151C3" w:rsidP="006C5A84">
            <w:pPr>
              <w:pStyle w:val="Tabletext"/>
              <w:jc w:val="center"/>
              <w:rPr>
                <w:lang w:val="fr-CH"/>
              </w:rPr>
            </w:pPr>
            <w:r w:rsidRPr="00E0088F">
              <w:rPr>
                <w:lang w:val="fr-CH"/>
              </w:rPr>
              <w:t>NOC/</w:t>
            </w:r>
          </w:p>
          <w:p w14:paraId="6502093A" w14:textId="77777777" w:rsidR="002151C3" w:rsidRPr="00E0088F" w:rsidRDefault="002151C3" w:rsidP="006C5A84">
            <w:pPr>
              <w:pStyle w:val="Tabletext"/>
              <w:jc w:val="center"/>
              <w:rPr>
                <w:lang w:val="fr-CH"/>
              </w:rPr>
            </w:pPr>
            <w:r w:rsidRPr="00E0088F">
              <w:rPr>
                <w:lang w:val="fr-CH"/>
              </w:rPr>
              <w:t>MOD</w:t>
            </w:r>
          </w:p>
        </w:tc>
      </w:tr>
      <w:tr w:rsidR="002151C3" w:rsidRPr="00E0088F" w14:paraId="0032AEA7"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DB3CD2D" w14:textId="77777777" w:rsidR="002151C3" w:rsidRPr="00E0088F" w:rsidRDefault="002151C3" w:rsidP="006C5A84">
            <w:pPr>
              <w:pStyle w:val="Tabletext"/>
              <w:jc w:val="center"/>
              <w:rPr>
                <w:lang w:val="fr-CH"/>
              </w:rPr>
            </w:pPr>
            <w:r w:rsidRPr="00E0088F">
              <w:rPr>
                <w:lang w:val="fr-CH"/>
              </w:rPr>
              <w:t>552</w:t>
            </w:r>
          </w:p>
        </w:tc>
        <w:tc>
          <w:tcPr>
            <w:tcW w:w="2551" w:type="dxa"/>
            <w:tcBorders>
              <w:top w:val="single" w:sz="6" w:space="0" w:color="auto"/>
              <w:left w:val="single" w:sz="6" w:space="0" w:color="auto"/>
              <w:bottom w:val="single" w:sz="6" w:space="0" w:color="auto"/>
              <w:right w:val="single" w:sz="6" w:space="0" w:color="auto"/>
            </w:tcBorders>
            <w:hideMark/>
          </w:tcPr>
          <w:p w14:paraId="65D302F3" w14:textId="77777777" w:rsidR="002151C3" w:rsidRPr="00E0088F" w:rsidRDefault="002151C3" w:rsidP="006C5A84">
            <w:pPr>
              <w:pStyle w:val="Tabletext"/>
              <w:rPr>
                <w:lang w:val="fr-CH"/>
              </w:rPr>
            </w:pPr>
            <w:r w:rsidRPr="00E0088F">
              <w:rPr>
                <w:lang w:val="fr-CH"/>
              </w:rPr>
              <w:t>Accès à long terme à la bande 21,4</w:t>
            </w:r>
            <w:r w:rsidRPr="00E0088F">
              <w:rPr>
                <w:lang w:val="fr-CH"/>
              </w:rPr>
              <w:noBreakHyphen/>
              <w:t xml:space="preserve">22 GHz dans les Régions 1 est 3 et développement à long terme dans cette bande </w:t>
            </w:r>
          </w:p>
        </w:tc>
        <w:tc>
          <w:tcPr>
            <w:tcW w:w="3625" w:type="dxa"/>
            <w:tcBorders>
              <w:top w:val="single" w:sz="6" w:space="0" w:color="auto"/>
              <w:left w:val="single" w:sz="6" w:space="0" w:color="auto"/>
              <w:bottom w:val="single" w:sz="6" w:space="0" w:color="auto"/>
              <w:right w:val="single" w:sz="6" w:space="0" w:color="auto"/>
            </w:tcBorders>
            <w:hideMark/>
          </w:tcPr>
          <w:p w14:paraId="6B2508AE" w14:textId="77777777" w:rsidR="002151C3" w:rsidRPr="00E0088F" w:rsidRDefault="002151C3" w:rsidP="006C5A84">
            <w:pPr>
              <w:pStyle w:val="Tabletext"/>
              <w:rPr>
                <w:rFonts w:eastAsia="Malgun Gothic"/>
                <w:lang w:val="fr-CH" w:eastAsia="ko-KR"/>
              </w:rPr>
            </w:pPr>
            <w:r w:rsidRPr="00E0088F">
              <w:rPr>
                <w:lang w:val="fr-CH"/>
              </w:rPr>
              <w:t>(Rév.CMR-15). A toujours lieu d'être. Cette Résolution est citée dans les numéros</w:t>
            </w:r>
            <w:r w:rsidRPr="00E0088F">
              <w:rPr>
                <w:rFonts w:eastAsia="Malgun Gothic"/>
                <w:lang w:val="fr-CH" w:eastAsia="ko-KR"/>
              </w:rPr>
              <w:t xml:space="preserve"> </w:t>
            </w:r>
            <w:r w:rsidRPr="00E0088F">
              <w:rPr>
                <w:b/>
                <w:lang w:val="fr-CH" w:eastAsia="ja-JP"/>
              </w:rPr>
              <w:t>11.44.1</w:t>
            </w:r>
            <w:r w:rsidRPr="00E0088F">
              <w:rPr>
                <w:rFonts w:eastAsia="Malgun Gothic"/>
                <w:lang w:val="fr-CH" w:eastAsia="ko-KR"/>
              </w:rPr>
              <w:t xml:space="preserve"> et </w:t>
            </w:r>
            <w:r w:rsidRPr="00E0088F">
              <w:rPr>
                <w:b/>
                <w:lang w:val="fr-CH" w:eastAsia="ja-JP"/>
              </w:rPr>
              <w:t>11.48</w:t>
            </w:r>
            <w:r w:rsidRPr="00E0088F">
              <w:rPr>
                <w:rFonts w:eastAsia="Malgun Gothic"/>
                <w:lang w:val="fr-CH" w:eastAsia="ko-KR"/>
              </w:rPr>
              <w:t xml:space="preserve"> ainsi que dans les Articles </w:t>
            </w:r>
            <w:r w:rsidRPr="00E0088F">
              <w:rPr>
                <w:b/>
                <w:lang w:val="fr-CH" w:eastAsia="ja-JP"/>
              </w:rPr>
              <w:t>9</w:t>
            </w:r>
            <w:r w:rsidRPr="00E0088F">
              <w:rPr>
                <w:rFonts w:eastAsia="Malgun Gothic"/>
                <w:lang w:val="fr-CH" w:eastAsia="ko-KR"/>
              </w:rPr>
              <w:t xml:space="preserve"> et </w:t>
            </w:r>
            <w:r w:rsidRPr="00E0088F">
              <w:rPr>
                <w:b/>
                <w:lang w:val="fr-CH" w:eastAsia="ja-JP"/>
              </w:rPr>
              <w:t>11</w:t>
            </w:r>
            <w:r w:rsidRPr="00E0088F">
              <w:rPr>
                <w:rFonts w:eastAsia="Malgun Gothic"/>
                <w:lang w:val="fr-CH" w:eastAsia="ko-KR"/>
              </w:rPr>
              <w:t>.</w:t>
            </w:r>
          </w:p>
          <w:p w14:paraId="06CAE457" w14:textId="77777777" w:rsidR="002151C3" w:rsidRPr="00E0088F" w:rsidRDefault="002151C3" w:rsidP="006C5A84">
            <w:pPr>
              <w:pStyle w:val="Tabletext"/>
              <w:rPr>
                <w:lang w:val="fr-CH"/>
              </w:rPr>
            </w:pPr>
            <w:r w:rsidRPr="00E0088F">
              <w:rPr>
                <w:lang w:val="fr-CH"/>
              </w:rPr>
              <w:t xml:space="preserve">Il est nécessaire de supprimer l'Annexe 3 (mesures transitoires), les points 2 et 3 du </w:t>
            </w:r>
            <w:r w:rsidRPr="00E0088F">
              <w:rPr>
                <w:i/>
                <w:iCs/>
                <w:lang w:val="fr-CH"/>
              </w:rPr>
              <w:t>décide</w:t>
            </w:r>
            <w:r w:rsidRPr="00E0088F">
              <w:rPr>
                <w:lang w:val="fr-CH"/>
              </w:rPr>
              <w:t xml:space="preserve"> devront peut-être être mis à jour.</w:t>
            </w:r>
          </w:p>
        </w:tc>
        <w:tc>
          <w:tcPr>
            <w:tcW w:w="2045" w:type="dxa"/>
            <w:tcBorders>
              <w:top w:val="single" w:sz="6" w:space="0" w:color="auto"/>
              <w:left w:val="single" w:sz="6" w:space="0" w:color="auto"/>
              <w:bottom w:val="single" w:sz="6" w:space="0" w:color="auto"/>
              <w:right w:val="single" w:sz="6" w:space="0" w:color="auto"/>
            </w:tcBorders>
            <w:hideMark/>
          </w:tcPr>
          <w:p w14:paraId="30A68B17" w14:textId="77777777" w:rsidR="002151C3" w:rsidRPr="00E0088F" w:rsidRDefault="002151C3" w:rsidP="006C5A84">
            <w:pPr>
              <w:pStyle w:val="Tabletext"/>
              <w:jc w:val="center"/>
              <w:rPr>
                <w:lang w:val="fr-CH"/>
              </w:rPr>
            </w:pPr>
            <w:r w:rsidRPr="00E0088F">
              <w:rPr>
                <w:lang w:val="fr-CH"/>
              </w:rPr>
              <w:t>MOD</w:t>
            </w:r>
          </w:p>
        </w:tc>
      </w:tr>
      <w:tr w:rsidR="002151C3" w:rsidRPr="00E0088F" w14:paraId="1C3781E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362E01C" w14:textId="77777777" w:rsidR="002151C3" w:rsidRPr="00E0088F" w:rsidRDefault="002151C3" w:rsidP="006C5A84">
            <w:pPr>
              <w:pStyle w:val="Tabletext"/>
              <w:jc w:val="center"/>
              <w:rPr>
                <w:lang w:val="fr-CH"/>
              </w:rPr>
            </w:pPr>
            <w:r w:rsidRPr="00E0088F">
              <w:rPr>
                <w:lang w:val="fr-CH"/>
              </w:rPr>
              <w:t>553</w:t>
            </w:r>
          </w:p>
        </w:tc>
        <w:tc>
          <w:tcPr>
            <w:tcW w:w="2551" w:type="dxa"/>
            <w:tcBorders>
              <w:top w:val="single" w:sz="6" w:space="0" w:color="auto"/>
              <w:left w:val="single" w:sz="6" w:space="0" w:color="auto"/>
              <w:bottom w:val="single" w:sz="6" w:space="0" w:color="auto"/>
              <w:right w:val="single" w:sz="6" w:space="0" w:color="auto"/>
            </w:tcBorders>
            <w:hideMark/>
          </w:tcPr>
          <w:p w14:paraId="733C68CA" w14:textId="77777777" w:rsidR="002151C3" w:rsidRPr="00E0088F" w:rsidRDefault="002151C3" w:rsidP="006C5A84">
            <w:pPr>
              <w:pStyle w:val="Tabletext"/>
              <w:rPr>
                <w:lang w:val="fr-CH"/>
              </w:rPr>
            </w:pPr>
            <w:r w:rsidRPr="00E0088F">
              <w:rPr>
                <w:lang w:val="fr-CH"/>
              </w:rPr>
              <w:t>Mesures réglementaires additionnelles applicables aux réseaux du service de radiodiffusion par satellite dans la bande 21,4</w:t>
            </w:r>
            <w:r w:rsidRPr="00E0088F">
              <w:rPr>
                <w:lang w:val="fr-CH"/>
              </w:rPr>
              <w:noBreakHyphen/>
              <w:t>22 GHz en Régions 1 et 3 pour améliorer l'accès équitable à cette bande</w:t>
            </w:r>
          </w:p>
        </w:tc>
        <w:tc>
          <w:tcPr>
            <w:tcW w:w="3625" w:type="dxa"/>
            <w:tcBorders>
              <w:top w:val="single" w:sz="6" w:space="0" w:color="auto"/>
              <w:left w:val="single" w:sz="6" w:space="0" w:color="auto"/>
              <w:bottom w:val="single" w:sz="6" w:space="0" w:color="auto"/>
              <w:right w:val="single" w:sz="6" w:space="0" w:color="auto"/>
            </w:tcBorders>
            <w:hideMark/>
          </w:tcPr>
          <w:p w14:paraId="6F8CF4B5" w14:textId="77777777" w:rsidR="002151C3" w:rsidRPr="00E0088F" w:rsidRDefault="002151C3" w:rsidP="006C5A84">
            <w:pPr>
              <w:pStyle w:val="Tabletext"/>
              <w:rPr>
                <w:lang w:val="fr-CH"/>
              </w:rPr>
            </w:pPr>
            <w:r w:rsidRPr="00E0088F">
              <w:rPr>
                <w:lang w:val="fr-CH"/>
              </w:rPr>
              <w:t>(Rév.CMR-15). A toujours lieu d'être. Le texte a été mis à jour à la CMR-15. Les § 8 et 9 de la Pièce jointe de cette résolution doivent être mis à jour car la soumission des renseignements pour la publication anticipée n'est plus nécessaire.</w:t>
            </w:r>
          </w:p>
        </w:tc>
        <w:tc>
          <w:tcPr>
            <w:tcW w:w="2045" w:type="dxa"/>
            <w:tcBorders>
              <w:top w:val="single" w:sz="6" w:space="0" w:color="auto"/>
              <w:left w:val="single" w:sz="6" w:space="0" w:color="auto"/>
              <w:bottom w:val="single" w:sz="6" w:space="0" w:color="auto"/>
              <w:right w:val="single" w:sz="6" w:space="0" w:color="auto"/>
            </w:tcBorders>
            <w:hideMark/>
          </w:tcPr>
          <w:p w14:paraId="0D94B02E" w14:textId="77777777" w:rsidR="002151C3" w:rsidRPr="00E0088F" w:rsidRDefault="002151C3" w:rsidP="006C5A84">
            <w:pPr>
              <w:pStyle w:val="Tabletext"/>
              <w:jc w:val="center"/>
              <w:rPr>
                <w:lang w:val="fr-CH"/>
              </w:rPr>
            </w:pPr>
            <w:r w:rsidRPr="00E0088F">
              <w:rPr>
                <w:lang w:val="fr-CH"/>
              </w:rPr>
              <w:t>MOD</w:t>
            </w:r>
          </w:p>
        </w:tc>
      </w:tr>
      <w:tr w:rsidR="002151C3" w:rsidRPr="00E0088F" w14:paraId="74662B8B"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87EF5FA" w14:textId="77777777" w:rsidR="002151C3" w:rsidRPr="00E0088F" w:rsidRDefault="002151C3" w:rsidP="006C5A84">
            <w:pPr>
              <w:pStyle w:val="Tabletext"/>
              <w:jc w:val="center"/>
              <w:rPr>
                <w:lang w:val="fr-CH"/>
              </w:rPr>
            </w:pPr>
            <w:r w:rsidRPr="00E0088F">
              <w:rPr>
                <w:lang w:val="fr-CH"/>
              </w:rPr>
              <w:lastRenderedPageBreak/>
              <w:t>554</w:t>
            </w:r>
          </w:p>
        </w:tc>
        <w:tc>
          <w:tcPr>
            <w:tcW w:w="2551" w:type="dxa"/>
            <w:tcBorders>
              <w:top w:val="single" w:sz="6" w:space="0" w:color="auto"/>
              <w:left w:val="single" w:sz="6" w:space="0" w:color="auto"/>
              <w:bottom w:val="single" w:sz="6" w:space="0" w:color="auto"/>
              <w:right w:val="single" w:sz="6" w:space="0" w:color="auto"/>
            </w:tcBorders>
            <w:hideMark/>
          </w:tcPr>
          <w:p w14:paraId="59AF2BBF" w14:textId="77777777" w:rsidR="002151C3" w:rsidRPr="00E0088F" w:rsidRDefault="002151C3" w:rsidP="006C5A84">
            <w:pPr>
              <w:pStyle w:val="Tabletext"/>
              <w:rPr>
                <w:lang w:val="fr-CH"/>
              </w:rPr>
            </w:pPr>
            <w:r w:rsidRPr="00E0088F">
              <w:rPr>
                <w:lang w:val="fr-CH"/>
              </w:rPr>
              <w:t xml:space="preserve">Application de gabarits de puissance surfacique pour la coordination au titre du numéro </w:t>
            </w:r>
            <w:r w:rsidRPr="00E0088F">
              <w:rPr>
                <w:b/>
                <w:bCs/>
                <w:lang w:val="fr-CH"/>
              </w:rPr>
              <w:t>9.7</w:t>
            </w:r>
            <w:r w:rsidRPr="00E0088F">
              <w:rPr>
                <w:lang w:val="fr-CH"/>
              </w:rPr>
              <w:t xml:space="preserve"> concernant les réseaux du service de radiodiffusion par satellite dans la bande 21,4-22 GHz dans les Régions 1 et 3 </w:t>
            </w:r>
          </w:p>
        </w:tc>
        <w:tc>
          <w:tcPr>
            <w:tcW w:w="3625" w:type="dxa"/>
            <w:tcBorders>
              <w:top w:val="single" w:sz="6" w:space="0" w:color="auto"/>
              <w:left w:val="single" w:sz="6" w:space="0" w:color="auto"/>
              <w:bottom w:val="single" w:sz="6" w:space="0" w:color="auto"/>
              <w:right w:val="single" w:sz="6" w:space="0" w:color="auto"/>
            </w:tcBorders>
            <w:hideMark/>
          </w:tcPr>
          <w:p w14:paraId="302E1382" w14:textId="77777777" w:rsidR="002151C3" w:rsidRPr="00E0088F" w:rsidRDefault="002151C3" w:rsidP="006C5A84">
            <w:pPr>
              <w:pStyle w:val="Tabletext"/>
              <w:rPr>
                <w:lang w:val="fr-CH"/>
              </w:rPr>
            </w:pPr>
            <w:r w:rsidRPr="00E0088F">
              <w:rPr>
                <w:lang w:val="fr-CH"/>
              </w:rPr>
              <w:t xml:space="preserve">(CMR-12). A toujours lieu d'être. Cette Résolution est citée dans l'Article </w:t>
            </w:r>
            <w:r w:rsidRPr="00E0088F">
              <w:rPr>
                <w:b/>
                <w:bCs/>
                <w:lang w:val="fr-CH"/>
              </w:rPr>
              <w:t>11</w:t>
            </w:r>
            <w:r w:rsidRPr="00E0088F">
              <w:rPr>
                <w:lang w:val="fr-CH"/>
              </w:rPr>
              <w:t>.</w:t>
            </w:r>
          </w:p>
          <w:p w14:paraId="72AF22E3" w14:textId="77777777" w:rsidR="002151C3" w:rsidRPr="00E0088F" w:rsidRDefault="002151C3" w:rsidP="006C5A84">
            <w:pPr>
              <w:pStyle w:val="Tabletext"/>
              <w:rPr>
                <w:lang w:val="fr-CH"/>
              </w:rPr>
            </w:pPr>
            <w:r w:rsidRPr="00E0088F">
              <w:rPr>
                <w:lang w:val="fr-CH"/>
              </w:rPr>
              <w:t xml:space="preserve">Le contenu pourra être déplacé dans l'Appendice </w:t>
            </w:r>
            <w:r w:rsidRPr="00E0088F">
              <w:rPr>
                <w:b/>
                <w:bCs/>
                <w:lang w:val="fr-CH"/>
              </w:rPr>
              <w:t>5</w:t>
            </w:r>
            <w:r w:rsidRPr="00E0088F">
              <w:rPr>
                <w:lang w:val="fr-CH"/>
              </w:rPr>
              <w:t xml:space="preserve"> du RR.</w:t>
            </w:r>
          </w:p>
        </w:tc>
        <w:tc>
          <w:tcPr>
            <w:tcW w:w="2045" w:type="dxa"/>
            <w:tcBorders>
              <w:top w:val="single" w:sz="6" w:space="0" w:color="auto"/>
              <w:left w:val="single" w:sz="6" w:space="0" w:color="auto"/>
              <w:bottom w:val="single" w:sz="6" w:space="0" w:color="auto"/>
              <w:right w:val="single" w:sz="6" w:space="0" w:color="auto"/>
            </w:tcBorders>
            <w:hideMark/>
          </w:tcPr>
          <w:p w14:paraId="43DA554D" w14:textId="77777777" w:rsidR="002151C3" w:rsidRPr="00E0088F" w:rsidRDefault="002151C3" w:rsidP="006C5A84">
            <w:pPr>
              <w:pStyle w:val="Tabletext"/>
              <w:jc w:val="center"/>
              <w:rPr>
                <w:lang w:val="fr-CH"/>
              </w:rPr>
            </w:pPr>
            <w:r w:rsidRPr="00E0088F">
              <w:rPr>
                <w:lang w:val="fr-CH"/>
              </w:rPr>
              <w:t>NOC/</w:t>
            </w:r>
          </w:p>
          <w:p w14:paraId="2A07481C" w14:textId="77777777" w:rsidR="002151C3" w:rsidRPr="00E0088F" w:rsidRDefault="002151C3" w:rsidP="006C5A84">
            <w:pPr>
              <w:pStyle w:val="Tabletext"/>
              <w:jc w:val="center"/>
              <w:rPr>
                <w:lang w:val="fr-CH"/>
              </w:rPr>
            </w:pPr>
            <w:r w:rsidRPr="00E0088F">
              <w:rPr>
                <w:lang w:val="fr-CH"/>
              </w:rPr>
              <w:t>SUP</w:t>
            </w:r>
          </w:p>
        </w:tc>
      </w:tr>
      <w:tr w:rsidR="002151C3" w:rsidRPr="00E0088F" w14:paraId="3017A97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EA15761" w14:textId="77777777" w:rsidR="002151C3" w:rsidRPr="00E0088F" w:rsidRDefault="002151C3" w:rsidP="006C5A84">
            <w:pPr>
              <w:pStyle w:val="Tabletext"/>
              <w:jc w:val="center"/>
              <w:rPr>
                <w:lang w:val="fr-CH"/>
              </w:rPr>
            </w:pPr>
            <w:r w:rsidRPr="00E0088F">
              <w:rPr>
                <w:lang w:val="fr-CH"/>
              </w:rPr>
              <w:t>555</w:t>
            </w:r>
          </w:p>
        </w:tc>
        <w:tc>
          <w:tcPr>
            <w:tcW w:w="2551" w:type="dxa"/>
            <w:tcBorders>
              <w:top w:val="single" w:sz="6" w:space="0" w:color="auto"/>
              <w:left w:val="single" w:sz="6" w:space="0" w:color="auto"/>
              <w:bottom w:val="single" w:sz="6" w:space="0" w:color="auto"/>
              <w:right w:val="single" w:sz="6" w:space="0" w:color="auto"/>
            </w:tcBorders>
            <w:hideMark/>
          </w:tcPr>
          <w:p w14:paraId="5EA1DCA8" w14:textId="77777777" w:rsidR="002151C3" w:rsidRPr="00E0088F" w:rsidRDefault="002151C3" w:rsidP="006C5A84">
            <w:pPr>
              <w:pStyle w:val="Tabletext"/>
              <w:rPr>
                <w:lang w:val="fr-CH"/>
              </w:rPr>
            </w:pPr>
            <w:r w:rsidRPr="00E0088F">
              <w:rPr>
                <w:lang w:val="fr-CH"/>
              </w:rPr>
              <w:t>Dispositions réglementaires additionnelles applicables aux réseaux du service de radiodiffusion par satellite dans la bande 21,4</w:t>
            </w:r>
            <w:r w:rsidRPr="00E0088F">
              <w:rPr>
                <w:lang w:val="fr-CH"/>
              </w:rPr>
              <w:noBreakHyphen/>
              <w:t xml:space="preserve">22 GHz dans les Régions 1 et 3 pour améliorer l'accès équitable à cette bande. </w:t>
            </w:r>
          </w:p>
        </w:tc>
        <w:tc>
          <w:tcPr>
            <w:tcW w:w="3625" w:type="dxa"/>
            <w:tcBorders>
              <w:top w:val="single" w:sz="6" w:space="0" w:color="auto"/>
              <w:left w:val="single" w:sz="6" w:space="0" w:color="auto"/>
              <w:bottom w:val="single" w:sz="6" w:space="0" w:color="auto"/>
              <w:right w:val="single" w:sz="6" w:space="0" w:color="auto"/>
            </w:tcBorders>
            <w:hideMark/>
          </w:tcPr>
          <w:p w14:paraId="029B109F" w14:textId="77777777" w:rsidR="002151C3" w:rsidRPr="00E0088F" w:rsidRDefault="002151C3" w:rsidP="006C5A84">
            <w:pPr>
              <w:pStyle w:val="Tabletext"/>
              <w:rPr>
                <w:lang w:val="fr-CH"/>
              </w:rPr>
            </w:pPr>
            <w:r w:rsidRPr="00E0088F">
              <w:rPr>
                <w:lang w:val="fr-CH"/>
              </w:rPr>
              <w:t xml:space="preserve">(Rév.CMR-15). A toujours lieu d'être. Cette Résolution est citée dans le numéro </w:t>
            </w:r>
            <w:r w:rsidRPr="00E0088F">
              <w:rPr>
                <w:b/>
                <w:bCs/>
                <w:lang w:val="fr-CH"/>
              </w:rPr>
              <w:t>5.530D</w:t>
            </w:r>
            <w:r w:rsidRPr="00E0088F">
              <w:rPr>
                <w:lang w:val="fr-CH"/>
              </w:rPr>
              <w:t>. Le texte a été mis à jour à la CMR-15.</w:t>
            </w:r>
          </w:p>
          <w:p w14:paraId="11D95358" w14:textId="77777777" w:rsidR="002151C3" w:rsidRPr="00E0088F" w:rsidRDefault="002151C3" w:rsidP="006C5A84">
            <w:pPr>
              <w:pStyle w:val="Tabletext"/>
              <w:rPr>
                <w:lang w:val="fr-CH"/>
              </w:rPr>
            </w:pPr>
            <w:r w:rsidRPr="00E0088F">
              <w:rPr>
                <w:lang w:val="fr-CH"/>
              </w:rPr>
              <w:t xml:space="preserve">Concernant le point 2 du </w:t>
            </w:r>
            <w:r w:rsidRPr="00E0088F">
              <w:rPr>
                <w:i/>
                <w:iCs/>
                <w:lang w:val="fr-CH"/>
              </w:rPr>
              <w:t>décide</w:t>
            </w:r>
            <w:r w:rsidRPr="00E0088F">
              <w:rPr>
                <w:lang w:val="fr-CH"/>
              </w:rPr>
              <w:t xml:space="preserve">, le délai aura expiré d'ici-là </w:t>
            </w:r>
            <w:r w:rsidRPr="00E0088F">
              <w:rPr>
                <w:webHidden/>
                <w:lang w:val="fr-CH"/>
              </w:rPr>
              <w:t>CMR</w:t>
            </w:r>
            <w:r w:rsidRPr="00E0088F">
              <w:rPr>
                <w:webHidden/>
                <w:lang w:val="fr-CH"/>
              </w:rPr>
              <w:noBreakHyphen/>
              <w:t>19.</w:t>
            </w:r>
          </w:p>
        </w:tc>
        <w:tc>
          <w:tcPr>
            <w:tcW w:w="2045" w:type="dxa"/>
            <w:tcBorders>
              <w:top w:val="single" w:sz="6" w:space="0" w:color="auto"/>
              <w:left w:val="single" w:sz="6" w:space="0" w:color="auto"/>
              <w:bottom w:val="single" w:sz="6" w:space="0" w:color="auto"/>
              <w:right w:val="single" w:sz="6" w:space="0" w:color="auto"/>
            </w:tcBorders>
            <w:hideMark/>
          </w:tcPr>
          <w:p w14:paraId="595F178F" w14:textId="77777777" w:rsidR="002151C3" w:rsidRPr="00E0088F" w:rsidRDefault="002151C3" w:rsidP="006C5A84">
            <w:pPr>
              <w:pStyle w:val="Tabletext"/>
              <w:jc w:val="center"/>
              <w:rPr>
                <w:lang w:val="fr-CH"/>
              </w:rPr>
            </w:pPr>
            <w:r w:rsidRPr="00E0088F">
              <w:rPr>
                <w:lang w:val="fr-CH"/>
              </w:rPr>
              <w:t>MOD/SUP</w:t>
            </w:r>
          </w:p>
        </w:tc>
      </w:tr>
      <w:tr w:rsidR="002151C3" w:rsidRPr="00E0088F" w14:paraId="59A344AF"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6CCC58C" w14:textId="77777777" w:rsidR="002151C3" w:rsidRPr="00E0088F" w:rsidRDefault="002151C3" w:rsidP="006C5A84">
            <w:pPr>
              <w:pStyle w:val="Tabletext"/>
              <w:jc w:val="center"/>
              <w:rPr>
                <w:lang w:val="fr-CH"/>
              </w:rPr>
            </w:pPr>
            <w:r w:rsidRPr="00E0088F">
              <w:rPr>
                <w:lang w:val="fr-CH"/>
              </w:rPr>
              <w:t>556</w:t>
            </w:r>
          </w:p>
        </w:tc>
        <w:tc>
          <w:tcPr>
            <w:tcW w:w="2551" w:type="dxa"/>
            <w:tcBorders>
              <w:top w:val="single" w:sz="6" w:space="0" w:color="auto"/>
              <w:left w:val="single" w:sz="6" w:space="0" w:color="auto"/>
              <w:bottom w:val="single" w:sz="6" w:space="0" w:color="auto"/>
              <w:right w:val="single" w:sz="6" w:space="0" w:color="auto"/>
            </w:tcBorders>
            <w:hideMark/>
          </w:tcPr>
          <w:p w14:paraId="48C34FBF" w14:textId="77777777" w:rsidR="002151C3" w:rsidRPr="00E0088F" w:rsidRDefault="002151C3" w:rsidP="006C5A84">
            <w:pPr>
              <w:pStyle w:val="Tabletext"/>
              <w:rPr>
                <w:lang w:val="fr-CH"/>
              </w:rPr>
            </w:pPr>
            <w:r w:rsidRPr="00E0088F">
              <w:rPr>
                <w:lang w:val="fr-CH"/>
              </w:rPr>
              <w:t xml:space="preserve">Conversion de toutes les assignations analogiques figurant dans le Plan et la Liste pour les Régions 1 et 3 des Appendices </w:t>
            </w:r>
            <w:r w:rsidRPr="00E0088F">
              <w:rPr>
                <w:b/>
                <w:bCs/>
                <w:lang w:val="fr-CH"/>
              </w:rPr>
              <w:t>30</w:t>
            </w:r>
            <w:r w:rsidRPr="00E0088F">
              <w:rPr>
                <w:lang w:val="fr-CH"/>
              </w:rPr>
              <w:t xml:space="preserve"> et </w:t>
            </w:r>
            <w:r w:rsidRPr="00E0088F">
              <w:rPr>
                <w:b/>
                <w:bCs/>
                <w:lang w:val="fr-CH"/>
              </w:rPr>
              <w:t>30A</w:t>
            </w:r>
            <w:r w:rsidRPr="00E0088F">
              <w:rPr>
                <w:lang w:val="fr-CH"/>
              </w:rPr>
              <w:t xml:space="preserve"> en assignations numériques</w:t>
            </w:r>
          </w:p>
        </w:tc>
        <w:tc>
          <w:tcPr>
            <w:tcW w:w="3625" w:type="dxa"/>
            <w:tcBorders>
              <w:top w:val="single" w:sz="6" w:space="0" w:color="auto"/>
              <w:left w:val="single" w:sz="6" w:space="0" w:color="auto"/>
              <w:bottom w:val="single" w:sz="6" w:space="0" w:color="auto"/>
              <w:right w:val="single" w:sz="6" w:space="0" w:color="auto"/>
            </w:tcBorders>
            <w:hideMark/>
          </w:tcPr>
          <w:p w14:paraId="07D71B98" w14:textId="793331E2" w:rsidR="002151C3" w:rsidRPr="00E0088F" w:rsidRDefault="002151C3" w:rsidP="006C5A84">
            <w:pPr>
              <w:pStyle w:val="Tabletext"/>
              <w:rPr>
                <w:lang w:val="fr-CH"/>
              </w:rPr>
            </w:pPr>
            <w:r w:rsidRPr="00E0088F">
              <w:rPr>
                <w:lang w:val="fr-CH"/>
              </w:rPr>
              <w:t>(CMR-15). Mise en œuvre. Il est proposé de la supprimer</w:t>
            </w:r>
            <w:r w:rsidR="00A15AB5"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624A5B73" w14:textId="77777777" w:rsidR="002151C3" w:rsidRPr="00E0088F" w:rsidRDefault="002151C3" w:rsidP="006C5A84">
            <w:pPr>
              <w:pStyle w:val="Tabletext"/>
              <w:jc w:val="center"/>
              <w:rPr>
                <w:lang w:val="fr-CH"/>
              </w:rPr>
            </w:pPr>
            <w:r w:rsidRPr="00E0088F">
              <w:rPr>
                <w:lang w:val="fr-CH"/>
              </w:rPr>
              <w:t>SUP</w:t>
            </w:r>
          </w:p>
        </w:tc>
      </w:tr>
      <w:tr w:rsidR="002151C3" w:rsidRPr="00E0088F" w14:paraId="34A4BF3C"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678EDBB7" w14:textId="77777777" w:rsidR="002151C3" w:rsidRPr="00E0088F" w:rsidRDefault="002151C3" w:rsidP="006C5A84">
            <w:pPr>
              <w:pStyle w:val="Tabletext"/>
              <w:jc w:val="center"/>
              <w:rPr>
                <w:lang w:val="fr-CH"/>
              </w:rPr>
            </w:pPr>
            <w:r w:rsidRPr="00E0088F">
              <w:rPr>
                <w:lang w:val="fr-CH"/>
              </w:rPr>
              <w:t>557</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E8FFC21" w14:textId="77777777" w:rsidR="002151C3" w:rsidRPr="00E0088F" w:rsidRDefault="002151C3" w:rsidP="006C5A84">
            <w:pPr>
              <w:pStyle w:val="Tabletext"/>
              <w:rPr>
                <w:lang w:val="fr-CH"/>
              </w:rPr>
            </w:pPr>
            <w:r w:rsidRPr="00E0088F">
              <w:rPr>
                <w:lang w:val="fr-CH"/>
              </w:rPr>
              <w:t xml:space="preserve">Examen d'une révision éventuelle de l'Annexe 7 de l'Appendice </w:t>
            </w:r>
            <w:r w:rsidRPr="00E0088F">
              <w:rPr>
                <w:b/>
                <w:bCs/>
                <w:lang w:val="fr-CH"/>
              </w:rPr>
              <w:t>30</w:t>
            </w:r>
            <w:r w:rsidRPr="00E0088F">
              <w:rPr>
                <w:lang w:val="fr-CH"/>
              </w:rPr>
              <w:t xml:space="preserve"> du Règlement des radiocommunications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4C87979" w14:textId="29966864"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1.4 de l'ordre du jour</w:t>
            </w:r>
            <w:r w:rsidRPr="00E0088F">
              <w:rPr>
                <w:lang w:val="fr-CH"/>
              </w:rPr>
              <w:t xml:space="preserve"> de la CMR</w:t>
            </w:r>
            <w:r w:rsidRPr="00E0088F">
              <w:rPr>
                <w:lang w:val="fr-CH"/>
              </w:rPr>
              <w:noBreakHyphen/>
              <w:t>19, cette Résolution devrait être supprimée.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E8D79F" w14:textId="77777777" w:rsidR="002151C3" w:rsidRPr="00E0088F" w:rsidRDefault="002151C3" w:rsidP="006C5A84">
            <w:pPr>
              <w:pStyle w:val="Tabletext"/>
              <w:jc w:val="center"/>
              <w:rPr>
                <w:lang w:val="fr-CH"/>
              </w:rPr>
            </w:pPr>
            <w:r w:rsidRPr="00E0088F">
              <w:rPr>
                <w:lang w:val="fr-CH"/>
              </w:rPr>
              <w:t>SUP</w:t>
            </w:r>
          </w:p>
        </w:tc>
      </w:tr>
      <w:tr w:rsidR="002151C3" w:rsidRPr="00E0088F" w14:paraId="35F8184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F493DC9" w14:textId="77777777" w:rsidR="002151C3" w:rsidRPr="00E0088F" w:rsidRDefault="002151C3" w:rsidP="006C5A84">
            <w:pPr>
              <w:pStyle w:val="Tabletext"/>
              <w:jc w:val="center"/>
              <w:rPr>
                <w:lang w:val="fr-CH"/>
              </w:rPr>
            </w:pPr>
            <w:r w:rsidRPr="00E0088F">
              <w:rPr>
                <w:lang w:val="fr-CH"/>
              </w:rPr>
              <w:t>608</w:t>
            </w:r>
          </w:p>
        </w:tc>
        <w:tc>
          <w:tcPr>
            <w:tcW w:w="2551" w:type="dxa"/>
            <w:tcBorders>
              <w:top w:val="single" w:sz="6" w:space="0" w:color="auto"/>
              <w:left w:val="single" w:sz="6" w:space="0" w:color="auto"/>
              <w:bottom w:val="single" w:sz="6" w:space="0" w:color="auto"/>
              <w:right w:val="single" w:sz="6" w:space="0" w:color="auto"/>
            </w:tcBorders>
            <w:hideMark/>
          </w:tcPr>
          <w:p w14:paraId="27D40B75" w14:textId="77777777" w:rsidR="002151C3" w:rsidRPr="00E0088F" w:rsidRDefault="002151C3" w:rsidP="006C5A84">
            <w:pPr>
              <w:pStyle w:val="Tabletext"/>
              <w:rPr>
                <w:lang w:val="fr-CH"/>
              </w:rPr>
            </w:pPr>
            <w:r w:rsidRPr="00E0088F">
              <w:rPr>
                <w:lang w:val="fr-CH"/>
              </w:rPr>
              <w:t>Utilisation de la bande 1 215</w:t>
            </w:r>
            <w:r w:rsidRPr="00E0088F">
              <w:rPr>
                <w:lang w:val="fr-CH"/>
              </w:rPr>
              <w:noBreakHyphen/>
              <w:t>1 300 MHz par les systèmes du SRNS (espace vers Terre)</w:t>
            </w:r>
          </w:p>
        </w:tc>
        <w:tc>
          <w:tcPr>
            <w:tcW w:w="3625" w:type="dxa"/>
            <w:tcBorders>
              <w:top w:val="single" w:sz="6" w:space="0" w:color="auto"/>
              <w:left w:val="single" w:sz="6" w:space="0" w:color="auto"/>
              <w:bottom w:val="single" w:sz="6" w:space="0" w:color="auto"/>
              <w:right w:val="single" w:sz="6" w:space="0" w:color="auto"/>
            </w:tcBorders>
            <w:hideMark/>
          </w:tcPr>
          <w:p w14:paraId="0CC84D44" w14:textId="77777777" w:rsidR="002151C3" w:rsidRPr="00E0088F" w:rsidRDefault="002151C3" w:rsidP="006C5A84">
            <w:pPr>
              <w:pStyle w:val="Tabletext"/>
              <w:rPr>
                <w:lang w:val="fr-CH"/>
              </w:rPr>
            </w:pPr>
            <w:r w:rsidRPr="00E0088F">
              <w:rPr>
                <w:lang w:val="fr-CH"/>
              </w:rPr>
              <w:t xml:space="preserve">(Rév.CMR-15). A toujours lieu d'être. Cette Résolution est citée dans le numéro </w:t>
            </w:r>
            <w:r w:rsidRPr="00E0088F">
              <w:rPr>
                <w:b/>
                <w:bCs/>
                <w:lang w:val="fr-CH"/>
              </w:rPr>
              <w:t>5.329</w:t>
            </w:r>
            <w:r w:rsidRPr="00E0088F">
              <w:rPr>
                <w:lang w:val="fr-CH"/>
              </w:rPr>
              <w:t>. Le texte a été mis à jour à la CMR</w:t>
            </w:r>
            <w:r w:rsidRPr="00E0088F">
              <w:rPr>
                <w:lang w:val="fr-CH"/>
              </w:rPr>
              <w:noBreakHyphen/>
              <w:t>15.</w:t>
            </w:r>
          </w:p>
        </w:tc>
        <w:tc>
          <w:tcPr>
            <w:tcW w:w="2045" w:type="dxa"/>
            <w:tcBorders>
              <w:top w:val="single" w:sz="6" w:space="0" w:color="auto"/>
              <w:left w:val="single" w:sz="6" w:space="0" w:color="auto"/>
              <w:bottom w:val="single" w:sz="6" w:space="0" w:color="auto"/>
              <w:right w:val="single" w:sz="6" w:space="0" w:color="auto"/>
            </w:tcBorders>
            <w:hideMark/>
          </w:tcPr>
          <w:p w14:paraId="7B48E14C" w14:textId="77777777" w:rsidR="002151C3" w:rsidRPr="00E0088F" w:rsidRDefault="002151C3" w:rsidP="006C5A84">
            <w:pPr>
              <w:pStyle w:val="Tabletext"/>
              <w:jc w:val="center"/>
              <w:rPr>
                <w:lang w:val="fr-CH"/>
              </w:rPr>
            </w:pPr>
            <w:r w:rsidRPr="00E0088F">
              <w:rPr>
                <w:lang w:val="fr-CH"/>
              </w:rPr>
              <w:t>NOC</w:t>
            </w:r>
          </w:p>
        </w:tc>
      </w:tr>
      <w:tr w:rsidR="002151C3" w:rsidRPr="00E0088F" w14:paraId="72A221C0"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9C7EC0E" w14:textId="77777777" w:rsidR="002151C3" w:rsidRPr="00E0088F" w:rsidRDefault="002151C3" w:rsidP="006C5A84">
            <w:pPr>
              <w:pStyle w:val="Tabletext"/>
              <w:jc w:val="center"/>
              <w:rPr>
                <w:lang w:val="fr-CH"/>
              </w:rPr>
            </w:pPr>
            <w:r w:rsidRPr="00E0088F">
              <w:rPr>
                <w:lang w:val="fr-CH"/>
              </w:rPr>
              <w:t>609</w:t>
            </w:r>
          </w:p>
        </w:tc>
        <w:tc>
          <w:tcPr>
            <w:tcW w:w="2551" w:type="dxa"/>
            <w:tcBorders>
              <w:top w:val="single" w:sz="6" w:space="0" w:color="auto"/>
              <w:left w:val="single" w:sz="6" w:space="0" w:color="auto"/>
              <w:bottom w:val="single" w:sz="6" w:space="0" w:color="auto"/>
              <w:right w:val="single" w:sz="6" w:space="0" w:color="auto"/>
            </w:tcBorders>
            <w:hideMark/>
          </w:tcPr>
          <w:p w14:paraId="55B79885" w14:textId="77777777" w:rsidR="002151C3" w:rsidRPr="00E0088F" w:rsidRDefault="002151C3" w:rsidP="006C5A84">
            <w:pPr>
              <w:pStyle w:val="Tabletext"/>
              <w:rPr>
                <w:lang w:val="fr-CH"/>
              </w:rPr>
            </w:pPr>
            <w:r w:rsidRPr="00E0088F">
              <w:rPr>
                <w:lang w:val="fr-CH"/>
              </w:rPr>
              <w:t>Protection du SRNA contre la puissance surfacique équivalente produite par les réseaux et les systèmes du SRNS dans la bande 1 164</w:t>
            </w:r>
            <w:r w:rsidRPr="00E0088F">
              <w:rPr>
                <w:lang w:val="fr-CH"/>
              </w:rPr>
              <w:noBreakHyphen/>
              <w:t>1 215 MHz</w:t>
            </w:r>
          </w:p>
        </w:tc>
        <w:tc>
          <w:tcPr>
            <w:tcW w:w="3625" w:type="dxa"/>
            <w:tcBorders>
              <w:top w:val="single" w:sz="6" w:space="0" w:color="auto"/>
              <w:left w:val="single" w:sz="6" w:space="0" w:color="auto"/>
              <w:bottom w:val="single" w:sz="6" w:space="0" w:color="auto"/>
              <w:right w:val="single" w:sz="6" w:space="0" w:color="auto"/>
            </w:tcBorders>
            <w:hideMark/>
          </w:tcPr>
          <w:p w14:paraId="7F63126F" w14:textId="77777777" w:rsidR="002151C3" w:rsidRPr="00E0088F" w:rsidRDefault="002151C3" w:rsidP="006C5A84">
            <w:pPr>
              <w:pStyle w:val="Tabletext"/>
              <w:rPr>
                <w:lang w:val="fr-CH"/>
              </w:rPr>
            </w:pPr>
            <w:r w:rsidRPr="00E0088F">
              <w:rPr>
                <w:lang w:val="fr-CH"/>
              </w:rPr>
              <w:t>(Rév.CMR-07). A toujours lieu d'être.</w:t>
            </w:r>
            <w:r w:rsidRPr="00E0088F">
              <w:rPr>
                <w:color w:val="000000"/>
                <w:sz w:val="24"/>
                <w:lang w:val="fr-CH"/>
              </w:rPr>
              <w:t xml:space="preserve"> </w:t>
            </w:r>
            <w:r w:rsidRPr="00E0088F">
              <w:rPr>
                <w:lang w:val="fr-CH"/>
              </w:rPr>
              <w:t xml:space="preserve">Cette Résolution est citée dans les numéros </w:t>
            </w:r>
            <w:r w:rsidRPr="00E0088F">
              <w:rPr>
                <w:b/>
                <w:bCs/>
                <w:lang w:val="fr-CH"/>
              </w:rPr>
              <w:t>5.328A</w:t>
            </w:r>
            <w:r w:rsidRPr="00E0088F">
              <w:rPr>
                <w:lang w:val="fr-CH"/>
              </w:rPr>
              <w:t xml:space="preserve"> et </w:t>
            </w:r>
            <w:r w:rsidRPr="00E0088F">
              <w:rPr>
                <w:b/>
                <w:bCs/>
                <w:lang w:val="fr-CH"/>
              </w:rPr>
              <w:t>21.18</w:t>
            </w:r>
            <w:r w:rsidRPr="00E0088F">
              <w:rPr>
                <w:lang w:val="fr-CH"/>
              </w:rPr>
              <w:t xml:space="preserve"> ainsi que dans la Recommandation </w:t>
            </w:r>
            <w:r w:rsidRPr="00E0088F">
              <w:rPr>
                <w:b/>
                <w:bCs/>
                <w:lang w:val="fr-CH"/>
              </w:rPr>
              <w:t>608 (Rév.CMR-07)</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16C730A7" w14:textId="77777777" w:rsidR="002151C3" w:rsidRPr="00E0088F" w:rsidRDefault="002151C3" w:rsidP="006C5A84">
            <w:pPr>
              <w:pStyle w:val="Tabletext"/>
              <w:jc w:val="center"/>
              <w:rPr>
                <w:lang w:val="fr-CH"/>
              </w:rPr>
            </w:pPr>
            <w:r w:rsidRPr="00E0088F">
              <w:rPr>
                <w:lang w:val="fr-CH"/>
              </w:rPr>
              <w:t>NOC</w:t>
            </w:r>
          </w:p>
        </w:tc>
      </w:tr>
      <w:tr w:rsidR="002151C3" w:rsidRPr="00E0088F" w14:paraId="563D0341"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0F5AD99" w14:textId="77777777" w:rsidR="002151C3" w:rsidRPr="00E0088F" w:rsidRDefault="002151C3" w:rsidP="006C5A84">
            <w:pPr>
              <w:pStyle w:val="Tabletext"/>
              <w:keepNext/>
              <w:keepLines/>
              <w:jc w:val="center"/>
              <w:rPr>
                <w:lang w:val="fr-CH"/>
              </w:rPr>
            </w:pPr>
            <w:r w:rsidRPr="00E0088F">
              <w:rPr>
                <w:lang w:val="fr-CH"/>
              </w:rPr>
              <w:t>610</w:t>
            </w:r>
          </w:p>
        </w:tc>
        <w:tc>
          <w:tcPr>
            <w:tcW w:w="2551" w:type="dxa"/>
            <w:tcBorders>
              <w:top w:val="single" w:sz="6" w:space="0" w:color="auto"/>
              <w:left w:val="single" w:sz="6" w:space="0" w:color="auto"/>
              <w:bottom w:val="single" w:sz="6" w:space="0" w:color="auto"/>
              <w:right w:val="single" w:sz="6" w:space="0" w:color="auto"/>
            </w:tcBorders>
            <w:hideMark/>
          </w:tcPr>
          <w:p w14:paraId="7C11A151" w14:textId="77777777" w:rsidR="002151C3" w:rsidRPr="00E0088F" w:rsidRDefault="002151C3" w:rsidP="006C5A84">
            <w:pPr>
              <w:pStyle w:val="Tabletext"/>
              <w:keepNext/>
              <w:keepLines/>
              <w:rPr>
                <w:lang w:val="fr-CH"/>
              </w:rPr>
            </w:pPr>
            <w:r w:rsidRPr="00E0088F">
              <w:rPr>
                <w:lang w:val="fr-CH"/>
              </w:rPr>
              <w:t>Coordination des réseaux et systèmes du SRNS dans les bandes 1 164-1 300 MHz, 1 559</w:t>
            </w:r>
            <w:r w:rsidRPr="00E0088F">
              <w:rPr>
                <w:lang w:val="fr-CH"/>
              </w:rPr>
              <w:noBreakHyphen/>
              <w:t>1 610 MHz et 5 010</w:t>
            </w:r>
            <w:r w:rsidRPr="00E0088F">
              <w:rPr>
                <w:lang w:val="fr-CH"/>
              </w:rPr>
              <w:noBreakHyphen/>
              <w:t>5 030 MHz</w:t>
            </w:r>
          </w:p>
        </w:tc>
        <w:tc>
          <w:tcPr>
            <w:tcW w:w="3625" w:type="dxa"/>
            <w:tcBorders>
              <w:top w:val="single" w:sz="6" w:space="0" w:color="auto"/>
              <w:left w:val="single" w:sz="6" w:space="0" w:color="auto"/>
              <w:bottom w:val="single" w:sz="6" w:space="0" w:color="auto"/>
              <w:right w:val="single" w:sz="6" w:space="0" w:color="auto"/>
            </w:tcBorders>
            <w:hideMark/>
          </w:tcPr>
          <w:p w14:paraId="4B669F5B" w14:textId="77777777" w:rsidR="002151C3" w:rsidRPr="00E0088F" w:rsidRDefault="002151C3" w:rsidP="006C5A84">
            <w:pPr>
              <w:pStyle w:val="Tabletext"/>
              <w:keepNext/>
              <w:keepLines/>
              <w:rPr>
                <w:lang w:val="fr-CH"/>
              </w:rPr>
            </w:pPr>
            <w:r w:rsidRPr="00E0088F">
              <w:rPr>
                <w:lang w:val="fr-CH"/>
                <w:rPrChange w:id="10" w:author="Unknown" w:date="2019-02-21T23:48:00Z">
                  <w:rPr>
                    <w:position w:val="6"/>
                    <w:sz w:val="18"/>
                  </w:rPr>
                </w:rPrChange>
              </w:rPr>
              <w:t>(CMR-03). A toujours lieu d'être</w:t>
            </w:r>
            <w:r w:rsidRPr="00E0088F">
              <w:rPr>
                <w:lang w:val="fr-CH"/>
              </w:rPr>
              <w:t>.</w:t>
            </w:r>
          </w:p>
          <w:p w14:paraId="3AFC3482" w14:textId="77777777" w:rsidR="002151C3" w:rsidRPr="00E0088F" w:rsidRDefault="002151C3" w:rsidP="006C5A84">
            <w:pPr>
              <w:pStyle w:val="Tabletext"/>
              <w:keepNext/>
              <w:keepLines/>
              <w:rPr>
                <w:lang w:val="fr-CH"/>
              </w:rPr>
            </w:pPr>
            <w:r w:rsidRPr="00E0088F">
              <w:rPr>
                <w:lang w:val="fr-CH"/>
              </w:rPr>
              <w:t>Cette Résolution est citée dans le numéro</w:t>
            </w:r>
            <w:r w:rsidRPr="00E0088F">
              <w:rPr>
                <w:bCs/>
                <w:lang w:val="fr-CH"/>
              </w:rPr>
              <w:t> </w:t>
            </w:r>
            <w:r w:rsidRPr="00E0088F">
              <w:rPr>
                <w:b/>
                <w:lang w:val="fr-CH"/>
              </w:rPr>
              <w:t>5.328B</w:t>
            </w:r>
            <w:r w:rsidRPr="00E0088F">
              <w:rPr>
                <w:lang w:val="fr-CH"/>
              </w:rPr>
              <w:t>.</w:t>
            </w:r>
          </w:p>
          <w:p w14:paraId="78773FE2" w14:textId="77777777" w:rsidR="002151C3" w:rsidRPr="00E0088F" w:rsidRDefault="002151C3" w:rsidP="006C5A84">
            <w:pPr>
              <w:pStyle w:val="Tabletext"/>
              <w:keepNext/>
              <w:keepLines/>
              <w:rPr>
                <w:rStyle w:val="FootnoteReference"/>
                <w:lang w:val="fr-CH"/>
              </w:rPr>
            </w:pPr>
            <w:r w:rsidRPr="00E0088F">
              <w:rPr>
                <w:lang w:val="fr-CH"/>
              </w:rPr>
              <w:t>Le</w:t>
            </w:r>
            <w:r w:rsidRPr="00E0088F">
              <w:rPr>
                <w:lang w:val="fr-CH"/>
                <w:rPrChange w:id="11" w:author="Unknown" w:date="2019-02-21T23:48:00Z">
                  <w:rPr>
                    <w:position w:val="6"/>
                    <w:sz w:val="18"/>
                  </w:rPr>
                </w:rPrChange>
              </w:rPr>
              <w:t xml:space="preserve"> point 6 du </w:t>
            </w:r>
            <w:r w:rsidRPr="00E0088F">
              <w:rPr>
                <w:i/>
                <w:iCs/>
                <w:lang w:val="fr-CH"/>
                <w:rPrChange w:id="12" w:author="Unknown" w:date="2019-02-21T23:48:00Z">
                  <w:rPr>
                    <w:position w:val="6"/>
                    <w:sz w:val="18"/>
                  </w:rPr>
                </w:rPrChange>
              </w:rPr>
              <w:t>décide</w:t>
            </w:r>
            <w:r w:rsidRPr="00E0088F">
              <w:rPr>
                <w:lang w:val="fr-CH"/>
                <w:rPrChange w:id="13" w:author="Unknown" w:date="2019-02-21T23:48:00Z">
                  <w:rPr>
                    <w:position w:val="6"/>
                    <w:sz w:val="18"/>
                  </w:rPr>
                </w:rPrChange>
              </w:rPr>
              <w:t xml:space="preserve"> nécessitera peut-être d'être clarifié (les critères de l'Annexe sont logiquement remplis si le système à satellites est déclaré comme mis en service).</w:t>
            </w:r>
          </w:p>
        </w:tc>
        <w:tc>
          <w:tcPr>
            <w:tcW w:w="2045" w:type="dxa"/>
            <w:tcBorders>
              <w:top w:val="single" w:sz="6" w:space="0" w:color="auto"/>
              <w:left w:val="single" w:sz="6" w:space="0" w:color="auto"/>
              <w:bottom w:val="single" w:sz="6" w:space="0" w:color="auto"/>
              <w:right w:val="single" w:sz="6" w:space="0" w:color="auto"/>
            </w:tcBorders>
            <w:hideMark/>
          </w:tcPr>
          <w:p w14:paraId="11DAA715" w14:textId="77777777" w:rsidR="002151C3" w:rsidRPr="00E0088F" w:rsidRDefault="002151C3" w:rsidP="006C5A84">
            <w:pPr>
              <w:pStyle w:val="Tabletext"/>
              <w:keepNext/>
              <w:keepLines/>
              <w:jc w:val="center"/>
              <w:rPr>
                <w:lang w:val="fr-CH"/>
              </w:rPr>
            </w:pPr>
            <w:r w:rsidRPr="00E0088F">
              <w:rPr>
                <w:lang w:val="fr-CH"/>
              </w:rPr>
              <w:t>NOC/</w:t>
            </w:r>
          </w:p>
          <w:p w14:paraId="0C488C5A" w14:textId="77777777" w:rsidR="002151C3" w:rsidRPr="00E0088F" w:rsidRDefault="002151C3" w:rsidP="006C5A84">
            <w:pPr>
              <w:pStyle w:val="Tabletext"/>
              <w:keepNext/>
              <w:keepLines/>
              <w:jc w:val="center"/>
              <w:rPr>
                <w:lang w:val="fr-CH"/>
              </w:rPr>
            </w:pPr>
            <w:r w:rsidRPr="00E0088F">
              <w:rPr>
                <w:lang w:val="fr-CH"/>
              </w:rPr>
              <w:t>MOD</w:t>
            </w:r>
          </w:p>
        </w:tc>
      </w:tr>
      <w:tr w:rsidR="002151C3" w:rsidRPr="00E0088F" w14:paraId="2FBC43A8"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DB2B50B" w14:textId="77777777" w:rsidR="002151C3" w:rsidRPr="00E0088F" w:rsidRDefault="002151C3" w:rsidP="006C5A84">
            <w:pPr>
              <w:pStyle w:val="Tabletext"/>
              <w:jc w:val="center"/>
              <w:rPr>
                <w:lang w:val="fr-CH"/>
              </w:rPr>
            </w:pPr>
            <w:r w:rsidRPr="00E0088F">
              <w:rPr>
                <w:lang w:val="fr-CH"/>
              </w:rPr>
              <w:t>612</w:t>
            </w:r>
          </w:p>
        </w:tc>
        <w:tc>
          <w:tcPr>
            <w:tcW w:w="2551" w:type="dxa"/>
            <w:tcBorders>
              <w:top w:val="single" w:sz="6" w:space="0" w:color="auto"/>
              <w:left w:val="single" w:sz="6" w:space="0" w:color="auto"/>
              <w:bottom w:val="single" w:sz="6" w:space="0" w:color="auto"/>
              <w:right w:val="single" w:sz="6" w:space="0" w:color="auto"/>
            </w:tcBorders>
            <w:hideMark/>
          </w:tcPr>
          <w:p w14:paraId="4BD85E6E" w14:textId="77777777" w:rsidR="002151C3" w:rsidRPr="00E0088F" w:rsidRDefault="002151C3" w:rsidP="006C5A84">
            <w:pPr>
              <w:pStyle w:val="Tabletext"/>
              <w:rPr>
                <w:lang w:val="fr-CH"/>
              </w:rPr>
            </w:pPr>
            <w:r w:rsidRPr="00E0088F">
              <w:rPr>
                <w:lang w:val="fr-CH"/>
              </w:rPr>
              <w:t>Utilisation du service de radiolocalisation entre 3 et 50 MHz pour l'exploitation de radars océanographiques</w:t>
            </w:r>
          </w:p>
        </w:tc>
        <w:tc>
          <w:tcPr>
            <w:tcW w:w="3625" w:type="dxa"/>
            <w:tcBorders>
              <w:top w:val="single" w:sz="6" w:space="0" w:color="auto"/>
              <w:left w:val="single" w:sz="6" w:space="0" w:color="auto"/>
              <w:bottom w:val="single" w:sz="6" w:space="0" w:color="auto"/>
              <w:right w:val="single" w:sz="6" w:space="0" w:color="auto"/>
            </w:tcBorders>
            <w:hideMark/>
          </w:tcPr>
          <w:p w14:paraId="46AB907B" w14:textId="77777777" w:rsidR="002151C3" w:rsidRPr="00E0088F" w:rsidRDefault="002151C3" w:rsidP="006C5A84">
            <w:pPr>
              <w:pStyle w:val="Tabletext"/>
              <w:rPr>
                <w:lang w:val="fr-CH"/>
              </w:rPr>
            </w:pPr>
            <w:r w:rsidRPr="00E0088F">
              <w:rPr>
                <w:lang w:val="fr-CH"/>
              </w:rPr>
              <w:t xml:space="preserve">(Rév.CMR-12). A toujours lieu d'être. Le texte a été mis à jour à la CMR-12. Cette Résolution est citée dans les numéros </w:t>
            </w:r>
            <w:r w:rsidRPr="00E0088F">
              <w:rPr>
                <w:b/>
                <w:bCs/>
                <w:lang w:val="fr-CH"/>
              </w:rPr>
              <w:t>5.132A</w:t>
            </w:r>
            <w:r w:rsidRPr="00E0088F">
              <w:rPr>
                <w:lang w:val="fr-CH"/>
              </w:rPr>
              <w:t xml:space="preserve">, </w:t>
            </w:r>
            <w:r w:rsidRPr="00E0088F">
              <w:rPr>
                <w:b/>
                <w:bCs/>
                <w:lang w:val="fr-CH"/>
              </w:rPr>
              <w:t>5.145A</w:t>
            </w:r>
            <w:r w:rsidRPr="00E0088F">
              <w:rPr>
                <w:lang w:val="fr-CH"/>
              </w:rPr>
              <w:t xml:space="preserve"> et </w:t>
            </w:r>
            <w:r w:rsidRPr="00E0088F">
              <w:rPr>
                <w:b/>
                <w:bCs/>
                <w:lang w:val="fr-CH"/>
              </w:rPr>
              <w:t>5.161A</w:t>
            </w:r>
            <w:r w:rsidRPr="00E0088F">
              <w:rPr>
                <w:lang w:val="fr-CH"/>
              </w:rPr>
              <w:t xml:space="preserve"> ainsi que dans l'Appendice </w:t>
            </w:r>
            <w:r w:rsidRPr="00E0088F">
              <w:rPr>
                <w:b/>
                <w:bCs/>
                <w:lang w:val="fr-CH"/>
              </w:rPr>
              <w:t>4</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3ED29573" w14:textId="77777777" w:rsidR="002151C3" w:rsidRPr="00E0088F" w:rsidRDefault="002151C3" w:rsidP="006C5A84">
            <w:pPr>
              <w:pStyle w:val="Tabletext"/>
              <w:jc w:val="center"/>
              <w:rPr>
                <w:lang w:val="fr-CH"/>
              </w:rPr>
            </w:pPr>
            <w:r w:rsidRPr="00E0088F">
              <w:rPr>
                <w:lang w:val="fr-CH"/>
              </w:rPr>
              <w:t>NOC</w:t>
            </w:r>
          </w:p>
        </w:tc>
      </w:tr>
      <w:tr w:rsidR="002151C3" w:rsidRPr="00E0088F" w14:paraId="399C0713"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47C4691" w14:textId="77777777" w:rsidR="002151C3" w:rsidRPr="00E0088F" w:rsidRDefault="002151C3" w:rsidP="006C5A84">
            <w:pPr>
              <w:pStyle w:val="Tabletext"/>
              <w:jc w:val="center"/>
              <w:rPr>
                <w:lang w:val="fr-CH"/>
              </w:rPr>
            </w:pPr>
            <w:r w:rsidRPr="00E0088F">
              <w:rPr>
                <w:lang w:val="fr-CH"/>
              </w:rPr>
              <w:lastRenderedPageBreak/>
              <w:t>641</w:t>
            </w:r>
          </w:p>
        </w:tc>
        <w:tc>
          <w:tcPr>
            <w:tcW w:w="2551" w:type="dxa"/>
            <w:tcBorders>
              <w:top w:val="single" w:sz="6" w:space="0" w:color="auto"/>
              <w:left w:val="single" w:sz="6" w:space="0" w:color="auto"/>
              <w:bottom w:val="single" w:sz="6" w:space="0" w:color="auto"/>
              <w:right w:val="single" w:sz="6" w:space="0" w:color="auto"/>
            </w:tcBorders>
            <w:hideMark/>
          </w:tcPr>
          <w:p w14:paraId="0EAC0DE8" w14:textId="77777777" w:rsidR="002151C3" w:rsidRPr="00E0088F" w:rsidRDefault="002151C3" w:rsidP="006C5A84">
            <w:pPr>
              <w:pStyle w:val="Tabletext"/>
              <w:rPr>
                <w:lang w:val="fr-CH"/>
              </w:rPr>
            </w:pPr>
            <w:r w:rsidRPr="00E0088F">
              <w:rPr>
                <w:lang w:val="fr-CH"/>
              </w:rPr>
              <w:t>Utilisation de la bande de fréquences 7 000-7 100 kHz</w:t>
            </w:r>
          </w:p>
        </w:tc>
        <w:tc>
          <w:tcPr>
            <w:tcW w:w="3625" w:type="dxa"/>
            <w:tcBorders>
              <w:top w:val="single" w:sz="6" w:space="0" w:color="auto"/>
              <w:left w:val="single" w:sz="6" w:space="0" w:color="auto"/>
              <w:bottom w:val="single" w:sz="6" w:space="0" w:color="auto"/>
              <w:right w:val="single" w:sz="6" w:space="0" w:color="auto"/>
            </w:tcBorders>
            <w:hideMark/>
          </w:tcPr>
          <w:p w14:paraId="799E3FF7" w14:textId="31A6CEDE" w:rsidR="002151C3" w:rsidRPr="00E0088F" w:rsidRDefault="002151C3" w:rsidP="006C5A84">
            <w:pPr>
              <w:pStyle w:val="Tabletext"/>
              <w:rPr>
                <w:rStyle w:val="FootnoteReference"/>
                <w:lang w:val="fr-CH"/>
              </w:rPr>
            </w:pPr>
            <w:r w:rsidRPr="00E0088F">
              <w:rPr>
                <w:lang w:val="fr-CH"/>
              </w:rPr>
              <w:t>(Rév.HFBC-87). Il a été confirmé à la RPC19-2 que les objectifs de la Résolution ont été atteints et qu'aucune assignation pour le service de radiodiffusion en ondes décamétriques n'est inscrite dans la bande 7 000-7 100 kHz. Il est proposé de supprimer cette Résolution</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708D9E5" w14:textId="77777777" w:rsidR="002151C3" w:rsidRPr="00E0088F" w:rsidRDefault="002151C3" w:rsidP="006C5A84">
            <w:pPr>
              <w:pStyle w:val="Tabletext"/>
              <w:jc w:val="center"/>
              <w:rPr>
                <w:lang w:val="fr-CH"/>
              </w:rPr>
            </w:pPr>
            <w:r w:rsidRPr="00E0088F">
              <w:rPr>
                <w:lang w:val="fr-CH"/>
              </w:rPr>
              <w:t>SUP</w:t>
            </w:r>
          </w:p>
        </w:tc>
      </w:tr>
      <w:tr w:rsidR="002151C3" w:rsidRPr="00E0088F" w14:paraId="21DEF76B"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31C8386C" w14:textId="77777777" w:rsidR="002151C3" w:rsidRPr="00E0088F" w:rsidRDefault="002151C3" w:rsidP="006C5A84">
            <w:pPr>
              <w:pStyle w:val="Tabletext"/>
              <w:jc w:val="center"/>
              <w:rPr>
                <w:lang w:val="fr-CH"/>
              </w:rPr>
            </w:pPr>
            <w:r w:rsidRPr="00E0088F">
              <w:rPr>
                <w:lang w:val="fr-CH"/>
              </w:rPr>
              <w:t>642</w:t>
            </w:r>
          </w:p>
        </w:tc>
        <w:tc>
          <w:tcPr>
            <w:tcW w:w="2551" w:type="dxa"/>
            <w:tcBorders>
              <w:top w:val="single" w:sz="6" w:space="0" w:color="auto"/>
              <w:left w:val="single" w:sz="6" w:space="0" w:color="auto"/>
              <w:bottom w:val="single" w:sz="6" w:space="0" w:color="auto"/>
              <w:right w:val="single" w:sz="6" w:space="0" w:color="auto"/>
            </w:tcBorders>
            <w:hideMark/>
          </w:tcPr>
          <w:p w14:paraId="69295CE0" w14:textId="77777777" w:rsidR="002151C3" w:rsidRPr="00E0088F" w:rsidRDefault="002151C3" w:rsidP="006C5A84">
            <w:pPr>
              <w:pStyle w:val="Tabletext"/>
              <w:rPr>
                <w:lang w:val="fr-CH"/>
              </w:rPr>
            </w:pPr>
            <w:r w:rsidRPr="00E0088F">
              <w:rPr>
                <w:lang w:val="fr-CH"/>
              </w:rPr>
              <w:t>Stations terriennes du service d'amateur par satellite</w:t>
            </w:r>
          </w:p>
        </w:tc>
        <w:tc>
          <w:tcPr>
            <w:tcW w:w="3625" w:type="dxa"/>
            <w:tcBorders>
              <w:top w:val="single" w:sz="6" w:space="0" w:color="auto"/>
              <w:left w:val="single" w:sz="6" w:space="0" w:color="auto"/>
              <w:bottom w:val="single" w:sz="6" w:space="0" w:color="auto"/>
              <w:right w:val="single" w:sz="6" w:space="0" w:color="auto"/>
            </w:tcBorders>
            <w:hideMark/>
          </w:tcPr>
          <w:p w14:paraId="20C2A1EB" w14:textId="43BB48B2" w:rsidR="002151C3" w:rsidRPr="00E0088F" w:rsidRDefault="002151C3" w:rsidP="006C5A84">
            <w:pPr>
              <w:pStyle w:val="Tabletext"/>
              <w:rPr>
                <w:lang w:val="fr-CH"/>
              </w:rPr>
            </w:pPr>
            <w:r w:rsidRPr="00E0088F">
              <w:rPr>
                <w:lang w:val="fr-CH"/>
              </w:rPr>
              <w:t xml:space="preserve">(CAMR-79). Pourra être supprimée car aucune soumission n'a jamais été reçue au titre de cette Résolution et le numéro </w:t>
            </w:r>
            <w:r w:rsidRPr="00E0088F">
              <w:rPr>
                <w:b/>
                <w:bCs/>
                <w:lang w:val="fr-CH"/>
              </w:rPr>
              <w:t>11.14</w:t>
            </w:r>
            <w:r w:rsidRPr="00E0088F">
              <w:rPr>
                <w:lang w:val="fr-CH"/>
              </w:rPr>
              <w:t xml:space="preserve"> du RR indique que les assignations de fréquence aux stations terriennes du service d'amateur par satellite ne sont pas notifiées au titre de l'Article </w:t>
            </w:r>
            <w:r w:rsidRPr="00E0088F">
              <w:rPr>
                <w:b/>
                <w:bCs/>
                <w:lang w:val="fr-CH"/>
              </w:rPr>
              <w:t>11</w:t>
            </w:r>
            <w:r w:rsidRPr="00E0088F">
              <w:rPr>
                <w:lang w:val="fr-CH"/>
              </w:rPr>
              <w:t xml:space="preserve"> du RR.</w:t>
            </w:r>
          </w:p>
        </w:tc>
        <w:tc>
          <w:tcPr>
            <w:tcW w:w="2045" w:type="dxa"/>
            <w:tcBorders>
              <w:top w:val="single" w:sz="6" w:space="0" w:color="auto"/>
              <w:left w:val="single" w:sz="6" w:space="0" w:color="auto"/>
              <w:bottom w:val="single" w:sz="6" w:space="0" w:color="auto"/>
              <w:right w:val="single" w:sz="6" w:space="0" w:color="auto"/>
            </w:tcBorders>
            <w:hideMark/>
          </w:tcPr>
          <w:p w14:paraId="65CA6DB0" w14:textId="77777777" w:rsidR="002151C3" w:rsidRPr="00E0088F" w:rsidRDefault="002151C3" w:rsidP="006C5A84">
            <w:pPr>
              <w:pStyle w:val="Tabletext"/>
              <w:jc w:val="center"/>
              <w:rPr>
                <w:lang w:val="fr-CH"/>
              </w:rPr>
            </w:pPr>
            <w:r w:rsidRPr="00E0088F">
              <w:rPr>
                <w:lang w:val="fr-CH"/>
              </w:rPr>
              <w:t>SUP</w:t>
            </w:r>
          </w:p>
        </w:tc>
      </w:tr>
      <w:tr w:rsidR="002151C3" w:rsidRPr="00E0088F" w14:paraId="747980DB"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1C68EBB" w14:textId="77777777" w:rsidR="002151C3" w:rsidRPr="00E0088F" w:rsidRDefault="002151C3" w:rsidP="006C5A84">
            <w:pPr>
              <w:pStyle w:val="Tabletext"/>
              <w:jc w:val="center"/>
              <w:rPr>
                <w:lang w:val="fr-CH"/>
              </w:rPr>
            </w:pPr>
            <w:r w:rsidRPr="00E0088F">
              <w:rPr>
                <w:lang w:val="fr-CH"/>
              </w:rPr>
              <w:t>646</w:t>
            </w:r>
          </w:p>
        </w:tc>
        <w:tc>
          <w:tcPr>
            <w:tcW w:w="2551" w:type="dxa"/>
            <w:tcBorders>
              <w:top w:val="single" w:sz="6" w:space="0" w:color="auto"/>
              <w:left w:val="single" w:sz="6" w:space="0" w:color="auto"/>
              <w:bottom w:val="single" w:sz="6" w:space="0" w:color="auto"/>
              <w:right w:val="single" w:sz="6" w:space="0" w:color="auto"/>
            </w:tcBorders>
            <w:hideMark/>
          </w:tcPr>
          <w:p w14:paraId="395E3AA8" w14:textId="77777777" w:rsidR="002151C3" w:rsidRPr="00E0088F" w:rsidRDefault="002151C3" w:rsidP="006C5A84">
            <w:pPr>
              <w:pStyle w:val="Tabletext"/>
              <w:rPr>
                <w:lang w:val="fr-CH"/>
              </w:rPr>
            </w:pPr>
            <w:r w:rsidRPr="00E0088F">
              <w:rPr>
                <w:lang w:val="fr-CH"/>
              </w:rPr>
              <w:t>Protection du public et secours en cas de catastrophe</w:t>
            </w:r>
          </w:p>
        </w:tc>
        <w:tc>
          <w:tcPr>
            <w:tcW w:w="3625" w:type="dxa"/>
            <w:tcBorders>
              <w:top w:val="single" w:sz="6" w:space="0" w:color="auto"/>
              <w:left w:val="single" w:sz="6" w:space="0" w:color="auto"/>
              <w:bottom w:val="single" w:sz="6" w:space="0" w:color="auto"/>
              <w:right w:val="single" w:sz="6" w:space="0" w:color="auto"/>
            </w:tcBorders>
            <w:hideMark/>
          </w:tcPr>
          <w:p w14:paraId="6EFD04A4" w14:textId="77777777" w:rsidR="002151C3" w:rsidRPr="00E0088F" w:rsidRDefault="002151C3" w:rsidP="006C5A84">
            <w:pPr>
              <w:pStyle w:val="Tabletext"/>
              <w:rPr>
                <w:lang w:val="fr-CH"/>
              </w:rPr>
            </w:pPr>
            <w:r w:rsidRPr="00E0088F">
              <w:rPr>
                <w:lang w:val="fr-CH"/>
              </w:rPr>
              <w:t xml:space="preserve">(Rév.CMR-15). A toujours lieu d'être; Cette Résolution est citée dans les Résolutions </w:t>
            </w:r>
            <w:r w:rsidRPr="00E0088F">
              <w:rPr>
                <w:b/>
                <w:bCs/>
                <w:lang w:val="fr-CH"/>
              </w:rPr>
              <w:t>224 (Rév.CMR-15)</w:t>
            </w:r>
            <w:r w:rsidRPr="00E0088F">
              <w:rPr>
                <w:lang w:val="fr-CH"/>
              </w:rPr>
              <w:t xml:space="preserve"> et </w:t>
            </w:r>
            <w:r w:rsidRPr="00E0088F">
              <w:rPr>
                <w:b/>
                <w:bCs/>
                <w:lang w:val="fr-CH"/>
              </w:rPr>
              <w:t>647 (Rév.CMR-15)</w:t>
            </w:r>
            <w:r w:rsidRPr="00E0088F">
              <w:rPr>
                <w:lang w:val="fr-CH"/>
              </w:rPr>
              <w:t xml:space="preserve"> ainsi que dans la Recommandation </w:t>
            </w:r>
            <w:r w:rsidRPr="00E0088F">
              <w:rPr>
                <w:b/>
                <w:bCs/>
                <w:lang w:val="fr-CH"/>
              </w:rPr>
              <w:t>206 (Rév.CMR-15)</w:t>
            </w:r>
            <w:r w:rsidRPr="00E0088F">
              <w:rPr>
                <w:lang w:val="fr-CH"/>
              </w:rPr>
              <w:t xml:space="preserve">. Les études de l'UIT-R demandées dans cette Résolution progressent, notamment la révision de la Recommandation UIT-R M.2015. La Recommandation UIT-R BS.2107 pourra également être citée dans le </w:t>
            </w:r>
            <w:r w:rsidRPr="00E0088F">
              <w:rPr>
                <w:i/>
                <w:iCs/>
                <w:lang w:val="fr-CH"/>
              </w:rPr>
              <w:t>reconnaissant</w:t>
            </w:r>
            <w:r w:rsidRPr="00E0088F">
              <w:rPr>
                <w:lang w:val="fr-CH"/>
              </w:rPr>
              <w:t xml:space="preserve">. Une mise à jour est nécessaire compte tenu de cette situation et il convient de modifier le point 2 du </w:t>
            </w:r>
            <w:r w:rsidRPr="00E0088F">
              <w:rPr>
                <w:i/>
                <w:iCs/>
                <w:lang w:val="fr-CH"/>
              </w:rPr>
              <w:t xml:space="preserve">invite </w:t>
            </w:r>
            <w:r w:rsidRPr="00E0088F">
              <w:rPr>
                <w:lang w:val="fr-CH"/>
              </w:rPr>
              <w:t>de la façon suivante: «à examiner et à réviser les Recommandations...».</w:t>
            </w:r>
          </w:p>
        </w:tc>
        <w:tc>
          <w:tcPr>
            <w:tcW w:w="2045" w:type="dxa"/>
            <w:tcBorders>
              <w:top w:val="single" w:sz="6" w:space="0" w:color="auto"/>
              <w:left w:val="single" w:sz="6" w:space="0" w:color="auto"/>
              <w:bottom w:val="single" w:sz="6" w:space="0" w:color="auto"/>
              <w:right w:val="single" w:sz="6" w:space="0" w:color="auto"/>
            </w:tcBorders>
            <w:hideMark/>
          </w:tcPr>
          <w:p w14:paraId="7BA7EE9A" w14:textId="77777777" w:rsidR="002151C3" w:rsidRPr="00E0088F" w:rsidRDefault="002151C3" w:rsidP="006C5A84">
            <w:pPr>
              <w:pStyle w:val="Tabletext"/>
              <w:jc w:val="center"/>
              <w:rPr>
                <w:lang w:val="fr-CH"/>
              </w:rPr>
            </w:pPr>
            <w:r w:rsidRPr="00E0088F">
              <w:rPr>
                <w:lang w:val="fr-CH"/>
              </w:rPr>
              <w:t>MOD</w:t>
            </w:r>
          </w:p>
        </w:tc>
      </w:tr>
      <w:tr w:rsidR="002151C3" w:rsidRPr="00E0088F" w14:paraId="65D3EB3F"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4513596" w14:textId="77777777" w:rsidR="002151C3" w:rsidRPr="00E0088F" w:rsidRDefault="002151C3" w:rsidP="006C5A84">
            <w:pPr>
              <w:pStyle w:val="Tabletext"/>
              <w:jc w:val="center"/>
              <w:rPr>
                <w:lang w:val="fr-CH"/>
              </w:rPr>
            </w:pPr>
            <w:r w:rsidRPr="00E0088F">
              <w:rPr>
                <w:lang w:val="fr-CH"/>
              </w:rPr>
              <w:t>647</w:t>
            </w:r>
          </w:p>
        </w:tc>
        <w:tc>
          <w:tcPr>
            <w:tcW w:w="2551" w:type="dxa"/>
            <w:tcBorders>
              <w:top w:val="single" w:sz="6" w:space="0" w:color="auto"/>
              <w:left w:val="single" w:sz="6" w:space="0" w:color="auto"/>
              <w:bottom w:val="single" w:sz="6" w:space="0" w:color="auto"/>
              <w:right w:val="single" w:sz="6" w:space="0" w:color="auto"/>
            </w:tcBorders>
            <w:hideMark/>
          </w:tcPr>
          <w:p w14:paraId="6A81A836" w14:textId="77777777" w:rsidR="002151C3" w:rsidRPr="00E0088F" w:rsidRDefault="002151C3" w:rsidP="006C5A84">
            <w:pPr>
              <w:pStyle w:val="Tabletext"/>
              <w:rPr>
                <w:lang w:val="fr-CH"/>
              </w:rPr>
            </w:pPr>
            <w:r w:rsidRPr="00E0088F">
              <w:rPr>
                <w:lang w:val="fr-CH"/>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tc>
        <w:tc>
          <w:tcPr>
            <w:tcW w:w="3625" w:type="dxa"/>
            <w:tcBorders>
              <w:top w:val="single" w:sz="6" w:space="0" w:color="auto"/>
              <w:left w:val="single" w:sz="6" w:space="0" w:color="auto"/>
              <w:bottom w:val="single" w:sz="6" w:space="0" w:color="auto"/>
              <w:right w:val="single" w:sz="6" w:space="0" w:color="auto"/>
            </w:tcBorders>
            <w:hideMark/>
          </w:tcPr>
          <w:p w14:paraId="0B1F0F0A" w14:textId="77777777" w:rsidR="002151C3" w:rsidRPr="00E0088F" w:rsidRDefault="002151C3" w:rsidP="006C5A84">
            <w:pPr>
              <w:pStyle w:val="Tabletext"/>
              <w:rPr>
                <w:lang w:val="fr-CH"/>
              </w:rPr>
            </w:pPr>
            <w:r w:rsidRPr="00E0088F">
              <w:rPr>
                <w:lang w:val="fr-CH"/>
              </w:rPr>
              <w:t xml:space="preserve">(Rév.CMR-15). A toujours lieu d'être; La relation entre cette Résolution et la Résolution </w:t>
            </w:r>
            <w:r w:rsidRPr="00E0088F">
              <w:rPr>
                <w:b/>
                <w:bCs/>
                <w:lang w:val="fr-CH"/>
              </w:rPr>
              <w:t>646</w:t>
            </w:r>
            <w:r w:rsidRPr="00E0088F">
              <w:rPr>
                <w:lang w:val="fr-CH"/>
              </w:rPr>
              <w:t xml:space="preserve"> (</w:t>
            </w:r>
            <w:r w:rsidRPr="00E0088F">
              <w:rPr>
                <w:b/>
                <w:bCs/>
                <w:lang w:val="fr-CH"/>
              </w:rPr>
              <w:t>Rév.CMR-15</w:t>
            </w:r>
            <w:r w:rsidRPr="00E0088F">
              <w:rPr>
                <w:lang w:val="fr-CH"/>
              </w:rPr>
              <w:t>) doit être revue. Dans l'esprit de l'actuelle note de bas de page 3, une nouvelle note de bas de page, renvoyant à la page web contenant le texte de l'UIT-R pertinent, par exemple (</w:t>
            </w:r>
            <w:hyperlink r:id="rId12" w:history="1">
              <w:r w:rsidRPr="00E0088F">
                <w:rPr>
                  <w:rStyle w:val="Hyperlink"/>
                  <w:rFonts w:eastAsia="MS Mincho"/>
                  <w:lang w:val="fr-CH"/>
                </w:rPr>
                <w:t>http://www.itu.int/en/ITU-R/information/Pages/res647.aspx</w:t>
              </w:r>
            </w:hyperlink>
            <w:r w:rsidRPr="00E0088F">
              <w:rPr>
                <w:lang w:val="fr-CH"/>
              </w:rPr>
              <w:t xml:space="preserve">) pourra également être ajoutée au point </w:t>
            </w:r>
            <w:r w:rsidRPr="00E0088F">
              <w:rPr>
                <w:i/>
                <w:iCs/>
                <w:lang w:val="fr-CH"/>
              </w:rPr>
              <w:t>a)</w:t>
            </w:r>
            <w:r w:rsidRPr="00E0088F">
              <w:rPr>
                <w:lang w:val="fr-CH"/>
              </w:rPr>
              <w:t xml:space="preserve"> du </w:t>
            </w:r>
            <w:r w:rsidRPr="00E0088F">
              <w:rPr>
                <w:i/>
                <w:iCs/>
                <w:lang w:val="fr-CH"/>
              </w:rPr>
              <w:t>reconnaissant en outre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190A9EE" w14:textId="77777777" w:rsidR="002151C3" w:rsidRPr="00E0088F" w:rsidRDefault="002151C3" w:rsidP="006C5A84">
            <w:pPr>
              <w:pStyle w:val="Tabletext"/>
              <w:jc w:val="center"/>
              <w:rPr>
                <w:lang w:val="fr-CH"/>
              </w:rPr>
            </w:pPr>
            <w:r w:rsidRPr="00E0088F">
              <w:rPr>
                <w:lang w:val="fr-CH"/>
              </w:rPr>
              <w:t>MOD</w:t>
            </w:r>
          </w:p>
        </w:tc>
      </w:tr>
      <w:tr w:rsidR="002151C3" w:rsidRPr="00E0088F" w14:paraId="3B98545C"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0DF4BD49" w14:textId="77777777" w:rsidR="002151C3" w:rsidRPr="00E0088F" w:rsidRDefault="002151C3" w:rsidP="006C5A84">
            <w:pPr>
              <w:pStyle w:val="Tabletext"/>
              <w:jc w:val="center"/>
              <w:rPr>
                <w:lang w:val="fr-CH"/>
              </w:rPr>
            </w:pPr>
            <w:r w:rsidRPr="00E0088F">
              <w:rPr>
                <w:lang w:val="fr-CH"/>
              </w:rPr>
              <w:t>655</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10E547E" w14:textId="77777777" w:rsidR="002151C3" w:rsidRPr="00E0088F" w:rsidRDefault="002151C3" w:rsidP="006C5A84">
            <w:pPr>
              <w:pStyle w:val="Tabletext"/>
              <w:rPr>
                <w:lang w:val="fr-CH"/>
              </w:rPr>
            </w:pPr>
            <w:r w:rsidRPr="00E0088F">
              <w:rPr>
                <w:lang w:val="fr-CH"/>
              </w:rPr>
              <w:t>Définition d'une échelle de temps et diffusion de signaux horaires à l'aide de systèmes de radiocommunication</w:t>
            </w:r>
          </w:p>
        </w:tc>
        <w:tc>
          <w:tcPr>
            <w:tcW w:w="3625" w:type="dxa"/>
            <w:tcBorders>
              <w:top w:val="single" w:sz="6" w:space="0" w:color="auto"/>
              <w:left w:val="single" w:sz="6" w:space="0" w:color="auto"/>
              <w:bottom w:val="single" w:sz="6" w:space="0" w:color="auto"/>
              <w:right w:val="single" w:sz="6" w:space="0" w:color="auto"/>
            </w:tcBorders>
            <w:shd w:val="clear" w:color="auto" w:fill="auto"/>
            <w:hideMark/>
          </w:tcPr>
          <w:p w14:paraId="1DCC1761" w14:textId="77777777" w:rsidR="002151C3" w:rsidRPr="00E0088F" w:rsidRDefault="002151C3" w:rsidP="006C5A84">
            <w:pPr>
              <w:pStyle w:val="Tabletext"/>
              <w:rPr>
                <w:lang w:val="fr-CH"/>
              </w:rPr>
            </w:pPr>
            <w:r w:rsidRPr="00E0088F">
              <w:rPr>
                <w:lang w:val="fr-CH"/>
              </w:rPr>
              <w:t xml:space="preserve">(CMR-15). A toujours lieu d'être. Cette Résolution est citée au numéro </w:t>
            </w:r>
            <w:r w:rsidRPr="00E0088F">
              <w:rPr>
                <w:b/>
                <w:bCs/>
                <w:lang w:val="fr-CH"/>
              </w:rPr>
              <w:t>1.14</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auto"/>
            <w:hideMark/>
          </w:tcPr>
          <w:p w14:paraId="39A9A128" w14:textId="77777777" w:rsidR="002151C3" w:rsidRPr="00E0088F" w:rsidRDefault="002151C3" w:rsidP="006C5A84">
            <w:pPr>
              <w:pStyle w:val="Tabletext"/>
              <w:jc w:val="center"/>
              <w:rPr>
                <w:lang w:val="fr-CH"/>
              </w:rPr>
            </w:pPr>
            <w:r w:rsidRPr="00E0088F">
              <w:rPr>
                <w:lang w:val="fr-CH"/>
              </w:rPr>
              <w:t>NOC</w:t>
            </w:r>
          </w:p>
        </w:tc>
      </w:tr>
      <w:tr w:rsidR="002151C3" w:rsidRPr="00E0088F" w14:paraId="38F1CF08"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DE920E4" w14:textId="77777777" w:rsidR="002151C3" w:rsidRPr="00E0088F" w:rsidRDefault="002151C3" w:rsidP="006C5A84">
            <w:pPr>
              <w:pStyle w:val="Tabletext"/>
              <w:jc w:val="center"/>
              <w:rPr>
                <w:lang w:val="fr-CH"/>
              </w:rPr>
            </w:pPr>
            <w:r w:rsidRPr="00E0088F">
              <w:rPr>
                <w:lang w:val="fr-CH"/>
              </w:rPr>
              <w:t>656</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39FB201" w14:textId="77777777" w:rsidR="002151C3" w:rsidRPr="00E0088F" w:rsidRDefault="002151C3" w:rsidP="006C5A84">
            <w:pPr>
              <w:pStyle w:val="Tabletext"/>
              <w:rPr>
                <w:lang w:val="fr-CH"/>
              </w:rPr>
            </w:pPr>
            <w:r w:rsidRPr="00E0088F">
              <w:rPr>
                <w:lang w:val="fr-CH"/>
              </w:rPr>
              <w:t>Attribution éventuelle au service d'exploration de la Terre par satellite (active) pour les sondeurs radar spatioportés dans la gamme de fréquences au voisinage de 45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7CAEC6" w14:textId="05A98C4A" w:rsidR="002151C3" w:rsidRPr="00E0088F" w:rsidRDefault="002151C3" w:rsidP="006C5A84">
            <w:pPr>
              <w:pStyle w:val="Tabletext"/>
              <w:rPr>
                <w:lang w:val="fr-CH"/>
              </w:rPr>
            </w:pPr>
            <w:r w:rsidRPr="00E0088F">
              <w:rPr>
                <w:lang w:val="fr-CH"/>
              </w:rPr>
              <w:t>(CMR-15). Cette Résolution est mentionnée au point 2.2 de l'ordre du jour préliminaire de la CMR-23 (voir la Rés.</w:t>
            </w:r>
            <w:r w:rsidR="00F31DA0" w:rsidRPr="00E0088F">
              <w:rPr>
                <w:lang w:val="fr-CH"/>
              </w:rPr>
              <w:t> </w:t>
            </w:r>
            <w:r w:rsidRPr="00E0088F">
              <w:rPr>
                <w:b/>
                <w:bCs/>
                <w:lang w:val="fr-CH"/>
              </w:rPr>
              <w:t>810 (CMR-15)</w:t>
            </w:r>
            <w:r w:rsidRPr="00E0088F">
              <w:rPr>
                <w:lang w:val="fr-CH"/>
              </w:rPr>
              <w:t>). Cette Résolution ne devrait pas être modifiée.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49B6AD" w14:textId="77777777" w:rsidR="002151C3" w:rsidRPr="00E0088F" w:rsidRDefault="002151C3" w:rsidP="006C5A84">
            <w:pPr>
              <w:pStyle w:val="Tabletext"/>
              <w:jc w:val="center"/>
              <w:rPr>
                <w:lang w:val="fr-CH"/>
              </w:rPr>
            </w:pPr>
            <w:r w:rsidRPr="00E0088F">
              <w:rPr>
                <w:lang w:val="fr-CH"/>
              </w:rPr>
              <w:t>NOC</w:t>
            </w:r>
          </w:p>
        </w:tc>
      </w:tr>
      <w:tr w:rsidR="002151C3" w:rsidRPr="00E0088F" w14:paraId="1D6C6422"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2FA04AFC" w14:textId="77777777" w:rsidR="002151C3" w:rsidRPr="00E0088F" w:rsidRDefault="002151C3" w:rsidP="006C5A84">
            <w:pPr>
              <w:pStyle w:val="Tabletext"/>
              <w:jc w:val="center"/>
              <w:rPr>
                <w:lang w:val="fr-CH"/>
              </w:rPr>
            </w:pPr>
            <w:r w:rsidRPr="00E0088F">
              <w:rPr>
                <w:lang w:val="fr-CH"/>
              </w:rPr>
              <w:lastRenderedPageBreak/>
              <w:t>657</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36980A9" w14:textId="77777777" w:rsidR="002151C3" w:rsidRPr="00E0088F" w:rsidRDefault="002151C3" w:rsidP="006C5A84">
            <w:pPr>
              <w:pStyle w:val="Tabletext"/>
              <w:rPr>
                <w:lang w:val="fr-CH"/>
              </w:rPr>
            </w:pPr>
            <w:r w:rsidRPr="00E0088F">
              <w:rPr>
                <w:lang w:val="fr-CH"/>
              </w:rPr>
              <w:t>Besoins de fréquences et protection des capteurs de météorologie spatiale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79A86F" w14:textId="2866CA11" w:rsidR="002151C3" w:rsidRPr="00E0088F" w:rsidRDefault="002151C3" w:rsidP="006C5A84">
            <w:pPr>
              <w:pStyle w:val="Tabletext"/>
              <w:rPr>
                <w:lang w:val="fr-CH"/>
              </w:rPr>
            </w:pPr>
            <w:r w:rsidRPr="00E0088F">
              <w:rPr>
                <w:lang w:val="fr-CH"/>
              </w:rPr>
              <w:t>(CMR-15). Cette Résolution est mentionnée au point 2.3 de l'ordre du jour préliminaire de la CMR-23 (voir la Rés.</w:t>
            </w:r>
            <w:r w:rsidR="00F31DA0" w:rsidRPr="00E0088F">
              <w:rPr>
                <w:lang w:val="fr-CH"/>
              </w:rPr>
              <w:t> </w:t>
            </w:r>
            <w:r w:rsidRPr="00E0088F">
              <w:rPr>
                <w:b/>
                <w:bCs/>
                <w:lang w:val="fr-CH"/>
              </w:rPr>
              <w:t>810 (CMR-15)</w:t>
            </w:r>
            <w:r w:rsidRPr="00E0088F">
              <w:rPr>
                <w:lang w:val="fr-CH"/>
              </w:rPr>
              <w:t>). Cette Résolution ne devrait pas être modifiée.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3FB0BE" w14:textId="77777777" w:rsidR="002151C3" w:rsidRPr="00E0088F" w:rsidRDefault="002151C3" w:rsidP="006C5A84">
            <w:pPr>
              <w:pStyle w:val="Tabletext"/>
              <w:jc w:val="center"/>
              <w:rPr>
                <w:lang w:val="fr-CH"/>
              </w:rPr>
            </w:pPr>
            <w:r w:rsidRPr="00E0088F">
              <w:rPr>
                <w:lang w:val="fr-CH"/>
              </w:rPr>
              <w:t>NOC</w:t>
            </w:r>
          </w:p>
        </w:tc>
      </w:tr>
      <w:tr w:rsidR="002151C3" w:rsidRPr="00E0088F" w14:paraId="3C423210"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624A3089" w14:textId="77777777" w:rsidR="002151C3" w:rsidRPr="00E0088F" w:rsidRDefault="002151C3" w:rsidP="006C5A84">
            <w:pPr>
              <w:pStyle w:val="Tabletext"/>
              <w:jc w:val="center"/>
              <w:rPr>
                <w:lang w:val="fr-CH"/>
              </w:rPr>
            </w:pPr>
            <w:r w:rsidRPr="00E0088F">
              <w:rPr>
                <w:lang w:val="fr-CH"/>
              </w:rPr>
              <w:t>658</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334DCD9" w14:textId="77777777" w:rsidR="002151C3" w:rsidRPr="00E0088F" w:rsidRDefault="002151C3" w:rsidP="006C5A84">
            <w:pPr>
              <w:pStyle w:val="Tabletext"/>
              <w:rPr>
                <w:lang w:val="fr-CH"/>
              </w:rPr>
            </w:pPr>
            <w:r w:rsidRPr="00E0088F">
              <w:rPr>
                <w:lang w:val="fr-CH"/>
              </w:rPr>
              <w:t>Attribution de la bande de fréquences 50-54 MHz au service d'amateur dans la Région 1</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094BF2" w14:textId="47AA30BD" w:rsidR="002151C3" w:rsidRPr="00E0088F" w:rsidRDefault="002151C3" w:rsidP="006C5A84">
            <w:pPr>
              <w:pStyle w:val="Tabletext"/>
              <w:rPr>
                <w:lang w:val="fr-CH"/>
              </w:rPr>
            </w:pPr>
            <w:r w:rsidRPr="00E0088F">
              <w:rPr>
                <w:lang w:val="fr-CH"/>
              </w:rPr>
              <w:t>(CMR</w:t>
            </w:r>
            <w:r w:rsidRPr="00E0088F">
              <w:rPr>
                <w:lang w:val="fr-CH"/>
              </w:rPr>
              <w:noBreakHyphen/>
              <w:t xml:space="preserve">15). </w:t>
            </w:r>
            <w:r w:rsidR="00441D54" w:rsidRPr="00E0088F">
              <w:rPr>
                <w:lang w:val="fr-CH"/>
              </w:rPr>
              <w:t xml:space="preserve">À l'issue de l'examen du </w:t>
            </w:r>
            <w:r w:rsidRPr="00E0088F">
              <w:rPr>
                <w:b/>
                <w:bCs/>
                <w:lang w:val="fr-CH"/>
              </w:rPr>
              <w:t>point</w:t>
            </w:r>
            <w:r w:rsidR="00F31DA0" w:rsidRPr="00E0088F">
              <w:rPr>
                <w:b/>
                <w:bCs/>
                <w:lang w:val="fr-CH"/>
              </w:rPr>
              <w:t> </w:t>
            </w:r>
            <w:r w:rsidRPr="00E0088F">
              <w:rPr>
                <w:b/>
                <w:bCs/>
                <w:lang w:val="fr-CH"/>
              </w:rPr>
              <w:t>1.1 de l'ordre du jour</w:t>
            </w:r>
            <w:r w:rsidRPr="00E0088F">
              <w:rPr>
                <w:lang w:val="fr-CH"/>
              </w:rPr>
              <w:t xml:space="preserve"> de la CMR-19, aucune proposition concernant cette Résolution</w:t>
            </w:r>
            <w:r w:rsidR="0040191B" w:rsidRPr="00E0088F">
              <w:rPr>
                <w:lang w:val="fr-CH"/>
              </w:rPr>
              <w:t xml:space="preserve"> n</w:t>
            </w:r>
            <w:r w:rsidR="006C5A84" w:rsidRPr="00E0088F">
              <w:rPr>
                <w:lang w:val="fr-CH"/>
              </w:rPr>
              <w:t>'</w:t>
            </w:r>
            <w:r w:rsidR="0040191B" w:rsidRPr="00E0088F">
              <w:rPr>
                <w:lang w:val="fr-CH"/>
              </w:rPr>
              <w:t>est faite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B357F5" w14:textId="77777777" w:rsidR="002151C3" w:rsidRPr="00E0088F" w:rsidRDefault="002151C3" w:rsidP="006C5A84">
            <w:pPr>
              <w:pStyle w:val="Tabletext"/>
              <w:jc w:val="center"/>
              <w:rPr>
                <w:lang w:val="fr-CH"/>
              </w:rPr>
            </w:pPr>
            <w:r w:rsidRPr="00E0088F">
              <w:rPr>
                <w:lang w:val="fr-CH"/>
              </w:rPr>
              <w:t>---</w:t>
            </w:r>
          </w:p>
        </w:tc>
      </w:tr>
      <w:tr w:rsidR="002151C3" w:rsidRPr="00E0088F" w14:paraId="5CC8DD3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2876468" w14:textId="77777777" w:rsidR="002151C3" w:rsidRPr="00E0088F" w:rsidRDefault="002151C3" w:rsidP="006C5A84">
            <w:pPr>
              <w:pStyle w:val="Tabletext"/>
              <w:jc w:val="center"/>
              <w:rPr>
                <w:lang w:val="fr-CH"/>
              </w:rPr>
            </w:pPr>
            <w:r w:rsidRPr="00E0088F">
              <w:rPr>
                <w:lang w:val="fr-CH"/>
              </w:rPr>
              <w:t>659</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F23C665" w14:textId="77777777" w:rsidR="002151C3" w:rsidRPr="00E0088F" w:rsidRDefault="002151C3" w:rsidP="006C5A84">
            <w:pPr>
              <w:pStyle w:val="Tabletext"/>
              <w:rPr>
                <w:lang w:val="fr-CH"/>
              </w:rPr>
            </w:pPr>
            <w:r w:rsidRPr="00E0088F">
              <w:rPr>
                <w:lang w:val="fr-CH"/>
              </w:rPr>
              <w:t>Études visant à répondre aux besoins du service d'exploitation spatiale pour les satellites non géostationnaires associés à des missions de courte durée</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7ED7A7" w14:textId="4DE6809B" w:rsidR="002151C3" w:rsidRPr="00E0088F" w:rsidRDefault="002151C3" w:rsidP="006C5A84">
            <w:pPr>
              <w:pStyle w:val="Tabletext"/>
              <w:rPr>
                <w:lang w:val="fr-CH"/>
              </w:rPr>
            </w:pPr>
            <w:r w:rsidRPr="00E0088F">
              <w:rPr>
                <w:lang w:val="fr-CH"/>
              </w:rPr>
              <w:t>(CMR</w:t>
            </w:r>
            <w:r w:rsidRPr="00E0088F">
              <w:rPr>
                <w:lang w:val="fr-CH"/>
              </w:rPr>
              <w:noBreakHyphen/>
              <w:t xml:space="preserve">15). </w:t>
            </w:r>
            <w:r w:rsidR="00441D54" w:rsidRPr="00E0088F">
              <w:rPr>
                <w:lang w:val="fr-CH"/>
              </w:rPr>
              <w:t>À l'issue de l'examen du</w:t>
            </w:r>
            <w:r w:rsidRPr="00E0088F">
              <w:rPr>
                <w:lang w:val="fr-CH"/>
              </w:rPr>
              <w:t xml:space="preserve"> </w:t>
            </w:r>
            <w:r w:rsidRPr="00E0088F">
              <w:rPr>
                <w:b/>
                <w:bCs/>
                <w:lang w:val="fr-CH"/>
              </w:rPr>
              <w:t>point</w:t>
            </w:r>
            <w:r w:rsidR="00F31DA0" w:rsidRPr="00E0088F">
              <w:rPr>
                <w:b/>
                <w:bCs/>
                <w:lang w:val="fr-CH"/>
              </w:rPr>
              <w:t> </w:t>
            </w:r>
            <w:r w:rsidRPr="00E0088F">
              <w:rPr>
                <w:b/>
                <w:bCs/>
                <w:lang w:val="fr-CH"/>
              </w:rPr>
              <w:t>1.7 de l'ordre du jour</w:t>
            </w:r>
            <w:r w:rsidRPr="00E0088F">
              <w:rPr>
                <w:lang w:val="fr-CH"/>
              </w:rPr>
              <w:t xml:space="preserve"> de la CMR-19, aucune proposition concernant cette Résolution</w:t>
            </w:r>
            <w:r w:rsidR="0040191B" w:rsidRPr="00E0088F">
              <w:rPr>
                <w:lang w:val="fr-CH"/>
              </w:rPr>
              <w:t xml:space="preserve"> n</w:t>
            </w:r>
            <w:r w:rsidR="006C5A84" w:rsidRPr="00E0088F">
              <w:rPr>
                <w:lang w:val="fr-CH"/>
              </w:rPr>
              <w:t>'</w:t>
            </w:r>
            <w:r w:rsidR="0040191B" w:rsidRPr="00E0088F">
              <w:rPr>
                <w:lang w:val="fr-CH"/>
              </w:rPr>
              <w:t>est faite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23D5AB" w14:textId="77777777" w:rsidR="002151C3" w:rsidRPr="00E0088F" w:rsidRDefault="002151C3" w:rsidP="006C5A84">
            <w:pPr>
              <w:pStyle w:val="Tabletext"/>
              <w:jc w:val="center"/>
              <w:rPr>
                <w:lang w:val="fr-CH"/>
              </w:rPr>
            </w:pPr>
            <w:r w:rsidRPr="00E0088F">
              <w:rPr>
                <w:lang w:val="fr-CH"/>
              </w:rPr>
              <w:t>---</w:t>
            </w:r>
          </w:p>
        </w:tc>
      </w:tr>
      <w:tr w:rsidR="002151C3" w:rsidRPr="00E0088F" w14:paraId="094B2A0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0DB1D29" w14:textId="77777777" w:rsidR="002151C3" w:rsidRPr="00E0088F" w:rsidRDefault="002151C3" w:rsidP="006C5A84">
            <w:pPr>
              <w:pStyle w:val="Tabletext"/>
              <w:jc w:val="center"/>
              <w:rPr>
                <w:lang w:val="fr-CH"/>
              </w:rPr>
            </w:pPr>
            <w:r w:rsidRPr="00E0088F">
              <w:rPr>
                <w:lang w:val="fr-CH"/>
              </w:rPr>
              <w:t>673</w:t>
            </w:r>
          </w:p>
        </w:tc>
        <w:tc>
          <w:tcPr>
            <w:tcW w:w="2551" w:type="dxa"/>
            <w:tcBorders>
              <w:top w:val="single" w:sz="6" w:space="0" w:color="auto"/>
              <w:left w:val="single" w:sz="6" w:space="0" w:color="auto"/>
              <w:bottom w:val="single" w:sz="6" w:space="0" w:color="auto"/>
              <w:right w:val="single" w:sz="6" w:space="0" w:color="auto"/>
            </w:tcBorders>
            <w:hideMark/>
          </w:tcPr>
          <w:p w14:paraId="10FA7EBF" w14:textId="77777777" w:rsidR="002151C3" w:rsidRPr="00E0088F" w:rsidRDefault="002151C3" w:rsidP="006C5A84">
            <w:pPr>
              <w:pStyle w:val="Tabletext"/>
              <w:rPr>
                <w:lang w:val="fr-CH"/>
              </w:rPr>
            </w:pPr>
            <w:r w:rsidRPr="00E0088F">
              <w:rPr>
                <w:lang w:val="fr-CH"/>
              </w:rPr>
              <w:t>Applications liées à l'observation de la Terre</w:t>
            </w:r>
          </w:p>
        </w:tc>
        <w:tc>
          <w:tcPr>
            <w:tcW w:w="3625" w:type="dxa"/>
            <w:tcBorders>
              <w:top w:val="single" w:sz="6" w:space="0" w:color="auto"/>
              <w:left w:val="single" w:sz="6" w:space="0" w:color="auto"/>
              <w:bottom w:val="single" w:sz="6" w:space="0" w:color="auto"/>
              <w:right w:val="single" w:sz="6" w:space="0" w:color="auto"/>
            </w:tcBorders>
            <w:hideMark/>
          </w:tcPr>
          <w:p w14:paraId="74DD187C" w14:textId="77777777" w:rsidR="002151C3" w:rsidRPr="00E0088F" w:rsidRDefault="002151C3" w:rsidP="006C5A84">
            <w:pPr>
              <w:pStyle w:val="Tabletext"/>
              <w:rPr>
                <w:lang w:val="fr-CH"/>
              </w:rPr>
            </w:pPr>
            <w:r w:rsidRPr="00E0088F">
              <w:rPr>
                <w:lang w:val="fr-CH"/>
              </w:rPr>
              <w:t>(Rév.CMR-12). A toujours lieu d'être. Le texte a été mis à jour à la CMR-12. Cette Résolution est citée dans le numéro</w:t>
            </w:r>
            <w:r w:rsidRPr="00E0088F">
              <w:rPr>
                <w:bCs/>
                <w:szCs w:val="22"/>
                <w:lang w:val="fr-CH"/>
              </w:rPr>
              <w:t> </w:t>
            </w:r>
            <w:r w:rsidRPr="00E0088F">
              <w:rPr>
                <w:rFonts w:eastAsiaTheme="minorEastAsia"/>
                <w:b/>
                <w:bCs/>
                <w:szCs w:val="22"/>
                <w:lang w:val="fr-CH" w:eastAsia="ja-JP"/>
              </w:rPr>
              <w:t>29A.1</w:t>
            </w:r>
            <w:r w:rsidRPr="00E0088F">
              <w:rPr>
                <w:rFonts w:eastAsia="Malgun Gothic"/>
                <w:bCs/>
                <w:szCs w:val="22"/>
                <w:lang w:val="fr-CH" w:eastAsia="ko-KR"/>
              </w:rPr>
              <w:t>.</w:t>
            </w:r>
          </w:p>
        </w:tc>
        <w:tc>
          <w:tcPr>
            <w:tcW w:w="2045" w:type="dxa"/>
            <w:tcBorders>
              <w:top w:val="single" w:sz="6" w:space="0" w:color="auto"/>
              <w:left w:val="single" w:sz="6" w:space="0" w:color="auto"/>
              <w:bottom w:val="single" w:sz="6" w:space="0" w:color="auto"/>
              <w:right w:val="single" w:sz="6" w:space="0" w:color="auto"/>
            </w:tcBorders>
            <w:hideMark/>
          </w:tcPr>
          <w:p w14:paraId="6101489A" w14:textId="77777777" w:rsidR="002151C3" w:rsidRPr="00E0088F" w:rsidRDefault="002151C3" w:rsidP="006C5A84">
            <w:pPr>
              <w:pStyle w:val="Tabletext"/>
              <w:jc w:val="center"/>
              <w:rPr>
                <w:lang w:val="fr-CH"/>
              </w:rPr>
            </w:pPr>
            <w:r w:rsidRPr="00E0088F">
              <w:rPr>
                <w:lang w:val="fr-CH"/>
              </w:rPr>
              <w:t>NOC</w:t>
            </w:r>
          </w:p>
        </w:tc>
      </w:tr>
      <w:tr w:rsidR="002151C3" w:rsidRPr="00E0088F" w14:paraId="4F574CD3"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397AEC7" w14:textId="77777777" w:rsidR="002151C3" w:rsidRPr="00E0088F" w:rsidRDefault="002151C3" w:rsidP="006C5A84">
            <w:pPr>
              <w:pStyle w:val="Tabletext"/>
              <w:jc w:val="center"/>
              <w:rPr>
                <w:lang w:val="fr-CH"/>
              </w:rPr>
            </w:pPr>
            <w:r w:rsidRPr="00E0088F">
              <w:rPr>
                <w:lang w:val="fr-CH"/>
              </w:rPr>
              <w:t>703</w:t>
            </w:r>
          </w:p>
        </w:tc>
        <w:tc>
          <w:tcPr>
            <w:tcW w:w="2551" w:type="dxa"/>
            <w:tcBorders>
              <w:top w:val="single" w:sz="6" w:space="0" w:color="auto"/>
              <w:left w:val="single" w:sz="6" w:space="0" w:color="auto"/>
              <w:bottom w:val="single" w:sz="6" w:space="0" w:color="auto"/>
              <w:right w:val="single" w:sz="6" w:space="0" w:color="auto"/>
            </w:tcBorders>
            <w:hideMark/>
          </w:tcPr>
          <w:p w14:paraId="0D18BB2C" w14:textId="77777777" w:rsidR="002151C3" w:rsidRPr="00E0088F" w:rsidRDefault="002151C3" w:rsidP="006C5A84">
            <w:pPr>
              <w:pStyle w:val="Tabletext"/>
              <w:rPr>
                <w:lang w:val="fr-CH"/>
              </w:rPr>
            </w:pPr>
            <w:r w:rsidRPr="00E0088F">
              <w:rPr>
                <w:lang w:val="fr-CH"/>
              </w:rPr>
              <w:t>Critères de brouillage pour les bandes utilisées en partage</w:t>
            </w:r>
          </w:p>
        </w:tc>
        <w:tc>
          <w:tcPr>
            <w:tcW w:w="3625" w:type="dxa"/>
            <w:tcBorders>
              <w:top w:val="single" w:sz="6" w:space="0" w:color="auto"/>
              <w:left w:val="single" w:sz="6" w:space="0" w:color="auto"/>
              <w:bottom w:val="single" w:sz="6" w:space="0" w:color="auto"/>
              <w:right w:val="single" w:sz="6" w:space="0" w:color="auto"/>
            </w:tcBorders>
            <w:hideMark/>
          </w:tcPr>
          <w:p w14:paraId="08D14747" w14:textId="77777777" w:rsidR="002151C3" w:rsidRPr="00E0088F" w:rsidRDefault="002151C3" w:rsidP="006C5A84">
            <w:pPr>
              <w:pStyle w:val="Tabletext"/>
              <w:rPr>
                <w:lang w:val="fr-CH"/>
              </w:rPr>
            </w:pPr>
            <w:r w:rsidRPr="00E0088F">
              <w:rPr>
                <w:lang w:val="fr-CH"/>
              </w:rPr>
              <w:t xml:space="preserve">(Rév.CMR-07). A toujours lieu d'être. Cette résolution est citée dans la Résolution </w:t>
            </w:r>
            <w:r w:rsidRPr="00E0088F">
              <w:rPr>
                <w:b/>
                <w:lang w:val="fr-CH"/>
              </w:rPr>
              <w:t>33 (Rév.CMR-15)</w:t>
            </w:r>
            <w:r w:rsidRPr="00E0088F">
              <w:rPr>
                <w:lang w:val="fr-CH"/>
              </w:rPr>
              <w:t xml:space="preserve">, </w:t>
            </w:r>
            <w:r w:rsidRPr="00E0088F">
              <w:rPr>
                <w:b/>
                <w:lang w:val="fr-CH"/>
              </w:rPr>
              <w:t>34 (Rév.CMR-15)</w:t>
            </w:r>
            <w:r w:rsidRPr="00E0088F">
              <w:rPr>
                <w:lang w:val="fr-CH"/>
              </w:rPr>
              <w:t xml:space="preserve"> et </w:t>
            </w:r>
            <w:r w:rsidRPr="00E0088F">
              <w:rPr>
                <w:b/>
                <w:lang w:val="fr-CH"/>
              </w:rPr>
              <w:t>528 (Rév.CMR-15)</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5FA81C6C" w14:textId="77777777" w:rsidR="002151C3" w:rsidRPr="00E0088F" w:rsidRDefault="002151C3" w:rsidP="006C5A84">
            <w:pPr>
              <w:pStyle w:val="Tabletext"/>
              <w:jc w:val="center"/>
              <w:rPr>
                <w:lang w:val="fr-CH"/>
              </w:rPr>
            </w:pPr>
            <w:r w:rsidRPr="00E0088F">
              <w:rPr>
                <w:lang w:val="fr-CH"/>
              </w:rPr>
              <w:t>NOC</w:t>
            </w:r>
          </w:p>
        </w:tc>
      </w:tr>
      <w:tr w:rsidR="002151C3" w:rsidRPr="00E0088F" w14:paraId="689CE4EF"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32B2293" w14:textId="77777777" w:rsidR="002151C3" w:rsidRPr="00E0088F" w:rsidRDefault="002151C3" w:rsidP="006C5A84">
            <w:pPr>
              <w:pStyle w:val="Tabletext"/>
              <w:jc w:val="center"/>
              <w:rPr>
                <w:lang w:val="fr-CH"/>
              </w:rPr>
            </w:pPr>
            <w:r w:rsidRPr="00E0088F">
              <w:rPr>
                <w:lang w:val="fr-CH"/>
              </w:rPr>
              <w:t>705</w:t>
            </w:r>
          </w:p>
        </w:tc>
        <w:tc>
          <w:tcPr>
            <w:tcW w:w="2551" w:type="dxa"/>
            <w:tcBorders>
              <w:top w:val="single" w:sz="6" w:space="0" w:color="auto"/>
              <w:left w:val="single" w:sz="6" w:space="0" w:color="auto"/>
              <w:bottom w:val="single" w:sz="6" w:space="0" w:color="auto"/>
              <w:right w:val="single" w:sz="6" w:space="0" w:color="auto"/>
            </w:tcBorders>
            <w:hideMark/>
          </w:tcPr>
          <w:p w14:paraId="08DA5F23" w14:textId="77777777" w:rsidR="002151C3" w:rsidRPr="00E0088F" w:rsidRDefault="002151C3" w:rsidP="006C5A84">
            <w:pPr>
              <w:pStyle w:val="Tabletext"/>
              <w:rPr>
                <w:lang w:val="fr-CH"/>
              </w:rPr>
            </w:pPr>
            <w:r w:rsidRPr="00E0088F">
              <w:rPr>
                <w:lang w:val="fr-CH"/>
              </w:rPr>
              <w:t>Protection des services dans la bande 70-130 kHz</w:t>
            </w:r>
          </w:p>
        </w:tc>
        <w:tc>
          <w:tcPr>
            <w:tcW w:w="3625" w:type="dxa"/>
            <w:tcBorders>
              <w:top w:val="single" w:sz="6" w:space="0" w:color="auto"/>
              <w:left w:val="single" w:sz="6" w:space="0" w:color="auto"/>
              <w:bottom w:val="single" w:sz="6" w:space="0" w:color="auto"/>
              <w:right w:val="single" w:sz="6" w:space="0" w:color="auto"/>
            </w:tcBorders>
            <w:hideMark/>
          </w:tcPr>
          <w:p w14:paraId="3C806D40" w14:textId="77777777" w:rsidR="002151C3" w:rsidRPr="00E0088F" w:rsidRDefault="002151C3" w:rsidP="006C5A84">
            <w:pPr>
              <w:pStyle w:val="Tabletext"/>
              <w:rPr>
                <w:lang w:val="fr-CH"/>
              </w:rPr>
            </w:pPr>
            <w:r w:rsidRPr="00E0088F">
              <w:rPr>
                <w:lang w:val="fr-CH"/>
              </w:rPr>
              <w:t>(Rév.CMR-15). A toujours lieu d'être. Le texte a été mis à jour à la CMR-15.</w:t>
            </w:r>
          </w:p>
        </w:tc>
        <w:tc>
          <w:tcPr>
            <w:tcW w:w="2045" w:type="dxa"/>
            <w:tcBorders>
              <w:top w:val="single" w:sz="6" w:space="0" w:color="auto"/>
              <w:left w:val="single" w:sz="6" w:space="0" w:color="auto"/>
              <w:bottom w:val="single" w:sz="6" w:space="0" w:color="auto"/>
              <w:right w:val="single" w:sz="6" w:space="0" w:color="auto"/>
            </w:tcBorders>
            <w:hideMark/>
          </w:tcPr>
          <w:p w14:paraId="25EBF82F" w14:textId="77777777" w:rsidR="002151C3" w:rsidRPr="00E0088F" w:rsidRDefault="002151C3" w:rsidP="006C5A84">
            <w:pPr>
              <w:pStyle w:val="Tabletext"/>
              <w:jc w:val="center"/>
              <w:rPr>
                <w:lang w:val="fr-CH"/>
              </w:rPr>
            </w:pPr>
            <w:r w:rsidRPr="00E0088F">
              <w:rPr>
                <w:lang w:val="fr-CH"/>
              </w:rPr>
              <w:t>NOC</w:t>
            </w:r>
          </w:p>
        </w:tc>
      </w:tr>
      <w:tr w:rsidR="002151C3" w:rsidRPr="00E0088F" w14:paraId="51A64F93"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6079810" w14:textId="77777777" w:rsidR="002151C3" w:rsidRPr="00E0088F" w:rsidRDefault="002151C3" w:rsidP="006C5A84">
            <w:pPr>
              <w:pStyle w:val="Tabletext"/>
              <w:jc w:val="center"/>
              <w:rPr>
                <w:lang w:val="fr-CH"/>
              </w:rPr>
            </w:pPr>
            <w:r w:rsidRPr="00E0088F">
              <w:rPr>
                <w:lang w:val="fr-CH"/>
              </w:rPr>
              <w:t>716</w:t>
            </w:r>
          </w:p>
        </w:tc>
        <w:tc>
          <w:tcPr>
            <w:tcW w:w="2551" w:type="dxa"/>
            <w:tcBorders>
              <w:top w:val="single" w:sz="6" w:space="0" w:color="auto"/>
              <w:left w:val="single" w:sz="6" w:space="0" w:color="auto"/>
              <w:bottom w:val="single" w:sz="6" w:space="0" w:color="auto"/>
              <w:right w:val="single" w:sz="6" w:space="0" w:color="auto"/>
            </w:tcBorders>
            <w:hideMark/>
          </w:tcPr>
          <w:p w14:paraId="4C618596" w14:textId="77777777" w:rsidR="002151C3" w:rsidRPr="00E0088F" w:rsidRDefault="002151C3" w:rsidP="006C5A84">
            <w:pPr>
              <w:pStyle w:val="Tabletext"/>
              <w:rPr>
                <w:lang w:val="fr-CH"/>
              </w:rPr>
            </w:pPr>
            <w:r w:rsidRPr="00E0088F">
              <w:rPr>
                <w:lang w:val="fr-CH"/>
              </w:rPr>
              <w:t>Utilisation des bandes de fréquences autour de 2 GHz</w:t>
            </w:r>
          </w:p>
        </w:tc>
        <w:tc>
          <w:tcPr>
            <w:tcW w:w="3625" w:type="dxa"/>
            <w:tcBorders>
              <w:top w:val="single" w:sz="6" w:space="0" w:color="auto"/>
              <w:left w:val="single" w:sz="6" w:space="0" w:color="auto"/>
              <w:bottom w:val="single" w:sz="6" w:space="0" w:color="auto"/>
              <w:right w:val="single" w:sz="6" w:space="0" w:color="auto"/>
            </w:tcBorders>
            <w:hideMark/>
          </w:tcPr>
          <w:p w14:paraId="544EBB49" w14:textId="77777777" w:rsidR="002151C3" w:rsidRPr="00E0088F" w:rsidRDefault="002151C3" w:rsidP="006C5A84">
            <w:pPr>
              <w:pStyle w:val="Tabletext"/>
              <w:rPr>
                <w:lang w:val="fr-CH"/>
              </w:rPr>
            </w:pPr>
            <w:r w:rsidRPr="00E0088F">
              <w:rPr>
                <w:lang w:val="fr-CH"/>
              </w:rPr>
              <w:t xml:space="preserve">(Rév.CMR-12). A toujours lieu d'être. Cette Résolution est citée dans les numéros </w:t>
            </w:r>
            <w:r w:rsidRPr="00E0088F">
              <w:rPr>
                <w:b/>
                <w:lang w:val="fr-CH"/>
              </w:rPr>
              <w:t>5.389A</w:t>
            </w:r>
            <w:r w:rsidRPr="00E0088F">
              <w:rPr>
                <w:lang w:val="fr-CH"/>
              </w:rPr>
              <w:t xml:space="preserve"> et </w:t>
            </w:r>
            <w:r w:rsidRPr="00E0088F">
              <w:rPr>
                <w:b/>
                <w:lang w:val="fr-CH"/>
              </w:rPr>
              <w:t>5.389C</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6B73B9A8" w14:textId="77777777" w:rsidR="002151C3" w:rsidRPr="00E0088F" w:rsidRDefault="002151C3" w:rsidP="006C5A84">
            <w:pPr>
              <w:pStyle w:val="Tabletext"/>
              <w:jc w:val="center"/>
              <w:rPr>
                <w:lang w:val="fr-CH"/>
              </w:rPr>
            </w:pPr>
            <w:r w:rsidRPr="00E0088F">
              <w:rPr>
                <w:lang w:val="fr-CH"/>
              </w:rPr>
              <w:t>NOC</w:t>
            </w:r>
          </w:p>
        </w:tc>
      </w:tr>
      <w:tr w:rsidR="002151C3" w:rsidRPr="00E0088F" w14:paraId="23AB453D"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447A9D1" w14:textId="77777777" w:rsidR="002151C3" w:rsidRPr="00E0088F" w:rsidRDefault="002151C3" w:rsidP="006C5A84">
            <w:pPr>
              <w:pStyle w:val="Tabletext"/>
              <w:jc w:val="center"/>
              <w:rPr>
                <w:lang w:val="fr-CH"/>
              </w:rPr>
            </w:pPr>
            <w:r w:rsidRPr="00E0088F">
              <w:rPr>
                <w:lang w:val="fr-CH"/>
              </w:rPr>
              <w:t>729</w:t>
            </w:r>
          </w:p>
        </w:tc>
        <w:tc>
          <w:tcPr>
            <w:tcW w:w="2551" w:type="dxa"/>
            <w:tcBorders>
              <w:top w:val="single" w:sz="6" w:space="0" w:color="auto"/>
              <w:left w:val="single" w:sz="6" w:space="0" w:color="auto"/>
              <w:bottom w:val="single" w:sz="6" w:space="0" w:color="auto"/>
              <w:right w:val="single" w:sz="6" w:space="0" w:color="auto"/>
            </w:tcBorders>
            <w:hideMark/>
          </w:tcPr>
          <w:p w14:paraId="7C4ABAF2" w14:textId="77777777" w:rsidR="002151C3" w:rsidRPr="00E0088F" w:rsidRDefault="002151C3" w:rsidP="006C5A84">
            <w:pPr>
              <w:pStyle w:val="Tabletext"/>
              <w:rPr>
                <w:lang w:val="fr-CH"/>
              </w:rPr>
            </w:pPr>
            <w:r w:rsidRPr="00E0088F">
              <w:rPr>
                <w:lang w:val="fr-CH"/>
              </w:rPr>
              <w:t>Systèmes adaptatifs en ondes hectométriques/</w:t>
            </w:r>
            <w:r w:rsidRPr="00E0088F">
              <w:rPr>
                <w:lang w:val="fr-CH"/>
              </w:rPr>
              <w:br/>
              <w:t>décamétriques</w:t>
            </w:r>
          </w:p>
        </w:tc>
        <w:tc>
          <w:tcPr>
            <w:tcW w:w="3625" w:type="dxa"/>
            <w:tcBorders>
              <w:top w:val="single" w:sz="6" w:space="0" w:color="auto"/>
              <w:left w:val="single" w:sz="6" w:space="0" w:color="auto"/>
              <w:bottom w:val="single" w:sz="6" w:space="0" w:color="auto"/>
              <w:right w:val="single" w:sz="6" w:space="0" w:color="auto"/>
            </w:tcBorders>
            <w:hideMark/>
          </w:tcPr>
          <w:p w14:paraId="59F2D837" w14:textId="77777777" w:rsidR="002151C3" w:rsidRPr="00E0088F" w:rsidRDefault="002151C3" w:rsidP="006C5A84">
            <w:pPr>
              <w:pStyle w:val="Tabletext"/>
              <w:rPr>
                <w:lang w:val="fr-CH"/>
              </w:rPr>
            </w:pPr>
            <w:r w:rsidRPr="00E0088F">
              <w:rPr>
                <w:lang w:val="fr-CH"/>
              </w:rPr>
              <w:t>(Rév.CMR-07). A toujours lieu d'être</w:t>
            </w:r>
            <w:r w:rsidRPr="00E0088F">
              <w:rPr>
                <w:lang w:val="fr-CH" w:eastAsia="ja-JP"/>
              </w:rPr>
              <w:t>.</w:t>
            </w:r>
            <w:r w:rsidRPr="00E0088F">
              <w:rPr>
                <w:lang w:val="fr-CH"/>
              </w:rPr>
              <w:t xml:space="preserve"> </w:t>
            </w:r>
            <w:r w:rsidRPr="00E0088F">
              <w:rPr>
                <w:lang w:val="fr-CH" w:eastAsia="ja-JP"/>
              </w:rPr>
              <w:t xml:space="preserve">Cette Résolution est citée dans l'Appendice </w:t>
            </w:r>
            <w:r w:rsidRPr="00E0088F">
              <w:rPr>
                <w:b/>
                <w:lang w:val="fr-CH" w:eastAsia="ja-JP"/>
              </w:rPr>
              <w:t>4</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545D8B06" w14:textId="77777777" w:rsidR="002151C3" w:rsidRPr="00E0088F" w:rsidRDefault="002151C3" w:rsidP="006C5A84">
            <w:pPr>
              <w:pStyle w:val="Tabletext"/>
              <w:jc w:val="center"/>
              <w:rPr>
                <w:lang w:val="fr-CH"/>
              </w:rPr>
            </w:pPr>
            <w:r w:rsidRPr="00E0088F">
              <w:rPr>
                <w:lang w:val="fr-CH"/>
              </w:rPr>
              <w:t>NOC</w:t>
            </w:r>
          </w:p>
        </w:tc>
      </w:tr>
      <w:tr w:rsidR="002151C3" w:rsidRPr="00E0088F" w14:paraId="6C138C8D"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7C8C09C0" w14:textId="77777777" w:rsidR="002151C3" w:rsidRPr="00E0088F" w:rsidRDefault="002151C3" w:rsidP="006C5A84">
            <w:pPr>
              <w:pStyle w:val="Tabletext"/>
              <w:jc w:val="center"/>
              <w:rPr>
                <w:lang w:val="fr-CH"/>
              </w:rPr>
            </w:pPr>
            <w:r w:rsidRPr="00E0088F">
              <w:rPr>
                <w:lang w:val="fr-CH"/>
              </w:rPr>
              <w:t>731</w:t>
            </w:r>
          </w:p>
        </w:tc>
        <w:tc>
          <w:tcPr>
            <w:tcW w:w="2551" w:type="dxa"/>
            <w:tcBorders>
              <w:top w:val="single" w:sz="6" w:space="0" w:color="auto"/>
              <w:left w:val="single" w:sz="6" w:space="0" w:color="auto"/>
              <w:bottom w:val="single" w:sz="6" w:space="0" w:color="auto"/>
              <w:right w:val="single" w:sz="6" w:space="0" w:color="auto"/>
            </w:tcBorders>
            <w:hideMark/>
          </w:tcPr>
          <w:p w14:paraId="235F0DBA" w14:textId="77777777" w:rsidR="002151C3" w:rsidRPr="00E0088F" w:rsidRDefault="002151C3" w:rsidP="006C5A84">
            <w:pPr>
              <w:pStyle w:val="Tabletext"/>
              <w:rPr>
                <w:lang w:val="fr-CH"/>
              </w:rPr>
            </w:pPr>
            <w:r w:rsidRPr="00E0088F">
              <w:rPr>
                <w:lang w:val="fr-CH"/>
              </w:rPr>
              <w:t>Partage et compatibilité dans les bandes adjacentes entre services actifs et services passifs au-dessus de 71 GHz</w:t>
            </w:r>
          </w:p>
        </w:tc>
        <w:tc>
          <w:tcPr>
            <w:tcW w:w="3625" w:type="dxa"/>
            <w:tcBorders>
              <w:top w:val="single" w:sz="6" w:space="0" w:color="auto"/>
              <w:left w:val="single" w:sz="6" w:space="0" w:color="auto"/>
              <w:bottom w:val="single" w:sz="6" w:space="0" w:color="auto"/>
              <w:right w:val="single" w:sz="6" w:space="0" w:color="auto"/>
            </w:tcBorders>
            <w:hideMark/>
          </w:tcPr>
          <w:p w14:paraId="109E5F88" w14:textId="77777777" w:rsidR="002151C3" w:rsidRPr="00E0088F" w:rsidRDefault="002151C3" w:rsidP="006C5A84">
            <w:pPr>
              <w:pStyle w:val="Tabletext"/>
              <w:rPr>
                <w:lang w:val="fr-CH"/>
              </w:rPr>
            </w:pPr>
            <w:r w:rsidRPr="00E0088F">
              <w:rPr>
                <w:lang w:val="fr-CH"/>
              </w:rPr>
              <w:t xml:space="preserve">(Rév.CMR-12). A toujours lieu d'être. </w:t>
            </w:r>
          </w:p>
          <w:p w14:paraId="26C39869" w14:textId="77777777" w:rsidR="002151C3" w:rsidRPr="00E0088F" w:rsidRDefault="002151C3" w:rsidP="006C5A84">
            <w:pPr>
              <w:pStyle w:val="Tabletext"/>
              <w:rPr>
                <w:lang w:val="fr-CH"/>
              </w:rPr>
            </w:pPr>
            <w:r w:rsidRPr="00E0088F">
              <w:rPr>
                <w:lang w:val="fr-CH"/>
              </w:rPr>
              <w:t>Le texte a été mis à jour à la CMR-12. La référence à la Recommandation UIT</w:t>
            </w:r>
            <w:r w:rsidRPr="00E0088F">
              <w:rPr>
                <w:lang w:val="fr-CH"/>
              </w:rPr>
              <w:noBreakHyphen/>
              <w:t>RS.1029 déjà supprimée peut être remplacée par une référence à la Recommandation UIT-R RS.2017.</w:t>
            </w:r>
          </w:p>
        </w:tc>
        <w:tc>
          <w:tcPr>
            <w:tcW w:w="2045" w:type="dxa"/>
            <w:tcBorders>
              <w:top w:val="single" w:sz="6" w:space="0" w:color="auto"/>
              <w:left w:val="single" w:sz="6" w:space="0" w:color="auto"/>
              <w:bottom w:val="single" w:sz="6" w:space="0" w:color="auto"/>
              <w:right w:val="single" w:sz="6" w:space="0" w:color="auto"/>
            </w:tcBorders>
            <w:hideMark/>
          </w:tcPr>
          <w:p w14:paraId="38BAA9DE" w14:textId="77777777" w:rsidR="002151C3" w:rsidRPr="00E0088F" w:rsidRDefault="002151C3" w:rsidP="006C5A84">
            <w:pPr>
              <w:pStyle w:val="Tabletext"/>
              <w:jc w:val="center"/>
              <w:rPr>
                <w:lang w:val="fr-CH"/>
              </w:rPr>
            </w:pPr>
            <w:r w:rsidRPr="00E0088F">
              <w:rPr>
                <w:lang w:val="fr-CH"/>
              </w:rPr>
              <w:t>MOD</w:t>
            </w:r>
          </w:p>
        </w:tc>
      </w:tr>
      <w:tr w:rsidR="002151C3" w:rsidRPr="00E0088F" w14:paraId="17946BB0"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503F46F" w14:textId="77777777" w:rsidR="002151C3" w:rsidRPr="00E0088F" w:rsidRDefault="002151C3" w:rsidP="006C5A84">
            <w:pPr>
              <w:pStyle w:val="Tabletext"/>
              <w:jc w:val="center"/>
              <w:rPr>
                <w:lang w:val="fr-CH"/>
              </w:rPr>
            </w:pPr>
            <w:r w:rsidRPr="00E0088F">
              <w:rPr>
                <w:lang w:val="fr-CH"/>
              </w:rPr>
              <w:t>732</w:t>
            </w:r>
          </w:p>
        </w:tc>
        <w:tc>
          <w:tcPr>
            <w:tcW w:w="2551" w:type="dxa"/>
            <w:tcBorders>
              <w:top w:val="single" w:sz="6" w:space="0" w:color="auto"/>
              <w:left w:val="single" w:sz="6" w:space="0" w:color="auto"/>
              <w:bottom w:val="single" w:sz="6" w:space="0" w:color="auto"/>
              <w:right w:val="single" w:sz="6" w:space="0" w:color="auto"/>
            </w:tcBorders>
            <w:hideMark/>
          </w:tcPr>
          <w:p w14:paraId="43C51FDD" w14:textId="77777777" w:rsidR="002151C3" w:rsidRPr="00E0088F" w:rsidRDefault="002151C3" w:rsidP="006C5A84">
            <w:pPr>
              <w:pStyle w:val="Tabletext"/>
              <w:rPr>
                <w:lang w:val="fr-CH"/>
              </w:rPr>
            </w:pPr>
            <w:r w:rsidRPr="00E0088F">
              <w:rPr>
                <w:lang w:val="fr-CH"/>
              </w:rPr>
              <w:t>Partage entre les services actifs au</w:t>
            </w:r>
            <w:r w:rsidRPr="00E0088F">
              <w:rPr>
                <w:lang w:val="fr-CH"/>
              </w:rPr>
              <w:noBreakHyphen/>
              <w:t>dessus de 71 GHz</w:t>
            </w:r>
          </w:p>
        </w:tc>
        <w:tc>
          <w:tcPr>
            <w:tcW w:w="3625" w:type="dxa"/>
            <w:tcBorders>
              <w:top w:val="single" w:sz="6" w:space="0" w:color="auto"/>
              <w:left w:val="single" w:sz="6" w:space="0" w:color="auto"/>
              <w:bottom w:val="single" w:sz="6" w:space="0" w:color="auto"/>
              <w:right w:val="single" w:sz="6" w:space="0" w:color="auto"/>
            </w:tcBorders>
            <w:hideMark/>
          </w:tcPr>
          <w:p w14:paraId="7C643D72" w14:textId="77777777" w:rsidR="002151C3" w:rsidRPr="00E0088F" w:rsidRDefault="002151C3" w:rsidP="006C5A84">
            <w:pPr>
              <w:pStyle w:val="Tabletext"/>
              <w:rPr>
                <w:lang w:val="fr-CH"/>
              </w:rPr>
            </w:pPr>
            <w:r w:rsidRPr="00E0088F">
              <w:rPr>
                <w:lang w:val="fr-CH"/>
              </w:rPr>
              <w:t>(Rév.CMR-12). A toujours lieu d'être. Le texte a été mis à jour à la CMR-12.</w:t>
            </w:r>
          </w:p>
        </w:tc>
        <w:tc>
          <w:tcPr>
            <w:tcW w:w="2045" w:type="dxa"/>
            <w:tcBorders>
              <w:top w:val="single" w:sz="6" w:space="0" w:color="auto"/>
              <w:left w:val="single" w:sz="6" w:space="0" w:color="auto"/>
              <w:bottom w:val="single" w:sz="6" w:space="0" w:color="auto"/>
              <w:right w:val="single" w:sz="6" w:space="0" w:color="auto"/>
            </w:tcBorders>
            <w:hideMark/>
          </w:tcPr>
          <w:p w14:paraId="2C96284A" w14:textId="77777777" w:rsidR="002151C3" w:rsidRPr="00E0088F" w:rsidRDefault="002151C3" w:rsidP="006C5A84">
            <w:pPr>
              <w:pStyle w:val="Tabletext"/>
              <w:jc w:val="center"/>
              <w:rPr>
                <w:lang w:val="fr-CH"/>
              </w:rPr>
            </w:pPr>
            <w:r w:rsidRPr="00E0088F">
              <w:rPr>
                <w:lang w:val="fr-CH"/>
              </w:rPr>
              <w:t>NOC</w:t>
            </w:r>
          </w:p>
        </w:tc>
      </w:tr>
      <w:tr w:rsidR="002151C3" w:rsidRPr="00E0088F" w14:paraId="0BB41A8F"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33F3F962" w14:textId="77777777" w:rsidR="002151C3" w:rsidRPr="00E0088F" w:rsidRDefault="002151C3" w:rsidP="006C5A84">
            <w:pPr>
              <w:pStyle w:val="Tabletext"/>
              <w:jc w:val="center"/>
              <w:rPr>
                <w:lang w:val="fr-CH"/>
              </w:rPr>
            </w:pPr>
            <w:r w:rsidRPr="00E0088F">
              <w:rPr>
                <w:lang w:val="fr-CH"/>
              </w:rPr>
              <w:t>739</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1B2F227" w14:textId="77777777" w:rsidR="002151C3" w:rsidRPr="00E0088F" w:rsidRDefault="002151C3" w:rsidP="006C5A84">
            <w:pPr>
              <w:pStyle w:val="Tabletext"/>
              <w:rPr>
                <w:lang w:val="fr-CH"/>
              </w:rPr>
            </w:pPr>
            <w:r w:rsidRPr="00E0088F">
              <w:rPr>
                <w:lang w:val="fr-CH"/>
              </w:rPr>
              <w:t>Compatibilité entre le service de radioastronomie et les services spatiaux actifs</w:t>
            </w:r>
          </w:p>
        </w:tc>
        <w:tc>
          <w:tcPr>
            <w:tcW w:w="3625" w:type="dxa"/>
            <w:tcBorders>
              <w:top w:val="single" w:sz="6" w:space="0" w:color="auto"/>
              <w:left w:val="single" w:sz="6" w:space="0" w:color="auto"/>
              <w:bottom w:val="single" w:sz="6" w:space="0" w:color="auto"/>
              <w:right w:val="single" w:sz="6" w:space="0" w:color="auto"/>
            </w:tcBorders>
            <w:shd w:val="clear" w:color="auto" w:fill="auto"/>
            <w:hideMark/>
          </w:tcPr>
          <w:p w14:paraId="39009BEF" w14:textId="15749C05" w:rsidR="002151C3" w:rsidRPr="00E0088F" w:rsidRDefault="002151C3" w:rsidP="006C5A84">
            <w:pPr>
              <w:pStyle w:val="Tabletext"/>
              <w:rPr>
                <w:lang w:val="fr-CH"/>
              </w:rPr>
            </w:pPr>
            <w:r w:rsidRPr="00E0088F">
              <w:rPr>
                <w:lang w:val="fr-CH"/>
              </w:rPr>
              <w:t xml:space="preserve">(Rév.CMR-15). A toujours lieu d'être. Cette Résolution est citée dans le numéro </w:t>
            </w:r>
            <w:r w:rsidRPr="00E0088F">
              <w:rPr>
                <w:b/>
                <w:bCs/>
                <w:lang w:val="fr-CH"/>
              </w:rPr>
              <w:t>5.208B</w:t>
            </w:r>
            <w:r w:rsidRPr="00E0088F">
              <w:rPr>
                <w:lang w:val="fr-CH"/>
              </w:rPr>
              <w:t xml:space="preserve">. Le texte a été légèrement modifié à la CMR-15. Il faudra peut-être apporter des modifications de forme au Tableau 1-2 de l'Annexe 1 afin d'ajouter le nom complet de l'IUCAF (Comité scientifique pour l'allocation des fréquences pour la radio astronomie et la recherche spatiale). À l'issue de l'examen du </w:t>
            </w:r>
            <w:r w:rsidRPr="00E0088F">
              <w:rPr>
                <w:b/>
                <w:bCs/>
                <w:lang w:val="fr-CH"/>
              </w:rPr>
              <w:t>point 1.9.2 de l'ordre du jour</w:t>
            </w:r>
            <w:r w:rsidRPr="00E0088F">
              <w:rPr>
                <w:lang w:val="fr-CH"/>
              </w:rPr>
              <w:t xml:space="preserve"> de la CMR</w:t>
            </w:r>
            <w:r w:rsidRPr="00E0088F">
              <w:rPr>
                <w:lang w:val="fr-CH"/>
              </w:rPr>
              <w:noBreakHyphen/>
              <w:t>19, cette Résolution devrait être modifiée.</w:t>
            </w:r>
          </w:p>
        </w:tc>
        <w:tc>
          <w:tcPr>
            <w:tcW w:w="2045" w:type="dxa"/>
            <w:tcBorders>
              <w:top w:val="single" w:sz="6" w:space="0" w:color="auto"/>
              <w:left w:val="single" w:sz="6" w:space="0" w:color="auto"/>
              <w:bottom w:val="single" w:sz="6" w:space="0" w:color="auto"/>
              <w:right w:val="single" w:sz="6" w:space="0" w:color="auto"/>
            </w:tcBorders>
            <w:shd w:val="clear" w:color="auto" w:fill="auto"/>
            <w:hideMark/>
          </w:tcPr>
          <w:p w14:paraId="676AEA87" w14:textId="77777777" w:rsidR="002151C3" w:rsidRPr="00E0088F" w:rsidRDefault="002151C3" w:rsidP="006C5A84">
            <w:pPr>
              <w:pStyle w:val="Tabletext"/>
              <w:jc w:val="center"/>
              <w:rPr>
                <w:lang w:val="fr-CH"/>
              </w:rPr>
            </w:pPr>
            <w:r w:rsidRPr="00E0088F">
              <w:rPr>
                <w:lang w:val="fr-CH"/>
              </w:rPr>
              <w:t>MOD</w:t>
            </w:r>
          </w:p>
        </w:tc>
      </w:tr>
      <w:tr w:rsidR="002151C3" w:rsidRPr="00E0088F" w14:paraId="3F11EAA6"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76B8770" w14:textId="77777777" w:rsidR="002151C3" w:rsidRPr="00E0088F" w:rsidRDefault="002151C3" w:rsidP="006C5A84">
            <w:pPr>
              <w:pStyle w:val="Tabletext"/>
              <w:jc w:val="center"/>
              <w:rPr>
                <w:lang w:val="fr-CH"/>
              </w:rPr>
            </w:pPr>
            <w:r w:rsidRPr="00E0088F">
              <w:rPr>
                <w:lang w:val="fr-CH"/>
              </w:rPr>
              <w:lastRenderedPageBreak/>
              <w:t>741</w:t>
            </w:r>
          </w:p>
        </w:tc>
        <w:tc>
          <w:tcPr>
            <w:tcW w:w="2551" w:type="dxa"/>
            <w:tcBorders>
              <w:top w:val="single" w:sz="6" w:space="0" w:color="auto"/>
              <w:left w:val="single" w:sz="6" w:space="0" w:color="auto"/>
              <w:bottom w:val="single" w:sz="6" w:space="0" w:color="auto"/>
              <w:right w:val="single" w:sz="6" w:space="0" w:color="auto"/>
            </w:tcBorders>
            <w:hideMark/>
          </w:tcPr>
          <w:p w14:paraId="1337A2F7" w14:textId="757EB945" w:rsidR="002151C3" w:rsidRPr="00E0088F" w:rsidRDefault="0040191B" w:rsidP="006C5A84">
            <w:pPr>
              <w:pStyle w:val="Tabletext"/>
              <w:rPr>
                <w:lang w:val="fr-CH"/>
              </w:rPr>
            </w:pPr>
            <w:r w:rsidRPr="00E0088F">
              <w:rPr>
                <w:lang w:val="fr-CH"/>
              </w:rPr>
              <w:t>Protection du service de radioastronomie dans la bande 4 990-5 000 MHz contre les émissions du SRNS fonctionnant dans la bande 5 010-5 030 MHz</w:t>
            </w:r>
          </w:p>
        </w:tc>
        <w:tc>
          <w:tcPr>
            <w:tcW w:w="3625" w:type="dxa"/>
            <w:tcBorders>
              <w:top w:val="single" w:sz="6" w:space="0" w:color="auto"/>
              <w:left w:val="single" w:sz="6" w:space="0" w:color="auto"/>
              <w:bottom w:val="single" w:sz="6" w:space="0" w:color="auto"/>
              <w:right w:val="single" w:sz="6" w:space="0" w:color="auto"/>
            </w:tcBorders>
            <w:hideMark/>
          </w:tcPr>
          <w:p w14:paraId="587397F3" w14:textId="77777777" w:rsidR="002151C3" w:rsidRPr="00E0088F" w:rsidRDefault="002151C3" w:rsidP="006C5A84">
            <w:pPr>
              <w:pStyle w:val="Tabletext"/>
              <w:rPr>
                <w:lang w:val="fr-CH"/>
              </w:rPr>
            </w:pPr>
            <w:r w:rsidRPr="00E0088F">
              <w:rPr>
                <w:lang w:val="fr-CH"/>
              </w:rPr>
              <w:t xml:space="preserve">(Rév.CMR-15). A toujours lieu d'être. Cette Résolution est citée dans le numéro </w:t>
            </w:r>
            <w:r w:rsidRPr="00E0088F">
              <w:rPr>
                <w:b/>
                <w:bCs/>
                <w:lang w:val="fr-CH"/>
              </w:rPr>
              <w:t>5.443B</w:t>
            </w:r>
            <w:r w:rsidRPr="00E0088F">
              <w:rPr>
                <w:lang w:val="fr-CH"/>
              </w:rPr>
              <w:t xml:space="preserve"> ainsi que dans les Appendices </w:t>
            </w:r>
            <w:r w:rsidRPr="00E0088F">
              <w:rPr>
                <w:b/>
                <w:bCs/>
                <w:lang w:val="fr-CH"/>
              </w:rPr>
              <w:t>4</w:t>
            </w:r>
            <w:r w:rsidRPr="00E0088F">
              <w:rPr>
                <w:lang w:val="fr-CH"/>
              </w:rPr>
              <w:t xml:space="preserve"> et </w:t>
            </w:r>
            <w:r w:rsidRPr="00E0088F">
              <w:rPr>
                <w:b/>
                <w:bCs/>
                <w:lang w:val="fr-CH"/>
              </w:rPr>
              <w:t>30</w:t>
            </w:r>
            <w:r w:rsidRPr="00E0088F">
              <w:rPr>
                <w:lang w:val="fr-CH"/>
              </w:rPr>
              <w:t>. Le texte a été légèrement modifié à la CMR-15.</w:t>
            </w:r>
          </w:p>
        </w:tc>
        <w:tc>
          <w:tcPr>
            <w:tcW w:w="2045" w:type="dxa"/>
            <w:tcBorders>
              <w:top w:val="single" w:sz="6" w:space="0" w:color="auto"/>
              <w:left w:val="single" w:sz="6" w:space="0" w:color="auto"/>
              <w:bottom w:val="single" w:sz="6" w:space="0" w:color="auto"/>
              <w:right w:val="single" w:sz="6" w:space="0" w:color="auto"/>
            </w:tcBorders>
            <w:hideMark/>
          </w:tcPr>
          <w:p w14:paraId="65992449" w14:textId="77777777" w:rsidR="002151C3" w:rsidRPr="00E0088F" w:rsidRDefault="002151C3" w:rsidP="006C5A84">
            <w:pPr>
              <w:pStyle w:val="Tabletext"/>
              <w:jc w:val="center"/>
              <w:rPr>
                <w:lang w:val="fr-CH"/>
              </w:rPr>
            </w:pPr>
            <w:r w:rsidRPr="00E0088F">
              <w:rPr>
                <w:lang w:val="fr-CH"/>
              </w:rPr>
              <w:t>NOC</w:t>
            </w:r>
          </w:p>
        </w:tc>
      </w:tr>
      <w:tr w:rsidR="002151C3" w:rsidRPr="00E0088F" w14:paraId="403D3CD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D63ABE3" w14:textId="77777777" w:rsidR="002151C3" w:rsidRPr="00E0088F" w:rsidRDefault="002151C3" w:rsidP="006C5A84">
            <w:pPr>
              <w:pStyle w:val="Tabletext"/>
              <w:jc w:val="center"/>
              <w:rPr>
                <w:lang w:val="fr-CH"/>
              </w:rPr>
            </w:pPr>
            <w:r w:rsidRPr="00E0088F">
              <w:rPr>
                <w:lang w:val="fr-CH"/>
              </w:rPr>
              <w:t>743</w:t>
            </w:r>
          </w:p>
        </w:tc>
        <w:tc>
          <w:tcPr>
            <w:tcW w:w="2551" w:type="dxa"/>
            <w:tcBorders>
              <w:top w:val="single" w:sz="6" w:space="0" w:color="auto"/>
              <w:left w:val="single" w:sz="6" w:space="0" w:color="auto"/>
              <w:bottom w:val="single" w:sz="6" w:space="0" w:color="auto"/>
              <w:right w:val="single" w:sz="6" w:space="0" w:color="auto"/>
            </w:tcBorders>
            <w:hideMark/>
          </w:tcPr>
          <w:p w14:paraId="63C5E52D" w14:textId="77777777" w:rsidR="002151C3" w:rsidRPr="00E0088F" w:rsidRDefault="002151C3" w:rsidP="006C5A84">
            <w:pPr>
              <w:pStyle w:val="Tabletext"/>
              <w:rPr>
                <w:lang w:val="fr-CH"/>
              </w:rPr>
            </w:pPr>
            <w:r w:rsidRPr="00E0088F">
              <w:rPr>
                <w:lang w:val="fr-CH"/>
              </w:rPr>
              <w:t>Protection des stations de radioastronomie monoparabole dans la bande 42,5-43,5 GHz</w:t>
            </w:r>
          </w:p>
        </w:tc>
        <w:tc>
          <w:tcPr>
            <w:tcW w:w="3625" w:type="dxa"/>
            <w:tcBorders>
              <w:top w:val="single" w:sz="6" w:space="0" w:color="auto"/>
              <w:left w:val="single" w:sz="6" w:space="0" w:color="auto"/>
              <w:bottom w:val="single" w:sz="6" w:space="0" w:color="auto"/>
              <w:right w:val="single" w:sz="6" w:space="0" w:color="auto"/>
            </w:tcBorders>
            <w:hideMark/>
          </w:tcPr>
          <w:p w14:paraId="39F5D4A7" w14:textId="77777777" w:rsidR="002151C3" w:rsidRPr="00E0088F" w:rsidRDefault="002151C3" w:rsidP="006C5A84">
            <w:pPr>
              <w:pStyle w:val="Tabletext"/>
              <w:rPr>
                <w:lang w:val="fr-CH"/>
              </w:rPr>
            </w:pPr>
            <w:r w:rsidRPr="00E0088F">
              <w:rPr>
                <w:lang w:val="fr-CH"/>
              </w:rPr>
              <w:t>(CMR-03). A toujours lieu d'être, mais concerne uniquement la Région 2</w:t>
            </w:r>
            <w:r w:rsidRPr="00E0088F">
              <w:rPr>
                <w:bCs/>
                <w:lang w:val="fr-CH"/>
              </w:rPr>
              <w:t xml:space="preserve">. </w:t>
            </w:r>
            <w:r w:rsidRPr="00E0088F">
              <w:rPr>
                <w:lang w:val="fr-CH"/>
              </w:rPr>
              <w:t>Cette Résolution est citée dans les numéros</w:t>
            </w:r>
            <w:r w:rsidRPr="00E0088F">
              <w:rPr>
                <w:bCs/>
                <w:lang w:val="fr-CH"/>
              </w:rPr>
              <w:t> </w:t>
            </w:r>
            <w:r w:rsidRPr="00E0088F">
              <w:rPr>
                <w:b/>
                <w:lang w:val="fr-CH"/>
              </w:rPr>
              <w:t>5.551H</w:t>
            </w:r>
            <w:r w:rsidRPr="00E0088F">
              <w:rPr>
                <w:bCs/>
                <w:lang w:val="fr-CH"/>
              </w:rPr>
              <w:t xml:space="preserve"> et </w:t>
            </w:r>
            <w:r w:rsidRPr="00E0088F">
              <w:rPr>
                <w:b/>
                <w:lang w:val="fr-CH"/>
              </w:rPr>
              <w:t>5.551I.</w:t>
            </w:r>
          </w:p>
        </w:tc>
        <w:tc>
          <w:tcPr>
            <w:tcW w:w="2045" w:type="dxa"/>
            <w:tcBorders>
              <w:top w:val="single" w:sz="6" w:space="0" w:color="auto"/>
              <w:left w:val="single" w:sz="6" w:space="0" w:color="auto"/>
              <w:bottom w:val="single" w:sz="6" w:space="0" w:color="auto"/>
              <w:right w:val="single" w:sz="6" w:space="0" w:color="auto"/>
            </w:tcBorders>
            <w:hideMark/>
          </w:tcPr>
          <w:p w14:paraId="26EBD453" w14:textId="77777777" w:rsidR="002151C3" w:rsidRPr="00E0088F" w:rsidRDefault="002151C3" w:rsidP="006C5A84">
            <w:pPr>
              <w:pStyle w:val="Tabletext"/>
              <w:jc w:val="center"/>
              <w:rPr>
                <w:lang w:val="fr-CH"/>
              </w:rPr>
            </w:pPr>
            <w:r w:rsidRPr="00E0088F">
              <w:rPr>
                <w:lang w:val="fr-CH"/>
              </w:rPr>
              <w:t>N/A</w:t>
            </w:r>
          </w:p>
        </w:tc>
      </w:tr>
      <w:tr w:rsidR="002151C3" w:rsidRPr="00E0088F" w14:paraId="188DD79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8539891" w14:textId="77777777" w:rsidR="002151C3" w:rsidRPr="00E0088F" w:rsidRDefault="002151C3" w:rsidP="006C5A84">
            <w:pPr>
              <w:pStyle w:val="Tabletext"/>
              <w:jc w:val="center"/>
              <w:rPr>
                <w:lang w:val="fr-CH"/>
              </w:rPr>
            </w:pPr>
            <w:r w:rsidRPr="00E0088F">
              <w:rPr>
                <w:lang w:val="fr-CH"/>
              </w:rPr>
              <w:t>744</w:t>
            </w:r>
          </w:p>
        </w:tc>
        <w:tc>
          <w:tcPr>
            <w:tcW w:w="2551" w:type="dxa"/>
            <w:tcBorders>
              <w:top w:val="single" w:sz="6" w:space="0" w:color="auto"/>
              <w:left w:val="single" w:sz="6" w:space="0" w:color="auto"/>
              <w:bottom w:val="single" w:sz="6" w:space="0" w:color="auto"/>
              <w:right w:val="single" w:sz="6" w:space="0" w:color="auto"/>
            </w:tcBorders>
            <w:hideMark/>
          </w:tcPr>
          <w:p w14:paraId="0A109658" w14:textId="61790449" w:rsidR="002151C3" w:rsidRPr="00E0088F" w:rsidRDefault="002151C3" w:rsidP="006C5A84">
            <w:pPr>
              <w:pStyle w:val="Tabletext"/>
              <w:rPr>
                <w:lang w:val="fr-CH"/>
              </w:rPr>
            </w:pPr>
            <w:r w:rsidRPr="00E0088F">
              <w:rPr>
                <w:lang w:val="fr-CH"/>
              </w:rPr>
              <w:t>Partage entre le service mobile par satellite (Terre vers espace) et d'autres services dans l</w:t>
            </w:r>
            <w:r w:rsidR="008435E3" w:rsidRPr="00E0088F">
              <w:rPr>
                <w:lang w:val="fr-CH"/>
              </w:rPr>
              <w:t>es</w:t>
            </w:r>
            <w:r w:rsidRPr="00E0088F">
              <w:rPr>
                <w:lang w:val="fr-CH"/>
              </w:rPr>
              <w:t xml:space="preserve"> bande</w:t>
            </w:r>
            <w:r w:rsidR="008435E3" w:rsidRPr="00E0088F">
              <w:rPr>
                <w:lang w:val="fr-CH"/>
              </w:rPr>
              <w:t>s 1 668-1 668,4 MHz et</w:t>
            </w:r>
            <w:r w:rsidRPr="00E0088F">
              <w:rPr>
                <w:lang w:val="fr-CH"/>
              </w:rPr>
              <w:t> 1 668,4</w:t>
            </w:r>
            <w:r w:rsidRPr="00E0088F">
              <w:rPr>
                <w:lang w:val="fr-CH"/>
              </w:rPr>
              <w:noBreakHyphen/>
              <w:t>1 675 MHz</w:t>
            </w:r>
          </w:p>
        </w:tc>
        <w:tc>
          <w:tcPr>
            <w:tcW w:w="3625" w:type="dxa"/>
            <w:tcBorders>
              <w:top w:val="single" w:sz="6" w:space="0" w:color="auto"/>
              <w:left w:val="single" w:sz="6" w:space="0" w:color="auto"/>
              <w:bottom w:val="single" w:sz="6" w:space="0" w:color="auto"/>
              <w:right w:val="single" w:sz="6" w:space="0" w:color="auto"/>
            </w:tcBorders>
            <w:hideMark/>
          </w:tcPr>
          <w:p w14:paraId="39647321" w14:textId="77777777" w:rsidR="002151C3" w:rsidRPr="00E0088F" w:rsidRDefault="002151C3" w:rsidP="006C5A84">
            <w:pPr>
              <w:pStyle w:val="Tabletext"/>
              <w:rPr>
                <w:lang w:val="fr-CH"/>
              </w:rPr>
            </w:pPr>
            <w:r w:rsidRPr="00E0088F">
              <w:rPr>
                <w:lang w:val="fr-CH"/>
              </w:rPr>
              <w:t>(Rév.CMR-07). A toujours lieu d'être</w:t>
            </w:r>
            <w:r w:rsidRPr="00E0088F">
              <w:rPr>
                <w:lang w:val="fr-CH" w:eastAsia="ja-JP"/>
              </w:rPr>
              <w:t>.</w:t>
            </w:r>
            <w:r w:rsidRPr="00E0088F">
              <w:rPr>
                <w:lang w:val="fr-CH"/>
              </w:rPr>
              <w:t xml:space="preserve"> C</w:t>
            </w:r>
            <w:r w:rsidRPr="00E0088F">
              <w:rPr>
                <w:lang w:val="fr-CH" w:eastAsia="ja-JP"/>
              </w:rPr>
              <w:t xml:space="preserve">ette Résolution est citée dans le numéro </w:t>
            </w:r>
            <w:r w:rsidRPr="00E0088F">
              <w:rPr>
                <w:b/>
                <w:lang w:val="fr-CH" w:eastAsia="ja-JP"/>
              </w:rPr>
              <w:t>5.379D</w:t>
            </w:r>
            <w:r w:rsidRPr="00E0088F">
              <w:rPr>
                <w:bCs/>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5DA18590" w14:textId="77777777" w:rsidR="002151C3" w:rsidRPr="00E0088F" w:rsidRDefault="002151C3" w:rsidP="006C5A84">
            <w:pPr>
              <w:pStyle w:val="Tabletext"/>
              <w:jc w:val="center"/>
              <w:rPr>
                <w:lang w:val="fr-CH"/>
              </w:rPr>
            </w:pPr>
            <w:r w:rsidRPr="00E0088F">
              <w:rPr>
                <w:lang w:val="fr-CH"/>
              </w:rPr>
              <w:t>NOC</w:t>
            </w:r>
          </w:p>
        </w:tc>
      </w:tr>
      <w:tr w:rsidR="002151C3" w:rsidRPr="00E0088F" w14:paraId="36B1C39C"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149422AF" w14:textId="77777777" w:rsidR="002151C3" w:rsidRPr="00E0088F" w:rsidRDefault="002151C3" w:rsidP="006C5A84">
            <w:pPr>
              <w:pStyle w:val="Tabletext"/>
              <w:jc w:val="center"/>
              <w:rPr>
                <w:lang w:val="fr-CH"/>
              </w:rPr>
            </w:pPr>
            <w:r w:rsidRPr="00E0088F">
              <w:rPr>
                <w:lang w:val="fr-CH"/>
              </w:rPr>
              <w:t>748</w:t>
            </w:r>
          </w:p>
        </w:tc>
        <w:tc>
          <w:tcPr>
            <w:tcW w:w="2551" w:type="dxa"/>
            <w:tcBorders>
              <w:top w:val="single" w:sz="6" w:space="0" w:color="auto"/>
              <w:left w:val="single" w:sz="6" w:space="0" w:color="auto"/>
              <w:bottom w:val="single" w:sz="6" w:space="0" w:color="auto"/>
              <w:right w:val="single" w:sz="6" w:space="0" w:color="auto"/>
            </w:tcBorders>
            <w:hideMark/>
          </w:tcPr>
          <w:p w14:paraId="120345DB" w14:textId="77777777" w:rsidR="002151C3" w:rsidRPr="00E0088F" w:rsidRDefault="002151C3" w:rsidP="006C5A84">
            <w:pPr>
              <w:pStyle w:val="Tabletext"/>
              <w:rPr>
                <w:lang w:val="fr-CH"/>
              </w:rPr>
            </w:pPr>
            <w:r w:rsidRPr="00E0088F">
              <w:rPr>
                <w:lang w:val="fr-CH"/>
              </w:rPr>
              <w:t>Compatibilité entre le service mobile aéronautique (R) et le service fixe par satellite (Terre vers espace) dans la bande 5 091</w:t>
            </w:r>
            <w:r w:rsidRPr="00E0088F">
              <w:rPr>
                <w:lang w:val="fr-CH"/>
              </w:rPr>
              <w:noBreakHyphen/>
              <w:t>5 150 MHz</w:t>
            </w:r>
          </w:p>
        </w:tc>
        <w:tc>
          <w:tcPr>
            <w:tcW w:w="3625" w:type="dxa"/>
            <w:tcBorders>
              <w:top w:val="single" w:sz="6" w:space="0" w:color="auto"/>
              <w:left w:val="single" w:sz="6" w:space="0" w:color="auto"/>
              <w:bottom w:val="single" w:sz="6" w:space="0" w:color="auto"/>
              <w:right w:val="single" w:sz="6" w:space="0" w:color="auto"/>
            </w:tcBorders>
            <w:hideMark/>
          </w:tcPr>
          <w:p w14:paraId="229B9177" w14:textId="426E350B" w:rsidR="002151C3" w:rsidRPr="00E0088F" w:rsidRDefault="002151C3" w:rsidP="006C5A84">
            <w:pPr>
              <w:pStyle w:val="Tabletext"/>
              <w:rPr>
                <w:lang w:val="fr-CH"/>
              </w:rPr>
            </w:pPr>
            <w:r w:rsidRPr="00E0088F">
              <w:rPr>
                <w:lang w:val="fr-CH"/>
              </w:rPr>
              <w:t xml:space="preserve">(Rév.CMR-15). A toujours lieu d'être. Cette Résolution est citée dans le numéro </w:t>
            </w:r>
            <w:r w:rsidRPr="00E0088F">
              <w:rPr>
                <w:b/>
                <w:lang w:val="fr-CH"/>
              </w:rPr>
              <w:t>5.444B</w:t>
            </w:r>
            <w:r w:rsidRPr="00E0088F">
              <w:rPr>
                <w:lang w:val="fr-CH"/>
              </w:rPr>
              <w:t xml:space="preserve"> et dans la Résolution </w:t>
            </w:r>
            <w:r w:rsidRPr="00E0088F">
              <w:rPr>
                <w:b/>
                <w:lang w:val="fr-CH"/>
              </w:rPr>
              <w:t>418 (Rév.CMR-15).</w:t>
            </w:r>
            <w:r w:rsidRPr="00E0088F">
              <w:rPr>
                <w:lang w:val="fr-CH"/>
              </w:rPr>
              <w:t xml:space="preserve"> Étant donné que les Recommandations UIT-R P.525-2 et UIT</w:t>
            </w:r>
            <w:r w:rsidRPr="00E0088F">
              <w:rPr>
                <w:lang w:val="fr-CH"/>
              </w:rPr>
              <w:noBreakHyphen/>
              <w:t>R P.526-13 ont été révisées, il est nécessaire de procéder aux mises à jour correspondantes au titre du point 2 de l'ordre du jour</w:t>
            </w:r>
            <w:r w:rsidR="00FB4C2C"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52850D5" w14:textId="77777777" w:rsidR="002151C3" w:rsidRPr="00E0088F" w:rsidRDefault="002151C3" w:rsidP="006C5A84">
            <w:pPr>
              <w:pStyle w:val="Tabletext"/>
              <w:jc w:val="center"/>
              <w:rPr>
                <w:lang w:val="fr-CH"/>
              </w:rPr>
            </w:pPr>
            <w:r w:rsidRPr="00E0088F">
              <w:rPr>
                <w:lang w:val="fr-CH"/>
              </w:rPr>
              <w:t>MOD</w:t>
            </w:r>
          </w:p>
        </w:tc>
      </w:tr>
      <w:tr w:rsidR="002151C3" w:rsidRPr="00E0088F" w14:paraId="46C40ED6"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CAA1568" w14:textId="77777777" w:rsidR="002151C3" w:rsidRPr="00E0088F" w:rsidRDefault="002151C3" w:rsidP="006C5A84">
            <w:pPr>
              <w:pStyle w:val="Tabletext"/>
              <w:jc w:val="center"/>
              <w:rPr>
                <w:lang w:val="fr-CH"/>
              </w:rPr>
            </w:pPr>
            <w:r w:rsidRPr="00E0088F">
              <w:rPr>
                <w:lang w:val="fr-CH"/>
              </w:rPr>
              <w:t>749</w:t>
            </w:r>
          </w:p>
        </w:tc>
        <w:tc>
          <w:tcPr>
            <w:tcW w:w="2551" w:type="dxa"/>
            <w:tcBorders>
              <w:top w:val="single" w:sz="6" w:space="0" w:color="auto"/>
              <w:left w:val="single" w:sz="6" w:space="0" w:color="auto"/>
              <w:bottom w:val="single" w:sz="6" w:space="0" w:color="auto"/>
              <w:right w:val="single" w:sz="6" w:space="0" w:color="auto"/>
            </w:tcBorders>
            <w:hideMark/>
          </w:tcPr>
          <w:p w14:paraId="0404198A" w14:textId="77777777" w:rsidR="002151C3" w:rsidRPr="00E0088F" w:rsidRDefault="002151C3" w:rsidP="006C5A84">
            <w:pPr>
              <w:pStyle w:val="Tabletext"/>
              <w:rPr>
                <w:lang w:val="fr-CH"/>
              </w:rPr>
            </w:pPr>
            <w:r w:rsidRPr="00E0088F">
              <w:rPr>
                <w:lang w:val="fr-CH"/>
              </w:rPr>
              <w:t>Utilisation de la bande de fréquences 790-862 MHz dans les pays de la Région 1 et en République islamique d'Iran par des applications mobiles et par d'autres services</w:t>
            </w:r>
          </w:p>
        </w:tc>
        <w:tc>
          <w:tcPr>
            <w:tcW w:w="3625" w:type="dxa"/>
            <w:tcBorders>
              <w:top w:val="single" w:sz="6" w:space="0" w:color="auto"/>
              <w:left w:val="single" w:sz="6" w:space="0" w:color="auto"/>
              <w:bottom w:val="single" w:sz="6" w:space="0" w:color="auto"/>
              <w:right w:val="single" w:sz="6" w:space="0" w:color="auto"/>
            </w:tcBorders>
            <w:hideMark/>
          </w:tcPr>
          <w:p w14:paraId="2C54860C" w14:textId="77777777" w:rsidR="002151C3" w:rsidRPr="00E0088F" w:rsidRDefault="002151C3" w:rsidP="006C5A84">
            <w:pPr>
              <w:pStyle w:val="Tabletext"/>
              <w:rPr>
                <w:lang w:val="fr-CH"/>
              </w:rPr>
            </w:pPr>
            <w:r w:rsidRPr="00E0088F">
              <w:rPr>
                <w:lang w:val="fr-CH"/>
              </w:rPr>
              <w:t>(Rév.CMR-15). A toujours lieu d'être</w:t>
            </w:r>
            <w:r w:rsidRPr="00E0088F">
              <w:rPr>
                <w:lang w:val="fr-CH" w:eastAsia="ja-JP"/>
              </w:rPr>
              <w:t xml:space="preserve">. Cette Résolution est citée dans les numéros </w:t>
            </w:r>
            <w:r w:rsidRPr="00E0088F">
              <w:rPr>
                <w:b/>
                <w:lang w:val="fr-CH" w:eastAsia="ja-JP"/>
              </w:rPr>
              <w:t>5.316B</w:t>
            </w:r>
            <w:r w:rsidRPr="00E0088F">
              <w:rPr>
                <w:lang w:val="fr-CH" w:eastAsia="ja-JP"/>
              </w:rPr>
              <w:t xml:space="preserve"> et </w:t>
            </w:r>
            <w:r w:rsidRPr="00E0088F">
              <w:rPr>
                <w:b/>
                <w:lang w:val="fr-CH" w:eastAsia="ja-JP"/>
              </w:rPr>
              <w:t>5.317A.</w:t>
            </w:r>
          </w:p>
        </w:tc>
        <w:tc>
          <w:tcPr>
            <w:tcW w:w="2045" w:type="dxa"/>
            <w:tcBorders>
              <w:top w:val="single" w:sz="6" w:space="0" w:color="auto"/>
              <w:left w:val="single" w:sz="6" w:space="0" w:color="auto"/>
              <w:bottom w:val="single" w:sz="6" w:space="0" w:color="auto"/>
              <w:right w:val="single" w:sz="6" w:space="0" w:color="auto"/>
            </w:tcBorders>
            <w:hideMark/>
          </w:tcPr>
          <w:p w14:paraId="41A735B4" w14:textId="77777777" w:rsidR="002151C3" w:rsidRPr="00E0088F" w:rsidRDefault="002151C3" w:rsidP="006C5A84">
            <w:pPr>
              <w:pStyle w:val="Tabletext"/>
              <w:jc w:val="center"/>
              <w:rPr>
                <w:lang w:val="fr-CH"/>
              </w:rPr>
            </w:pPr>
            <w:r w:rsidRPr="00E0088F">
              <w:rPr>
                <w:lang w:val="fr-CH"/>
              </w:rPr>
              <w:t>NOC</w:t>
            </w:r>
          </w:p>
        </w:tc>
      </w:tr>
      <w:tr w:rsidR="002151C3" w:rsidRPr="00E0088F" w14:paraId="4E3CC6C2"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6A79F66A" w14:textId="77777777" w:rsidR="002151C3" w:rsidRPr="00E0088F" w:rsidRDefault="002151C3" w:rsidP="006C5A84">
            <w:pPr>
              <w:pStyle w:val="Tabletext"/>
              <w:jc w:val="center"/>
              <w:rPr>
                <w:lang w:val="fr-CH"/>
              </w:rPr>
            </w:pPr>
            <w:r w:rsidRPr="00E0088F">
              <w:rPr>
                <w:lang w:val="fr-CH"/>
              </w:rPr>
              <w:t>750</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3EF3612" w14:textId="77777777" w:rsidR="002151C3" w:rsidRPr="00E0088F" w:rsidRDefault="002151C3" w:rsidP="006C5A84">
            <w:pPr>
              <w:pStyle w:val="Tabletext"/>
              <w:rPr>
                <w:lang w:val="fr-CH"/>
              </w:rPr>
            </w:pPr>
            <w:r w:rsidRPr="00E0088F">
              <w:rPr>
                <w:lang w:val="fr-CH"/>
              </w:rPr>
              <w:t>Compatibilité entre le service d'exploration de la Terre par satellite (passive) et les services actifs concernés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FA2A27" w14:textId="77777777" w:rsidR="002151C3" w:rsidRPr="00E0088F" w:rsidRDefault="002151C3" w:rsidP="006C5A84">
            <w:pPr>
              <w:pStyle w:val="Tabletext"/>
              <w:rPr>
                <w:lang w:val="fr-CH"/>
              </w:rPr>
            </w:pPr>
            <w:r w:rsidRPr="00E0088F">
              <w:rPr>
                <w:lang w:val="fr-CH"/>
              </w:rPr>
              <w:t xml:space="preserve">(Rév.CMR-15). A toujours lieu d'être (voir le numéro </w:t>
            </w:r>
            <w:r w:rsidRPr="00E0088F">
              <w:rPr>
                <w:b/>
                <w:bCs/>
                <w:lang w:val="fr-CH"/>
              </w:rPr>
              <w:t>5.338A</w:t>
            </w:r>
            <w:r w:rsidRPr="00E0088F">
              <w:rPr>
                <w:lang w:val="fr-CH"/>
              </w:rPr>
              <w:t xml:space="preserve"> du RR). Cette Résolution est citée dans les Résolutions 159 (CMR-15) et 162 (CMR-15).</w:t>
            </w:r>
          </w:p>
          <w:p w14:paraId="1A2FFD4D" w14:textId="129A7D35" w:rsidR="002151C3" w:rsidRPr="00E0088F" w:rsidRDefault="002151C3" w:rsidP="006C5A84">
            <w:pPr>
              <w:pStyle w:val="Tabletext"/>
              <w:rPr>
                <w:lang w:val="fr-CH"/>
              </w:rPr>
            </w:pPr>
            <w:r w:rsidRPr="00E0088F">
              <w:rPr>
                <w:lang w:val="fr-CH"/>
              </w:rPr>
              <w:t>À l'issue de l'examen des points </w:t>
            </w:r>
            <w:r w:rsidRPr="00E0088F">
              <w:rPr>
                <w:b/>
                <w:bCs/>
                <w:lang w:val="fr-CH"/>
              </w:rPr>
              <w:t>1.6</w:t>
            </w:r>
            <w:r w:rsidRPr="00E0088F">
              <w:rPr>
                <w:lang w:val="fr-CH"/>
              </w:rPr>
              <w:t xml:space="preserve">, </w:t>
            </w:r>
            <w:r w:rsidRPr="00E0088F">
              <w:rPr>
                <w:b/>
                <w:bCs/>
                <w:lang w:val="fr-CH"/>
              </w:rPr>
              <w:t>9.1</w:t>
            </w:r>
            <w:r w:rsidR="00F31DA0" w:rsidRPr="00E0088F">
              <w:rPr>
                <w:b/>
                <w:bCs/>
                <w:lang w:val="fr-CH"/>
              </w:rPr>
              <w:t> </w:t>
            </w:r>
            <w:r w:rsidRPr="00E0088F">
              <w:rPr>
                <w:b/>
                <w:bCs/>
                <w:lang w:val="fr-CH"/>
              </w:rPr>
              <w:t>(question 9.1.9)</w:t>
            </w:r>
            <w:r w:rsidRPr="00E0088F">
              <w:rPr>
                <w:lang w:val="fr-CH"/>
              </w:rPr>
              <w:t xml:space="preserve"> et </w:t>
            </w:r>
            <w:r w:rsidRPr="00E0088F">
              <w:rPr>
                <w:b/>
                <w:bCs/>
                <w:lang w:val="fr-CH"/>
              </w:rPr>
              <w:t>1.13 de l'ordre du jour</w:t>
            </w:r>
            <w:r w:rsidRPr="00E0088F">
              <w:rPr>
                <w:lang w:val="fr-CH"/>
              </w:rPr>
              <w:t xml:space="preserve"> de la CMR</w:t>
            </w:r>
            <w:r w:rsidRPr="00E0088F">
              <w:rPr>
                <w:lang w:val="fr-CH"/>
              </w:rPr>
              <w:noBreakHyphen/>
              <w:t>19, cette Résolution devrait être modifiée</w:t>
            </w:r>
            <w:r w:rsidR="000C185F"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153270" w14:textId="77777777" w:rsidR="002151C3" w:rsidRPr="00E0088F" w:rsidRDefault="002151C3" w:rsidP="006C5A84">
            <w:pPr>
              <w:pStyle w:val="Tabletext"/>
              <w:jc w:val="center"/>
              <w:rPr>
                <w:lang w:val="fr-CH"/>
              </w:rPr>
            </w:pPr>
            <w:r w:rsidRPr="00E0088F">
              <w:rPr>
                <w:lang w:val="fr-CH"/>
              </w:rPr>
              <w:t>MOD</w:t>
            </w:r>
          </w:p>
        </w:tc>
      </w:tr>
      <w:tr w:rsidR="002151C3" w:rsidRPr="00E0088F" w14:paraId="75D85230"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CA1D2AD" w14:textId="77777777" w:rsidR="002151C3" w:rsidRPr="00E0088F" w:rsidRDefault="002151C3" w:rsidP="006C5A84">
            <w:pPr>
              <w:pStyle w:val="Tabletext"/>
              <w:jc w:val="center"/>
              <w:rPr>
                <w:lang w:val="fr-CH"/>
              </w:rPr>
            </w:pPr>
            <w:r w:rsidRPr="00E0088F">
              <w:rPr>
                <w:lang w:val="fr-CH"/>
              </w:rPr>
              <w:t>751</w:t>
            </w:r>
          </w:p>
        </w:tc>
        <w:tc>
          <w:tcPr>
            <w:tcW w:w="2551" w:type="dxa"/>
            <w:tcBorders>
              <w:top w:val="single" w:sz="6" w:space="0" w:color="auto"/>
              <w:left w:val="single" w:sz="6" w:space="0" w:color="auto"/>
              <w:bottom w:val="single" w:sz="6" w:space="0" w:color="auto"/>
              <w:right w:val="single" w:sz="6" w:space="0" w:color="auto"/>
            </w:tcBorders>
            <w:hideMark/>
          </w:tcPr>
          <w:p w14:paraId="371BF44A" w14:textId="77777777" w:rsidR="002151C3" w:rsidRPr="00E0088F" w:rsidRDefault="002151C3" w:rsidP="006C5A84">
            <w:pPr>
              <w:pStyle w:val="Tabletext"/>
              <w:rPr>
                <w:lang w:val="fr-CH"/>
              </w:rPr>
            </w:pPr>
            <w:r w:rsidRPr="00E0088F">
              <w:rPr>
                <w:lang w:val="fr-CH"/>
              </w:rPr>
              <w:t>Utilisation de la bande 10,6</w:t>
            </w:r>
            <w:r w:rsidRPr="00E0088F">
              <w:rPr>
                <w:lang w:val="fr-CH"/>
              </w:rPr>
              <w:noBreakHyphen/>
              <w:t>10,68 GHz</w:t>
            </w:r>
          </w:p>
        </w:tc>
        <w:tc>
          <w:tcPr>
            <w:tcW w:w="3625" w:type="dxa"/>
            <w:tcBorders>
              <w:top w:val="single" w:sz="6" w:space="0" w:color="auto"/>
              <w:left w:val="single" w:sz="6" w:space="0" w:color="auto"/>
              <w:bottom w:val="single" w:sz="6" w:space="0" w:color="auto"/>
              <w:right w:val="single" w:sz="6" w:space="0" w:color="auto"/>
            </w:tcBorders>
            <w:hideMark/>
          </w:tcPr>
          <w:p w14:paraId="467792A0" w14:textId="46CE0A14" w:rsidR="002151C3" w:rsidRPr="00E0088F" w:rsidRDefault="002151C3" w:rsidP="006C5A84">
            <w:pPr>
              <w:pStyle w:val="Tabletext"/>
              <w:rPr>
                <w:lang w:val="fr-CH"/>
              </w:rPr>
            </w:pPr>
            <w:r w:rsidRPr="00E0088F">
              <w:rPr>
                <w:lang w:val="fr-CH"/>
              </w:rPr>
              <w:t>(CMR-07). A toujours lieu d'être</w:t>
            </w:r>
            <w:r w:rsidR="0067656A" w:rsidRPr="00E0088F">
              <w:rPr>
                <w:lang w:val="fr-CH"/>
              </w:rPr>
              <w:t xml:space="preserve"> (voir le </w:t>
            </w:r>
            <w:r w:rsidRPr="00E0088F">
              <w:rPr>
                <w:lang w:val="fr-CH" w:eastAsia="ja-JP"/>
              </w:rPr>
              <w:t xml:space="preserve">numéro </w:t>
            </w:r>
            <w:r w:rsidRPr="00E0088F">
              <w:rPr>
                <w:b/>
                <w:lang w:val="fr-CH" w:eastAsia="ja-JP"/>
              </w:rPr>
              <w:t>5.482A</w:t>
            </w:r>
            <w:r w:rsidR="0067656A" w:rsidRPr="00E0088F">
              <w:rPr>
                <w:b/>
                <w:lang w:val="fr-CH" w:eastAsia="ja-JP"/>
              </w:rPr>
              <w:t xml:space="preserve"> </w:t>
            </w:r>
            <w:r w:rsidR="0067656A" w:rsidRPr="00E0088F">
              <w:rPr>
                <w:bCs/>
                <w:lang w:val="fr-CH" w:eastAsia="ja-JP"/>
              </w:rPr>
              <w:t xml:space="preserve">du </w:t>
            </w:r>
            <w:r w:rsidR="0067656A" w:rsidRPr="00E0088F">
              <w:rPr>
                <w:b/>
                <w:lang w:val="fr-CH" w:eastAsia="ja-JP"/>
              </w:rPr>
              <w:t>RR</w:t>
            </w:r>
            <w:r w:rsidR="0067656A" w:rsidRPr="00E0088F">
              <w:rPr>
                <w:bCs/>
                <w:lang w:val="fr-CH" w:eastAsia="ja-JP"/>
              </w:rPr>
              <w:t>)</w:t>
            </w:r>
            <w:r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7440D27F" w14:textId="77777777" w:rsidR="002151C3" w:rsidRPr="00E0088F" w:rsidRDefault="002151C3" w:rsidP="006C5A84">
            <w:pPr>
              <w:pStyle w:val="Tabletext"/>
              <w:jc w:val="center"/>
              <w:rPr>
                <w:lang w:val="fr-CH"/>
              </w:rPr>
            </w:pPr>
            <w:r w:rsidRPr="00E0088F">
              <w:rPr>
                <w:lang w:val="fr-CH"/>
              </w:rPr>
              <w:t>NOC</w:t>
            </w:r>
          </w:p>
        </w:tc>
      </w:tr>
      <w:tr w:rsidR="002151C3" w:rsidRPr="00E0088F" w14:paraId="5A5AB561"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6D5E59D" w14:textId="77777777" w:rsidR="002151C3" w:rsidRPr="00E0088F" w:rsidRDefault="002151C3" w:rsidP="006C5A84">
            <w:pPr>
              <w:pStyle w:val="Tabletext"/>
              <w:jc w:val="center"/>
              <w:rPr>
                <w:lang w:val="fr-CH"/>
              </w:rPr>
            </w:pPr>
            <w:r w:rsidRPr="00E0088F">
              <w:rPr>
                <w:lang w:val="fr-CH"/>
              </w:rPr>
              <w:t>752</w:t>
            </w:r>
          </w:p>
        </w:tc>
        <w:tc>
          <w:tcPr>
            <w:tcW w:w="2551" w:type="dxa"/>
            <w:tcBorders>
              <w:top w:val="single" w:sz="6" w:space="0" w:color="auto"/>
              <w:left w:val="single" w:sz="6" w:space="0" w:color="auto"/>
              <w:bottom w:val="single" w:sz="6" w:space="0" w:color="auto"/>
              <w:right w:val="single" w:sz="6" w:space="0" w:color="auto"/>
            </w:tcBorders>
            <w:hideMark/>
          </w:tcPr>
          <w:p w14:paraId="56D67A58" w14:textId="77777777" w:rsidR="002151C3" w:rsidRPr="00E0088F" w:rsidRDefault="002151C3" w:rsidP="006C5A84">
            <w:pPr>
              <w:pStyle w:val="Tabletext"/>
              <w:rPr>
                <w:lang w:val="fr-CH"/>
              </w:rPr>
            </w:pPr>
            <w:r w:rsidRPr="00E0088F">
              <w:rPr>
                <w:lang w:val="fr-CH"/>
              </w:rPr>
              <w:t>Utilisation de la bande 36</w:t>
            </w:r>
            <w:r w:rsidRPr="00E0088F">
              <w:rPr>
                <w:lang w:val="fr-CH"/>
              </w:rPr>
              <w:noBreakHyphen/>
              <w:t>37 GHz</w:t>
            </w:r>
          </w:p>
        </w:tc>
        <w:tc>
          <w:tcPr>
            <w:tcW w:w="3625" w:type="dxa"/>
            <w:tcBorders>
              <w:top w:val="single" w:sz="6" w:space="0" w:color="auto"/>
              <w:left w:val="single" w:sz="6" w:space="0" w:color="auto"/>
              <w:bottom w:val="single" w:sz="6" w:space="0" w:color="auto"/>
              <w:right w:val="single" w:sz="6" w:space="0" w:color="auto"/>
            </w:tcBorders>
            <w:hideMark/>
          </w:tcPr>
          <w:p w14:paraId="7D2078A7" w14:textId="238C18CB" w:rsidR="002151C3" w:rsidRPr="00E0088F" w:rsidRDefault="002151C3" w:rsidP="006C5A84">
            <w:pPr>
              <w:pStyle w:val="Tabletext"/>
              <w:rPr>
                <w:lang w:val="fr-CH"/>
              </w:rPr>
            </w:pPr>
            <w:r w:rsidRPr="00E0088F">
              <w:rPr>
                <w:lang w:val="fr-CH"/>
              </w:rPr>
              <w:t>(CMR-07). A toujours lieu d'être</w:t>
            </w:r>
            <w:r w:rsidR="0067656A" w:rsidRPr="00E0088F">
              <w:rPr>
                <w:lang w:val="fr-CH"/>
              </w:rPr>
              <w:t xml:space="preserve"> (voir le</w:t>
            </w:r>
            <w:r w:rsidRPr="00E0088F">
              <w:rPr>
                <w:lang w:val="fr-CH" w:eastAsia="ja-JP"/>
              </w:rPr>
              <w:t xml:space="preserve"> numéro </w:t>
            </w:r>
            <w:r w:rsidRPr="00E0088F">
              <w:rPr>
                <w:b/>
                <w:lang w:val="fr-CH" w:eastAsia="ja-JP"/>
              </w:rPr>
              <w:t>5.550A</w:t>
            </w:r>
            <w:r w:rsidR="0067656A" w:rsidRPr="00E0088F">
              <w:rPr>
                <w:lang w:val="fr-CH" w:eastAsia="ja-JP"/>
              </w:rPr>
              <w:t xml:space="preserve"> </w:t>
            </w:r>
            <w:r w:rsidR="0067656A" w:rsidRPr="00E0088F">
              <w:rPr>
                <w:bCs/>
                <w:lang w:val="fr-CH" w:eastAsia="ja-JP"/>
              </w:rPr>
              <w:t xml:space="preserve">du </w:t>
            </w:r>
            <w:r w:rsidR="0067656A" w:rsidRPr="00E0088F">
              <w:rPr>
                <w:b/>
                <w:lang w:val="fr-CH" w:eastAsia="ja-JP"/>
              </w:rPr>
              <w:t>RR</w:t>
            </w:r>
            <w:r w:rsidR="0067656A" w:rsidRPr="00E0088F">
              <w:rPr>
                <w:bCs/>
                <w:lang w:val="fr-CH" w:eastAsia="ja-JP"/>
              </w:rPr>
              <w:t>)</w:t>
            </w:r>
            <w:r w:rsidR="0067656A" w:rsidRPr="00E0088F">
              <w:rPr>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61C19414" w14:textId="77777777" w:rsidR="002151C3" w:rsidRPr="00E0088F" w:rsidRDefault="002151C3" w:rsidP="006C5A84">
            <w:pPr>
              <w:pStyle w:val="Tabletext"/>
              <w:jc w:val="center"/>
              <w:rPr>
                <w:lang w:val="fr-CH"/>
              </w:rPr>
            </w:pPr>
            <w:r w:rsidRPr="00E0088F">
              <w:rPr>
                <w:lang w:val="fr-CH"/>
              </w:rPr>
              <w:t>NOC</w:t>
            </w:r>
          </w:p>
        </w:tc>
      </w:tr>
      <w:tr w:rsidR="002151C3" w:rsidRPr="00E0088F" w14:paraId="5365E8B0"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4ED3C94" w14:textId="77777777" w:rsidR="002151C3" w:rsidRPr="00E0088F" w:rsidRDefault="002151C3" w:rsidP="006C5A84">
            <w:pPr>
              <w:pStyle w:val="Tabletext"/>
              <w:jc w:val="center"/>
              <w:rPr>
                <w:lang w:val="fr-CH"/>
              </w:rPr>
            </w:pPr>
            <w:r w:rsidRPr="00E0088F">
              <w:rPr>
                <w:lang w:val="fr-CH"/>
              </w:rPr>
              <w:t>759</w:t>
            </w:r>
          </w:p>
        </w:tc>
        <w:tc>
          <w:tcPr>
            <w:tcW w:w="2551" w:type="dxa"/>
            <w:tcBorders>
              <w:top w:val="single" w:sz="6" w:space="0" w:color="auto"/>
              <w:left w:val="single" w:sz="6" w:space="0" w:color="auto"/>
              <w:bottom w:val="single" w:sz="6" w:space="0" w:color="auto"/>
              <w:right w:val="single" w:sz="6" w:space="0" w:color="auto"/>
            </w:tcBorders>
            <w:hideMark/>
          </w:tcPr>
          <w:p w14:paraId="7C39DAA5" w14:textId="374A9C20" w:rsidR="002151C3" w:rsidRPr="00E0088F" w:rsidRDefault="002151C3" w:rsidP="006C5A84">
            <w:pPr>
              <w:pStyle w:val="Tabletext"/>
              <w:rPr>
                <w:lang w:val="fr-CH"/>
              </w:rPr>
            </w:pPr>
            <w:r w:rsidRPr="00E0088F">
              <w:rPr>
                <w:lang w:val="fr-CH"/>
              </w:rPr>
              <w:t>Études techniques relatives à la coexistence entre le service de radiolocalisation et les services d'amateur, d'amateur par satellite et de radioastronomie dans la bande de fréquences 76</w:t>
            </w:r>
            <w:r w:rsidR="00356D4B" w:rsidRPr="00E0088F">
              <w:rPr>
                <w:lang w:val="fr-CH"/>
              </w:rPr>
              <w:noBreakHyphen/>
            </w:r>
            <w:r w:rsidRPr="00E0088F">
              <w:rPr>
                <w:lang w:val="fr-CH"/>
              </w:rPr>
              <w:t>81 GHz</w:t>
            </w:r>
          </w:p>
        </w:tc>
        <w:tc>
          <w:tcPr>
            <w:tcW w:w="3625" w:type="dxa"/>
            <w:tcBorders>
              <w:top w:val="single" w:sz="6" w:space="0" w:color="auto"/>
              <w:left w:val="single" w:sz="6" w:space="0" w:color="auto"/>
              <w:bottom w:val="single" w:sz="6" w:space="0" w:color="auto"/>
              <w:right w:val="single" w:sz="6" w:space="0" w:color="auto"/>
            </w:tcBorders>
            <w:hideMark/>
          </w:tcPr>
          <w:p w14:paraId="5285E6D3" w14:textId="77777777" w:rsidR="002151C3" w:rsidRPr="00E0088F" w:rsidRDefault="002151C3" w:rsidP="006C5A84">
            <w:pPr>
              <w:pStyle w:val="Tabletext"/>
              <w:rPr>
                <w:lang w:val="fr-CH"/>
              </w:rPr>
            </w:pPr>
            <w:r w:rsidRPr="00E0088F">
              <w:rPr>
                <w:lang w:val="fr-CH"/>
              </w:rPr>
              <w:t>(CMR-15). A toujours lieu d'être. Il faut déterminer si les études de l'UIT-R demandées dans cette Résolution ont progressé.</w:t>
            </w:r>
          </w:p>
        </w:tc>
        <w:tc>
          <w:tcPr>
            <w:tcW w:w="2045" w:type="dxa"/>
            <w:tcBorders>
              <w:top w:val="single" w:sz="6" w:space="0" w:color="auto"/>
              <w:left w:val="single" w:sz="6" w:space="0" w:color="auto"/>
              <w:bottom w:val="single" w:sz="6" w:space="0" w:color="auto"/>
              <w:right w:val="single" w:sz="6" w:space="0" w:color="auto"/>
            </w:tcBorders>
            <w:hideMark/>
          </w:tcPr>
          <w:p w14:paraId="75F5024B" w14:textId="77777777" w:rsidR="002151C3" w:rsidRPr="00E0088F" w:rsidRDefault="002151C3" w:rsidP="006C5A84">
            <w:pPr>
              <w:pStyle w:val="Tabletext"/>
              <w:jc w:val="center"/>
              <w:rPr>
                <w:lang w:val="fr-CH"/>
              </w:rPr>
            </w:pPr>
            <w:r w:rsidRPr="00E0088F">
              <w:rPr>
                <w:lang w:val="fr-CH"/>
              </w:rPr>
              <w:t>NOC</w:t>
            </w:r>
          </w:p>
        </w:tc>
      </w:tr>
      <w:tr w:rsidR="002151C3" w:rsidRPr="00E0088F" w14:paraId="2E34B0A4"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079C8214" w14:textId="77777777" w:rsidR="002151C3" w:rsidRPr="00E0088F" w:rsidRDefault="002151C3" w:rsidP="006C5A84">
            <w:pPr>
              <w:pStyle w:val="Tabletext"/>
              <w:jc w:val="center"/>
              <w:rPr>
                <w:lang w:val="fr-CH"/>
              </w:rPr>
            </w:pPr>
            <w:r w:rsidRPr="00E0088F">
              <w:rPr>
                <w:lang w:val="fr-CH"/>
              </w:rPr>
              <w:lastRenderedPageBreak/>
              <w:t>760</w:t>
            </w:r>
          </w:p>
        </w:tc>
        <w:tc>
          <w:tcPr>
            <w:tcW w:w="2551" w:type="dxa"/>
            <w:tcBorders>
              <w:top w:val="single" w:sz="6" w:space="0" w:color="auto"/>
              <w:left w:val="single" w:sz="6" w:space="0" w:color="auto"/>
              <w:bottom w:val="single" w:sz="6" w:space="0" w:color="auto"/>
              <w:right w:val="single" w:sz="6" w:space="0" w:color="auto"/>
            </w:tcBorders>
            <w:hideMark/>
          </w:tcPr>
          <w:p w14:paraId="1A370073" w14:textId="77777777" w:rsidR="002151C3" w:rsidRPr="00E0088F" w:rsidRDefault="002151C3" w:rsidP="006C5A84">
            <w:pPr>
              <w:pStyle w:val="Tabletext"/>
              <w:rPr>
                <w:lang w:val="fr-CH"/>
              </w:rPr>
            </w:pPr>
            <w:r w:rsidRPr="00E0088F">
              <w:rPr>
                <w:lang w:val="fr-CH"/>
              </w:rPr>
              <w:t>Dispositions relatives à l'utilisation de la bande de fréquences 694-790 MHz dans la Région 1 par le service mobile, sauf mobile aéronautique, et par d'autres services</w:t>
            </w:r>
          </w:p>
        </w:tc>
        <w:tc>
          <w:tcPr>
            <w:tcW w:w="3625" w:type="dxa"/>
            <w:tcBorders>
              <w:top w:val="single" w:sz="6" w:space="0" w:color="auto"/>
              <w:left w:val="single" w:sz="6" w:space="0" w:color="auto"/>
              <w:bottom w:val="single" w:sz="6" w:space="0" w:color="auto"/>
              <w:right w:val="single" w:sz="6" w:space="0" w:color="auto"/>
            </w:tcBorders>
            <w:hideMark/>
          </w:tcPr>
          <w:p w14:paraId="4B1904AF" w14:textId="77777777" w:rsidR="002151C3" w:rsidRPr="00E0088F" w:rsidRDefault="002151C3" w:rsidP="006C5A84">
            <w:pPr>
              <w:pStyle w:val="Tabletext"/>
              <w:rPr>
                <w:lang w:val="fr-CH"/>
              </w:rPr>
            </w:pPr>
            <w:r w:rsidRPr="00E0088F">
              <w:rPr>
                <w:lang w:val="fr-CH"/>
              </w:rPr>
              <w:t>(CMR-15). A toujours lieu d'être, mais concerne uniquement la Région 1</w:t>
            </w:r>
            <w:r w:rsidRPr="00E0088F">
              <w:rPr>
                <w:bCs/>
                <w:lang w:val="fr-CH"/>
              </w:rPr>
              <w:t xml:space="preserve">. Cette Résolution est citée dans les numéros </w:t>
            </w:r>
            <w:r w:rsidRPr="00E0088F">
              <w:rPr>
                <w:b/>
                <w:bCs/>
                <w:lang w:val="fr-CH"/>
              </w:rPr>
              <w:t>5.312A</w:t>
            </w:r>
            <w:r w:rsidRPr="00E0088F">
              <w:rPr>
                <w:bCs/>
                <w:lang w:val="fr-CH"/>
              </w:rPr>
              <w:t xml:space="preserve"> et </w:t>
            </w:r>
            <w:r w:rsidRPr="00E0088F">
              <w:rPr>
                <w:b/>
                <w:bCs/>
                <w:lang w:val="fr-CH"/>
              </w:rPr>
              <w:t>5.317A</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19D57D4D" w14:textId="77777777" w:rsidR="002151C3" w:rsidRPr="00E0088F" w:rsidRDefault="002151C3" w:rsidP="006C5A84">
            <w:pPr>
              <w:pStyle w:val="Tabletext"/>
              <w:jc w:val="center"/>
              <w:rPr>
                <w:lang w:val="fr-CH"/>
              </w:rPr>
            </w:pPr>
            <w:r w:rsidRPr="00E0088F">
              <w:rPr>
                <w:lang w:val="fr-CH"/>
              </w:rPr>
              <w:t>N/A</w:t>
            </w:r>
          </w:p>
        </w:tc>
      </w:tr>
      <w:tr w:rsidR="002151C3" w:rsidRPr="00E0088F" w14:paraId="19D41B22"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366949DD" w14:textId="77777777" w:rsidR="002151C3" w:rsidRPr="00E0088F" w:rsidRDefault="002151C3" w:rsidP="006C5A84">
            <w:pPr>
              <w:pStyle w:val="Tabletext"/>
              <w:jc w:val="center"/>
              <w:rPr>
                <w:lang w:val="fr-CH"/>
              </w:rPr>
            </w:pPr>
            <w:r w:rsidRPr="00E0088F">
              <w:rPr>
                <w:lang w:val="fr-CH"/>
              </w:rPr>
              <w:t>761</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043654D" w14:textId="77777777" w:rsidR="002151C3" w:rsidRPr="00E0088F" w:rsidRDefault="002151C3" w:rsidP="006C5A84">
            <w:pPr>
              <w:pStyle w:val="Tabletext"/>
              <w:rPr>
                <w:lang w:val="fr-CH"/>
              </w:rPr>
            </w:pPr>
            <w:r w:rsidRPr="00E0088F">
              <w:rPr>
                <w:lang w:val="fr-CH"/>
              </w:rPr>
              <w:t>Compatibilité entre les Télécommunications mobiles internationales et le service de radiodiffusion par satellite (sonore) dans la bande de fréquences 1 452-1 492 MHz dans les Régions 1 et 3</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91EF6C" w14:textId="2029C4DF" w:rsidR="002151C3" w:rsidRPr="00E0088F" w:rsidRDefault="002151C3" w:rsidP="006C5A84">
            <w:pPr>
              <w:pStyle w:val="Tabletext"/>
              <w:rPr>
                <w:lang w:val="fr-CH"/>
              </w:rPr>
            </w:pPr>
            <w:r w:rsidRPr="00E0088F">
              <w:rPr>
                <w:lang w:val="fr-CH"/>
              </w:rPr>
              <w:t>(CMR</w:t>
            </w:r>
            <w:r w:rsidRPr="00E0088F">
              <w:rPr>
                <w:lang w:val="fr-CH"/>
              </w:rPr>
              <w:noBreakHyphen/>
              <w:t xml:space="preserve">15). </w:t>
            </w:r>
            <w:r w:rsidR="00441D54" w:rsidRPr="00E0088F">
              <w:rPr>
                <w:lang w:val="fr-CH"/>
              </w:rPr>
              <w:t xml:space="preserve">À l'issue de l'examen de </w:t>
            </w:r>
            <w:r w:rsidRPr="00E0088F">
              <w:rPr>
                <w:lang w:val="fr-CH"/>
              </w:rPr>
              <w:t xml:space="preserve">la </w:t>
            </w:r>
            <w:r w:rsidRPr="00E0088F">
              <w:rPr>
                <w:b/>
                <w:bCs/>
                <w:lang w:val="fr-CH"/>
              </w:rPr>
              <w:t>question 9.1.2 au titre du point 9.1 de l'ordre du jour</w:t>
            </w:r>
            <w:r w:rsidRPr="00E0088F">
              <w:rPr>
                <w:lang w:val="fr-CH"/>
              </w:rPr>
              <w:t xml:space="preserve"> de la CMR-19, aucune proposition concernant cette Résolution</w:t>
            </w:r>
            <w:r w:rsidR="0067656A" w:rsidRPr="00E0088F">
              <w:rPr>
                <w:lang w:val="fr-CH"/>
              </w:rPr>
              <w:t xml:space="preserve"> n</w:t>
            </w:r>
            <w:r w:rsidR="006C5A84" w:rsidRPr="00E0088F">
              <w:rPr>
                <w:lang w:val="fr-CH"/>
              </w:rPr>
              <w:t>'</w:t>
            </w:r>
            <w:r w:rsidR="0067656A" w:rsidRPr="00E0088F">
              <w:rPr>
                <w:lang w:val="fr-CH"/>
              </w:rPr>
              <w:t>est faite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9AE1C5" w14:textId="3F446F1E" w:rsidR="002151C3" w:rsidRPr="00E0088F" w:rsidRDefault="0067656A" w:rsidP="006C5A84">
            <w:pPr>
              <w:pStyle w:val="Tabletext"/>
              <w:jc w:val="center"/>
              <w:rPr>
                <w:lang w:val="fr-CH"/>
              </w:rPr>
            </w:pPr>
            <w:r w:rsidRPr="00E0088F">
              <w:rPr>
                <w:lang w:val="fr-CH"/>
              </w:rPr>
              <w:t>SUP</w:t>
            </w:r>
          </w:p>
        </w:tc>
      </w:tr>
      <w:tr w:rsidR="002151C3" w:rsidRPr="00E0088F" w14:paraId="737C2FE0"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7921B5A6" w14:textId="77777777" w:rsidR="002151C3" w:rsidRPr="00E0088F" w:rsidRDefault="002151C3" w:rsidP="006C5A84">
            <w:pPr>
              <w:pStyle w:val="Tabletext"/>
              <w:jc w:val="center"/>
              <w:rPr>
                <w:lang w:val="fr-CH"/>
              </w:rPr>
            </w:pPr>
            <w:r w:rsidRPr="00E0088F">
              <w:rPr>
                <w:lang w:val="fr-CH"/>
              </w:rPr>
              <w:t>762</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D429A64" w14:textId="77777777" w:rsidR="002151C3" w:rsidRPr="00E0088F" w:rsidRDefault="002151C3" w:rsidP="006C5A84">
            <w:pPr>
              <w:pStyle w:val="Tabletext"/>
              <w:rPr>
                <w:lang w:val="fr-CH"/>
              </w:rPr>
            </w:pPr>
            <w:r w:rsidRPr="00E0088F">
              <w:rPr>
                <w:lang w:val="fr-CH"/>
              </w:rPr>
              <w:t xml:space="preserve">Application de critères de puissance surfacique pour évaluer le risque de brouillage préjudiciable conformément au numéro </w:t>
            </w:r>
            <w:r w:rsidRPr="00E0088F">
              <w:rPr>
                <w:b/>
                <w:bCs/>
                <w:lang w:val="fr-CH"/>
              </w:rPr>
              <w:t>11.32A</w:t>
            </w:r>
            <w:r w:rsidRPr="00E0088F">
              <w:rPr>
                <w:lang w:val="fr-CH"/>
              </w:rPr>
              <w:t>, pour les réseaux du service fixe par satellite et du service de radiodiffusion par satellite dans les bandes de fréquences des 6 GHz et des 10/11/12/14 GHz ne relevant pas d'un Plan</w:t>
            </w:r>
          </w:p>
        </w:tc>
        <w:tc>
          <w:tcPr>
            <w:tcW w:w="3625" w:type="dxa"/>
            <w:tcBorders>
              <w:top w:val="single" w:sz="6" w:space="0" w:color="auto"/>
              <w:left w:val="single" w:sz="6" w:space="0" w:color="auto"/>
              <w:bottom w:val="single" w:sz="6" w:space="0" w:color="auto"/>
              <w:right w:val="single" w:sz="6" w:space="0" w:color="auto"/>
            </w:tcBorders>
            <w:hideMark/>
          </w:tcPr>
          <w:p w14:paraId="1F29B630" w14:textId="77777777" w:rsidR="002151C3" w:rsidRPr="00E0088F" w:rsidRDefault="002151C3" w:rsidP="006C5A84">
            <w:pPr>
              <w:pStyle w:val="Tabletext"/>
              <w:rPr>
                <w:lang w:val="fr-CH"/>
              </w:rPr>
            </w:pPr>
            <w:r w:rsidRPr="00E0088F">
              <w:rPr>
                <w:lang w:val="fr-CH"/>
              </w:rPr>
              <w:t xml:space="preserve">(CMR-15). A toujours lieu d'être. Cette Résolution est citée dans le numéro </w:t>
            </w:r>
            <w:r w:rsidRPr="00E0088F">
              <w:rPr>
                <w:b/>
                <w:lang w:val="fr-CH"/>
              </w:rPr>
              <w:t>11.32A.2</w:t>
            </w:r>
            <w:r w:rsidRPr="00E0088F">
              <w:rPr>
                <w:lang w:val="fr-CH"/>
              </w:rPr>
              <w:t xml:space="preserve">. La méthode de calcul du rapport C/I définie dans la Règle de procédure relative au numéro </w:t>
            </w:r>
            <w:r w:rsidRPr="00E0088F">
              <w:rPr>
                <w:b/>
                <w:bCs/>
                <w:lang w:val="fr-CH"/>
              </w:rPr>
              <w:t>11.32A</w:t>
            </w:r>
            <w:r w:rsidRPr="00E0088F">
              <w:rPr>
                <w:lang w:val="fr-CH"/>
              </w:rPr>
              <w:t xml:space="preserve"> du RR est en cours de révision.</w:t>
            </w:r>
          </w:p>
        </w:tc>
        <w:tc>
          <w:tcPr>
            <w:tcW w:w="2045" w:type="dxa"/>
            <w:tcBorders>
              <w:top w:val="single" w:sz="6" w:space="0" w:color="auto"/>
              <w:left w:val="single" w:sz="6" w:space="0" w:color="auto"/>
              <w:bottom w:val="single" w:sz="6" w:space="0" w:color="auto"/>
              <w:right w:val="single" w:sz="6" w:space="0" w:color="auto"/>
            </w:tcBorders>
            <w:hideMark/>
          </w:tcPr>
          <w:p w14:paraId="1E3F0A55" w14:textId="77777777" w:rsidR="002151C3" w:rsidRPr="00E0088F" w:rsidRDefault="002151C3" w:rsidP="006C5A84">
            <w:pPr>
              <w:pStyle w:val="Tabletext"/>
              <w:jc w:val="center"/>
              <w:rPr>
                <w:lang w:val="fr-CH"/>
              </w:rPr>
            </w:pPr>
            <w:r w:rsidRPr="00E0088F">
              <w:rPr>
                <w:lang w:val="fr-CH"/>
              </w:rPr>
              <w:t>NOC</w:t>
            </w:r>
          </w:p>
        </w:tc>
      </w:tr>
      <w:tr w:rsidR="002151C3" w:rsidRPr="00E0088F" w14:paraId="55372A6E"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7E458BC6" w14:textId="77777777" w:rsidR="002151C3" w:rsidRPr="00E0088F" w:rsidRDefault="002151C3" w:rsidP="006C5A84">
            <w:pPr>
              <w:pStyle w:val="Tabletext"/>
              <w:jc w:val="center"/>
              <w:rPr>
                <w:lang w:val="fr-CH"/>
              </w:rPr>
            </w:pPr>
            <w:r w:rsidRPr="00E0088F">
              <w:rPr>
                <w:lang w:val="fr-CH"/>
              </w:rPr>
              <w:t>763</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D101E3E" w14:textId="77777777" w:rsidR="002151C3" w:rsidRPr="00E0088F" w:rsidRDefault="002151C3" w:rsidP="006C5A84">
            <w:pPr>
              <w:pStyle w:val="Tabletext"/>
              <w:rPr>
                <w:lang w:val="fr-CH"/>
              </w:rPr>
            </w:pPr>
            <w:r w:rsidRPr="00E0088F">
              <w:rPr>
                <w:lang w:val="fr-CH"/>
              </w:rPr>
              <w:t>Stations placées à bord de véhicules suborbitaux</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651F57" w14:textId="4D101645"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de la </w:t>
            </w:r>
            <w:r w:rsidRPr="00E0088F">
              <w:rPr>
                <w:b/>
                <w:bCs/>
                <w:lang w:val="fr-CH"/>
              </w:rPr>
              <w:t>question 9.1.4 au titre du point 9.1 de l'ordre du jour</w:t>
            </w:r>
            <w:r w:rsidRPr="00E0088F">
              <w:rPr>
                <w:lang w:val="fr-CH"/>
              </w:rPr>
              <w:t xml:space="preserve"> de la CMR-19, il est convenu que cette Résolution devrait être supprimée</w:t>
            </w:r>
            <w:r w:rsidRPr="00E0088F">
              <w:rPr>
                <w:bCs/>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703F40" w14:textId="11BE5002" w:rsidR="002151C3" w:rsidRPr="00E0088F" w:rsidRDefault="0067656A" w:rsidP="006C5A84">
            <w:pPr>
              <w:pStyle w:val="Tabletext"/>
              <w:jc w:val="center"/>
              <w:rPr>
                <w:lang w:val="fr-CH"/>
              </w:rPr>
            </w:pPr>
            <w:r w:rsidRPr="00E0088F">
              <w:rPr>
                <w:lang w:val="fr-CH"/>
              </w:rPr>
              <w:t>SUP/NOC</w:t>
            </w:r>
          </w:p>
        </w:tc>
      </w:tr>
      <w:tr w:rsidR="002151C3" w:rsidRPr="00E0088F" w14:paraId="23DE626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40638FEF" w14:textId="77777777" w:rsidR="002151C3" w:rsidRPr="00E0088F" w:rsidRDefault="002151C3" w:rsidP="006C5A84">
            <w:pPr>
              <w:pStyle w:val="Tabletext"/>
              <w:jc w:val="center"/>
              <w:rPr>
                <w:lang w:val="fr-CH"/>
              </w:rPr>
            </w:pPr>
            <w:r w:rsidRPr="00E0088F">
              <w:rPr>
                <w:lang w:val="fr-CH"/>
              </w:rPr>
              <w:t>764</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69592B9" w14:textId="77777777" w:rsidR="002151C3" w:rsidRPr="00E0088F" w:rsidRDefault="002151C3" w:rsidP="006C5A84">
            <w:pPr>
              <w:pStyle w:val="Tabletext"/>
              <w:rPr>
                <w:lang w:val="fr-CH"/>
              </w:rPr>
            </w:pPr>
            <w:r w:rsidRPr="00E0088F">
              <w:rPr>
                <w:lang w:val="fr-CH"/>
              </w:rPr>
              <w:t xml:space="preserve">Examen des conséquences techniques et réglementaires liées à une référence aux Recommandations UIT-R M.1638-1 et M.1849-1 aux numéros </w:t>
            </w:r>
            <w:r w:rsidRPr="00E0088F">
              <w:rPr>
                <w:b/>
                <w:bCs/>
                <w:lang w:val="fr-CH"/>
              </w:rPr>
              <w:t>5.447F</w:t>
            </w:r>
            <w:r w:rsidRPr="00E0088F">
              <w:rPr>
                <w:lang w:val="fr-CH"/>
              </w:rPr>
              <w:t xml:space="preserve"> et </w:t>
            </w:r>
            <w:r w:rsidRPr="00E0088F">
              <w:rPr>
                <w:b/>
                <w:bCs/>
                <w:lang w:val="fr-CH"/>
              </w:rPr>
              <w:t>5.450A</w:t>
            </w:r>
            <w:r w:rsidRPr="00E0088F">
              <w:rPr>
                <w:lang w:val="fr-CH"/>
              </w:rPr>
              <w:t xml:space="preserve"> du Règlement des radiocommunications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2AA74F" w14:textId="47E64606"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de la </w:t>
            </w:r>
            <w:r w:rsidRPr="00E0088F">
              <w:rPr>
                <w:b/>
                <w:bCs/>
                <w:lang w:val="fr-CH"/>
              </w:rPr>
              <w:t xml:space="preserve">question 9.1.5 au titre du point 9.1 de l'ordre du jour </w:t>
            </w:r>
            <w:r w:rsidRPr="00E0088F">
              <w:rPr>
                <w:lang w:val="fr-CH"/>
              </w:rPr>
              <w:t>de la CMR-19, il est convenu que cette Résolution devrait être supprimée ou modifiée</w:t>
            </w:r>
            <w:r w:rsidR="000C185F"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617550" w14:textId="77777777" w:rsidR="002151C3" w:rsidRPr="00E0088F" w:rsidRDefault="002151C3" w:rsidP="006C5A84">
            <w:pPr>
              <w:pStyle w:val="Tabletext"/>
              <w:jc w:val="center"/>
              <w:rPr>
                <w:lang w:val="fr-CH"/>
              </w:rPr>
            </w:pPr>
            <w:r w:rsidRPr="00E0088F">
              <w:rPr>
                <w:lang w:val="fr-CH"/>
              </w:rPr>
              <w:t>SUP</w:t>
            </w:r>
          </w:p>
        </w:tc>
      </w:tr>
      <w:tr w:rsidR="002151C3" w:rsidRPr="00E0088F" w14:paraId="58AF90C3"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2571787C" w14:textId="77777777" w:rsidR="002151C3" w:rsidRPr="00E0088F" w:rsidRDefault="002151C3" w:rsidP="006C5A84">
            <w:pPr>
              <w:pStyle w:val="Tabletext"/>
              <w:jc w:val="center"/>
              <w:rPr>
                <w:lang w:val="fr-CH"/>
              </w:rPr>
            </w:pPr>
            <w:r w:rsidRPr="00E0088F">
              <w:rPr>
                <w:lang w:val="fr-CH"/>
              </w:rPr>
              <w:t>765</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D2804F1" w14:textId="77777777" w:rsidR="002151C3" w:rsidRPr="00E0088F" w:rsidRDefault="002151C3" w:rsidP="006C5A84">
            <w:pPr>
              <w:pStyle w:val="Tabletext"/>
              <w:rPr>
                <w:lang w:val="fr-CH"/>
              </w:rPr>
            </w:pPr>
            <w:r w:rsidRPr="00E0088F">
              <w:rPr>
                <w:lang w:val="fr-CH"/>
              </w:rPr>
              <w:t>Établissement de limites de puissance dans la bande pour les stations terriennes fonctionnant dans le service mobile par satellite, le service de météorologie par satellite et le service d'exploration de la Terre par satellite dans les bandes de fréquences 401-403 MHz et 399,9-400,05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3524780" w14:textId="6FEE4E58"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1.2 de l'ordre du jour</w:t>
            </w:r>
            <w:r w:rsidRPr="00E0088F">
              <w:rPr>
                <w:lang w:val="fr-CH"/>
              </w:rPr>
              <w:t xml:space="preserve"> de la CMR</w:t>
            </w:r>
            <w:r w:rsidRPr="00E0088F">
              <w:rPr>
                <w:bCs/>
                <w:lang w:val="fr-CH"/>
              </w:rPr>
              <w:noBreakHyphen/>
              <w:t>19,</w:t>
            </w:r>
            <w:r w:rsidRPr="00E0088F">
              <w:rPr>
                <w:lang w:val="fr-CH"/>
              </w:rPr>
              <w:t xml:space="preserve"> cette Résolution devrait être supprimée</w:t>
            </w:r>
            <w:r w:rsidR="000C185F"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8DCAF3" w14:textId="77777777" w:rsidR="002151C3" w:rsidRPr="00E0088F" w:rsidRDefault="002151C3" w:rsidP="006C5A84">
            <w:pPr>
              <w:pStyle w:val="Tabletext"/>
              <w:jc w:val="center"/>
              <w:rPr>
                <w:lang w:val="fr-CH"/>
              </w:rPr>
            </w:pPr>
            <w:r w:rsidRPr="00E0088F">
              <w:rPr>
                <w:lang w:val="fr-CH"/>
              </w:rPr>
              <w:t>SUP</w:t>
            </w:r>
          </w:p>
        </w:tc>
      </w:tr>
      <w:tr w:rsidR="002151C3" w:rsidRPr="00E0088F" w14:paraId="62824A97"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6251636D" w14:textId="77777777" w:rsidR="002151C3" w:rsidRPr="00E0088F" w:rsidRDefault="002151C3" w:rsidP="006C5A84">
            <w:pPr>
              <w:pStyle w:val="Tabletext"/>
              <w:jc w:val="center"/>
              <w:rPr>
                <w:lang w:val="fr-CH"/>
              </w:rPr>
            </w:pPr>
            <w:r w:rsidRPr="00E0088F">
              <w:rPr>
                <w:lang w:val="fr-CH"/>
              </w:rPr>
              <w:lastRenderedPageBreak/>
              <w:t>766</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7603D96" w14:textId="77777777" w:rsidR="002151C3" w:rsidRPr="00E0088F" w:rsidRDefault="002151C3" w:rsidP="006C5A84">
            <w:pPr>
              <w:pStyle w:val="Tabletext"/>
              <w:rPr>
                <w:lang w:val="fr-CH"/>
              </w:rPr>
            </w:pPr>
            <w:r w:rsidRPr="00E0088F">
              <w:rPr>
                <w:lang w:val="fr-CH"/>
              </w:rPr>
              <w:t>Examen du relèvement éventuel au statut primaire de l'attribution à titre secondaire au service de météorologie par satellite (espace vers Terre) et d'une attribution à titre primaire au service d'exploration de la Terre par satellite (espace vers Terre) dans la bande de fréquences 460-470 MHz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27A065" w14:textId="272F276F"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1.3 de l'ordre du jour</w:t>
            </w:r>
            <w:r w:rsidRPr="00E0088F">
              <w:rPr>
                <w:lang w:val="fr-CH"/>
              </w:rPr>
              <w:t xml:space="preserve"> de la CMR</w:t>
            </w:r>
            <w:r w:rsidRPr="00E0088F">
              <w:rPr>
                <w:bCs/>
                <w:lang w:val="fr-CH"/>
              </w:rPr>
              <w:noBreakHyphen/>
              <w:t xml:space="preserve">19, </w:t>
            </w:r>
            <w:r w:rsidR="00ED5341" w:rsidRPr="00E0088F">
              <w:rPr>
                <w:lang w:val="fr-CH"/>
              </w:rPr>
              <w:t>aucune proposition concernant cette Résolution n</w:t>
            </w:r>
            <w:r w:rsidR="006C5A84" w:rsidRPr="00E0088F">
              <w:rPr>
                <w:lang w:val="fr-CH"/>
              </w:rPr>
              <w:t>'</w:t>
            </w:r>
            <w:r w:rsidR="00ED5341" w:rsidRPr="00E0088F">
              <w:rPr>
                <w:lang w:val="fr-CH"/>
              </w:rPr>
              <w:t>est faite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413B06" w14:textId="77777777" w:rsidR="002151C3" w:rsidRPr="00E0088F" w:rsidRDefault="002151C3" w:rsidP="006C5A84">
            <w:pPr>
              <w:pStyle w:val="Tabletext"/>
              <w:jc w:val="center"/>
              <w:rPr>
                <w:lang w:val="fr-CH"/>
              </w:rPr>
            </w:pPr>
            <w:r w:rsidRPr="00E0088F">
              <w:rPr>
                <w:lang w:val="fr-CH"/>
              </w:rPr>
              <w:t>SUP</w:t>
            </w:r>
          </w:p>
        </w:tc>
      </w:tr>
      <w:tr w:rsidR="002151C3" w:rsidRPr="00E0088F" w14:paraId="7E730D71"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3B7474F9" w14:textId="77777777" w:rsidR="002151C3" w:rsidRPr="00E0088F" w:rsidRDefault="002151C3" w:rsidP="006C5A84">
            <w:pPr>
              <w:pStyle w:val="Tabletext"/>
              <w:jc w:val="center"/>
              <w:rPr>
                <w:lang w:val="fr-CH"/>
              </w:rPr>
            </w:pPr>
            <w:r w:rsidRPr="00E0088F">
              <w:rPr>
                <w:lang w:val="fr-CH"/>
              </w:rPr>
              <w:t>767</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DB8406E" w14:textId="77777777" w:rsidR="002151C3" w:rsidRPr="00E0088F" w:rsidRDefault="002151C3" w:rsidP="006C5A84">
            <w:pPr>
              <w:pStyle w:val="Tabletext"/>
              <w:rPr>
                <w:lang w:val="fr-CH"/>
              </w:rPr>
            </w:pPr>
            <w:r w:rsidRPr="00E0088F">
              <w:rPr>
                <w:lang w:val="fr-CH"/>
              </w:rPr>
              <w:t>Études en vue de l'identification de bandes de fréquences destinées à être utilisées par les administrations pour les applications des services mobile terrestre et fixe fonctionnant dans la gamme de fréquences 275-450 GHz</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8CC335" w14:textId="5CE0CCF8" w:rsidR="002151C3" w:rsidRPr="00E0088F" w:rsidRDefault="002151C3" w:rsidP="006C5A84">
            <w:pPr>
              <w:pStyle w:val="Tabletext"/>
              <w:rPr>
                <w:lang w:val="fr-CH"/>
              </w:rPr>
            </w:pPr>
            <w:r w:rsidRPr="00E0088F">
              <w:rPr>
                <w:lang w:val="fr-CH"/>
              </w:rPr>
              <w:t>(CMR</w:t>
            </w:r>
            <w:r w:rsidRPr="00E0088F">
              <w:rPr>
                <w:lang w:val="fr-CH"/>
              </w:rPr>
              <w:noBreakHyphen/>
              <w:t xml:space="preserve">15). À l'issue de l'examen du </w:t>
            </w:r>
            <w:r w:rsidRPr="00E0088F">
              <w:rPr>
                <w:b/>
                <w:bCs/>
                <w:lang w:val="fr-CH"/>
              </w:rPr>
              <w:t>point 1.15 de l'ordre du jour</w:t>
            </w:r>
            <w:r w:rsidRPr="00E0088F">
              <w:rPr>
                <w:lang w:val="fr-CH"/>
              </w:rPr>
              <w:t xml:space="preserve"> de la CMR</w:t>
            </w:r>
            <w:r w:rsidRPr="00E0088F">
              <w:rPr>
                <w:bCs/>
                <w:lang w:val="fr-CH"/>
              </w:rPr>
              <w:noBreakHyphen/>
              <w:t xml:space="preserve">19, </w:t>
            </w:r>
            <w:r w:rsidRPr="00E0088F">
              <w:rPr>
                <w:lang w:val="fr-CH"/>
              </w:rPr>
              <w:t>cette Résolution devrait être supprimée</w:t>
            </w:r>
            <w:r w:rsidR="000C185F"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3299CD9" w14:textId="77777777" w:rsidR="002151C3" w:rsidRPr="00E0088F" w:rsidRDefault="002151C3" w:rsidP="006C5A84">
            <w:pPr>
              <w:pStyle w:val="Tabletext"/>
              <w:jc w:val="center"/>
              <w:rPr>
                <w:lang w:val="fr-CH"/>
              </w:rPr>
            </w:pPr>
            <w:r w:rsidRPr="00E0088F">
              <w:rPr>
                <w:lang w:val="fr-CH"/>
              </w:rPr>
              <w:t>SUP</w:t>
            </w:r>
          </w:p>
        </w:tc>
      </w:tr>
      <w:tr w:rsidR="002151C3" w:rsidRPr="00E0088F" w14:paraId="50AF21FB"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1ED79560" w14:textId="77777777" w:rsidR="002151C3" w:rsidRPr="00E0088F" w:rsidRDefault="002151C3" w:rsidP="006C5A84">
            <w:pPr>
              <w:pStyle w:val="Tabletext"/>
              <w:jc w:val="center"/>
              <w:rPr>
                <w:lang w:val="fr-CH"/>
              </w:rPr>
            </w:pPr>
            <w:r w:rsidRPr="00E0088F">
              <w:rPr>
                <w:lang w:val="fr-CH"/>
              </w:rPr>
              <w:t>804</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F8A37F3" w14:textId="77777777" w:rsidR="002151C3" w:rsidRPr="00E0088F" w:rsidRDefault="002151C3" w:rsidP="006C5A84">
            <w:pPr>
              <w:pStyle w:val="Tabletext"/>
              <w:rPr>
                <w:lang w:val="fr-CH"/>
              </w:rPr>
            </w:pPr>
            <w:r w:rsidRPr="00E0088F">
              <w:rPr>
                <w:lang w:val="fr-CH"/>
              </w:rPr>
              <w:t>Principes applicables à l'élaboration de l'ordre du jour des conférences mondiales des radiocommunications</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914856" w14:textId="7B440607" w:rsidR="002151C3" w:rsidRPr="00E0088F" w:rsidRDefault="002151C3" w:rsidP="006C5A84">
            <w:pPr>
              <w:pStyle w:val="Tabletext"/>
              <w:rPr>
                <w:lang w:val="fr-CH"/>
              </w:rPr>
            </w:pPr>
            <w:r w:rsidRPr="00E0088F">
              <w:rPr>
                <w:lang w:val="fr-CH"/>
              </w:rPr>
              <w:t xml:space="preserve">(Rév.CMR-12). A toujours lieu d'être. À l'issue de l'examen du </w:t>
            </w:r>
            <w:r w:rsidRPr="00E0088F">
              <w:rPr>
                <w:b/>
                <w:bCs/>
                <w:lang w:val="fr-CH"/>
              </w:rPr>
              <w:t>point 10 de l'ordre du jour</w:t>
            </w:r>
            <w:r w:rsidRPr="00E0088F">
              <w:rPr>
                <w:lang w:val="fr-CH"/>
              </w:rPr>
              <w:t xml:space="preserve"> de la CMR</w:t>
            </w:r>
            <w:r w:rsidRPr="00E0088F">
              <w:rPr>
                <w:bCs/>
                <w:lang w:val="fr-CH"/>
              </w:rPr>
              <w:noBreakHyphen/>
              <w:t xml:space="preserve">19, </w:t>
            </w:r>
            <w:r w:rsidRPr="00E0088F">
              <w:rPr>
                <w:lang w:val="fr-CH"/>
              </w:rPr>
              <w:t>cette Résolution devrait être modifié</w:t>
            </w:r>
            <w:r w:rsidR="000C185F" w:rsidRPr="00E0088F">
              <w:rPr>
                <w:lang w:val="fr-CH"/>
              </w:rPr>
              <w:t>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490C3AA" w14:textId="77777777" w:rsidR="002151C3" w:rsidRPr="00E0088F" w:rsidRDefault="002151C3" w:rsidP="006C5A84">
            <w:pPr>
              <w:pStyle w:val="Tabletext"/>
              <w:jc w:val="center"/>
              <w:rPr>
                <w:lang w:val="fr-CH"/>
              </w:rPr>
            </w:pPr>
            <w:r w:rsidRPr="00E0088F">
              <w:rPr>
                <w:lang w:val="fr-CH"/>
              </w:rPr>
              <w:t>MOD</w:t>
            </w:r>
          </w:p>
        </w:tc>
      </w:tr>
      <w:tr w:rsidR="002151C3" w:rsidRPr="00E0088F" w14:paraId="79DCB268"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9B77020" w14:textId="77777777" w:rsidR="002151C3" w:rsidRPr="00E0088F" w:rsidRDefault="002151C3" w:rsidP="006C5A84">
            <w:pPr>
              <w:pStyle w:val="Tabletext"/>
              <w:jc w:val="center"/>
              <w:rPr>
                <w:lang w:val="fr-CH"/>
              </w:rPr>
            </w:pPr>
            <w:r w:rsidRPr="00E0088F">
              <w:rPr>
                <w:lang w:val="fr-CH"/>
              </w:rPr>
              <w:t>809</w:t>
            </w:r>
          </w:p>
        </w:tc>
        <w:tc>
          <w:tcPr>
            <w:tcW w:w="2551" w:type="dxa"/>
            <w:tcBorders>
              <w:top w:val="single" w:sz="6" w:space="0" w:color="auto"/>
              <w:left w:val="single" w:sz="6" w:space="0" w:color="auto"/>
              <w:bottom w:val="single" w:sz="6" w:space="0" w:color="auto"/>
              <w:right w:val="single" w:sz="6" w:space="0" w:color="auto"/>
            </w:tcBorders>
            <w:hideMark/>
          </w:tcPr>
          <w:p w14:paraId="3D556294" w14:textId="77777777" w:rsidR="002151C3" w:rsidRPr="00E0088F" w:rsidRDefault="002151C3" w:rsidP="006C5A84">
            <w:pPr>
              <w:pStyle w:val="Tabletext"/>
              <w:rPr>
                <w:lang w:val="fr-CH"/>
              </w:rPr>
            </w:pPr>
            <w:r w:rsidRPr="00E0088F">
              <w:rPr>
                <w:lang w:val="fr-CH"/>
              </w:rPr>
              <w:t>Ordre du jour de la Conférence mondiale des radiocommunications de 2019</w:t>
            </w:r>
          </w:p>
        </w:tc>
        <w:tc>
          <w:tcPr>
            <w:tcW w:w="3625" w:type="dxa"/>
            <w:tcBorders>
              <w:top w:val="single" w:sz="6" w:space="0" w:color="auto"/>
              <w:left w:val="single" w:sz="6" w:space="0" w:color="auto"/>
              <w:bottom w:val="single" w:sz="6" w:space="0" w:color="auto"/>
              <w:right w:val="single" w:sz="6" w:space="0" w:color="auto"/>
            </w:tcBorders>
            <w:hideMark/>
          </w:tcPr>
          <w:p w14:paraId="0FB39146" w14:textId="0355540E" w:rsidR="002151C3" w:rsidRPr="00E0088F" w:rsidRDefault="002151C3" w:rsidP="006C5A84">
            <w:pPr>
              <w:pStyle w:val="Tabletext"/>
              <w:rPr>
                <w:lang w:val="fr-CH"/>
              </w:rPr>
            </w:pPr>
            <w:r w:rsidRPr="00E0088F">
              <w:rPr>
                <w:lang w:val="fr-CH"/>
              </w:rPr>
              <w:t>(CMR</w:t>
            </w:r>
            <w:r w:rsidRPr="00E0088F">
              <w:rPr>
                <w:lang w:val="fr-CH"/>
              </w:rPr>
              <w:noBreakHyphen/>
              <w:t>15). Obsolète compte tenu des mesures prises par le Conseil (voir la Résolution 1380 du Conseil à sa session de 2016 (modifiée par le Conseil à sa session de 2017)). N'est plus nécessaire, doit être supprimée à la CMR-19</w:t>
            </w:r>
            <w:r w:rsidRPr="00E0088F">
              <w:rPr>
                <w:rFonts w:eastAsiaTheme="minorEastAsia"/>
                <w:lang w:val="fr-CH" w:eastAsia="ja-JP"/>
              </w:rPr>
              <w:t>.</w:t>
            </w:r>
          </w:p>
        </w:tc>
        <w:tc>
          <w:tcPr>
            <w:tcW w:w="2045" w:type="dxa"/>
            <w:tcBorders>
              <w:top w:val="single" w:sz="6" w:space="0" w:color="auto"/>
              <w:left w:val="single" w:sz="6" w:space="0" w:color="auto"/>
              <w:bottom w:val="single" w:sz="6" w:space="0" w:color="auto"/>
              <w:right w:val="single" w:sz="6" w:space="0" w:color="auto"/>
            </w:tcBorders>
            <w:hideMark/>
          </w:tcPr>
          <w:p w14:paraId="76D8E52C" w14:textId="77777777" w:rsidR="002151C3" w:rsidRPr="00E0088F" w:rsidRDefault="002151C3" w:rsidP="006C5A84">
            <w:pPr>
              <w:pStyle w:val="Tabletext"/>
              <w:jc w:val="center"/>
              <w:rPr>
                <w:lang w:val="fr-CH"/>
              </w:rPr>
            </w:pPr>
            <w:r w:rsidRPr="00E0088F">
              <w:rPr>
                <w:lang w:val="fr-CH"/>
              </w:rPr>
              <w:t>SUP</w:t>
            </w:r>
          </w:p>
        </w:tc>
      </w:tr>
      <w:tr w:rsidR="002151C3" w:rsidRPr="00E0088F" w14:paraId="519F2A7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22B52F80" w14:textId="77777777" w:rsidR="002151C3" w:rsidRPr="00E0088F" w:rsidRDefault="002151C3" w:rsidP="006C5A84">
            <w:pPr>
              <w:pStyle w:val="Tabletext"/>
              <w:jc w:val="center"/>
              <w:rPr>
                <w:lang w:val="fr-CH"/>
              </w:rPr>
            </w:pPr>
            <w:r w:rsidRPr="00E0088F">
              <w:rPr>
                <w:lang w:val="fr-CH"/>
              </w:rPr>
              <w:t>810</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BEC14BF" w14:textId="77777777" w:rsidR="002151C3" w:rsidRPr="00E0088F" w:rsidRDefault="002151C3" w:rsidP="006C5A84">
            <w:pPr>
              <w:pStyle w:val="Tabletext"/>
              <w:rPr>
                <w:lang w:val="fr-CH"/>
              </w:rPr>
            </w:pPr>
            <w:r w:rsidRPr="00E0088F">
              <w:rPr>
                <w:lang w:val="fr-CH"/>
              </w:rPr>
              <w:t>Ordre du jour préliminaire de la Conférence mondiale des radiocommunications de 2023</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E4B5A8" w14:textId="5F635412" w:rsidR="002151C3" w:rsidRPr="00E0088F" w:rsidRDefault="002151C3" w:rsidP="006C5A84">
            <w:pPr>
              <w:pStyle w:val="Tabletext"/>
              <w:rPr>
                <w:lang w:val="fr-CH"/>
              </w:rPr>
            </w:pPr>
            <w:r w:rsidRPr="00E0088F">
              <w:rPr>
                <w:lang w:val="fr-CH"/>
              </w:rPr>
              <w:t>(CMR</w:t>
            </w:r>
            <w:r w:rsidRPr="00E0088F">
              <w:rPr>
                <w:lang w:val="fr-CH"/>
              </w:rPr>
              <w:noBreakHyphen/>
              <w:t>15). Pour examen au titre du point 10 de l'ordre du jour de la CMR</w:t>
            </w:r>
            <w:r w:rsidRPr="00E0088F">
              <w:rPr>
                <w:bCs/>
                <w:lang w:val="fr-CH"/>
              </w:rPr>
              <w:noBreakHyphen/>
              <w:t>19. Comme le veut l'usage à toutes les CMR, une nouvelle Résolution établissant les points de l'ordre du jour de la CMR suivante doit être élaborée</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19D8CE" w14:textId="5102A43E" w:rsidR="002151C3" w:rsidRPr="00E0088F" w:rsidRDefault="00ED5341" w:rsidP="006C5A84">
            <w:pPr>
              <w:pStyle w:val="Tabletext"/>
              <w:jc w:val="center"/>
              <w:rPr>
                <w:lang w:val="fr-CH"/>
              </w:rPr>
            </w:pPr>
            <w:r w:rsidRPr="00E0088F">
              <w:rPr>
                <w:lang w:val="fr-CH"/>
              </w:rPr>
              <w:t>SUP/MOD</w:t>
            </w:r>
          </w:p>
        </w:tc>
      </w:tr>
      <w:tr w:rsidR="002151C3" w:rsidRPr="00E0088F" w14:paraId="3A120C52"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22C9940" w14:textId="77777777" w:rsidR="002151C3" w:rsidRPr="00E0088F" w:rsidRDefault="002151C3" w:rsidP="006C5A84">
            <w:pPr>
              <w:pStyle w:val="Tabletext"/>
              <w:jc w:val="center"/>
              <w:rPr>
                <w:lang w:val="fr-CH"/>
              </w:rPr>
            </w:pPr>
            <w:r w:rsidRPr="00E0088F">
              <w:rPr>
                <w:lang w:val="fr-CH"/>
              </w:rPr>
              <w:t>901</w:t>
            </w:r>
          </w:p>
        </w:tc>
        <w:tc>
          <w:tcPr>
            <w:tcW w:w="2551" w:type="dxa"/>
            <w:tcBorders>
              <w:top w:val="single" w:sz="6" w:space="0" w:color="auto"/>
              <w:left w:val="single" w:sz="6" w:space="0" w:color="auto"/>
              <w:bottom w:val="single" w:sz="6" w:space="0" w:color="auto"/>
              <w:right w:val="single" w:sz="6" w:space="0" w:color="auto"/>
            </w:tcBorders>
            <w:hideMark/>
          </w:tcPr>
          <w:p w14:paraId="640028C7" w14:textId="77777777" w:rsidR="002151C3" w:rsidRPr="00E0088F" w:rsidRDefault="002151C3" w:rsidP="006C5A84">
            <w:pPr>
              <w:pStyle w:val="Tabletext"/>
              <w:rPr>
                <w:lang w:val="fr-CH"/>
              </w:rPr>
            </w:pPr>
            <w:r w:rsidRPr="00E0088F">
              <w:rPr>
                <w:lang w:val="fr-CH"/>
              </w:rPr>
              <w:t>Détermination de l'arc orbital de séparation</w:t>
            </w:r>
          </w:p>
        </w:tc>
        <w:tc>
          <w:tcPr>
            <w:tcW w:w="3625" w:type="dxa"/>
            <w:tcBorders>
              <w:top w:val="single" w:sz="6" w:space="0" w:color="auto"/>
              <w:left w:val="single" w:sz="6" w:space="0" w:color="auto"/>
              <w:bottom w:val="single" w:sz="6" w:space="0" w:color="auto"/>
              <w:right w:val="single" w:sz="6" w:space="0" w:color="auto"/>
            </w:tcBorders>
            <w:hideMark/>
          </w:tcPr>
          <w:p w14:paraId="75295626" w14:textId="77777777" w:rsidR="002151C3" w:rsidRPr="00E0088F" w:rsidRDefault="002151C3" w:rsidP="006C5A84">
            <w:pPr>
              <w:pStyle w:val="Tabletext"/>
              <w:rPr>
                <w:rStyle w:val="FootnoteReference"/>
                <w:lang w:val="fr-CH"/>
              </w:rPr>
            </w:pPr>
            <w:r w:rsidRPr="00E0088F">
              <w:rPr>
                <w:lang w:val="fr-CH"/>
              </w:rPr>
              <w:t xml:space="preserve">(Rév.CMR-15). A toujours lieu d'être. Cette Résolution est citée dans le Tableau 5-1 de l'Appendice </w:t>
            </w:r>
            <w:r w:rsidRPr="00E0088F">
              <w:rPr>
                <w:b/>
                <w:bCs/>
                <w:lang w:val="fr-CH"/>
              </w:rPr>
              <w:t>5</w:t>
            </w:r>
            <w:r w:rsidRPr="00E0088F">
              <w:rPr>
                <w:lang w:val="fr-CH"/>
              </w:rPr>
              <w:t xml:space="preserve">. Le texte a été mis à jour à la CMR-15. De nouvelles mises à jour seront peut-être nécessaires en fonction des résultats de l'examen de la Question B au titre du </w:t>
            </w:r>
            <w:r w:rsidRPr="00E0088F">
              <w:rPr>
                <w:b/>
                <w:bCs/>
                <w:lang w:val="fr-CH"/>
              </w:rPr>
              <w:t>point 7 de l'ordre du jour</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DDAD34F" w14:textId="77777777" w:rsidR="002151C3" w:rsidRPr="00E0088F" w:rsidRDefault="002151C3" w:rsidP="006C5A84">
            <w:pPr>
              <w:pStyle w:val="Tabletext"/>
              <w:jc w:val="center"/>
              <w:rPr>
                <w:lang w:val="fr-CH"/>
              </w:rPr>
            </w:pPr>
            <w:r w:rsidRPr="00E0088F">
              <w:rPr>
                <w:lang w:val="fr-CH"/>
              </w:rPr>
              <w:t>NOC/</w:t>
            </w:r>
          </w:p>
          <w:p w14:paraId="5EE95FEE" w14:textId="77777777" w:rsidR="002151C3" w:rsidRPr="00E0088F" w:rsidRDefault="002151C3" w:rsidP="006C5A84">
            <w:pPr>
              <w:pStyle w:val="Tabletext"/>
              <w:jc w:val="center"/>
              <w:rPr>
                <w:lang w:val="fr-CH"/>
              </w:rPr>
            </w:pPr>
            <w:r w:rsidRPr="00E0088F">
              <w:rPr>
                <w:lang w:val="fr-CH"/>
              </w:rPr>
              <w:t>MOD</w:t>
            </w:r>
          </w:p>
        </w:tc>
      </w:tr>
      <w:tr w:rsidR="002151C3" w:rsidRPr="00E0088F" w14:paraId="5382C60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616F7DFA" w14:textId="77777777" w:rsidR="002151C3" w:rsidRPr="00E0088F" w:rsidRDefault="002151C3" w:rsidP="006C5A84">
            <w:pPr>
              <w:pStyle w:val="Tabletext"/>
              <w:jc w:val="center"/>
              <w:rPr>
                <w:lang w:val="fr-CH"/>
              </w:rPr>
            </w:pPr>
            <w:r w:rsidRPr="00E0088F">
              <w:rPr>
                <w:lang w:val="fr-CH"/>
              </w:rPr>
              <w:t>902</w:t>
            </w:r>
          </w:p>
        </w:tc>
        <w:tc>
          <w:tcPr>
            <w:tcW w:w="2551" w:type="dxa"/>
            <w:tcBorders>
              <w:top w:val="single" w:sz="6" w:space="0" w:color="auto"/>
              <w:left w:val="single" w:sz="6" w:space="0" w:color="auto"/>
              <w:bottom w:val="single" w:sz="6" w:space="0" w:color="auto"/>
              <w:right w:val="single" w:sz="6" w:space="0" w:color="auto"/>
            </w:tcBorders>
            <w:hideMark/>
          </w:tcPr>
          <w:p w14:paraId="0D40D802" w14:textId="77777777" w:rsidR="002151C3" w:rsidRPr="00E0088F" w:rsidRDefault="002151C3" w:rsidP="006C5A84">
            <w:pPr>
              <w:pStyle w:val="Tabletext"/>
              <w:rPr>
                <w:lang w:val="fr-CH"/>
              </w:rPr>
            </w:pPr>
            <w:r w:rsidRPr="00E0088F">
              <w:rPr>
                <w:lang w:val="fr-CH"/>
              </w:rPr>
              <w:t>Dispositions applicables aux stations terriennes placées à bord de navires exploitées dans des réseaux du SFS dans les bandes 5 925</w:t>
            </w:r>
            <w:r w:rsidRPr="00E0088F">
              <w:rPr>
                <w:lang w:val="fr-CH"/>
              </w:rPr>
              <w:noBreakHyphen/>
              <w:t>6 425 MHz et 14</w:t>
            </w:r>
            <w:r w:rsidRPr="00E0088F">
              <w:rPr>
                <w:lang w:val="fr-CH"/>
              </w:rPr>
              <w:noBreakHyphen/>
              <w:t>14,5 GHz</w:t>
            </w:r>
          </w:p>
        </w:tc>
        <w:tc>
          <w:tcPr>
            <w:tcW w:w="3625" w:type="dxa"/>
            <w:tcBorders>
              <w:top w:val="single" w:sz="6" w:space="0" w:color="auto"/>
              <w:left w:val="single" w:sz="6" w:space="0" w:color="auto"/>
              <w:bottom w:val="single" w:sz="6" w:space="0" w:color="auto"/>
              <w:right w:val="single" w:sz="6" w:space="0" w:color="auto"/>
            </w:tcBorders>
            <w:hideMark/>
          </w:tcPr>
          <w:p w14:paraId="0BAB85B1" w14:textId="77777777" w:rsidR="002151C3" w:rsidRPr="00E0088F" w:rsidRDefault="002151C3" w:rsidP="006C5A84">
            <w:pPr>
              <w:pStyle w:val="Tabletext"/>
              <w:rPr>
                <w:lang w:val="fr-CH"/>
              </w:rPr>
            </w:pPr>
            <w:r w:rsidRPr="00E0088F">
              <w:rPr>
                <w:lang w:val="fr-CH"/>
              </w:rPr>
              <w:t xml:space="preserve">(CMR-03). A toujours lieu d'être. Cette Résolution est citée dans les numéros </w:t>
            </w:r>
            <w:r w:rsidRPr="00E0088F">
              <w:rPr>
                <w:b/>
                <w:lang w:val="fr-CH"/>
              </w:rPr>
              <w:t>5.457A</w:t>
            </w:r>
            <w:r w:rsidRPr="00E0088F">
              <w:rPr>
                <w:lang w:val="fr-CH"/>
              </w:rPr>
              <w:t xml:space="preserve">, </w:t>
            </w:r>
            <w:r w:rsidRPr="00E0088F">
              <w:rPr>
                <w:b/>
                <w:lang w:val="fr-CH"/>
              </w:rPr>
              <w:t>5.457B</w:t>
            </w:r>
            <w:r w:rsidRPr="00E0088F">
              <w:rPr>
                <w:lang w:val="fr-CH"/>
              </w:rPr>
              <w:t xml:space="preserve">, </w:t>
            </w:r>
            <w:r w:rsidRPr="00E0088F">
              <w:rPr>
                <w:b/>
                <w:lang w:val="fr-CH"/>
              </w:rPr>
              <w:t>5.506A</w:t>
            </w:r>
            <w:r w:rsidRPr="00E0088F">
              <w:rPr>
                <w:lang w:val="fr-CH"/>
              </w:rPr>
              <w:t xml:space="preserve"> et </w:t>
            </w:r>
            <w:r w:rsidRPr="00E0088F">
              <w:rPr>
                <w:b/>
                <w:lang w:val="fr-CH"/>
              </w:rPr>
              <w:t>5.506B</w:t>
            </w:r>
            <w:r w:rsidRPr="00E0088F">
              <w:rPr>
                <w:lang w:val="fr-CH"/>
              </w:rPr>
              <w:t xml:space="preserve"> ainsi que dans la Recommandation </w:t>
            </w:r>
            <w:r w:rsidRPr="00E0088F">
              <w:rPr>
                <w:b/>
                <w:lang w:val="fr-CH"/>
              </w:rPr>
              <w:t>37 (CMR</w:t>
            </w:r>
            <w:r w:rsidRPr="00E0088F">
              <w:rPr>
                <w:b/>
                <w:lang w:val="fr-CH"/>
              </w:rPr>
              <w:noBreakHyphen/>
              <w:t>03)</w:t>
            </w:r>
            <w:r w:rsidRPr="00E0088F">
              <w:rPr>
                <w:lang w:val="fr-CH"/>
              </w:rPr>
              <w:t>.</w:t>
            </w:r>
          </w:p>
        </w:tc>
        <w:tc>
          <w:tcPr>
            <w:tcW w:w="2045" w:type="dxa"/>
            <w:tcBorders>
              <w:top w:val="single" w:sz="6" w:space="0" w:color="auto"/>
              <w:left w:val="single" w:sz="6" w:space="0" w:color="auto"/>
              <w:bottom w:val="single" w:sz="6" w:space="0" w:color="auto"/>
              <w:right w:val="single" w:sz="6" w:space="0" w:color="auto"/>
            </w:tcBorders>
            <w:hideMark/>
          </w:tcPr>
          <w:p w14:paraId="4E349D49" w14:textId="77777777" w:rsidR="002151C3" w:rsidRPr="00E0088F" w:rsidRDefault="002151C3" w:rsidP="006C5A84">
            <w:pPr>
              <w:pStyle w:val="Tabletext"/>
              <w:jc w:val="center"/>
              <w:rPr>
                <w:lang w:val="fr-CH"/>
              </w:rPr>
            </w:pPr>
            <w:r w:rsidRPr="00E0088F">
              <w:rPr>
                <w:lang w:val="fr-CH"/>
              </w:rPr>
              <w:t>NOC</w:t>
            </w:r>
          </w:p>
        </w:tc>
      </w:tr>
      <w:tr w:rsidR="002151C3" w:rsidRPr="00E0088F" w14:paraId="6E1EABD4"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5AF3991D" w14:textId="77777777" w:rsidR="002151C3" w:rsidRPr="00E0088F" w:rsidRDefault="002151C3" w:rsidP="006C5A84">
            <w:pPr>
              <w:pStyle w:val="Tabletext"/>
              <w:jc w:val="center"/>
              <w:rPr>
                <w:lang w:val="fr-CH"/>
              </w:rPr>
            </w:pPr>
            <w:r w:rsidRPr="00E0088F">
              <w:rPr>
                <w:lang w:val="fr-CH"/>
              </w:rPr>
              <w:lastRenderedPageBreak/>
              <w:t>903</w:t>
            </w:r>
          </w:p>
        </w:tc>
        <w:tc>
          <w:tcPr>
            <w:tcW w:w="2551" w:type="dxa"/>
            <w:tcBorders>
              <w:top w:val="single" w:sz="6" w:space="0" w:color="auto"/>
              <w:left w:val="single" w:sz="6" w:space="0" w:color="auto"/>
              <w:bottom w:val="single" w:sz="6" w:space="0" w:color="auto"/>
              <w:right w:val="single" w:sz="6" w:space="0" w:color="auto"/>
            </w:tcBorders>
            <w:hideMark/>
          </w:tcPr>
          <w:p w14:paraId="4E45CB92" w14:textId="6FA0E493" w:rsidR="002151C3" w:rsidRPr="00E0088F" w:rsidRDefault="002151C3" w:rsidP="006C5A84">
            <w:pPr>
              <w:pStyle w:val="Tabletext"/>
              <w:rPr>
                <w:lang w:val="fr-CH"/>
              </w:rPr>
            </w:pPr>
            <w:r w:rsidRPr="00E0088F">
              <w:rPr>
                <w:lang w:val="fr-CH"/>
              </w:rPr>
              <w:t>Mesures transitoires pour certains systèmes du service de radiodiffusion par satellite ou du service fixe par satellite dans la bande 2 500</w:t>
            </w:r>
            <w:r w:rsidR="00F31DA0" w:rsidRPr="00E0088F">
              <w:rPr>
                <w:lang w:val="fr-CH"/>
              </w:rPr>
              <w:noBreakHyphen/>
            </w:r>
            <w:r w:rsidRPr="00E0088F">
              <w:rPr>
                <w:lang w:val="fr-CH"/>
              </w:rPr>
              <w:t>2 690 MHz</w:t>
            </w:r>
          </w:p>
        </w:tc>
        <w:tc>
          <w:tcPr>
            <w:tcW w:w="3625" w:type="dxa"/>
            <w:tcBorders>
              <w:top w:val="single" w:sz="6" w:space="0" w:color="auto"/>
              <w:left w:val="single" w:sz="6" w:space="0" w:color="auto"/>
              <w:bottom w:val="single" w:sz="6" w:space="0" w:color="auto"/>
              <w:right w:val="single" w:sz="6" w:space="0" w:color="auto"/>
            </w:tcBorders>
            <w:hideMark/>
          </w:tcPr>
          <w:p w14:paraId="669F784D" w14:textId="77777777" w:rsidR="002151C3" w:rsidRPr="00E0088F" w:rsidRDefault="002151C3" w:rsidP="006C5A84">
            <w:pPr>
              <w:pStyle w:val="Tabletext"/>
              <w:rPr>
                <w:lang w:val="fr-CH"/>
              </w:rPr>
            </w:pPr>
            <w:r w:rsidRPr="00E0088F">
              <w:rPr>
                <w:lang w:val="fr-CH"/>
              </w:rPr>
              <w:t xml:space="preserve">(Rév.CMR-15). A toujours lieu d'être. Cette Résolution est citée dans le </w:t>
            </w:r>
            <w:r w:rsidRPr="00E0088F">
              <w:rPr>
                <w:b/>
                <w:lang w:val="fr-CH"/>
              </w:rPr>
              <w:t>21.16.3A</w:t>
            </w:r>
            <w:r w:rsidRPr="00E0088F">
              <w:rPr>
                <w:lang w:val="fr-CH"/>
              </w:rPr>
              <w:t>. Le texte a été mis à jour à la CMR-15.</w:t>
            </w:r>
          </w:p>
        </w:tc>
        <w:tc>
          <w:tcPr>
            <w:tcW w:w="2045" w:type="dxa"/>
            <w:tcBorders>
              <w:top w:val="single" w:sz="6" w:space="0" w:color="auto"/>
              <w:left w:val="single" w:sz="6" w:space="0" w:color="auto"/>
              <w:bottom w:val="single" w:sz="6" w:space="0" w:color="auto"/>
              <w:right w:val="single" w:sz="6" w:space="0" w:color="auto"/>
            </w:tcBorders>
            <w:hideMark/>
          </w:tcPr>
          <w:p w14:paraId="0ED72121" w14:textId="77777777" w:rsidR="002151C3" w:rsidRPr="00E0088F" w:rsidRDefault="002151C3" w:rsidP="006C5A84">
            <w:pPr>
              <w:pStyle w:val="Tabletext"/>
              <w:jc w:val="center"/>
              <w:rPr>
                <w:lang w:val="fr-CH"/>
              </w:rPr>
            </w:pPr>
            <w:r w:rsidRPr="00E0088F">
              <w:rPr>
                <w:lang w:val="fr-CH"/>
              </w:rPr>
              <w:t>NOC</w:t>
            </w:r>
          </w:p>
        </w:tc>
      </w:tr>
      <w:tr w:rsidR="002151C3" w:rsidRPr="00E0088F" w14:paraId="4D334E26"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29B2D0BD" w14:textId="77777777" w:rsidR="002151C3" w:rsidRPr="00E0088F" w:rsidRDefault="002151C3" w:rsidP="006C5A84">
            <w:pPr>
              <w:pStyle w:val="Tabletext"/>
              <w:jc w:val="center"/>
              <w:rPr>
                <w:lang w:val="fr-CH"/>
              </w:rPr>
            </w:pPr>
            <w:r w:rsidRPr="00E0088F">
              <w:rPr>
                <w:lang w:val="fr-CH"/>
              </w:rPr>
              <w:t>904</w:t>
            </w:r>
          </w:p>
        </w:tc>
        <w:tc>
          <w:tcPr>
            <w:tcW w:w="2551" w:type="dxa"/>
            <w:tcBorders>
              <w:top w:val="single" w:sz="6" w:space="0" w:color="auto"/>
              <w:left w:val="single" w:sz="6" w:space="0" w:color="auto"/>
              <w:bottom w:val="single" w:sz="6" w:space="0" w:color="auto"/>
              <w:right w:val="single" w:sz="6" w:space="0" w:color="auto"/>
            </w:tcBorders>
            <w:hideMark/>
          </w:tcPr>
          <w:p w14:paraId="4BFEABB7" w14:textId="77777777" w:rsidR="002151C3" w:rsidRPr="00E0088F" w:rsidRDefault="002151C3" w:rsidP="006C5A84">
            <w:pPr>
              <w:pStyle w:val="Tabletext"/>
              <w:rPr>
                <w:lang w:val="fr-CH"/>
              </w:rPr>
            </w:pPr>
            <w:r w:rsidRPr="00E0088F">
              <w:rPr>
                <w:lang w:val="fr-CH"/>
              </w:rPr>
              <w:t>Mesures transitoires pour la coordination entre le service mobile par satellite (Terre vers espace) et le service de recherche spatiale (passive) dans la bande 1 668</w:t>
            </w:r>
            <w:r w:rsidRPr="00E0088F">
              <w:rPr>
                <w:lang w:val="fr-CH"/>
              </w:rPr>
              <w:noBreakHyphen/>
              <w:t>1 668,4 MHz</w:t>
            </w:r>
          </w:p>
        </w:tc>
        <w:tc>
          <w:tcPr>
            <w:tcW w:w="3625" w:type="dxa"/>
            <w:tcBorders>
              <w:top w:val="single" w:sz="6" w:space="0" w:color="auto"/>
              <w:left w:val="single" w:sz="6" w:space="0" w:color="auto"/>
              <w:bottom w:val="single" w:sz="6" w:space="0" w:color="auto"/>
              <w:right w:val="single" w:sz="6" w:space="0" w:color="auto"/>
            </w:tcBorders>
            <w:hideMark/>
          </w:tcPr>
          <w:p w14:paraId="040E6925" w14:textId="77777777" w:rsidR="002151C3" w:rsidRPr="00E0088F" w:rsidRDefault="002151C3" w:rsidP="006C5A84">
            <w:pPr>
              <w:pStyle w:val="Tabletext"/>
              <w:rPr>
                <w:lang w:val="fr-CH"/>
              </w:rPr>
            </w:pPr>
            <w:r w:rsidRPr="00E0088F">
              <w:rPr>
                <w:lang w:val="fr-CH"/>
              </w:rPr>
              <w:t>(CMR-15). A toujours lieu d'être.</w:t>
            </w:r>
          </w:p>
          <w:p w14:paraId="37E465DE" w14:textId="77777777" w:rsidR="002151C3" w:rsidRPr="00E0088F" w:rsidRDefault="002151C3" w:rsidP="006C5A84">
            <w:pPr>
              <w:pStyle w:val="Tabletext"/>
              <w:spacing w:before="0" w:after="0"/>
              <w:rPr>
                <w:lang w:val="fr-CH" w:eastAsia="ja-JP"/>
              </w:rPr>
            </w:pPr>
            <w:r w:rsidRPr="00E0088F">
              <w:rPr>
                <w:lang w:val="fr-CH"/>
              </w:rPr>
              <w:t>Cette Résolution est citée dans le numéro</w:t>
            </w:r>
            <w:r w:rsidRPr="00E0088F">
              <w:rPr>
                <w:bCs/>
                <w:lang w:val="fr-CH"/>
              </w:rPr>
              <w:t> </w:t>
            </w:r>
            <w:r w:rsidRPr="00E0088F">
              <w:rPr>
                <w:b/>
                <w:lang w:val="fr-CH"/>
              </w:rPr>
              <w:t>5.</w:t>
            </w:r>
            <w:r w:rsidRPr="00E0088F">
              <w:rPr>
                <w:b/>
                <w:lang w:val="fr-CH" w:eastAsia="ja-JP"/>
              </w:rPr>
              <w:t>379B</w:t>
            </w:r>
            <w:r w:rsidRPr="00E0088F">
              <w:rPr>
                <w:lang w:val="fr-CH" w:eastAsia="ja-JP"/>
              </w:rPr>
              <w:t>.</w:t>
            </w:r>
          </w:p>
          <w:p w14:paraId="5024BCAE" w14:textId="77777777" w:rsidR="002151C3" w:rsidRPr="00E0088F" w:rsidRDefault="002151C3" w:rsidP="006C5A84">
            <w:pPr>
              <w:pStyle w:val="Tabletext"/>
              <w:rPr>
                <w:lang w:val="fr-CH"/>
              </w:rPr>
            </w:pPr>
            <w:r w:rsidRPr="00E0088F">
              <w:rPr>
                <w:lang w:val="fr-CH" w:eastAsia="ja-JP"/>
              </w:rPr>
              <w:t>Il convient de noter que la station spatiale concernée a été notifiée et inscrite dans le Fichier de référence international des fréquences.</w:t>
            </w:r>
          </w:p>
        </w:tc>
        <w:tc>
          <w:tcPr>
            <w:tcW w:w="2045" w:type="dxa"/>
            <w:tcBorders>
              <w:top w:val="single" w:sz="6" w:space="0" w:color="auto"/>
              <w:left w:val="single" w:sz="6" w:space="0" w:color="auto"/>
              <w:bottom w:val="single" w:sz="6" w:space="0" w:color="auto"/>
              <w:right w:val="single" w:sz="6" w:space="0" w:color="auto"/>
            </w:tcBorders>
            <w:hideMark/>
          </w:tcPr>
          <w:p w14:paraId="2C67408B" w14:textId="77777777" w:rsidR="002151C3" w:rsidRPr="00E0088F" w:rsidRDefault="002151C3" w:rsidP="006C5A84">
            <w:pPr>
              <w:pStyle w:val="Tabletext"/>
              <w:jc w:val="center"/>
              <w:rPr>
                <w:lang w:val="fr-CH"/>
              </w:rPr>
            </w:pPr>
            <w:r w:rsidRPr="00E0088F">
              <w:rPr>
                <w:lang w:val="fr-CH"/>
              </w:rPr>
              <w:t>NOC/</w:t>
            </w:r>
          </w:p>
          <w:p w14:paraId="1023EC77" w14:textId="77777777" w:rsidR="002151C3" w:rsidRPr="00E0088F" w:rsidRDefault="002151C3" w:rsidP="006C5A84">
            <w:pPr>
              <w:pStyle w:val="Tabletext"/>
              <w:jc w:val="center"/>
              <w:rPr>
                <w:lang w:val="fr-CH"/>
              </w:rPr>
            </w:pPr>
            <w:r w:rsidRPr="00E0088F">
              <w:rPr>
                <w:lang w:val="fr-CH"/>
              </w:rPr>
              <w:t>SUP</w:t>
            </w:r>
          </w:p>
        </w:tc>
      </w:tr>
      <w:tr w:rsidR="002151C3" w:rsidRPr="00E0088F" w14:paraId="46A26AC8"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hideMark/>
          </w:tcPr>
          <w:p w14:paraId="4449D521" w14:textId="77777777" w:rsidR="002151C3" w:rsidRPr="00E0088F" w:rsidRDefault="002151C3" w:rsidP="006C5A84">
            <w:pPr>
              <w:pStyle w:val="Tabletext"/>
              <w:jc w:val="center"/>
              <w:rPr>
                <w:lang w:val="fr-CH"/>
              </w:rPr>
            </w:pPr>
            <w:r w:rsidRPr="00E0088F">
              <w:rPr>
                <w:lang w:val="fr-CH"/>
              </w:rPr>
              <w:t>906</w:t>
            </w:r>
          </w:p>
        </w:tc>
        <w:tc>
          <w:tcPr>
            <w:tcW w:w="2551" w:type="dxa"/>
            <w:tcBorders>
              <w:top w:val="single" w:sz="6" w:space="0" w:color="auto"/>
              <w:left w:val="single" w:sz="6" w:space="0" w:color="auto"/>
              <w:bottom w:val="single" w:sz="6" w:space="0" w:color="auto"/>
              <w:right w:val="single" w:sz="6" w:space="0" w:color="auto"/>
            </w:tcBorders>
            <w:hideMark/>
          </w:tcPr>
          <w:p w14:paraId="5F823E36" w14:textId="77777777" w:rsidR="002151C3" w:rsidRPr="00E0088F" w:rsidRDefault="002151C3" w:rsidP="006C5A84">
            <w:pPr>
              <w:pStyle w:val="Tabletext"/>
              <w:rPr>
                <w:lang w:val="fr-CH"/>
              </w:rPr>
            </w:pPr>
            <w:r w:rsidRPr="00E0088F">
              <w:rPr>
                <w:lang w:val="fr-CH"/>
              </w:rPr>
              <w:t xml:space="preserve">Soumission par voie électronique au Bureau des radiocommunications des fiches de notification pour les services de Terre </w:t>
            </w:r>
          </w:p>
        </w:tc>
        <w:tc>
          <w:tcPr>
            <w:tcW w:w="3625" w:type="dxa"/>
            <w:tcBorders>
              <w:top w:val="single" w:sz="6" w:space="0" w:color="auto"/>
              <w:left w:val="single" w:sz="6" w:space="0" w:color="auto"/>
              <w:bottom w:val="single" w:sz="6" w:space="0" w:color="auto"/>
              <w:right w:val="single" w:sz="6" w:space="0" w:color="auto"/>
            </w:tcBorders>
            <w:hideMark/>
          </w:tcPr>
          <w:p w14:paraId="229974B0" w14:textId="77777777" w:rsidR="002151C3" w:rsidRPr="00E0088F" w:rsidRDefault="002151C3" w:rsidP="006C5A84">
            <w:pPr>
              <w:pStyle w:val="Tabletext"/>
              <w:rPr>
                <w:lang w:val="fr-CH"/>
              </w:rPr>
            </w:pPr>
            <w:r w:rsidRPr="00E0088F">
              <w:rPr>
                <w:lang w:val="fr-CH"/>
              </w:rPr>
              <w:t>(CMR</w:t>
            </w:r>
            <w:r w:rsidRPr="00E0088F">
              <w:rPr>
                <w:lang w:val="fr-CH"/>
              </w:rPr>
              <w:noBreakHyphen/>
              <w:t>15). A toujours lieu d'être. Le texte a été mis à jour à la CMR-15.</w:t>
            </w:r>
          </w:p>
        </w:tc>
        <w:tc>
          <w:tcPr>
            <w:tcW w:w="2045" w:type="dxa"/>
            <w:tcBorders>
              <w:top w:val="single" w:sz="6" w:space="0" w:color="auto"/>
              <w:left w:val="single" w:sz="6" w:space="0" w:color="auto"/>
              <w:bottom w:val="single" w:sz="6" w:space="0" w:color="auto"/>
              <w:right w:val="single" w:sz="6" w:space="0" w:color="auto"/>
            </w:tcBorders>
            <w:hideMark/>
          </w:tcPr>
          <w:p w14:paraId="741E39F5" w14:textId="77777777" w:rsidR="002151C3" w:rsidRPr="00E0088F" w:rsidRDefault="002151C3" w:rsidP="006C5A84">
            <w:pPr>
              <w:pStyle w:val="Tabletext"/>
              <w:jc w:val="center"/>
              <w:rPr>
                <w:lang w:val="fr-CH"/>
              </w:rPr>
            </w:pPr>
            <w:r w:rsidRPr="00E0088F">
              <w:rPr>
                <w:lang w:val="fr-CH"/>
              </w:rPr>
              <w:t>NOC</w:t>
            </w:r>
          </w:p>
        </w:tc>
      </w:tr>
      <w:tr w:rsidR="002151C3" w:rsidRPr="00E0088F" w14:paraId="2AA016DA"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FE76162" w14:textId="77777777" w:rsidR="002151C3" w:rsidRPr="00E0088F" w:rsidRDefault="002151C3" w:rsidP="006C5A84">
            <w:pPr>
              <w:pStyle w:val="Tabletext"/>
              <w:jc w:val="center"/>
              <w:rPr>
                <w:lang w:val="fr-CH"/>
              </w:rPr>
            </w:pPr>
            <w:r w:rsidRPr="00E0088F">
              <w:rPr>
                <w:lang w:val="fr-CH"/>
              </w:rPr>
              <w:t>907</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A8FC790" w14:textId="77777777" w:rsidR="002151C3" w:rsidRPr="00E0088F" w:rsidRDefault="002151C3" w:rsidP="006C5A84">
            <w:pPr>
              <w:pStyle w:val="Tabletext"/>
              <w:rPr>
                <w:lang w:val="fr-CH"/>
              </w:rPr>
            </w:pPr>
            <w:r w:rsidRPr="00E0088F">
              <w:rPr>
                <w:lang w:val="fr-CH"/>
              </w:rPr>
              <w:t xml:space="preserve">Utilisation de moyens modernes de communication électroniques pour la correspondance administrative concernant les réseaux à satellite et les stations terriennes </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E7CCC9" w14:textId="77777777" w:rsidR="002151C3" w:rsidRPr="00E0088F" w:rsidRDefault="002151C3" w:rsidP="006C5A84">
            <w:pPr>
              <w:pStyle w:val="Tabletext"/>
              <w:rPr>
                <w:lang w:val="fr-CH"/>
              </w:rPr>
            </w:pPr>
            <w:r w:rsidRPr="00E0088F">
              <w:rPr>
                <w:lang w:val="fr-CH"/>
              </w:rPr>
              <w:t>(CMR-15). A toujours lieu d'être. Le texte a été mis à jour à la CMR-15. Il est demandé au Directeur du BR de faire rapport à la prochaine CMR sur l'expérience acquise dans l'application de cette Résolution. Des mesures concernant cette Résolution devraient être prises sur la base du rapport du Directeur à la CMR</w:t>
            </w:r>
            <w:r w:rsidRPr="00E0088F">
              <w:rPr>
                <w:lang w:val="fr-CH"/>
              </w:rPr>
              <w:noBreakHyphen/>
              <w:t>19 au titre du point 9 de l'ordre du jour.</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A7FCF5" w14:textId="77777777" w:rsidR="002151C3" w:rsidRPr="00E0088F" w:rsidRDefault="002151C3" w:rsidP="006C5A84">
            <w:pPr>
              <w:pStyle w:val="Tabletext"/>
              <w:jc w:val="center"/>
              <w:rPr>
                <w:lang w:val="fr-CH"/>
              </w:rPr>
            </w:pPr>
            <w:r w:rsidRPr="00E0088F">
              <w:rPr>
                <w:lang w:val="fr-CH"/>
              </w:rPr>
              <w:t>---</w:t>
            </w:r>
          </w:p>
        </w:tc>
      </w:tr>
      <w:tr w:rsidR="002151C3" w:rsidRPr="00E0088F" w14:paraId="3BA06075"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5A99667C" w14:textId="77777777" w:rsidR="002151C3" w:rsidRPr="00E0088F" w:rsidRDefault="002151C3" w:rsidP="006C5A84">
            <w:pPr>
              <w:pStyle w:val="Tabletext"/>
              <w:jc w:val="center"/>
              <w:rPr>
                <w:lang w:val="fr-CH"/>
              </w:rPr>
            </w:pPr>
            <w:r w:rsidRPr="00E0088F">
              <w:rPr>
                <w:lang w:val="fr-CH"/>
              </w:rPr>
              <w:t>908</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9FD9337" w14:textId="77777777" w:rsidR="002151C3" w:rsidRPr="00E0088F" w:rsidRDefault="002151C3" w:rsidP="006C5A84">
            <w:pPr>
              <w:pStyle w:val="Tabletext"/>
              <w:rPr>
                <w:lang w:val="fr-CH"/>
              </w:rPr>
            </w:pPr>
            <w:r w:rsidRPr="00E0088F">
              <w:rPr>
                <w:lang w:val="fr-CH"/>
              </w:rPr>
              <w:t xml:space="preserve">Soumission et publication par voie électronique des renseignements pour la publication anticipée </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057B9A" w14:textId="77777777" w:rsidR="002151C3" w:rsidRPr="00E0088F" w:rsidRDefault="002151C3" w:rsidP="006C5A84">
            <w:pPr>
              <w:pStyle w:val="Tabletext"/>
              <w:rPr>
                <w:lang w:val="fr-CH"/>
              </w:rPr>
            </w:pPr>
            <w:r w:rsidRPr="00E0088F">
              <w:rPr>
                <w:lang w:val="fr-CH"/>
              </w:rPr>
              <w:t>(CMR-15). A toujours lieu d'être. Le texte a été mis à jour à la CMR-15. Le BR prend des mesures conformément à cette Résolution. Des mesures concernant cette Résolution devraient être prises sur la base du rapport du Directeur à la CMR</w:t>
            </w:r>
            <w:r w:rsidRPr="00E0088F">
              <w:rPr>
                <w:lang w:val="fr-CH"/>
              </w:rPr>
              <w:noBreakHyphen/>
              <w:t>19 au titre du point 9 de l'ordre du jour.</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637586" w14:textId="77777777" w:rsidR="002151C3" w:rsidRPr="00E0088F" w:rsidRDefault="002151C3" w:rsidP="006C5A84">
            <w:pPr>
              <w:pStyle w:val="Tabletext"/>
              <w:jc w:val="center"/>
              <w:rPr>
                <w:lang w:val="fr-CH"/>
              </w:rPr>
            </w:pPr>
            <w:r w:rsidRPr="00E0088F">
              <w:rPr>
                <w:lang w:val="fr-CH"/>
              </w:rPr>
              <w:t>---</w:t>
            </w:r>
          </w:p>
        </w:tc>
      </w:tr>
      <w:tr w:rsidR="002151C3" w:rsidRPr="00E0088F" w14:paraId="21E81D31" w14:textId="77777777" w:rsidTr="00E0088F">
        <w:trPr>
          <w:cantSplit/>
          <w:jc w:val="center"/>
        </w:trPr>
        <w:tc>
          <w:tcPr>
            <w:tcW w:w="843" w:type="dxa"/>
            <w:tcBorders>
              <w:top w:val="single" w:sz="6" w:space="0" w:color="auto"/>
              <w:left w:val="single" w:sz="6" w:space="0" w:color="auto"/>
              <w:bottom w:val="single" w:sz="6" w:space="0" w:color="auto"/>
              <w:right w:val="single" w:sz="6" w:space="0" w:color="auto"/>
            </w:tcBorders>
            <w:shd w:val="clear" w:color="auto" w:fill="auto"/>
            <w:hideMark/>
          </w:tcPr>
          <w:p w14:paraId="12A14CFC" w14:textId="77777777" w:rsidR="002151C3" w:rsidRPr="00E0088F" w:rsidRDefault="002151C3" w:rsidP="006C5A84">
            <w:pPr>
              <w:pStyle w:val="Tabletext"/>
              <w:jc w:val="center"/>
              <w:rPr>
                <w:lang w:val="fr-CH"/>
              </w:rPr>
            </w:pPr>
            <w:r w:rsidRPr="00E0088F">
              <w:rPr>
                <w:lang w:val="fr-CH"/>
              </w:rPr>
              <w:t>958</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1132947" w14:textId="77777777" w:rsidR="002151C3" w:rsidRPr="00E0088F" w:rsidRDefault="002151C3" w:rsidP="006C5A84">
            <w:pPr>
              <w:pStyle w:val="Tabletext"/>
              <w:rPr>
                <w:lang w:val="fr-CH"/>
              </w:rPr>
            </w:pPr>
            <w:r w:rsidRPr="00E0088F">
              <w:rPr>
                <w:lang w:val="fr-CH"/>
              </w:rPr>
              <w:t>Études à entreprendre d'urgence en vue de la Conférence mondiale des radiocommunications de 2019</w:t>
            </w:r>
          </w:p>
        </w:tc>
        <w:tc>
          <w:tcPr>
            <w:tcW w:w="3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04C41C" w14:textId="3F067DF8" w:rsidR="002151C3" w:rsidRPr="00E0088F" w:rsidRDefault="002151C3" w:rsidP="006C5A84">
            <w:pPr>
              <w:pStyle w:val="Tabletext"/>
              <w:rPr>
                <w:lang w:val="fr-CH"/>
              </w:rPr>
            </w:pPr>
            <w:r w:rsidRPr="00E0088F">
              <w:rPr>
                <w:lang w:val="fr-CH"/>
              </w:rPr>
              <w:t>(CMR</w:t>
            </w:r>
            <w:r w:rsidRPr="00E0088F">
              <w:rPr>
                <w:lang w:val="fr-CH"/>
              </w:rPr>
              <w:noBreakHyphen/>
              <w:t>15). À l'issue de l'examen par la CMR-19 (</w:t>
            </w:r>
            <w:r w:rsidRPr="00E0088F">
              <w:rPr>
                <w:b/>
                <w:bCs/>
                <w:lang w:val="fr-CH"/>
              </w:rPr>
              <w:t>point 9.1 de l'ordre du jour, questions 9.1.6, 9.1.7 et 9.1.8</w:t>
            </w:r>
            <w:r w:rsidRPr="00E0088F">
              <w:rPr>
                <w:lang w:val="fr-CH"/>
              </w:rPr>
              <w:t>), cette Résolution devrait être supprimée.</w:t>
            </w:r>
          </w:p>
        </w:tc>
        <w:tc>
          <w:tcPr>
            <w:tcW w:w="2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E456F1" w14:textId="77777777" w:rsidR="002151C3" w:rsidRPr="00E0088F" w:rsidRDefault="002151C3" w:rsidP="006C5A84">
            <w:pPr>
              <w:pStyle w:val="Tabletext"/>
              <w:jc w:val="center"/>
              <w:rPr>
                <w:lang w:val="fr-CH"/>
              </w:rPr>
            </w:pPr>
            <w:r w:rsidRPr="00E0088F">
              <w:rPr>
                <w:lang w:val="fr-CH"/>
              </w:rPr>
              <w:t>SUP</w:t>
            </w:r>
          </w:p>
        </w:tc>
      </w:tr>
    </w:tbl>
    <w:p w14:paraId="60B498C5" w14:textId="77777777" w:rsidR="002151C3" w:rsidRPr="00E0088F" w:rsidRDefault="002151C3" w:rsidP="006C5A84">
      <w:pPr>
        <w:pStyle w:val="PartNo"/>
        <w:rPr>
          <w:lang w:val="fr-CH"/>
        </w:rPr>
      </w:pPr>
      <w:r w:rsidRPr="00E0088F">
        <w:rPr>
          <w:lang w:val="fr-CH"/>
        </w:rPr>
        <w:t>PARTIE II – rECOMMaNDATIONS DES camr/cmr</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635"/>
        <w:gridCol w:w="3400"/>
        <w:gridCol w:w="4250"/>
        <w:gridCol w:w="1360"/>
      </w:tblGrid>
      <w:tr w:rsidR="002151C3" w:rsidRPr="00E0088F" w14:paraId="48A70D1F" w14:textId="77777777" w:rsidTr="002809AC">
        <w:trPr>
          <w:cantSplit/>
          <w:tblHeader/>
          <w:jc w:val="center"/>
        </w:trPr>
        <w:tc>
          <w:tcPr>
            <w:tcW w:w="635" w:type="dxa"/>
            <w:tcBorders>
              <w:top w:val="single" w:sz="6" w:space="0" w:color="auto"/>
              <w:left w:val="single" w:sz="6" w:space="0" w:color="auto"/>
              <w:bottom w:val="single" w:sz="6" w:space="0" w:color="auto"/>
              <w:right w:val="single" w:sz="6" w:space="0" w:color="auto"/>
            </w:tcBorders>
            <w:vAlign w:val="center"/>
            <w:hideMark/>
          </w:tcPr>
          <w:p w14:paraId="0B55B1B5" w14:textId="77777777" w:rsidR="002151C3" w:rsidRPr="00E0088F" w:rsidRDefault="002151C3" w:rsidP="006C5A84">
            <w:pPr>
              <w:pStyle w:val="Tablehead"/>
              <w:keepLines/>
              <w:rPr>
                <w:lang w:val="fr-CH"/>
              </w:rPr>
            </w:pPr>
            <w:r w:rsidRPr="00E0088F">
              <w:rPr>
                <w:lang w:val="fr-CH"/>
              </w:rPr>
              <w:t>Rec. N°</w:t>
            </w:r>
          </w:p>
        </w:tc>
        <w:tc>
          <w:tcPr>
            <w:tcW w:w="3400" w:type="dxa"/>
            <w:tcBorders>
              <w:top w:val="single" w:sz="6" w:space="0" w:color="auto"/>
              <w:left w:val="single" w:sz="6" w:space="0" w:color="auto"/>
              <w:bottom w:val="single" w:sz="6" w:space="0" w:color="auto"/>
              <w:right w:val="single" w:sz="6" w:space="0" w:color="auto"/>
            </w:tcBorders>
            <w:vAlign w:val="center"/>
            <w:hideMark/>
          </w:tcPr>
          <w:p w14:paraId="718F350F" w14:textId="77777777" w:rsidR="002151C3" w:rsidRPr="00E0088F" w:rsidRDefault="002151C3" w:rsidP="006C5A84">
            <w:pPr>
              <w:pStyle w:val="Tablehead"/>
              <w:keepLines/>
              <w:rPr>
                <w:lang w:val="fr-CH"/>
              </w:rPr>
            </w:pPr>
            <w:r w:rsidRPr="00E0088F">
              <w:rPr>
                <w:lang w:val="fr-CH"/>
              </w:rPr>
              <w:t>Sujet</w:t>
            </w:r>
          </w:p>
        </w:tc>
        <w:tc>
          <w:tcPr>
            <w:tcW w:w="4250" w:type="dxa"/>
            <w:tcBorders>
              <w:top w:val="single" w:sz="6" w:space="0" w:color="auto"/>
              <w:left w:val="single" w:sz="6" w:space="0" w:color="auto"/>
              <w:bottom w:val="single" w:sz="6" w:space="0" w:color="auto"/>
              <w:right w:val="single" w:sz="6" w:space="0" w:color="auto"/>
            </w:tcBorders>
            <w:vAlign w:val="center"/>
            <w:hideMark/>
          </w:tcPr>
          <w:p w14:paraId="1DF36528" w14:textId="54981731" w:rsidR="002151C3" w:rsidRPr="00E0088F" w:rsidRDefault="002151C3" w:rsidP="006C5A84">
            <w:pPr>
              <w:pStyle w:val="Tablehead"/>
              <w:keepLines/>
              <w:rPr>
                <w:lang w:val="fr-CH"/>
              </w:rPr>
            </w:pPr>
            <w:r w:rsidRPr="00E0088F">
              <w:rPr>
                <w:lang w:val="fr-CH"/>
              </w:rPr>
              <w:t>Observations</w:t>
            </w:r>
          </w:p>
        </w:tc>
        <w:tc>
          <w:tcPr>
            <w:tcW w:w="1360" w:type="dxa"/>
            <w:tcBorders>
              <w:top w:val="single" w:sz="6" w:space="0" w:color="auto"/>
              <w:left w:val="single" w:sz="6" w:space="0" w:color="auto"/>
              <w:bottom w:val="single" w:sz="6" w:space="0" w:color="auto"/>
              <w:right w:val="single" w:sz="6" w:space="0" w:color="auto"/>
            </w:tcBorders>
            <w:vAlign w:val="center"/>
            <w:hideMark/>
          </w:tcPr>
          <w:p w14:paraId="1D7C67CE" w14:textId="727F5ADF" w:rsidR="002151C3" w:rsidRPr="00E0088F" w:rsidRDefault="002151C3" w:rsidP="006C5A84">
            <w:pPr>
              <w:pStyle w:val="Tablehead"/>
              <w:keepLines/>
              <w:rPr>
                <w:lang w:val="fr-CH"/>
              </w:rPr>
            </w:pPr>
            <w:r w:rsidRPr="00E0088F">
              <w:rPr>
                <w:lang w:val="fr-CH"/>
              </w:rPr>
              <w:t>Action proposée</w:t>
            </w:r>
          </w:p>
        </w:tc>
      </w:tr>
      <w:tr w:rsidR="002151C3" w:rsidRPr="00E0088F" w14:paraId="6AA45D79"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4BAF3C72" w14:textId="77777777" w:rsidR="002151C3" w:rsidRPr="00E0088F" w:rsidRDefault="002151C3" w:rsidP="006C5A84">
            <w:pPr>
              <w:pStyle w:val="Tabletext"/>
              <w:keepNext/>
              <w:keepLines/>
              <w:jc w:val="center"/>
              <w:rPr>
                <w:lang w:val="fr-CH"/>
              </w:rPr>
            </w:pPr>
            <w:r w:rsidRPr="00E0088F">
              <w:rPr>
                <w:lang w:val="fr-CH"/>
              </w:rPr>
              <w:t>7</w:t>
            </w:r>
          </w:p>
        </w:tc>
        <w:tc>
          <w:tcPr>
            <w:tcW w:w="3400" w:type="dxa"/>
            <w:tcBorders>
              <w:top w:val="single" w:sz="6" w:space="0" w:color="auto"/>
              <w:left w:val="single" w:sz="6" w:space="0" w:color="auto"/>
              <w:bottom w:val="single" w:sz="6" w:space="0" w:color="auto"/>
              <w:right w:val="single" w:sz="6" w:space="0" w:color="auto"/>
            </w:tcBorders>
            <w:hideMark/>
          </w:tcPr>
          <w:p w14:paraId="1CAEC79E" w14:textId="77777777" w:rsidR="002151C3" w:rsidRPr="00E0088F" w:rsidRDefault="002151C3" w:rsidP="006C5A84">
            <w:pPr>
              <w:pStyle w:val="Tabletext"/>
              <w:keepNext/>
              <w:keepLines/>
              <w:rPr>
                <w:lang w:val="fr-CH"/>
              </w:rPr>
            </w:pPr>
            <w:r w:rsidRPr="00E0088F">
              <w:rPr>
                <w:lang w:val="fr-CH"/>
              </w:rPr>
              <w:t>Modèles normalisés de licences</w:t>
            </w:r>
          </w:p>
        </w:tc>
        <w:tc>
          <w:tcPr>
            <w:tcW w:w="4250" w:type="dxa"/>
            <w:tcBorders>
              <w:top w:val="single" w:sz="6" w:space="0" w:color="auto"/>
              <w:left w:val="single" w:sz="6" w:space="0" w:color="auto"/>
              <w:bottom w:val="single" w:sz="6" w:space="0" w:color="auto"/>
              <w:right w:val="single" w:sz="6" w:space="0" w:color="auto"/>
            </w:tcBorders>
            <w:hideMark/>
          </w:tcPr>
          <w:p w14:paraId="782CC8F1" w14:textId="77777777" w:rsidR="002151C3" w:rsidRPr="00E0088F" w:rsidRDefault="002151C3" w:rsidP="006C5A84">
            <w:pPr>
              <w:pStyle w:val="Tabletext"/>
              <w:keepNext/>
              <w:keepLines/>
              <w:rPr>
                <w:rStyle w:val="FootnoteReference"/>
                <w:color w:val="000000"/>
                <w:lang w:val="fr-CH"/>
              </w:rPr>
            </w:pPr>
            <w:r w:rsidRPr="00E0088F">
              <w:rPr>
                <w:lang w:val="fr-CH"/>
              </w:rPr>
              <w:t>(Rév.CMR-97). A toujours lieu d'être.</w:t>
            </w:r>
          </w:p>
        </w:tc>
        <w:tc>
          <w:tcPr>
            <w:tcW w:w="1360" w:type="dxa"/>
            <w:tcBorders>
              <w:top w:val="single" w:sz="6" w:space="0" w:color="auto"/>
              <w:left w:val="single" w:sz="6" w:space="0" w:color="auto"/>
              <w:bottom w:val="single" w:sz="6" w:space="0" w:color="auto"/>
              <w:right w:val="single" w:sz="6" w:space="0" w:color="auto"/>
            </w:tcBorders>
            <w:hideMark/>
          </w:tcPr>
          <w:p w14:paraId="6925CFDE" w14:textId="77777777" w:rsidR="002151C3" w:rsidRPr="00E0088F" w:rsidRDefault="002151C3" w:rsidP="006C5A84">
            <w:pPr>
              <w:pStyle w:val="Tabletext"/>
              <w:keepNext/>
              <w:keepLines/>
              <w:jc w:val="center"/>
              <w:rPr>
                <w:lang w:val="fr-CH"/>
              </w:rPr>
            </w:pPr>
            <w:r w:rsidRPr="00E0088F">
              <w:rPr>
                <w:lang w:val="fr-CH"/>
              </w:rPr>
              <w:t>NOC</w:t>
            </w:r>
          </w:p>
        </w:tc>
      </w:tr>
      <w:tr w:rsidR="002151C3" w:rsidRPr="00E0088F" w14:paraId="233302C3"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3EA2E564" w14:textId="77777777" w:rsidR="002151C3" w:rsidRPr="00E0088F" w:rsidRDefault="002151C3" w:rsidP="006C5A84">
            <w:pPr>
              <w:pStyle w:val="Tabletext"/>
              <w:keepNext/>
              <w:keepLines/>
              <w:jc w:val="center"/>
              <w:rPr>
                <w:lang w:val="fr-CH"/>
              </w:rPr>
            </w:pPr>
            <w:r w:rsidRPr="00E0088F">
              <w:rPr>
                <w:lang w:val="fr-CH"/>
              </w:rPr>
              <w:t>8</w:t>
            </w:r>
          </w:p>
        </w:tc>
        <w:tc>
          <w:tcPr>
            <w:tcW w:w="3400" w:type="dxa"/>
            <w:tcBorders>
              <w:top w:val="single" w:sz="6" w:space="0" w:color="auto"/>
              <w:left w:val="single" w:sz="6" w:space="0" w:color="auto"/>
              <w:bottom w:val="single" w:sz="6" w:space="0" w:color="auto"/>
              <w:right w:val="single" w:sz="6" w:space="0" w:color="auto"/>
            </w:tcBorders>
            <w:hideMark/>
          </w:tcPr>
          <w:p w14:paraId="0A46FF87" w14:textId="77777777" w:rsidR="002151C3" w:rsidRPr="00E0088F" w:rsidRDefault="002151C3" w:rsidP="006C5A84">
            <w:pPr>
              <w:pStyle w:val="Tabletext"/>
              <w:keepNext/>
              <w:keepLines/>
              <w:rPr>
                <w:lang w:val="fr-CH"/>
              </w:rPr>
            </w:pPr>
            <w:r w:rsidRPr="00E0088F">
              <w:rPr>
                <w:lang w:val="fr-CH"/>
              </w:rPr>
              <w:t>Identification automatique des stations</w:t>
            </w:r>
          </w:p>
        </w:tc>
        <w:tc>
          <w:tcPr>
            <w:tcW w:w="4250" w:type="dxa"/>
            <w:tcBorders>
              <w:top w:val="single" w:sz="6" w:space="0" w:color="auto"/>
              <w:left w:val="single" w:sz="6" w:space="0" w:color="auto"/>
              <w:bottom w:val="single" w:sz="6" w:space="0" w:color="auto"/>
              <w:right w:val="single" w:sz="6" w:space="0" w:color="auto"/>
            </w:tcBorders>
            <w:hideMark/>
          </w:tcPr>
          <w:p w14:paraId="60C59B7C" w14:textId="77777777" w:rsidR="002151C3" w:rsidRPr="00E0088F" w:rsidRDefault="002151C3" w:rsidP="006C5A84">
            <w:pPr>
              <w:pStyle w:val="Tabletext"/>
              <w:keepNext/>
              <w:keepLines/>
              <w:rPr>
                <w:b/>
                <w:lang w:val="fr-CH"/>
              </w:rPr>
            </w:pPr>
            <w:r w:rsidRPr="00E0088F">
              <w:rPr>
                <w:lang w:val="fr-CH"/>
              </w:rPr>
              <w:t xml:space="preserve">(CAMR-79). A toujours lieu d'être. </w:t>
            </w:r>
          </w:p>
        </w:tc>
        <w:tc>
          <w:tcPr>
            <w:tcW w:w="1360" w:type="dxa"/>
            <w:tcBorders>
              <w:top w:val="single" w:sz="6" w:space="0" w:color="auto"/>
              <w:left w:val="single" w:sz="6" w:space="0" w:color="auto"/>
              <w:bottom w:val="single" w:sz="6" w:space="0" w:color="auto"/>
              <w:right w:val="single" w:sz="6" w:space="0" w:color="auto"/>
            </w:tcBorders>
            <w:hideMark/>
          </w:tcPr>
          <w:p w14:paraId="17EABBCA" w14:textId="77777777" w:rsidR="002151C3" w:rsidRPr="00E0088F" w:rsidRDefault="002151C3" w:rsidP="006C5A84">
            <w:pPr>
              <w:pStyle w:val="Tabletext"/>
              <w:keepNext/>
              <w:keepLines/>
              <w:jc w:val="center"/>
              <w:rPr>
                <w:lang w:val="fr-CH"/>
              </w:rPr>
            </w:pPr>
            <w:r w:rsidRPr="00E0088F">
              <w:rPr>
                <w:lang w:val="fr-CH"/>
              </w:rPr>
              <w:t>NOC</w:t>
            </w:r>
          </w:p>
        </w:tc>
      </w:tr>
      <w:tr w:rsidR="002151C3" w:rsidRPr="00E0088F" w14:paraId="50B4DEF5"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76FDA62A" w14:textId="77777777" w:rsidR="002151C3" w:rsidRPr="00E0088F" w:rsidRDefault="002151C3" w:rsidP="006C5A84">
            <w:pPr>
              <w:pStyle w:val="Tabletext"/>
              <w:jc w:val="center"/>
              <w:rPr>
                <w:lang w:val="fr-CH"/>
              </w:rPr>
            </w:pPr>
            <w:r w:rsidRPr="00E0088F">
              <w:rPr>
                <w:lang w:val="fr-CH"/>
              </w:rPr>
              <w:t>9</w:t>
            </w:r>
          </w:p>
        </w:tc>
        <w:tc>
          <w:tcPr>
            <w:tcW w:w="3400" w:type="dxa"/>
            <w:tcBorders>
              <w:top w:val="single" w:sz="6" w:space="0" w:color="auto"/>
              <w:left w:val="single" w:sz="6" w:space="0" w:color="auto"/>
              <w:bottom w:val="single" w:sz="6" w:space="0" w:color="auto"/>
              <w:right w:val="single" w:sz="6" w:space="0" w:color="auto"/>
            </w:tcBorders>
            <w:hideMark/>
          </w:tcPr>
          <w:p w14:paraId="7BDC835A" w14:textId="77777777" w:rsidR="002151C3" w:rsidRPr="00E0088F" w:rsidRDefault="002151C3" w:rsidP="006C5A84">
            <w:pPr>
              <w:pStyle w:val="Tabletext"/>
              <w:rPr>
                <w:lang w:val="fr-CH"/>
              </w:rPr>
            </w:pPr>
            <w:r w:rsidRPr="00E0088F">
              <w:rPr>
                <w:lang w:val="fr-CH"/>
              </w:rPr>
              <w:t xml:space="preserve">Mesures à prendre pour empêcher le fonctionnement de stations de radiodiffusion à bord de navires ou d'aéronefs hors des limites des territoires nationaux </w:t>
            </w:r>
          </w:p>
        </w:tc>
        <w:tc>
          <w:tcPr>
            <w:tcW w:w="4250" w:type="dxa"/>
            <w:tcBorders>
              <w:top w:val="single" w:sz="6" w:space="0" w:color="auto"/>
              <w:left w:val="single" w:sz="6" w:space="0" w:color="auto"/>
              <w:bottom w:val="single" w:sz="6" w:space="0" w:color="auto"/>
              <w:right w:val="single" w:sz="6" w:space="0" w:color="auto"/>
            </w:tcBorders>
            <w:hideMark/>
          </w:tcPr>
          <w:p w14:paraId="55A81BB0" w14:textId="77777777" w:rsidR="002151C3" w:rsidRPr="00E0088F" w:rsidRDefault="002151C3" w:rsidP="006C5A84">
            <w:pPr>
              <w:pStyle w:val="Tabletext"/>
              <w:rPr>
                <w:rStyle w:val="FootnoteReference"/>
                <w:color w:val="000000"/>
                <w:lang w:val="fr-CH"/>
              </w:rPr>
            </w:pPr>
            <w:r w:rsidRPr="00E0088F">
              <w:rPr>
                <w:lang w:val="fr-CH"/>
              </w:rPr>
              <w:t>(CAMR-79). A toujours lieu d'être.</w:t>
            </w:r>
          </w:p>
        </w:tc>
        <w:tc>
          <w:tcPr>
            <w:tcW w:w="1360" w:type="dxa"/>
            <w:tcBorders>
              <w:top w:val="single" w:sz="6" w:space="0" w:color="auto"/>
              <w:left w:val="single" w:sz="6" w:space="0" w:color="auto"/>
              <w:bottom w:val="single" w:sz="6" w:space="0" w:color="auto"/>
              <w:right w:val="single" w:sz="6" w:space="0" w:color="auto"/>
            </w:tcBorders>
            <w:hideMark/>
          </w:tcPr>
          <w:p w14:paraId="2D3B22DA" w14:textId="77777777" w:rsidR="002151C3" w:rsidRPr="00E0088F" w:rsidRDefault="002151C3" w:rsidP="006C5A84">
            <w:pPr>
              <w:pStyle w:val="Tabletext"/>
              <w:jc w:val="center"/>
              <w:rPr>
                <w:lang w:val="fr-CH"/>
              </w:rPr>
            </w:pPr>
            <w:r w:rsidRPr="00E0088F">
              <w:rPr>
                <w:lang w:val="fr-CH"/>
              </w:rPr>
              <w:t>NOC</w:t>
            </w:r>
          </w:p>
        </w:tc>
      </w:tr>
      <w:tr w:rsidR="002151C3" w:rsidRPr="00E0088F" w14:paraId="13521FB7"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45DA4E12" w14:textId="77777777" w:rsidR="002151C3" w:rsidRPr="00E0088F" w:rsidRDefault="002151C3" w:rsidP="006C5A84">
            <w:pPr>
              <w:pStyle w:val="Tabletext"/>
              <w:jc w:val="center"/>
              <w:rPr>
                <w:lang w:val="fr-CH"/>
              </w:rPr>
            </w:pPr>
            <w:r w:rsidRPr="00E0088F">
              <w:rPr>
                <w:lang w:val="fr-CH"/>
              </w:rPr>
              <w:lastRenderedPageBreak/>
              <w:t>16</w:t>
            </w:r>
          </w:p>
        </w:tc>
        <w:tc>
          <w:tcPr>
            <w:tcW w:w="3400" w:type="dxa"/>
            <w:tcBorders>
              <w:top w:val="single" w:sz="6" w:space="0" w:color="auto"/>
              <w:left w:val="single" w:sz="6" w:space="0" w:color="auto"/>
              <w:bottom w:val="single" w:sz="6" w:space="0" w:color="auto"/>
              <w:right w:val="single" w:sz="6" w:space="0" w:color="auto"/>
            </w:tcBorders>
            <w:hideMark/>
          </w:tcPr>
          <w:p w14:paraId="62F1E60C" w14:textId="77777777" w:rsidR="002151C3" w:rsidRPr="00E0088F" w:rsidRDefault="002151C3" w:rsidP="006C5A84">
            <w:pPr>
              <w:pStyle w:val="Tabletext"/>
              <w:rPr>
                <w:lang w:val="fr-CH"/>
              </w:rPr>
            </w:pPr>
            <w:r w:rsidRPr="00E0088F">
              <w:rPr>
                <w:lang w:val="fr-CH"/>
              </w:rPr>
              <w:t>Gestion des brouillages pour les stations susceptibles de fonctionner dans le cadre de plusieurs services de radiocommunications de Terre</w:t>
            </w:r>
          </w:p>
        </w:tc>
        <w:tc>
          <w:tcPr>
            <w:tcW w:w="4250" w:type="dxa"/>
            <w:tcBorders>
              <w:top w:val="single" w:sz="6" w:space="0" w:color="auto"/>
              <w:left w:val="single" w:sz="6" w:space="0" w:color="auto"/>
              <w:bottom w:val="single" w:sz="6" w:space="0" w:color="auto"/>
              <w:right w:val="single" w:sz="6" w:space="0" w:color="auto"/>
            </w:tcBorders>
            <w:hideMark/>
          </w:tcPr>
          <w:p w14:paraId="75134E92" w14:textId="77777777" w:rsidR="002151C3" w:rsidRPr="00E0088F" w:rsidRDefault="002151C3" w:rsidP="006C5A84">
            <w:pPr>
              <w:pStyle w:val="Tabletext"/>
              <w:rPr>
                <w:lang w:val="fr-CH"/>
              </w:rPr>
            </w:pPr>
            <w:r w:rsidRPr="00E0088F">
              <w:rPr>
                <w:lang w:val="fr-CH"/>
              </w:rPr>
              <w:t>(CMR-12). A toujours lieu d'être. Étant donné que la Question UIT-R 224/1 qui est citée dans cette Recommandation a déjà été supprimée, il faudra peut-être procéder à une mise à jour à cet égard.</w:t>
            </w:r>
          </w:p>
        </w:tc>
        <w:tc>
          <w:tcPr>
            <w:tcW w:w="1360" w:type="dxa"/>
            <w:tcBorders>
              <w:top w:val="single" w:sz="6" w:space="0" w:color="auto"/>
              <w:left w:val="single" w:sz="6" w:space="0" w:color="auto"/>
              <w:bottom w:val="single" w:sz="6" w:space="0" w:color="auto"/>
              <w:right w:val="single" w:sz="6" w:space="0" w:color="auto"/>
            </w:tcBorders>
            <w:hideMark/>
          </w:tcPr>
          <w:p w14:paraId="00BA2CAE" w14:textId="77777777" w:rsidR="002151C3" w:rsidRPr="00E0088F" w:rsidRDefault="002151C3" w:rsidP="006C5A84">
            <w:pPr>
              <w:pStyle w:val="Tabletext"/>
              <w:jc w:val="center"/>
              <w:rPr>
                <w:lang w:val="fr-CH"/>
              </w:rPr>
            </w:pPr>
            <w:r w:rsidRPr="00E0088F">
              <w:rPr>
                <w:lang w:val="fr-CH"/>
              </w:rPr>
              <w:t>NOC/</w:t>
            </w:r>
          </w:p>
          <w:p w14:paraId="0150C996" w14:textId="77777777" w:rsidR="002151C3" w:rsidRPr="00E0088F" w:rsidRDefault="002151C3" w:rsidP="006C5A84">
            <w:pPr>
              <w:pStyle w:val="Tabletext"/>
              <w:jc w:val="center"/>
              <w:rPr>
                <w:lang w:val="fr-CH"/>
              </w:rPr>
            </w:pPr>
            <w:r w:rsidRPr="00E0088F">
              <w:rPr>
                <w:lang w:val="fr-CH"/>
              </w:rPr>
              <w:t>MOD</w:t>
            </w:r>
          </w:p>
        </w:tc>
      </w:tr>
      <w:tr w:rsidR="002151C3" w:rsidRPr="00E0088F" w14:paraId="47DA437B"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50977280" w14:textId="77777777" w:rsidR="002151C3" w:rsidRPr="00E0088F" w:rsidRDefault="002151C3" w:rsidP="006C5A84">
            <w:pPr>
              <w:pStyle w:val="Tabletext"/>
              <w:jc w:val="center"/>
              <w:rPr>
                <w:lang w:val="fr-CH"/>
              </w:rPr>
            </w:pPr>
            <w:r w:rsidRPr="00E0088F">
              <w:rPr>
                <w:lang w:val="fr-CH"/>
              </w:rPr>
              <w:t>34</w:t>
            </w:r>
          </w:p>
        </w:tc>
        <w:tc>
          <w:tcPr>
            <w:tcW w:w="3400" w:type="dxa"/>
            <w:tcBorders>
              <w:top w:val="single" w:sz="6" w:space="0" w:color="auto"/>
              <w:left w:val="single" w:sz="6" w:space="0" w:color="auto"/>
              <w:bottom w:val="single" w:sz="6" w:space="0" w:color="auto"/>
              <w:right w:val="single" w:sz="6" w:space="0" w:color="auto"/>
            </w:tcBorders>
            <w:hideMark/>
          </w:tcPr>
          <w:p w14:paraId="5D1080D6" w14:textId="77777777" w:rsidR="002151C3" w:rsidRPr="00E0088F" w:rsidRDefault="002151C3" w:rsidP="006C5A84">
            <w:pPr>
              <w:pStyle w:val="Tabletext"/>
              <w:rPr>
                <w:lang w:val="fr-CH"/>
              </w:rPr>
            </w:pPr>
            <w:r w:rsidRPr="00E0088F">
              <w:rPr>
                <w:lang w:val="fr-CH"/>
              </w:rPr>
              <w:t>Principes régissant l'attribution des bandes de fréquences</w:t>
            </w:r>
          </w:p>
        </w:tc>
        <w:tc>
          <w:tcPr>
            <w:tcW w:w="4250" w:type="dxa"/>
            <w:tcBorders>
              <w:top w:val="single" w:sz="6" w:space="0" w:color="auto"/>
              <w:left w:val="single" w:sz="6" w:space="0" w:color="auto"/>
              <w:bottom w:val="single" w:sz="6" w:space="0" w:color="auto"/>
              <w:right w:val="single" w:sz="6" w:space="0" w:color="auto"/>
            </w:tcBorders>
            <w:hideMark/>
          </w:tcPr>
          <w:p w14:paraId="5D2B7C4A" w14:textId="77777777" w:rsidR="002151C3" w:rsidRPr="00E0088F" w:rsidRDefault="002151C3" w:rsidP="006C5A84">
            <w:pPr>
              <w:pStyle w:val="Tabletext"/>
              <w:rPr>
                <w:rStyle w:val="FootnoteReference"/>
                <w:color w:val="000000"/>
                <w:lang w:val="fr-CH"/>
              </w:rPr>
            </w:pPr>
            <w:r w:rsidRPr="00E0088F">
              <w:rPr>
                <w:lang w:val="fr-CH"/>
              </w:rPr>
              <w:t>(Rév.CMR-12). A toujours lieu d'être. Le texte a été révisé à la CMR-12.</w:t>
            </w:r>
            <w:r w:rsidRPr="00E0088F">
              <w:rPr>
                <w:color w:val="000000"/>
                <w:sz w:val="24"/>
                <w:lang w:val="fr-CH"/>
              </w:rPr>
              <w:t xml:space="preserve"> </w:t>
            </w:r>
            <w:r w:rsidRPr="00E0088F">
              <w:rPr>
                <w:lang w:val="fr-CH"/>
              </w:rPr>
              <w:t xml:space="preserve">Cette Recommandation est citée dans la Résolution </w:t>
            </w:r>
            <w:r w:rsidRPr="00E0088F">
              <w:rPr>
                <w:b/>
                <w:bCs/>
                <w:lang w:val="fr-CH"/>
              </w:rPr>
              <w:t>160 (CMR-15)</w:t>
            </w:r>
            <w:r w:rsidRPr="00E0088F">
              <w:rPr>
                <w:lang w:val="fr-CH"/>
              </w:rPr>
              <w:t>, ainsi que dans certains passages du projet de Rapport de la RPC comme base à l'examen.</w:t>
            </w:r>
          </w:p>
        </w:tc>
        <w:tc>
          <w:tcPr>
            <w:tcW w:w="1360" w:type="dxa"/>
            <w:tcBorders>
              <w:top w:val="single" w:sz="6" w:space="0" w:color="auto"/>
              <w:left w:val="single" w:sz="6" w:space="0" w:color="auto"/>
              <w:bottom w:val="single" w:sz="6" w:space="0" w:color="auto"/>
              <w:right w:val="single" w:sz="6" w:space="0" w:color="auto"/>
            </w:tcBorders>
            <w:hideMark/>
          </w:tcPr>
          <w:p w14:paraId="684C07F5" w14:textId="77777777" w:rsidR="002151C3" w:rsidRPr="00E0088F" w:rsidRDefault="002151C3" w:rsidP="006C5A84">
            <w:pPr>
              <w:pStyle w:val="Tabletext"/>
              <w:jc w:val="center"/>
              <w:rPr>
                <w:lang w:val="fr-CH"/>
              </w:rPr>
            </w:pPr>
            <w:r w:rsidRPr="00E0088F">
              <w:rPr>
                <w:lang w:val="fr-CH"/>
              </w:rPr>
              <w:t>NOC</w:t>
            </w:r>
          </w:p>
        </w:tc>
      </w:tr>
      <w:tr w:rsidR="002151C3" w:rsidRPr="00E0088F" w14:paraId="6EDA9D7A"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1B5B9ABB" w14:textId="77777777" w:rsidR="002151C3" w:rsidRPr="00E0088F" w:rsidRDefault="002151C3" w:rsidP="006C5A84">
            <w:pPr>
              <w:pStyle w:val="Tabletext"/>
              <w:jc w:val="center"/>
              <w:rPr>
                <w:lang w:val="fr-CH"/>
              </w:rPr>
            </w:pPr>
            <w:r w:rsidRPr="00E0088F">
              <w:rPr>
                <w:lang w:val="fr-CH"/>
              </w:rPr>
              <w:t>36</w:t>
            </w:r>
          </w:p>
        </w:tc>
        <w:tc>
          <w:tcPr>
            <w:tcW w:w="3400" w:type="dxa"/>
            <w:tcBorders>
              <w:top w:val="single" w:sz="6" w:space="0" w:color="auto"/>
              <w:left w:val="single" w:sz="6" w:space="0" w:color="auto"/>
              <w:bottom w:val="single" w:sz="6" w:space="0" w:color="auto"/>
              <w:right w:val="single" w:sz="6" w:space="0" w:color="auto"/>
            </w:tcBorders>
            <w:hideMark/>
          </w:tcPr>
          <w:p w14:paraId="244BB1A1" w14:textId="77777777" w:rsidR="002151C3" w:rsidRPr="00E0088F" w:rsidRDefault="002151C3" w:rsidP="006C5A84">
            <w:pPr>
              <w:pStyle w:val="Tabletext"/>
              <w:rPr>
                <w:lang w:val="fr-CH"/>
              </w:rPr>
            </w:pPr>
            <w:r w:rsidRPr="00E0088F">
              <w:rPr>
                <w:lang w:val="fr-CH"/>
              </w:rPr>
              <w:t>Contrôle international des émissions provenant de stations spatiales</w:t>
            </w:r>
          </w:p>
        </w:tc>
        <w:tc>
          <w:tcPr>
            <w:tcW w:w="4250" w:type="dxa"/>
            <w:tcBorders>
              <w:top w:val="single" w:sz="6" w:space="0" w:color="auto"/>
              <w:left w:val="single" w:sz="6" w:space="0" w:color="auto"/>
              <w:bottom w:val="single" w:sz="6" w:space="0" w:color="auto"/>
              <w:right w:val="single" w:sz="6" w:space="0" w:color="auto"/>
            </w:tcBorders>
            <w:hideMark/>
          </w:tcPr>
          <w:p w14:paraId="06EA4216" w14:textId="77777777" w:rsidR="002151C3" w:rsidRPr="00E0088F" w:rsidRDefault="002151C3" w:rsidP="006C5A84">
            <w:pPr>
              <w:pStyle w:val="Tabletext"/>
              <w:rPr>
                <w:rStyle w:val="FootnoteReference"/>
                <w:color w:val="000000"/>
                <w:lang w:val="fr-CH"/>
              </w:rPr>
            </w:pPr>
            <w:r w:rsidRPr="00E0088F">
              <w:rPr>
                <w:lang w:val="fr-CH"/>
              </w:rPr>
              <w:t>(CMR-97). A toujours lieu d'être; études en cours au sein de la Commission d'études 1 de l'UIT-R.</w:t>
            </w:r>
          </w:p>
        </w:tc>
        <w:tc>
          <w:tcPr>
            <w:tcW w:w="1360" w:type="dxa"/>
            <w:tcBorders>
              <w:top w:val="single" w:sz="6" w:space="0" w:color="auto"/>
              <w:left w:val="single" w:sz="6" w:space="0" w:color="auto"/>
              <w:bottom w:val="single" w:sz="6" w:space="0" w:color="auto"/>
              <w:right w:val="single" w:sz="6" w:space="0" w:color="auto"/>
            </w:tcBorders>
            <w:hideMark/>
          </w:tcPr>
          <w:p w14:paraId="63F5FC3D" w14:textId="77777777" w:rsidR="002151C3" w:rsidRPr="00E0088F" w:rsidRDefault="002151C3" w:rsidP="006C5A84">
            <w:pPr>
              <w:pStyle w:val="Tabletext"/>
              <w:jc w:val="center"/>
              <w:rPr>
                <w:lang w:val="fr-CH"/>
              </w:rPr>
            </w:pPr>
            <w:r w:rsidRPr="00E0088F">
              <w:rPr>
                <w:lang w:val="fr-CH"/>
              </w:rPr>
              <w:t>NOC</w:t>
            </w:r>
          </w:p>
        </w:tc>
      </w:tr>
      <w:tr w:rsidR="002151C3" w:rsidRPr="00E0088F" w14:paraId="557A4B15" w14:textId="77777777" w:rsidTr="002809AC">
        <w:trPr>
          <w:cantSplit/>
          <w:trHeight w:val="2324"/>
          <w:jc w:val="center"/>
        </w:trPr>
        <w:tc>
          <w:tcPr>
            <w:tcW w:w="635" w:type="dxa"/>
            <w:tcBorders>
              <w:top w:val="single" w:sz="6" w:space="0" w:color="auto"/>
              <w:left w:val="single" w:sz="6" w:space="0" w:color="auto"/>
              <w:bottom w:val="single" w:sz="6" w:space="0" w:color="auto"/>
              <w:right w:val="single" w:sz="6" w:space="0" w:color="auto"/>
            </w:tcBorders>
            <w:hideMark/>
          </w:tcPr>
          <w:p w14:paraId="53D8520C" w14:textId="77777777" w:rsidR="002151C3" w:rsidRPr="00E0088F" w:rsidRDefault="002151C3" w:rsidP="006C5A84">
            <w:pPr>
              <w:pStyle w:val="Tabletext"/>
              <w:jc w:val="center"/>
              <w:rPr>
                <w:lang w:val="fr-CH"/>
              </w:rPr>
            </w:pPr>
            <w:r w:rsidRPr="00E0088F">
              <w:rPr>
                <w:lang w:val="fr-CH"/>
              </w:rPr>
              <w:t>37</w:t>
            </w:r>
          </w:p>
        </w:tc>
        <w:tc>
          <w:tcPr>
            <w:tcW w:w="3400" w:type="dxa"/>
            <w:tcBorders>
              <w:top w:val="single" w:sz="6" w:space="0" w:color="auto"/>
              <w:left w:val="single" w:sz="6" w:space="0" w:color="auto"/>
              <w:bottom w:val="single" w:sz="6" w:space="0" w:color="auto"/>
              <w:right w:val="single" w:sz="6" w:space="0" w:color="auto"/>
            </w:tcBorders>
            <w:hideMark/>
          </w:tcPr>
          <w:p w14:paraId="2CD07299" w14:textId="77777777" w:rsidR="002151C3" w:rsidRPr="00E0088F" w:rsidRDefault="002151C3" w:rsidP="006C5A84">
            <w:pPr>
              <w:pStyle w:val="Tabletext"/>
              <w:rPr>
                <w:lang w:val="fr-CH"/>
              </w:rPr>
            </w:pPr>
            <w:r w:rsidRPr="00E0088F">
              <w:rPr>
                <w:lang w:val="fr-CH"/>
              </w:rPr>
              <w:t>Procédures d'exploitation des stations terriennes à bord de navires (ESV)</w:t>
            </w:r>
          </w:p>
        </w:tc>
        <w:tc>
          <w:tcPr>
            <w:tcW w:w="4250" w:type="dxa"/>
            <w:tcBorders>
              <w:top w:val="single" w:sz="6" w:space="0" w:color="auto"/>
              <w:left w:val="single" w:sz="6" w:space="0" w:color="auto"/>
              <w:bottom w:val="single" w:sz="6" w:space="0" w:color="auto"/>
              <w:right w:val="single" w:sz="6" w:space="0" w:color="auto"/>
            </w:tcBorders>
            <w:hideMark/>
          </w:tcPr>
          <w:p w14:paraId="53C9220F" w14:textId="77777777" w:rsidR="002151C3" w:rsidRPr="00E0088F" w:rsidRDefault="002151C3" w:rsidP="006C5A84">
            <w:pPr>
              <w:pStyle w:val="Tabletext"/>
              <w:rPr>
                <w:lang w:val="fr-CH"/>
              </w:rPr>
            </w:pPr>
            <w:r w:rsidRPr="00E0088F">
              <w:rPr>
                <w:lang w:val="fr-CH"/>
              </w:rPr>
              <w:t xml:space="preserve">(CMR-03). A toujours lieu d'être; Cette Recommandation est citée dans la Résolution </w:t>
            </w:r>
            <w:r w:rsidRPr="00E0088F">
              <w:rPr>
                <w:b/>
                <w:bCs/>
                <w:lang w:val="fr-CH"/>
              </w:rPr>
              <w:t>902 (CMR-03)</w:t>
            </w:r>
            <w:r w:rsidRPr="00E0088F">
              <w:rPr>
                <w:lang w:val="fr-CH"/>
              </w:rPr>
              <w:t>. Recommandations UIT-R S.1587-3 (mise à jour en septembre 2015), UIT-R SF.1649</w:t>
            </w:r>
            <w:r w:rsidRPr="00E0088F">
              <w:rPr>
                <w:lang w:val="fr-CH"/>
              </w:rPr>
              <w:noBreakHyphen/>
              <w:t>1 (mise à jour en août 2008) et UIT-R SF.1650-1 (mise à jour en février 2005) en vigueur.</w:t>
            </w:r>
          </w:p>
        </w:tc>
        <w:tc>
          <w:tcPr>
            <w:tcW w:w="1360" w:type="dxa"/>
            <w:tcBorders>
              <w:top w:val="single" w:sz="6" w:space="0" w:color="auto"/>
              <w:left w:val="single" w:sz="6" w:space="0" w:color="auto"/>
              <w:bottom w:val="single" w:sz="6" w:space="0" w:color="auto"/>
              <w:right w:val="single" w:sz="6" w:space="0" w:color="auto"/>
            </w:tcBorders>
            <w:hideMark/>
          </w:tcPr>
          <w:p w14:paraId="662C886A" w14:textId="77777777" w:rsidR="002151C3" w:rsidRPr="00E0088F" w:rsidRDefault="002151C3" w:rsidP="006C5A84">
            <w:pPr>
              <w:pStyle w:val="Tabletext"/>
              <w:jc w:val="center"/>
              <w:rPr>
                <w:lang w:val="fr-CH"/>
              </w:rPr>
            </w:pPr>
            <w:r w:rsidRPr="00E0088F">
              <w:rPr>
                <w:lang w:val="fr-CH"/>
              </w:rPr>
              <w:t>NOC</w:t>
            </w:r>
          </w:p>
        </w:tc>
      </w:tr>
      <w:tr w:rsidR="002151C3" w:rsidRPr="00E0088F" w14:paraId="36241608"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4F9F5924" w14:textId="77777777" w:rsidR="002151C3" w:rsidRPr="00E0088F" w:rsidRDefault="002151C3" w:rsidP="006C5A84">
            <w:pPr>
              <w:pStyle w:val="Tabletext"/>
              <w:jc w:val="center"/>
              <w:rPr>
                <w:lang w:val="fr-CH"/>
              </w:rPr>
            </w:pPr>
            <w:r w:rsidRPr="00E0088F">
              <w:rPr>
                <w:lang w:val="fr-CH"/>
              </w:rPr>
              <w:t>63</w:t>
            </w:r>
          </w:p>
        </w:tc>
        <w:tc>
          <w:tcPr>
            <w:tcW w:w="3400" w:type="dxa"/>
            <w:tcBorders>
              <w:top w:val="single" w:sz="6" w:space="0" w:color="auto"/>
              <w:left w:val="single" w:sz="6" w:space="0" w:color="auto"/>
              <w:bottom w:val="single" w:sz="6" w:space="0" w:color="auto"/>
              <w:right w:val="single" w:sz="6" w:space="0" w:color="auto"/>
            </w:tcBorders>
            <w:hideMark/>
          </w:tcPr>
          <w:p w14:paraId="2F2BA53A" w14:textId="77777777" w:rsidR="002151C3" w:rsidRPr="00E0088F" w:rsidRDefault="002151C3" w:rsidP="006C5A84">
            <w:pPr>
              <w:pStyle w:val="Tabletext"/>
              <w:rPr>
                <w:lang w:val="fr-CH"/>
              </w:rPr>
            </w:pPr>
            <w:r w:rsidRPr="00E0088F">
              <w:rPr>
                <w:lang w:val="fr-CH"/>
              </w:rPr>
              <w:t>Calcul de la largeur de bande nécessaire</w:t>
            </w:r>
          </w:p>
        </w:tc>
        <w:tc>
          <w:tcPr>
            <w:tcW w:w="4250" w:type="dxa"/>
            <w:tcBorders>
              <w:top w:val="single" w:sz="6" w:space="0" w:color="auto"/>
              <w:left w:val="single" w:sz="6" w:space="0" w:color="auto"/>
              <w:bottom w:val="single" w:sz="6" w:space="0" w:color="auto"/>
              <w:right w:val="single" w:sz="6" w:space="0" w:color="auto"/>
            </w:tcBorders>
            <w:hideMark/>
          </w:tcPr>
          <w:p w14:paraId="386E722B" w14:textId="77777777" w:rsidR="002151C3" w:rsidRPr="00E0088F" w:rsidRDefault="002151C3" w:rsidP="006C5A84">
            <w:pPr>
              <w:pStyle w:val="Tabletext"/>
              <w:rPr>
                <w:rStyle w:val="FootnoteReference"/>
                <w:color w:val="000000"/>
                <w:lang w:val="fr-CH"/>
              </w:rPr>
            </w:pPr>
            <w:r w:rsidRPr="00E0088F">
              <w:rPr>
                <w:lang w:val="fr-CH"/>
              </w:rPr>
              <w:t>(CAMR-79). A toujours lieu d'être. La question du «calcul de la largeur de bande nécessaire» fait l'objet de la Recommandation UIT-R SM.1138, qui est incorporée par référence dans l'Appendice </w:t>
            </w:r>
            <w:r w:rsidRPr="00E0088F">
              <w:rPr>
                <w:b/>
                <w:bCs/>
                <w:lang w:val="fr-CH"/>
              </w:rPr>
              <w:t xml:space="preserve">1 </w:t>
            </w:r>
            <w:r w:rsidRPr="00E0088F">
              <w:rPr>
                <w:lang w:val="fr-CH"/>
              </w:rPr>
              <w:t>(Section I). Études en cours; Recommandations UIT-R SM.1138-2 (mise à jour en octobre 2008) et UIT-R SM.328-11 (mise à jour en mai 2006) en vigueur.</w:t>
            </w:r>
          </w:p>
        </w:tc>
        <w:tc>
          <w:tcPr>
            <w:tcW w:w="1360" w:type="dxa"/>
            <w:tcBorders>
              <w:top w:val="single" w:sz="6" w:space="0" w:color="auto"/>
              <w:left w:val="single" w:sz="6" w:space="0" w:color="auto"/>
              <w:bottom w:val="single" w:sz="6" w:space="0" w:color="auto"/>
              <w:right w:val="single" w:sz="6" w:space="0" w:color="auto"/>
            </w:tcBorders>
            <w:hideMark/>
          </w:tcPr>
          <w:p w14:paraId="001EBC22" w14:textId="77777777" w:rsidR="002151C3" w:rsidRPr="00E0088F" w:rsidRDefault="002151C3" w:rsidP="006C5A84">
            <w:pPr>
              <w:pStyle w:val="Tabletext"/>
              <w:jc w:val="center"/>
              <w:rPr>
                <w:lang w:val="fr-CH"/>
              </w:rPr>
            </w:pPr>
            <w:r w:rsidRPr="00E0088F">
              <w:rPr>
                <w:lang w:val="fr-CH"/>
              </w:rPr>
              <w:t>NOC</w:t>
            </w:r>
          </w:p>
        </w:tc>
      </w:tr>
      <w:tr w:rsidR="002151C3" w:rsidRPr="00E0088F" w14:paraId="34039573"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216DF4CC" w14:textId="77777777" w:rsidR="002151C3" w:rsidRPr="00E0088F" w:rsidRDefault="002151C3" w:rsidP="006C5A84">
            <w:pPr>
              <w:pStyle w:val="Tabletext"/>
              <w:jc w:val="center"/>
              <w:rPr>
                <w:lang w:val="fr-CH"/>
              </w:rPr>
            </w:pPr>
            <w:r w:rsidRPr="00E0088F">
              <w:rPr>
                <w:lang w:val="fr-CH"/>
              </w:rPr>
              <w:t>71</w:t>
            </w:r>
          </w:p>
        </w:tc>
        <w:tc>
          <w:tcPr>
            <w:tcW w:w="3400" w:type="dxa"/>
            <w:tcBorders>
              <w:top w:val="single" w:sz="6" w:space="0" w:color="auto"/>
              <w:left w:val="single" w:sz="6" w:space="0" w:color="auto"/>
              <w:bottom w:val="single" w:sz="6" w:space="0" w:color="auto"/>
              <w:right w:val="single" w:sz="6" w:space="0" w:color="auto"/>
            </w:tcBorders>
            <w:hideMark/>
          </w:tcPr>
          <w:p w14:paraId="1254E757" w14:textId="77777777" w:rsidR="002151C3" w:rsidRPr="00E0088F" w:rsidRDefault="002151C3" w:rsidP="006C5A84">
            <w:pPr>
              <w:pStyle w:val="Tabletext"/>
              <w:rPr>
                <w:lang w:val="fr-CH"/>
              </w:rPr>
            </w:pPr>
            <w:r w:rsidRPr="00E0088F">
              <w:rPr>
                <w:lang w:val="fr-CH"/>
              </w:rPr>
              <w:t>Calcul de la largeur de bande nécessaire</w:t>
            </w:r>
          </w:p>
        </w:tc>
        <w:tc>
          <w:tcPr>
            <w:tcW w:w="4250" w:type="dxa"/>
            <w:tcBorders>
              <w:top w:val="single" w:sz="6" w:space="0" w:color="auto"/>
              <w:left w:val="single" w:sz="6" w:space="0" w:color="auto"/>
              <w:bottom w:val="single" w:sz="6" w:space="0" w:color="auto"/>
              <w:right w:val="single" w:sz="6" w:space="0" w:color="auto"/>
            </w:tcBorders>
            <w:hideMark/>
          </w:tcPr>
          <w:p w14:paraId="5E3BB50B" w14:textId="77777777" w:rsidR="002151C3" w:rsidRPr="00E0088F" w:rsidRDefault="002151C3" w:rsidP="006C5A84">
            <w:pPr>
              <w:pStyle w:val="Tabletext"/>
              <w:rPr>
                <w:rStyle w:val="FootnoteReference"/>
                <w:color w:val="000000"/>
                <w:lang w:val="fr-CH"/>
              </w:rPr>
            </w:pPr>
            <w:r w:rsidRPr="00E0088F">
              <w:rPr>
                <w:lang w:val="fr-CH"/>
              </w:rPr>
              <w:t>(CAMR-79). A toujours lieu d'être.</w:t>
            </w:r>
          </w:p>
        </w:tc>
        <w:tc>
          <w:tcPr>
            <w:tcW w:w="1360" w:type="dxa"/>
            <w:tcBorders>
              <w:top w:val="single" w:sz="6" w:space="0" w:color="auto"/>
              <w:left w:val="single" w:sz="6" w:space="0" w:color="auto"/>
              <w:bottom w:val="single" w:sz="6" w:space="0" w:color="auto"/>
              <w:right w:val="single" w:sz="6" w:space="0" w:color="auto"/>
            </w:tcBorders>
            <w:hideMark/>
          </w:tcPr>
          <w:p w14:paraId="339D48EE" w14:textId="77777777" w:rsidR="002151C3" w:rsidRPr="00E0088F" w:rsidRDefault="002151C3" w:rsidP="006C5A84">
            <w:pPr>
              <w:pStyle w:val="Tabletext"/>
              <w:jc w:val="center"/>
              <w:rPr>
                <w:lang w:val="fr-CH"/>
              </w:rPr>
            </w:pPr>
            <w:r w:rsidRPr="00E0088F">
              <w:rPr>
                <w:lang w:val="fr-CH"/>
              </w:rPr>
              <w:t>NOC</w:t>
            </w:r>
          </w:p>
        </w:tc>
      </w:tr>
      <w:tr w:rsidR="002151C3" w:rsidRPr="00E0088F" w14:paraId="1ECB4DD4"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08891F18" w14:textId="77777777" w:rsidR="002151C3" w:rsidRPr="00E0088F" w:rsidRDefault="002151C3" w:rsidP="006C5A84">
            <w:pPr>
              <w:pStyle w:val="Tabletext"/>
              <w:jc w:val="center"/>
              <w:rPr>
                <w:lang w:val="fr-CH"/>
              </w:rPr>
            </w:pPr>
            <w:r w:rsidRPr="00E0088F">
              <w:rPr>
                <w:lang w:val="fr-CH"/>
              </w:rPr>
              <w:t>75</w:t>
            </w:r>
          </w:p>
        </w:tc>
        <w:tc>
          <w:tcPr>
            <w:tcW w:w="3400" w:type="dxa"/>
            <w:tcBorders>
              <w:top w:val="single" w:sz="6" w:space="0" w:color="auto"/>
              <w:left w:val="single" w:sz="6" w:space="0" w:color="auto"/>
              <w:bottom w:val="single" w:sz="6" w:space="0" w:color="auto"/>
              <w:right w:val="single" w:sz="6" w:space="0" w:color="auto"/>
            </w:tcBorders>
            <w:hideMark/>
          </w:tcPr>
          <w:p w14:paraId="0F7A85AF" w14:textId="77777777" w:rsidR="002151C3" w:rsidRPr="00E0088F" w:rsidRDefault="002151C3" w:rsidP="006C5A84">
            <w:pPr>
              <w:pStyle w:val="Tabletext"/>
              <w:rPr>
                <w:lang w:val="fr-CH"/>
              </w:rPr>
            </w:pPr>
            <w:r w:rsidRPr="00E0088F">
              <w:rPr>
                <w:lang w:val="fr-CH"/>
              </w:rPr>
              <w:t>Étude de la frontière entre le domaine des émissions hors bande et le domaine des rayonnements essentiels applicable aux radars primaires utilisant des magnétrons</w:t>
            </w:r>
          </w:p>
        </w:tc>
        <w:tc>
          <w:tcPr>
            <w:tcW w:w="4250" w:type="dxa"/>
            <w:tcBorders>
              <w:top w:val="single" w:sz="6" w:space="0" w:color="auto"/>
              <w:left w:val="single" w:sz="6" w:space="0" w:color="auto"/>
              <w:bottom w:val="single" w:sz="6" w:space="0" w:color="auto"/>
              <w:right w:val="single" w:sz="6" w:space="0" w:color="auto"/>
            </w:tcBorders>
            <w:hideMark/>
          </w:tcPr>
          <w:p w14:paraId="6A673342" w14:textId="77777777" w:rsidR="002151C3" w:rsidRPr="00E0088F" w:rsidRDefault="002151C3" w:rsidP="006C5A84">
            <w:pPr>
              <w:pStyle w:val="Tabletext"/>
              <w:rPr>
                <w:rStyle w:val="FootnoteReference"/>
                <w:lang w:val="fr-CH"/>
              </w:rPr>
            </w:pPr>
            <w:r w:rsidRPr="00E0088F">
              <w:rPr>
                <w:lang w:val="fr-CH"/>
              </w:rPr>
              <w:t>(CMR-15). A toujours lieu d'être. Le texte a été révisé à la CMR-15.</w:t>
            </w:r>
          </w:p>
        </w:tc>
        <w:tc>
          <w:tcPr>
            <w:tcW w:w="1360" w:type="dxa"/>
            <w:tcBorders>
              <w:top w:val="single" w:sz="6" w:space="0" w:color="auto"/>
              <w:left w:val="single" w:sz="6" w:space="0" w:color="auto"/>
              <w:bottom w:val="single" w:sz="6" w:space="0" w:color="auto"/>
              <w:right w:val="single" w:sz="6" w:space="0" w:color="auto"/>
            </w:tcBorders>
            <w:hideMark/>
          </w:tcPr>
          <w:p w14:paraId="14265D05" w14:textId="77777777" w:rsidR="002151C3" w:rsidRPr="00E0088F" w:rsidRDefault="002151C3" w:rsidP="006C5A84">
            <w:pPr>
              <w:pStyle w:val="Tabletext"/>
              <w:jc w:val="center"/>
              <w:rPr>
                <w:lang w:val="fr-CH"/>
              </w:rPr>
            </w:pPr>
            <w:r w:rsidRPr="00E0088F">
              <w:rPr>
                <w:lang w:val="fr-CH"/>
              </w:rPr>
              <w:t>NOC</w:t>
            </w:r>
          </w:p>
        </w:tc>
      </w:tr>
      <w:tr w:rsidR="002151C3" w:rsidRPr="00E0088F" w14:paraId="69E98FA8" w14:textId="77777777" w:rsidTr="002809AC">
        <w:trPr>
          <w:cantSplit/>
          <w:trHeight w:val="659"/>
          <w:jc w:val="center"/>
        </w:trPr>
        <w:tc>
          <w:tcPr>
            <w:tcW w:w="635" w:type="dxa"/>
            <w:tcBorders>
              <w:top w:val="single" w:sz="6" w:space="0" w:color="auto"/>
              <w:left w:val="single" w:sz="6" w:space="0" w:color="auto"/>
              <w:bottom w:val="single" w:sz="6" w:space="0" w:color="auto"/>
              <w:right w:val="single" w:sz="6" w:space="0" w:color="auto"/>
            </w:tcBorders>
            <w:hideMark/>
          </w:tcPr>
          <w:p w14:paraId="78757CA7" w14:textId="77777777" w:rsidR="002151C3" w:rsidRPr="00E0088F" w:rsidRDefault="002151C3" w:rsidP="006C5A84">
            <w:pPr>
              <w:pStyle w:val="Tabletext"/>
              <w:jc w:val="center"/>
              <w:rPr>
                <w:lang w:val="fr-CH"/>
              </w:rPr>
            </w:pPr>
            <w:r w:rsidRPr="00E0088F">
              <w:rPr>
                <w:lang w:val="fr-CH"/>
              </w:rPr>
              <w:t>76</w:t>
            </w:r>
          </w:p>
        </w:tc>
        <w:tc>
          <w:tcPr>
            <w:tcW w:w="3400" w:type="dxa"/>
            <w:tcBorders>
              <w:top w:val="single" w:sz="6" w:space="0" w:color="auto"/>
              <w:left w:val="single" w:sz="6" w:space="0" w:color="auto"/>
              <w:bottom w:val="single" w:sz="6" w:space="0" w:color="auto"/>
              <w:right w:val="single" w:sz="6" w:space="0" w:color="auto"/>
            </w:tcBorders>
            <w:hideMark/>
          </w:tcPr>
          <w:p w14:paraId="4E3C0D2D" w14:textId="77777777" w:rsidR="002151C3" w:rsidRPr="00E0088F" w:rsidRDefault="002151C3" w:rsidP="006C5A84">
            <w:pPr>
              <w:pStyle w:val="Tabletext"/>
              <w:rPr>
                <w:lang w:val="fr-CH"/>
              </w:rPr>
            </w:pPr>
            <w:r w:rsidRPr="00E0088F">
              <w:rPr>
                <w:lang w:val="fr-CH"/>
              </w:rPr>
              <w:t xml:space="preserve">Déploiement et utilisation des systèmes de radiocommunication cognitifs </w:t>
            </w:r>
          </w:p>
        </w:tc>
        <w:tc>
          <w:tcPr>
            <w:tcW w:w="4250" w:type="dxa"/>
            <w:tcBorders>
              <w:top w:val="single" w:sz="6" w:space="0" w:color="auto"/>
              <w:left w:val="single" w:sz="6" w:space="0" w:color="auto"/>
              <w:bottom w:val="single" w:sz="6" w:space="0" w:color="auto"/>
              <w:right w:val="single" w:sz="6" w:space="0" w:color="auto"/>
            </w:tcBorders>
            <w:hideMark/>
          </w:tcPr>
          <w:p w14:paraId="70D25096" w14:textId="77777777" w:rsidR="002151C3" w:rsidRPr="00E0088F" w:rsidRDefault="002151C3" w:rsidP="006C5A84">
            <w:pPr>
              <w:pStyle w:val="Tabletext"/>
              <w:rPr>
                <w:lang w:val="fr-CH"/>
              </w:rPr>
            </w:pPr>
            <w:r w:rsidRPr="00E0088F">
              <w:rPr>
                <w:lang w:val="fr-CH"/>
              </w:rPr>
              <w:t>(CMR-12). A toujours lieu d'être. Des études sont en cours au sein de l'UIT-R. Une modification sera peut-être envisagée en fonction des décisions que prendra l'AR</w:t>
            </w:r>
            <w:r w:rsidRPr="00E0088F">
              <w:rPr>
                <w:lang w:val="fr-CH"/>
              </w:rPr>
              <w:noBreakHyphen/>
              <w:t>19 concernant la Résolution UIT-R 58 et/ou des résultats des études déjà menées à leur terme.</w:t>
            </w:r>
          </w:p>
        </w:tc>
        <w:tc>
          <w:tcPr>
            <w:tcW w:w="1360" w:type="dxa"/>
            <w:tcBorders>
              <w:top w:val="single" w:sz="6" w:space="0" w:color="auto"/>
              <w:left w:val="single" w:sz="6" w:space="0" w:color="auto"/>
              <w:bottom w:val="single" w:sz="6" w:space="0" w:color="auto"/>
              <w:right w:val="single" w:sz="6" w:space="0" w:color="auto"/>
            </w:tcBorders>
            <w:hideMark/>
          </w:tcPr>
          <w:p w14:paraId="4F6A7125" w14:textId="77777777" w:rsidR="002151C3" w:rsidRPr="00E0088F" w:rsidRDefault="002151C3" w:rsidP="006C5A84">
            <w:pPr>
              <w:pStyle w:val="Tabletext"/>
              <w:jc w:val="center"/>
              <w:rPr>
                <w:lang w:val="fr-CH"/>
              </w:rPr>
            </w:pPr>
            <w:r w:rsidRPr="00E0088F">
              <w:rPr>
                <w:lang w:val="fr-CH"/>
              </w:rPr>
              <w:t>NOC/</w:t>
            </w:r>
          </w:p>
          <w:p w14:paraId="41836C96" w14:textId="77777777" w:rsidR="002151C3" w:rsidRPr="00E0088F" w:rsidRDefault="002151C3" w:rsidP="006C5A84">
            <w:pPr>
              <w:pStyle w:val="Tabletext"/>
              <w:jc w:val="center"/>
              <w:rPr>
                <w:lang w:val="fr-CH"/>
              </w:rPr>
            </w:pPr>
            <w:r w:rsidRPr="00E0088F">
              <w:rPr>
                <w:lang w:val="fr-CH"/>
              </w:rPr>
              <w:t>MOD</w:t>
            </w:r>
          </w:p>
        </w:tc>
      </w:tr>
      <w:tr w:rsidR="002151C3" w:rsidRPr="00E0088F" w14:paraId="13C2A58B"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4038FFB7" w14:textId="77777777" w:rsidR="002151C3" w:rsidRPr="00E0088F" w:rsidRDefault="002151C3" w:rsidP="006C5A84">
            <w:pPr>
              <w:pStyle w:val="Tabletext"/>
              <w:jc w:val="center"/>
              <w:rPr>
                <w:lang w:val="fr-CH"/>
              </w:rPr>
            </w:pPr>
            <w:r w:rsidRPr="00E0088F">
              <w:rPr>
                <w:lang w:val="fr-CH"/>
              </w:rPr>
              <w:t>100</w:t>
            </w:r>
          </w:p>
        </w:tc>
        <w:tc>
          <w:tcPr>
            <w:tcW w:w="3400" w:type="dxa"/>
            <w:tcBorders>
              <w:top w:val="single" w:sz="6" w:space="0" w:color="auto"/>
              <w:left w:val="single" w:sz="6" w:space="0" w:color="auto"/>
              <w:bottom w:val="single" w:sz="6" w:space="0" w:color="auto"/>
              <w:right w:val="single" w:sz="6" w:space="0" w:color="auto"/>
            </w:tcBorders>
            <w:hideMark/>
          </w:tcPr>
          <w:p w14:paraId="65B6E798" w14:textId="77777777" w:rsidR="002151C3" w:rsidRPr="00E0088F" w:rsidRDefault="002151C3" w:rsidP="006C5A84">
            <w:pPr>
              <w:pStyle w:val="Tabletext"/>
              <w:rPr>
                <w:lang w:val="fr-CH"/>
              </w:rPr>
            </w:pPr>
            <w:r w:rsidRPr="00E0088F">
              <w:rPr>
                <w:lang w:val="fr-CH"/>
              </w:rPr>
              <w:t>Bandes pour les systèmes utilisant la propagation par diffusion troposphérique</w:t>
            </w:r>
          </w:p>
        </w:tc>
        <w:tc>
          <w:tcPr>
            <w:tcW w:w="4250" w:type="dxa"/>
            <w:tcBorders>
              <w:top w:val="single" w:sz="6" w:space="0" w:color="auto"/>
              <w:left w:val="single" w:sz="6" w:space="0" w:color="auto"/>
              <w:bottom w:val="single" w:sz="6" w:space="0" w:color="auto"/>
              <w:right w:val="single" w:sz="6" w:space="0" w:color="auto"/>
            </w:tcBorders>
            <w:hideMark/>
          </w:tcPr>
          <w:p w14:paraId="34DFA370" w14:textId="77777777" w:rsidR="002151C3" w:rsidRPr="00E0088F" w:rsidRDefault="002151C3" w:rsidP="006C5A84">
            <w:pPr>
              <w:pStyle w:val="Tabletext"/>
              <w:rPr>
                <w:rStyle w:val="FootnoteReference"/>
                <w:color w:val="000000"/>
                <w:lang w:val="fr-CH"/>
              </w:rPr>
            </w:pPr>
            <w:r w:rsidRPr="00E0088F">
              <w:rPr>
                <w:lang w:val="fr-CH"/>
              </w:rPr>
              <w:t>(Rév.CMR-03). A toujours lieu d'être.</w:t>
            </w:r>
          </w:p>
        </w:tc>
        <w:tc>
          <w:tcPr>
            <w:tcW w:w="1360" w:type="dxa"/>
            <w:tcBorders>
              <w:top w:val="single" w:sz="6" w:space="0" w:color="auto"/>
              <w:left w:val="single" w:sz="6" w:space="0" w:color="auto"/>
              <w:bottom w:val="single" w:sz="6" w:space="0" w:color="auto"/>
              <w:right w:val="single" w:sz="6" w:space="0" w:color="auto"/>
            </w:tcBorders>
            <w:hideMark/>
          </w:tcPr>
          <w:p w14:paraId="028DC4C7" w14:textId="77777777" w:rsidR="002151C3" w:rsidRPr="00E0088F" w:rsidRDefault="002151C3" w:rsidP="006C5A84">
            <w:pPr>
              <w:pStyle w:val="Tabletext"/>
              <w:jc w:val="center"/>
              <w:rPr>
                <w:lang w:val="fr-CH"/>
              </w:rPr>
            </w:pPr>
            <w:r w:rsidRPr="00E0088F">
              <w:rPr>
                <w:lang w:val="fr-CH"/>
              </w:rPr>
              <w:t>NOC</w:t>
            </w:r>
          </w:p>
        </w:tc>
      </w:tr>
      <w:tr w:rsidR="002151C3" w:rsidRPr="00E0088F" w14:paraId="0A9E39E6"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2D556F29" w14:textId="77777777" w:rsidR="002151C3" w:rsidRPr="00E0088F" w:rsidRDefault="002151C3" w:rsidP="006C5A84">
            <w:pPr>
              <w:pStyle w:val="Tabletext"/>
              <w:jc w:val="center"/>
              <w:rPr>
                <w:lang w:val="fr-CH"/>
              </w:rPr>
            </w:pPr>
            <w:r w:rsidRPr="00E0088F">
              <w:rPr>
                <w:lang w:val="fr-CH" w:eastAsia="ja-JP"/>
              </w:rPr>
              <w:t>20</w:t>
            </w:r>
            <w:r w:rsidRPr="00E0088F">
              <w:rPr>
                <w:lang w:val="fr-CH"/>
              </w:rPr>
              <w:t>6</w:t>
            </w:r>
          </w:p>
        </w:tc>
        <w:tc>
          <w:tcPr>
            <w:tcW w:w="3400" w:type="dxa"/>
            <w:tcBorders>
              <w:top w:val="single" w:sz="6" w:space="0" w:color="auto"/>
              <w:left w:val="single" w:sz="6" w:space="0" w:color="auto"/>
              <w:bottom w:val="single" w:sz="6" w:space="0" w:color="auto"/>
              <w:right w:val="single" w:sz="6" w:space="0" w:color="auto"/>
            </w:tcBorders>
            <w:hideMark/>
          </w:tcPr>
          <w:p w14:paraId="41964213" w14:textId="77777777" w:rsidR="002151C3" w:rsidRPr="00E0088F" w:rsidRDefault="002151C3" w:rsidP="006C5A84">
            <w:pPr>
              <w:pStyle w:val="Tabletext"/>
              <w:rPr>
                <w:lang w:val="fr-CH"/>
              </w:rPr>
            </w:pPr>
            <w:r w:rsidRPr="00E0088F">
              <w:rPr>
                <w:lang w:val="fr-CH"/>
              </w:rPr>
              <w:t>Systèmes intégrés du service mobile par satellite</w:t>
            </w:r>
          </w:p>
        </w:tc>
        <w:tc>
          <w:tcPr>
            <w:tcW w:w="4250" w:type="dxa"/>
            <w:tcBorders>
              <w:top w:val="single" w:sz="6" w:space="0" w:color="auto"/>
              <w:left w:val="single" w:sz="6" w:space="0" w:color="auto"/>
              <w:bottom w:val="single" w:sz="6" w:space="0" w:color="auto"/>
              <w:right w:val="single" w:sz="6" w:space="0" w:color="auto"/>
            </w:tcBorders>
            <w:hideMark/>
          </w:tcPr>
          <w:p w14:paraId="3C71A600" w14:textId="77777777" w:rsidR="002151C3" w:rsidRPr="00E0088F" w:rsidRDefault="002151C3" w:rsidP="006C5A84">
            <w:pPr>
              <w:pStyle w:val="Tabletext"/>
              <w:rPr>
                <w:lang w:val="fr-CH"/>
              </w:rPr>
            </w:pPr>
            <w:r w:rsidRPr="00E0088F">
              <w:rPr>
                <w:lang w:val="fr-CH"/>
              </w:rPr>
              <w:t>(Rév.CMR-12). A toujours lieu d'être</w:t>
            </w:r>
            <w:r w:rsidRPr="00E0088F">
              <w:rPr>
                <w:bCs/>
                <w:lang w:val="fr-CH"/>
              </w:rPr>
              <w:t>.</w:t>
            </w:r>
            <w:r w:rsidRPr="00E0088F">
              <w:rPr>
                <w:lang w:val="fr-CH"/>
              </w:rPr>
              <w:t xml:space="preserve"> Les études de l'UIT-R sont en cours. CE 4 procède actuellement à des études pour élaborer les projets de nouvelle Recommandation/nouveau Rapport pertinents.</w:t>
            </w:r>
          </w:p>
        </w:tc>
        <w:tc>
          <w:tcPr>
            <w:tcW w:w="1360" w:type="dxa"/>
            <w:tcBorders>
              <w:top w:val="single" w:sz="6" w:space="0" w:color="auto"/>
              <w:left w:val="single" w:sz="6" w:space="0" w:color="auto"/>
              <w:bottom w:val="single" w:sz="6" w:space="0" w:color="auto"/>
              <w:right w:val="single" w:sz="6" w:space="0" w:color="auto"/>
            </w:tcBorders>
            <w:hideMark/>
          </w:tcPr>
          <w:p w14:paraId="6EFA1255" w14:textId="77777777" w:rsidR="002151C3" w:rsidRPr="00E0088F" w:rsidRDefault="002151C3" w:rsidP="006C5A84">
            <w:pPr>
              <w:pStyle w:val="Tabletext"/>
              <w:jc w:val="center"/>
              <w:rPr>
                <w:lang w:val="fr-CH"/>
              </w:rPr>
            </w:pPr>
            <w:r w:rsidRPr="00E0088F">
              <w:rPr>
                <w:lang w:val="fr-CH"/>
              </w:rPr>
              <w:t>NOC</w:t>
            </w:r>
          </w:p>
        </w:tc>
      </w:tr>
      <w:tr w:rsidR="002151C3" w:rsidRPr="00E0088F" w14:paraId="29B2912B" w14:textId="77777777" w:rsidTr="002809AC">
        <w:trPr>
          <w:cantSplit/>
          <w:trHeight w:val="1240"/>
          <w:jc w:val="center"/>
        </w:trPr>
        <w:tc>
          <w:tcPr>
            <w:tcW w:w="635" w:type="dxa"/>
            <w:tcBorders>
              <w:top w:val="single" w:sz="6" w:space="0" w:color="auto"/>
              <w:left w:val="single" w:sz="6" w:space="0" w:color="auto"/>
              <w:bottom w:val="single" w:sz="6" w:space="0" w:color="auto"/>
              <w:right w:val="single" w:sz="6" w:space="0" w:color="auto"/>
            </w:tcBorders>
            <w:hideMark/>
          </w:tcPr>
          <w:p w14:paraId="731FD922" w14:textId="77777777" w:rsidR="002151C3" w:rsidRPr="00E0088F" w:rsidRDefault="002151C3" w:rsidP="006C5A84">
            <w:pPr>
              <w:pStyle w:val="Tabletext"/>
              <w:jc w:val="center"/>
              <w:rPr>
                <w:lang w:val="fr-CH"/>
              </w:rPr>
            </w:pPr>
            <w:r w:rsidRPr="00E0088F">
              <w:rPr>
                <w:lang w:val="fr-CH" w:eastAsia="ja-JP"/>
              </w:rPr>
              <w:lastRenderedPageBreak/>
              <w:t>207</w:t>
            </w:r>
          </w:p>
        </w:tc>
        <w:tc>
          <w:tcPr>
            <w:tcW w:w="3400" w:type="dxa"/>
            <w:tcBorders>
              <w:top w:val="single" w:sz="6" w:space="0" w:color="auto"/>
              <w:left w:val="single" w:sz="6" w:space="0" w:color="auto"/>
              <w:bottom w:val="single" w:sz="6" w:space="0" w:color="auto"/>
              <w:right w:val="single" w:sz="6" w:space="0" w:color="auto"/>
            </w:tcBorders>
            <w:hideMark/>
          </w:tcPr>
          <w:p w14:paraId="27D9F07A" w14:textId="77777777" w:rsidR="002151C3" w:rsidRPr="00E0088F" w:rsidRDefault="002151C3" w:rsidP="006C5A84">
            <w:pPr>
              <w:pStyle w:val="Tabletext"/>
              <w:rPr>
                <w:lang w:val="fr-CH"/>
              </w:rPr>
            </w:pPr>
            <w:r w:rsidRPr="00E0088F">
              <w:rPr>
                <w:lang w:val="fr-CH"/>
              </w:rPr>
              <w:t>Systèmes IMT futurs</w:t>
            </w:r>
          </w:p>
        </w:tc>
        <w:tc>
          <w:tcPr>
            <w:tcW w:w="4250" w:type="dxa"/>
            <w:tcBorders>
              <w:top w:val="single" w:sz="6" w:space="0" w:color="auto"/>
              <w:left w:val="single" w:sz="6" w:space="0" w:color="auto"/>
              <w:bottom w:val="single" w:sz="6" w:space="0" w:color="auto"/>
              <w:right w:val="single" w:sz="6" w:space="0" w:color="auto"/>
            </w:tcBorders>
            <w:hideMark/>
          </w:tcPr>
          <w:p w14:paraId="6EEB4D5D" w14:textId="77777777" w:rsidR="002151C3" w:rsidRPr="00E0088F" w:rsidRDefault="002151C3" w:rsidP="006C5A84">
            <w:pPr>
              <w:pStyle w:val="Tabletext"/>
              <w:rPr>
                <w:lang w:val="fr-CH"/>
              </w:rPr>
            </w:pPr>
            <w:r w:rsidRPr="00E0088F">
              <w:rPr>
                <w:lang w:val="fr-CH"/>
              </w:rPr>
              <w:t>(CMR-15). A toujours lieu d'être. Le texte a été révisé à la CMR-15. Il faudra peut-être ajouter une référence aux IMT-2020.</w:t>
            </w:r>
            <w:bookmarkStart w:id="14" w:name="_GoBack"/>
            <w:bookmarkEnd w:id="14"/>
          </w:p>
        </w:tc>
        <w:tc>
          <w:tcPr>
            <w:tcW w:w="1360" w:type="dxa"/>
            <w:tcBorders>
              <w:top w:val="single" w:sz="6" w:space="0" w:color="auto"/>
              <w:left w:val="single" w:sz="6" w:space="0" w:color="auto"/>
              <w:bottom w:val="single" w:sz="6" w:space="0" w:color="auto"/>
              <w:right w:val="single" w:sz="6" w:space="0" w:color="auto"/>
            </w:tcBorders>
            <w:hideMark/>
          </w:tcPr>
          <w:p w14:paraId="5403C8D8" w14:textId="77777777" w:rsidR="002151C3" w:rsidRPr="00E0088F" w:rsidRDefault="002151C3" w:rsidP="006C5A84">
            <w:pPr>
              <w:pStyle w:val="Tabletext"/>
              <w:jc w:val="center"/>
              <w:rPr>
                <w:lang w:val="fr-CH"/>
              </w:rPr>
            </w:pPr>
            <w:r w:rsidRPr="00E0088F">
              <w:rPr>
                <w:lang w:val="fr-CH"/>
              </w:rPr>
              <w:t>NOC/</w:t>
            </w:r>
          </w:p>
          <w:p w14:paraId="303CDB37" w14:textId="77777777" w:rsidR="002151C3" w:rsidRPr="00E0088F" w:rsidRDefault="002151C3" w:rsidP="006C5A84">
            <w:pPr>
              <w:pStyle w:val="Tabletext"/>
              <w:jc w:val="center"/>
              <w:rPr>
                <w:lang w:val="fr-CH"/>
              </w:rPr>
            </w:pPr>
            <w:r w:rsidRPr="00E0088F">
              <w:rPr>
                <w:lang w:val="fr-CH"/>
              </w:rPr>
              <w:t>MOD</w:t>
            </w:r>
          </w:p>
        </w:tc>
      </w:tr>
      <w:tr w:rsidR="002151C3" w:rsidRPr="00E0088F" w14:paraId="238D1576"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4277DD56" w14:textId="77777777" w:rsidR="002151C3" w:rsidRPr="00E0088F" w:rsidRDefault="002151C3" w:rsidP="006C5A84">
            <w:pPr>
              <w:pStyle w:val="Tabletext"/>
              <w:jc w:val="center"/>
              <w:rPr>
                <w:lang w:val="fr-CH"/>
              </w:rPr>
            </w:pPr>
            <w:r w:rsidRPr="00E0088F">
              <w:rPr>
                <w:lang w:val="fr-CH"/>
              </w:rPr>
              <w:t>316</w:t>
            </w:r>
          </w:p>
        </w:tc>
        <w:tc>
          <w:tcPr>
            <w:tcW w:w="3400" w:type="dxa"/>
            <w:tcBorders>
              <w:top w:val="single" w:sz="6" w:space="0" w:color="auto"/>
              <w:left w:val="single" w:sz="6" w:space="0" w:color="auto"/>
              <w:bottom w:val="single" w:sz="6" w:space="0" w:color="auto"/>
              <w:right w:val="single" w:sz="6" w:space="0" w:color="auto"/>
            </w:tcBorders>
            <w:hideMark/>
          </w:tcPr>
          <w:p w14:paraId="0B73075C" w14:textId="77777777" w:rsidR="002151C3" w:rsidRPr="00E0088F" w:rsidRDefault="002151C3" w:rsidP="006C5A84">
            <w:pPr>
              <w:pStyle w:val="Tabletext"/>
              <w:rPr>
                <w:lang w:val="fr-CH"/>
              </w:rPr>
            </w:pPr>
            <w:r w:rsidRPr="00E0088F">
              <w:rPr>
                <w:lang w:val="fr-CH"/>
              </w:rPr>
              <w:t>Utilisation des stations terriennes de navire à l'intérieur des eaux portuaires</w:t>
            </w:r>
          </w:p>
        </w:tc>
        <w:tc>
          <w:tcPr>
            <w:tcW w:w="4250" w:type="dxa"/>
            <w:tcBorders>
              <w:top w:val="single" w:sz="6" w:space="0" w:color="auto"/>
              <w:left w:val="single" w:sz="6" w:space="0" w:color="auto"/>
              <w:bottom w:val="single" w:sz="6" w:space="0" w:color="auto"/>
              <w:right w:val="single" w:sz="6" w:space="0" w:color="auto"/>
            </w:tcBorders>
            <w:hideMark/>
          </w:tcPr>
          <w:p w14:paraId="56EE031A" w14:textId="77777777" w:rsidR="002151C3" w:rsidRPr="00E0088F" w:rsidRDefault="002151C3" w:rsidP="006C5A84">
            <w:pPr>
              <w:pStyle w:val="Tabletext"/>
              <w:rPr>
                <w:lang w:val="fr-CH"/>
              </w:rPr>
            </w:pPr>
            <w:r w:rsidRPr="00E0088F">
              <w:rPr>
                <w:lang w:val="fr-CH"/>
              </w:rPr>
              <w:t>(Rév.Mob-87). A toujours lieu d'être</w:t>
            </w:r>
            <w:r w:rsidRPr="00E0088F">
              <w:rPr>
                <w:bCs/>
                <w:lang w:val="fr-CH"/>
              </w:rPr>
              <w:t xml:space="preserve">. </w:t>
            </w:r>
            <w:r w:rsidRPr="00E0088F">
              <w:rPr>
                <w:lang w:val="fr-CH" w:eastAsia="ja-JP"/>
              </w:rPr>
              <w:t xml:space="preserve">L'examen du texte analogue à celui de la Résolution </w:t>
            </w:r>
            <w:r w:rsidRPr="00E0088F">
              <w:rPr>
                <w:b/>
                <w:bCs/>
                <w:lang w:val="fr-CH" w:eastAsia="ja-JP"/>
              </w:rPr>
              <w:t xml:space="preserve">344 </w:t>
            </w:r>
            <w:r w:rsidRPr="00E0088F">
              <w:rPr>
                <w:lang w:val="fr-CH" w:eastAsia="ja-JP"/>
              </w:rPr>
              <w:t>pourrait être nécessaire.</w:t>
            </w:r>
            <w:r w:rsidRPr="00E0088F">
              <w:rPr>
                <w:bCs/>
                <w:lang w:val="fr-CH"/>
              </w:rPr>
              <w:t xml:space="preserve"> Des modifications ou une suppression doivent faire l'objet d'une concertation avec l'OMI. </w:t>
            </w:r>
          </w:p>
        </w:tc>
        <w:tc>
          <w:tcPr>
            <w:tcW w:w="1360" w:type="dxa"/>
            <w:tcBorders>
              <w:top w:val="single" w:sz="6" w:space="0" w:color="auto"/>
              <w:left w:val="single" w:sz="6" w:space="0" w:color="auto"/>
              <w:bottom w:val="single" w:sz="6" w:space="0" w:color="auto"/>
              <w:right w:val="single" w:sz="6" w:space="0" w:color="auto"/>
            </w:tcBorders>
            <w:hideMark/>
          </w:tcPr>
          <w:p w14:paraId="03F9DC82" w14:textId="77777777" w:rsidR="002151C3" w:rsidRPr="00E0088F" w:rsidRDefault="002151C3" w:rsidP="006C5A84">
            <w:pPr>
              <w:pStyle w:val="Tabletext"/>
              <w:jc w:val="center"/>
              <w:rPr>
                <w:lang w:val="fr-CH"/>
              </w:rPr>
            </w:pPr>
            <w:r w:rsidRPr="00E0088F">
              <w:rPr>
                <w:lang w:val="fr-CH"/>
              </w:rPr>
              <w:t>MOD/SUP</w:t>
            </w:r>
          </w:p>
        </w:tc>
      </w:tr>
      <w:tr w:rsidR="002151C3" w:rsidRPr="00E0088F" w14:paraId="6341FC15"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767D061D" w14:textId="77777777" w:rsidR="002151C3" w:rsidRPr="00E0088F" w:rsidRDefault="002151C3" w:rsidP="006C5A84">
            <w:pPr>
              <w:pStyle w:val="Tabletext"/>
              <w:jc w:val="center"/>
              <w:rPr>
                <w:lang w:val="fr-CH"/>
              </w:rPr>
            </w:pPr>
            <w:r w:rsidRPr="00E0088F">
              <w:rPr>
                <w:lang w:val="fr-CH"/>
              </w:rPr>
              <w:t>401</w:t>
            </w:r>
          </w:p>
        </w:tc>
        <w:tc>
          <w:tcPr>
            <w:tcW w:w="3400" w:type="dxa"/>
            <w:tcBorders>
              <w:top w:val="single" w:sz="6" w:space="0" w:color="auto"/>
              <w:left w:val="single" w:sz="6" w:space="0" w:color="auto"/>
              <w:bottom w:val="single" w:sz="6" w:space="0" w:color="auto"/>
              <w:right w:val="single" w:sz="6" w:space="0" w:color="auto"/>
            </w:tcBorders>
            <w:hideMark/>
          </w:tcPr>
          <w:p w14:paraId="356073DB" w14:textId="77777777" w:rsidR="002151C3" w:rsidRPr="00E0088F" w:rsidRDefault="002151C3" w:rsidP="006C5A84">
            <w:pPr>
              <w:pStyle w:val="Tabletext"/>
              <w:rPr>
                <w:lang w:val="fr-CH"/>
              </w:rPr>
            </w:pPr>
            <w:r w:rsidRPr="00E0088F">
              <w:rPr>
                <w:lang w:val="fr-CH"/>
              </w:rPr>
              <w:t>Utilisation des fréquences désignées pour une utilisation mondiale dans l'Appendice 27</w:t>
            </w:r>
          </w:p>
        </w:tc>
        <w:tc>
          <w:tcPr>
            <w:tcW w:w="4250" w:type="dxa"/>
            <w:tcBorders>
              <w:top w:val="single" w:sz="6" w:space="0" w:color="auto"/>
              <w:left w:val="single" w:sz="6" w:space="0" w:color="auto"/>
              <w:bottom w:val="single" w:sz="6" w:space="0" w:color="auto"/>
              <w:right w:val="single" w:sz="6" w:space="0" w:color="auto"/>
            </w:tcBorders>
            <w:hideMark/>
          </w:tcPr>
          <w:p w14:paraId="504972FF" w14:textId="77777777" w:rsidR="002151C3" w:rsidRPr="00E0088F" w:rsidRDefault="002151C3" w:rsidP="006C5A84">
            <w:pPr>
              <w:pStyle w:val="Tabletext"/>
              <w:rPr>
                <w:lang w:val="fr-CH"/>
              </w:rPr>
            </w:pPr>
            <w:r w:rsidRPr="00E0088F">
              <w:rPr>
                <w:lang w:val="fr-CH"/>
              </w:rPr>
              <w:t>(CAMR-79). A toujours lieu d'être</w:t>
            </w:r>
            <w:r w:rsidRPr="00E0088F">
              <w:rPr>
                <w:lang w:val="fr-CH" w:eastAsia="ja-JP"/>
              </w:rPr>
              <w:t>.</w:t>
            </w:r>
          </w:p>
        </w:tc>
        <w:tc>
          <w:tcPr>
            <w:tcW w:w="1360" w:type="dxa"/>
            <w:tcBorders>
              <w:top w:val="single" w:sz="6" w:space="0" w:color="auto"/>
              <w:left w:val="single" w:sz="6" w:space="0" w:color="auto"/>
              <w:bottom w:val="single" w:sz="6" w:space="0" w:color="auto"/>
              <w:right w:val="single" w:sz="6" w:space="0" w:color="auto"/>
            </w:tcBorders>
            <w:hideMark/>
          </w:tcPr>
          <w:p w14:paraId="2CCD83B2" w14:textId="77777777" w:rsidR="002151C3" w:rsidRPr="00E0088F" w:rsidRDefault="002151C3" w:rsidP="006C5A84">
            <w:pPr>
              <w:pStyle w:val="Tabletext"/>
              <w:jc w:val="center"/>
              <w:rPr>
                <w:lang w:val="fr-CH"/>
              </w:rPr>
            </w:pPr>
            <w:r w:rsidRPr="00E0088F">
              <w:rPr>
                <w:lang w:val="fr-CH"/>
              </w:rPr>
              <w:t>NOC</w:t>
            </w:r>
          </w:p>
        </w:tc>
      </w:tr>
      <w:tr w:rsidR="002151C3" w:rsidRPr="00E0088F" w14:paraId="6A0ABAEB"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7570A936" w14:textId="77777777" w:rsidR="002151C3" w:rsidRPr="00E0088F" w:rsidRDefault="002151C3" w:rsidP="006C5A84">
            <w:pPr>
              <w:pStyle w:val="Tabletext"/>
              <w:jc w:val="center"/>
              <w:rPr>
                <w:lang w:val="fr-CH"/>
              </w:rPr>
            </w:pPr>
            <w:r w:rsidRPr="00E0088F">
              <w:rPr>
                <w:lang w:val="fr-CH"/>
              </w:rPr>
              <w:t>503</w:t>
            </w:r>
          </w:p>
        </w:tc>
        <w:tc>
          <w:tcPr>
            <w:tcW w:w="3400" w:type="dxa"/>
            <w:tcBorders>
              <w:top w:val="single" w:sz="6" w:space="0" w:color="auto"/>
              <w:left w:val="single" w:sz="6" w:space="0" w:color="auto"/>
              <w:bottom w:val="single" w:sz="6" w:space="0" w:color="auto"/>
              <w:right w:val="single" w:sz="6" w:space="0" w:color="auto"/>
            </w:tcBorders>
            <w:hideMark/>
          </w:tcPr>
          <w:p w14:paraId="7E1878EB" w14:textId="77777777" w:rsidR="002151C3" w:rsidRPr="00E0088F" w:rsidRDefault="002151C3" w:rsidP="006C5A84">
            <w:pPr>
              <w:pStyle w:val="Tabletext"/>
              <w:rPr>
                <w:lang w:val="fr-CH"/>
              </w:rPr>
            </w:pPr>
            <w:r w:rsidRPr="00E0088F">
              <w:rPr>
                <w:lang w:val="fr-CH"/>
              </w:rPr>
              <w:t>Radiodiffusion en ondes décamétriques</w:t>
            </w:r>
          </w:p>
        </w:tc>
        <w:tc>
          <w:tcPr>
            <w:tcW w:w="4250" w:type="dxa"/>
            <w:tcBorders>
              <w:top w:val="single" w:sz="6" w:space="0" w:color="auto"/>
              <w:left w:val="single" w:sz="6" w:space="0" w:color="auto"/>
              <w:bottom w:val="single" w:sz="6" w:space="0" w:color="auto"/>
              <w:right w:val="single" w:sz="6" w:space="0" w:color="auto"/>
            </w:tcBorders>
            <w:hideMark/>
          </w:tcPr>
          <w:p w14:paraId="0BE3DCC4" w14:textId="77777777" w:rsidR="002151C3" w:rsidRPr="00E0088F" w:rsidRDefault="002151C3" w:rsidP="006C5A84">
            <w:pPr>
              <w:pStyle w:val="Tabletext"/>
              <w:rPr>
                <w:rStyle w:val="FootnoteReference"/>
                <w:color w:val="000000"/>
                <w:lang w:val="fr-CH"/>
              </w:rPr>
            </w:pPr>
            <w:r w:rsidRPr="00E0088F">
              <w:rPr>
                <w:lang w:val="fr-CH"/>
              </w:rPr>
              <w:t xml:space="preserve">(Rév.CMR-2000). A toujours lieu d'être. Les descriptions obsolètes devraient être mises à jour pour rendre compte des résultats de la CMR-03 concernant la mise en œuvre des émissions à modulation numérique. Il faut mettre à jour certaines parties, par exemple les points </w:t>
            </w:r>
            <w:r w:rsidRPr="00E0088F">
              <w:rPr>
                <w:i/>
                <w:iCs/>
                <w:lang w:val="fr-CH"/>
              </w:rPr>
              <w:t>f)</w:t>
            </w:r>
            <w:r w:rsidRPr="00E0088F">
              <w:rPr>
                <w:lang w:val="fr-CH"/>
              </w:rPr>
              <w:t xml:space="preserve"> et </w:t>
            </w:r>
            <w:r w:rsidRPr="00E0088F">
              <w:rPr>
                <w:i/>
                <w:iCs/>
                <w:lang w:val="fr-CH"/>
              </w:rPr>
              <w:t>g)</w:t>
            </w:r>
            <w:r w:rsidRPr="00E0088F">
              <w:rPr>
                <w:lang w:val="fr-CH"/>
              </w:rPr>
              <w:t xml:space="preserve"> du </w:t>
            </w:r>
            <w:r w:rsidRPr="00E0088F">
              <w:rPr>
                <w:i/>
                <w:iCs/>
                <w:lang w:val="fr-CH"/>
              </w:rPr>
              <w:t>considérant.</w:t>
            </w:r>
          </w:p>
        </w:tc>
        <w:tc>
          <w:tcPr>
            <w:tcW w:w="1360" w:type="dxa"/>
            <w:tcBorders>
              <w:top w:val="single" w:sz="6" w:space="0" w:color="auto"/>
              <w:left w:val="single" w:sz="6" w:space="0" w:color="auto"/>
              <w:bottom w:val="single" w:sz="6" w:space="0" w:color="auto"/>
              <w:right w:val="single" w:sz="6" w:space="0" w:color="auto"/>
            </w:tcBorders>
            <w:hideMark/>
          </w:tcPr>
          <w:p w14:paraId="3F98F563" w14:textId="77777777" w:rsidR="002151C3" w:rsidRPr="00E0088F" w:rsidRDefault="002151C3" w:rsidP="006C5A84">
            <w:pPr>
              <w:pStyle w:val="Tabletext"/>
              <w:jc w:val="center"/>
              <w:rPr>
                <w:lang w:val="fr-CH"/>
              </w:rPr>
            </w:pPr>
            <w:r w:rsidRPr="00E0088F">
              <w:rPr>
                <w:lang w:val="fr-CH"/>
              </w:rPr>
              <w:t>MOD</w:t>
            </w:r>
          </w:p>
        </w:tc>
      </w:tr>
      <w:tr w:rsidR="002151C3" w:rsidRPr="00E0088F" w14:paraId="0B0A3417"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38B1AF0D" w14:textId="77777777" w:rsidR="002151C3" w:rsidRPr="00E0088F" w:rsidRDefault="002151C3" w:rsidP="006C5A84">
            <w:pPr>
              <w:pStyle w:val="Tabletext"/>
              <w:jc w:val="center"/>
              <w:rPr>
                <w:lang w:val="fr-CH"/>
              </w:rPr>
            </w:pPr>
            <w:r w:rsidRPr="00E0088F">
              <w:rPr>
                <w:lang w:val="fr-CH"/>
              </w:rPr>
              <w:t>506</w:t>
            </w:r>
          </w:p>
        </w:tc>
        <w:tc>
          <w:tcPr>
            <w:tcW w:w="3400" w:type="dxa"/>
            <w:tcBorders>
              <w:top w:val="single" w:sz="6" w:space="0" w:color="auto"/>
              <w:left w:val="single" w:sz="6" w:space="0" w:color="auto"/>
              <w:bottom w:val="single" w:sz="6" w:space="0" w:color="auto"/>
              <w:right w:val="single" w:sz="6" w:space="0" w:color="auto"/>
            </w:tcBorders>
            <w:hideMark/>
          </w:tcPr>
          <w:p w14:paraId="13954BDC" w14:textId="77777777" w:rsidR="002151C3" w:rsidRPr="00E0088F" w:rsidRDefault="002151C3" w:rsidP="006C5A84">
            <w:pPr>
              <w:pStyle w:val="Tabletext"/>
              <w:rPr>
                <w:lang w:val="fr-CH"/>
              </w:rPr>
            </w:pPr>
            <w:r w:rsidRPr="00E0088F">
              <w:rPr>
                <w:lang w:val="fr-CH"/>
              </w:rPr>
              <w:t>Harmoniques dans le SRS</w:t>
            </w:r>
          </w:p>
        </w:tc>
        <w:tc>
          <w:tcPr>
            <w:tcW w:w="4250" w:type="dxa"/>
            <w:tcBorders>
              <w:top w:val="single" w:sz="6" w:space="0" w:color="auto"/>
              <w:left w:val="single" w:sz="6" w:space="0" w:color="auto"/>
              <w:bottom w:val="single" w:sz="6" w:space="0" w:color="auto"/>
              <w:right w:val="single" w:sz="6" w:space="0" w:color="auto"/>
            </w:tcBorders>
            <w:hideMark/>
          </w:tcPr>
          <w:p w14:paraId="618BEAFF" w14:textId="77777777" w:rsidR="002151C3" w:rsidRPr="00E0088F" w:rsidRDefault="002151C3" w:rsidP="006C5A84">
            <w:pPr>
              <w:pStyle w:val="Tabletext"/>
              <w:rPr>
                <w:lang w:val="fr-CH"/>
              </w:rPr>
            </w:pPr>
            <w:r w:rsidRPr="00E0088F">
              <w:rPr>
                <w:lang w:val="fr-CH"/>
              </w:rPr>
              <w:t>(CAMR-79). A toujours lieu d'être.</w:t>
            </w:r>
          </w:p>
        </w:tc>
        <w:tc>
          <w:tcPr>
            <w:tcW w:w="1360" w:type="dxa"/>
            <w:tcBorders>
              <w:top w:val="single" w:sz="6" w:space="0" w:color="auto"/>
              <w:left w:val="single" w:sz="6" w:space="0" w:color="auto"/>
              <w:bottom w:val="single" w:sz="6" w:space="0" w:color="auto"/>
              <w:right w:val="single" w:sz="6" w:space="0" w:color="auto"/>
            </w:tcBorders>
            <w:hideMark/>
          </w:tcPr>
          <w:p w14:paraId="4FC31BB1" w14:textId="77777777" w:rsidR="002151C3" w:rsidRPr="00E0088F" w:rsidRDefault="002151C3" w:rsidP="006C5A84">
            <w:pPr>
              <w:pStyle w:val="Tabletext"/>
              <w:jc w:val="center"/>
              <w:rPr>
                <w:lang w:val="fr-CH"/>
              </w:rPr>
            </w:pPr>
            <w:r w:rsidRPr="00E0088F">
              <w:rPr>
                <w:lang w:val="fr-CH"/>
              </w:rPr>
              <w:t>NOC</w:t>
            </w:r>
          </w:p>
        </w:tc>
      </w:tr>
      <w:tr w:rsidR="002151C3" w:rsidRPr="00E0088F" w14:paraId="6F2C6CF4"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217D0137" w14:textId="77777777" w:rsidR="002151C3" w:rsidRPr="00E0088F" w:rsidRDefault="002151C3" w:rsidP="006C5A84">
            <w:pPr>
              <w:pStyle w:val="Tabletext"/>
              <w:jc w:val="center"/>
              <w:rPr>
                <w:lang w:val="fr-CH"/>
              </w:rPr>
            </w:pPr>
            <w:r w:rsidRPr="00E0088F">
              <w:rPr>
                <w:lang w:val="fr-CH"/>
              </w:rPr>
              <w:t>520</w:t>
            </w:r>
          </w:p>
        </w:tc>
        <w:tc>
          <w:tcPr>
            <w:tcW w:w="3400" w:type="dxa"/>
            <w:tcBorders>
              <w:top w:val="single" w:sz="6" w:space="0" w:color="auto"/>
              <w:left w:val="single" w:sz="6" w:space="0" w:color="auto"/>
              <w:bottom w:val="single" w:sz="6" w:space="0" w:color="auto"/>
              <w:right w:val="single" w:sz="6" w:space="0" w:color="auto"/>
            </w:tcBorders>
            <w:hideMark/>
          </w:tcPr>
          <w:p w14:paraId="53A470EC" w14:textId="77777777" w:rsidR="002151C3" w:rsidRPr="00E0088F" w:rsidRDefault="002151C3" w:rsidP="006C5A84">
            <w:pPr>
              <w:pStyle w:val="Tabletext"/>
              <w:rPr>
                <w:lang w:val="fr-CH"/>
              </w:rPr>
            </w:pPr>
            <w:r w:rsidRPr="00E0088F">
              <w:rPr>
                <w:lang w:val="fr-CH"/>
              </w:rPr>
              <w:t>Élimination des émissions HFBC hors bande</w:t>
            </w:r>
          </w:p>
        </w:tc>
        <w:tc>
          <w:tcPr>
            <w:tcW w:w="4250" w:type="dxa"/>
            <w:tcBorders>
              <w:top w:val="single" w:sz="6" w:space="0" w:color="auto"/>
              <w:left w:val="single" w:sz="6" w:space="0" w:color="auto"/>
              <w:bottom w:val="single" w:sz="6" w:space="0" w:color="auto"/>
              <w:right w:val="single" w:sz="6" w:space="0" w:color="auto"/>
            </w:tcBorders>
            <w:hideMark/>
          </w:tcPr>
          <w:p w14:paraId="668CF4AF" w14:textId="77777777" w:rsidR="002151C3" w:rsidRPr="00E0088F" w:rsidRDefault="002151C3" w:rsidP="006C5A84">
            <w:pPr>
              <w:pStyle w:val="Tabletext"/>
              <w:rPr>
                <w:rStyle w:val="FootnoteReference"/>
                <w:color w:val="000000"/>
                <w:lang w:val="fr-CH"/>
              </w:rPr>
            </w:pPr>
            <w:r w:rsidRPr="00E0088F">
              <w:rPr>
                <w:lang w:val="fr-CH"/>
              </w:rPr>
              <w:t>(CAMR-92). A toujours lieu d'être. L'objectif visé avec cette Recommandation a été atteint.</w:t>
            </w:r>
          </w:p>
        </w:tc>
        <w:tc>
          <w:tcPr>
            <w:tcW w:w="1360" w:type="dxa"/>
            <w:tcBorders>
              <w:top w:val="single" w:sz="6" w:space="0" w:color="auto"/>
              <w:left w:val="single" w:sz="6" w:space="0" w:color="auto"/>
              <w:bottom w:val="single" w:sz="6" w:space="0" w:color="auto"/>
              <w:right w:val="single" w:sz="6" w:space="0" w:color="auto"/>
            </w:tcBorders>
            <w:hideMark/>
          </w:tcPr>
          <w:p w14:paraId="4893CD71" w14:textId="77777777" w:rsidR="002151C3" w:rsidRPr="00E0088F" w:rsidRDefault="002151C3" w:rsidP="006C5A84">
            <w:pPr>
              <w:pStyle w:val="Tabletext"/>
              <w:jc w:val="center"/>
              <w:rPr>
                <w:lang w:val="fr-CH"/>
              </w:rPr>
            </w:pPr>
            <w:r w:rsidRPr="00E0088F">
              <w:rPr>
                <w:lang w:val="fr-CH"/>
              </w:rPr>
              <w:t>SUP/</w:t>
            </w:r>
          </w:p>
          <w:p w14:paraId="693D4928" w14:textId="77777777" w:rsidR="002151C3" w:rsidRPr="00E0088F" w:rsidRDefault="002151C3" w:rsidP="006C5A84">
            <w:pPr>
              <w:pStyle w:val="Tabletext"/>
              <w:jc w:val="center"/>
              <w:rPr>
                <w:lang w:val="fr-CH"/>
              </w:rPr>
            </w:pPr>
            <w:r w:rsidRPr="00E0088F">
              <w:rPr>
                <w:lang w:val="fr-CH"/>
              </w:rPr>
              <w:t>NOC</w:t>
            </w:r>
          </w:p>
        </w:tc>
      </w:tr>
      <w:tr w:rsidR="002151C3" w:rsidRPr="00E0088F" w14:paraId="4D46E6A4"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165CBC49" w14:textId="77777777" w:rsidR="002151C3" w:rsidRPr="00E0088F" w:rsidRDefault="002151C3" w:rsidP="006C5A84">
            <w:pPr>
              <w:pStyle w:val="Tabletext"/>
              <w:jc w:val="center"/>
              <w:rPr>
                <w:lang w:val="fr-CH"/>
              </w:rPr>
            </w:pPr>
            <w:r w:rsidRPr="00E0088F">
              <w:rPr>
                <w:lang w:val="fr-CH"/>
              </w:rPr>
              <w:t>522</w:t>
            </w:r>
          </w:p>
        </w:tc>
        <w:tc>
          <w:tcPr>
            <w:tcW w:w="3400" w:type="dxa"/>
            <w:tcBorders>
              <w:top w:val="single" w:sz="6" w:space="0" w:color="auto"/>
              <w:left w:val="single" w:sz="6" w:space="0" w:color="auto"/>
              <w:bottom w:val="single" w:sz="6" w:space="0" w:color="auto"/>
              <w:right w:val="single" w:sz="6" w:space="0" w:color="auto"/>
            </w:tcBorders>
            <w:hideMark/>
          </w:tcPr>
          <w:p w14:paraId="7EB008DE" w14:textId="77777777" w:rsidR="002151C3" w:rsidRPr="00E0088F" w:rsidRDefault="002151C3" w:rsidP="006C5A84">
            <w:pPr>
              <w:pStyle w:val="Tabletext"/>
              <w:rPr>
                <w:lang w:val="fr-CH"/>
              </w:rPr>
            </w:pPr>
            <w:r w:rsidRPr="00E0088F">
              <w:rPr>
                <w:lang w:val="fr-CH"/>
              </w:rPr>
              <w:t>Coordination des horaires de radiodiffusion à ondes décamétriques</w:t>
            </w:r>
          </w:p>
        </w:tc>
        <w:tc>
          <w:tcPr>
            <w:tcW w:w="4250" w:type="dxa"/>
            <w:tcBorders>
              <w:top w:val="single" w:sz="6" w:space="0" w:color="auto"/>
              <w:left w:val="single" w:sz="6" w:space="0" w:color="auto"/>
              <w:bottom w:val="single" w:sz="6" w:space="0" w:color="auto"/>
              <w:right w:val="single" w:sz="6" w:space="0" w:color="auto"/>
            </w:tcBorders>
            <w:hideMark/>
          </w:tcPr>
          <w:p w14:paraId="4251305F" w14:textId="77777777" w:rsidR="002151C3" w:rsidRPr="00E0088F" w:rsidRDefault="002151C3" w:rsidP="006C5A84">
            <w:pPr>
              <w:pStyle w:val="Tabletext"/>
              <w:rPr>
                <w:rStyle w:val="FootnoteReference"/>
                <w:color w:val="000000"/>
                <w:lang w:val="fr-CH"/>
              </w:rPr>
            </w:pPr>
            <w:r w:rsidRPr="00E0088F">
              <w:rPr>
                <w:lang w:val="fr-CH"/>
              </w:rPr>
              <w:t>(CMR-97). A toujours lieu d'être.</w:t>
            </w:r>
          </w:p>
        </w:tc>
        <w:tc>
          <w:tcPr>
            <w:tcW w:w="1360" w:type="dxa"/>
            <w:tcBorders>
              <w:top w:val="single" w:sz="6" w:space="0" w:color="auto"/>
              <w:left w:val="single" w:sz="6" w:space="0" w:color="auto"/>
              <w:bottom w:val="single" w:sz="6" w:space="0" w:color="auto"/>
              <w:right w:val="single" w:sz="6" w:space="0" w:color="auto"/>
            </w:tcBorders>
            <w:hideMark/>
          </w:tcPr>
          <w:p w14:paraId="3FB992F0" w14:textId="77777777" w:rsidR="002151C3" w:rsidRPr="00E0088F" w:rsidRDefault="002151C3" w:rsidP="006C5A84">
            <w:pPr>
              <w:pStyle w:val="Tabletext"/>
              <w:jc w:val="center"/>
              <w:rPr>
                <w:lang w:val="fr-CH"/>
              </w:rPr>
            </w:pPr>
            <w:r w:rsidRPr="00E0088F">
              <w:rPr>
                <w:lang w:val="fr-CH"/>
              </w:rPr>
              <w:t>NOC</w:t>
            </w:r>
          </w:p>
        </w:tc>
      </w:tr>
      <w:tr w:rsidR="002151C3" w:rsidRPr="00E0088F" w14:paraId="6C7A60FB"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340AF92C" w14:textId="77777777" w:rsidR="002151C3" w:rsidRPr="00E0088F" w:rsidRDefault="002151C3" w:rsidP="006C5A84">
            <w:pPr>
              <w:pStyle w:val="Tabletext"/>
              <w:jc w:val="center"/>
              <w:rPr>
                <w:lang w:val="fr-CH"/>
              </w:rPr>
            </w:pPr>
            <w:r w:rsidRPr="00E0088F">
              <w:rPr>
                <w:lang w:val="fr-CH"/>
              </w:rPr>
              <w:t>608</w:t>
            </w:r>
          </w:p>
        </w:tc>
        <w:tc>
          <w:tcPr>
            <w:tcW w:w="3400" w:type="dxa"/>
            <w:tcBorders>
              <w:top w:val="single" w:sz="6" w:space="0" w:color="auto"/>
              <w:left w:val="single" w:sz="6" w:space="0" w:color="auto"/>
              <w:bottom w:val="single" w:sz="6" w:space="0" w:color="auto"/>
              <w:right w:val="single" w:sz="6" w:space="0" w:color="auto"/>
            </w:tcBorders>
            <w:hideMark/>
          </w:tcPr>
          <w:p w14:paraId="2405CD6D" w14:textId="77777777" w:rsidR="002151C3" w:rsidRPr="00E0088F" w:rsidRDefault="002151C3" w:rsidP="006C5A84">
            <w:pPr>
              <w:pStyle w:val="Tabletext"/>
              <w:rPr>
                <w:lang w:val="fr-CH"/>
              </w:rPr>
            </w:pPr>
            <w:r w:rsidRPr="00E0088F">
              <w:rPr>
                <w:lang w:val="fr-CH"/>
              </w:rPr>
              <w:t>Lignes directrices pour les réunions de consultation établies dans la Résolution </w:t>
            </w:r>
            <w:r w:rsidRPr="00E0088F">
              <w:rPr>
                <w:b/>
                <w:bCs/>
                <w:lang w:val="fr-CH"/>
              </w:rPr>
              <w:t>609</w:t>
            </w:r>
          </w:p>
        </w:tc>
        <w:tc>
          <w:tcPr>
            <w:tcW w:w="4250" w:type="dxa"/>
            <w:tcBorders>
              <w:top w:val="single" w:sz="6" w:space="0" w:color="auto"/>
              <w:left w:val="single" w:sz="6" w:space="0" w:color="auto"/>
              <w:bottom w:val="single" w:sz="6" w:space="0" w:color="auto"/>
              <w:right w:val="single" w:sz="6" w:space="0" w:color="auto"/>
            </w:tcBorders>
            <w:hideMark/>
          </w:tcPr>
          <w:p w14:paraId="0DA68A2B" w14:textId="77777777" w:rsidR="002151C3" w:rsidRPr="00E0088F" w:rsidRDefault="002151C3" w:rsidP="006C5A84">
            <w:pPr>
              <w:pStyle w:val="Tabletext"/>
              <w:rPr>
                <w:lang w:val="fr-CH"/>
              </w:rPr>
            </w:pPr>
            <w:r w:rsidRPr="00E0088F">
              <w:rPr>
                <w:lang w:val="fr-CH"/>
              </w:rPr>
              <w:t>(Rév.CMR-07). A toujours lieu d'être;</w:t>
            </w:r>
            <w:r w:rsidRPr="00E0088F">
              <w:rPr>
                <w:color w:val="000000"/>
                <w:sz w:val="24"/>
                <w:lang w:val="fr-CH"/>
              </w:rPr>
              <w:t xml:space="preserve"> </w:t>
            </w:r>
            <w:r w:rsidRPr="00E0088F">
              <w:rPr>
                <w:lang w:val="fr-CH"/>
              </w:rPr>
              <w:t xml:space="preserve">Cette Recommandation est citée dans la Résolution </w:t>
            </w:r>
            <w:r w:rsidRPr="00E0088F">
              <w:rPr>
                <w:b/>
                <w:bCs/>
                <w:lang w:val="fr-CH"/>
              </w:rPr>
              <w:t>609 (Rév.CMR-07)</w:t>
            </w:r>
            <w:r w:rsidRPr="00E0088F">
              <w:rPr>
                <w:lang w:val="fr-CH"/>
              </w:rPr>
              <w:t>. Recommandations UIT-R M.1642-2 (mise à jour en octobre 2007) et UIT-R M.1787-2 (mise à jour en septembre 2014) en vigueur.</w:t>
            </w:r>
          </w:p>
        </w:tc>
        <w:tc>
          <w:tcPr>
            <w:tcW w:w="1360" w:type="dxa"/>
            <w:tcBorders>
              <w:top w:val="single" w:sz="6" w:space="0" w:color="auto"/>
              <w:left w:val="single" w:sz="6" w:space="0" w:color="auto"/>
              <w:bottom w:val="single" w:sz="6" w:space="0" w:color="auto"/>
              <w:right w:val="single" w:sz="6" w:space="0" w:color="auto"/>
            </w:tcBorders>
            <w:hideMark/>
          </w:tcPr>
          <w:p w14:paraId="490F569B" w14:textId="77777777" w:rsidR="002151C3" w:rsidRPr="00E0088F" w:rsidRDefault="002151C3" w:rsidP="006C5A84">
            <w:pPr>
              <w:pStyle w:val="Tabletext"/>
              <w:jc w:val="center"/>
              <w:rPr>
                <w:lang w:val="fr-CH"/>
              </w:rPr>
            </w:pPr>
            <w:r w:rsidRPr="00E0088F">
              <w:rPr>
                <w:lang w:val="fr-CH"/>
              </w:rPr>
              <w:t>NOC</w:t>
            </w:r>
          </w:p>
        </w:tc>
      </w:tr>
      <w:tr w:rsidR="002151C3" w:rsidRPr="00E0088F" w14:paraId="19D9A9AA"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2DE773DF" w14:textId="77777777" w:rsidR="002151C3" w:rsidRPr="00E0088F" w:rsidRDefault="002151C3" w:rsidP="006C5A84">
            <w:pPr>
              <w:pStyle w:val="Tabletext"/>
              <w:jc w:val="center"/>
              <w:rPr>
                <w:lang w:val="fr-CH"/>
              </w:rPr>
            </w:pPr>
            <w:r w:rsidRPr="00E0088F">
              <w:rPr>
                <w:lang w:val="fr-CH"/>
              </w:rPr>
              <w:t>622</w:t>
            </w:r>
          </w:p>
        </w:tc>
        <w:tc>
          <w:tcPr>
            <w:tcW w:w="3400" w:type="dxa"/>
            <w:tcBorders>
              <w:top w:val="single" w:sz="6" w:space="0" w:color="auto"/>
              <w:left w:val="single" w:sz="6" w:space="0" w:color="auto"/>
              <w:bottom w:val="single" w:sz="6" w:space="0" w:color="auto"/>
              <w:right w:val="single" w:sz="6" w:space="0" w:color="auto"/>
            </w:tcBorders>
            <w:hideMark/>
          </w:tcPr>
          <w:p w14:paraId="23550110" w14:textId="77777777" w:rsidR="002151C3" w:rsidRPr="00E0088F" w:rsidRDefault="002151C3" w:rsidP="006C5A84">
            <w:pPr>
              <w:pStyle w:val="Tabletext"/>
              <w:rPr>
                <w:lang w:val="fr-CH"/>
              </w:rPr>
            </w:pPr>
            <w:r w:rsidRPr="00E0088F">
              <w:rPr>
                <w:lang w:val="fr-CH"/>
              </w:rPr>
              <w:t>Partage des bandes 2 025</w:t>
            </w:r>
            <w:r w:rsidRPr="00E0088F">
              <w:rPr>
                <w:lang w:val="fr-CH"/>
              </w:rPr>
              <w:noBreakHyphen/>
              <w:t>2 110 MHz et 2 200</w:t>
            </w:r>
            <w:r w:rsidRPr="00E0088F">
              <w:rPr>
                <w:lang w:val="fr-CH"/>
              </w:rPr>
              <w:noBreakHyphen/>
              <w:t>2 290 MHz</w:t>
            </w:r>
          </w:p>
        </w:tc>
        <w:tc>
          <w:tcPr>
            <w:tcW w:w="4250" w:type="dxa"/>
            <w:tcBorders>
              <w:top w:val="single" w:sz="6" w:space="0" w:color="auto"/>
              <w:left w:val="single" w:sz="6" w:space="0" w:color="auto"/>
              <w:bottom w:val="single" w:sz="6" w:space="0" w:color="auto"/>
              <w:right w:val="single" w:sz="6" w:space="0" w:color="auto"/>
            </w:tcBorders>
            <w:hideMark/>
          </w:tcPr>
          <w:p w14:paraId="0F168E7E" w14:textId="77777777" w:rsidR="002151C3" w:rsidRPr="00E0088F" w:rsidRDefault="002151C3" w:rsidP="006C5A84">
            <w:pPr>
              <w:pStyle w:val="Tabletext"/>
              <w:rPr>
                <w:lang w:val="fr-CH" w:eastAsia="ja-JP"/>
              </w:rPr>
            </w:pPr>
            <w:r w:rsidRPr="00E0088F">
              <w:rPr>
                <w:lang w:val="fr-CH"/>
              </w:rPr>
              <w:t>(CMR-97). A toujours lieu d'être. Les Recommandations pertinentes de l'UIT-R ont été mises à jour parallèlement à cette Recommandation.</w:t>
            </w:r>
          </w:p>
        </w:tc>
        <w:tc>
          <w:tcPr>
            <w:tcW w:w="1360" w:type="dxa"/>
            <w:tcBorders>
              <w:top w:val="single" w:sz="6" w:space="0" w:color="auto"/>
              <w:left w:val="single" w:sz="6" w:space="0" w:color="auto"/>
              <w:bottom w:val="single" w:sz="6" w:space="0" w:color="auto"/>
              <w:right w:val="single" w:sz="6" w:space="0" w:color="auto"/>
            </w:tcBorders>
            <w:hideMark/>
          </w:tcPr>
          <w:p w14:paraId="6F653CC8" w14:textId="77777777" w:rsidR="002151C3" w:rsidRPr="00E0088F" w:rsidRDefault="002151C3" w:rsidP="006C5A84">
            <w:pPr>
              <w:pStyle w:val="Tabletext"/>
              <w:jc w:val="center"/>
              <w:rPr>
                <w:lang w:val="fr-CH"/>
              </w:rPr>
            </w:pPr>
            <w:r w:rsidRPr="00E0088F">
              <w:rPr>
                <w:lang w:val="fr-CH"/>
              </w:rPr>
              <w:t>NOC</w:t>
            </w:r>
          </w:p>
        </w:tc>
      </w:tr>
      <w:tr w:rsidR="002151C3" w:rsidRPr="00E0088F" w14:paraId="390FE5A4" w14:textId="77777777" w:rsidTr="002809AC">
        <w:trPr>
          <w:cantSplit/>
          <w:jc w:val="center"/>
        </w:trPr>
        <w:tc>
          <w:tcPr>
            <w:tcW w:w="635" w:type="dxa"/>
            <w:tcBorders>
              <w:top w:val="single" w:sz="6" w:space="0" w:color="auto"/>
              <w:left w:val="single" w:sz="6" w:space="0" w:color="auto"/>
              <w:bottom w:val="single" w:sz="6" w:space="0" w:color="auto"/>
              <w:right w:val="single" w:sz="6" w:space="0" w:color="auto"/>
            </w:tcBorders>
            <w:hideMark/>
          </w:tcPr>
          <w:p w14:paraId="4E4E8C8A" w14:textId="77777777" w:rsidR="002151C3" w:rsidRPr="00E0088F" w:rsidRDefault="002151C3" w:rsidP="006C5A84">
            <w:pPr>
              <w:pStyle w:val="Tabletext"/>
              <w:jc w:val="center"/>
              <w:rPr>
                <w:lang w:val="fr-CH"/>
              </w:rPr>
            </w:pPr>
            <w:r w:rsidRPr="00E0088F">
              <w:rPr>
                <w:lang w:val="fr-CH"/>
              </w:rPr>
              <w:t>707</w:t>
            </w:r>
          </w:p>
        </w:tc>
        <w:tc>
          <w:tcPr>
            <w:tcW w:w="3400" w:type="dxa"/>
            <w:tcBorders>
              <w:top w:val="single" w:sz="6" w:space="0" w:color="auto"/>
              <w:left w:val="single" w:sz="6" w:space="0" w:color="auto"/>
              <w:bottom w:val="single" w:sz="6" w:space="0" w:color="auto"/>
              <w:right w:val="single" w:sz="6" w:space="0" w:color="auto"/>
            </w:tcBorders>
            <w:hideMark/>
          </w:tcPr>
          <w:p w14:paraId="3672634C" w14:textId="13CBCFEB" w:rsidR="002151C3" w:rsidRPr="00E0088F" w:rsidRDefault="00B86DE8" w:rsidP="006C5A84">
            <w:pPr>
              <w:pStyle w:val="Tabletext"/>
              <w:rPr>
                <w:lang w:val="fr-CH"/>
              </w:rPr>
            </w:pPr>
            <w:r w:rsidRPr="00E0088F">
              <w:rPr>
                <w:lang w:val="fr-CH"/>
              </w:rPr>
              <w:t xml:space="preserve">Partage entre le service inter-satellites et le SRN </w:t>
            </w:r>
            <w:r w:rsidR="002151C3" w:rsidRPr="00E0088F">
              <w:rPr>
                <w:lang w:val="fr-CH"/>
              </w:rPr>
              <w:t>dans la bande 32-33 GHz</w:t>
            </w:r>
          </w:p>
        </w:tc>
        <w:tc>
          <w:tcPr>
            <w:tcW w:w="4250" w:type="dxa"/>
            <w:tcBorders>
              <w:top w:val="single" w:sz="6" w:space="0" w:color="auto"/>
              <w:left w:val="single" w:sz="6" w:space="0" w:color="auto"/>
              <w:bottom w:val="single" w:sz="6" w:space="0" w:color="auto"/>
              <w:right w:val="single" w:sz="6" w:space="0" w:color="auto"/>
            </w:tcBorders>
            <w:hideMark/>
          </w:tcPr>
          <w:p w14:paraId="5D583A4B" w14:textId="77777777" w:rsidR="002151C3" w:rsidRPr="00E0088F" w:rsidRDefault="002151C3" w:rsidP="006C5A84">
            <w:pPr>
              <w:pStyle w:val="Tabletext"/>
              <w:rPr>
                <w:lang w:val="fr-CH"/>
              </w:rPr>
            </w:pPr>
            <w:r w:rsidRPr="00E0088F">
              <w:rPr>
                <w:lang w:val="fr-CH"/>
              </w:rPr>
              <w:t xml:space="preserve">(CAMR-79). A toujours lieu d'être. Cette Recommandation est citée dans le numéro </w:t>
            </w:r>
            <w:r w:rsidRPr="00E0088F">
              <w:rPr>
                <w:b/>
                <w:bCs/>
                <w:lang w:val="fr-CH"/>
              </w:rPr>
              <w:t>5.548</w:t>
            </w:r>
            <w:r w:rsidRPr="00E0088F">
              <w:rPr>
                <w:lang w:val="fr-CH"/>
              </w:rPr>
              <w:t>. Recommandation UIT-R S.1151-0 en vigueur.</w:t>
            </w:r>
          </w:p>
        </w:tc>
        <w:tc>
          <w:tcPr>
            <w:tcW w:w="1360" w:type="dxa"/>
            <w:tcBorders>
              <w:top w:val="single" w:sz="6" w:space="0" w:color="auto"/>
              <w:left w:val="single" w:sz="6" w:space="0" w:color="auto"/>
              <w:bottom w:val="single" w:sz="6" w:space="0" w:color="auto"/>
              <w:right w:val="single" w:sz="6" w:space="0" w:color="auto"/>
            </w:tcBorders>
            <w:hideMark/>
          </w:tcPr>
          <w:p w14:paraId="1CC1275D" w14:textId="77777777" w:rsidR="002151C3" w:rsidRPr="00E0088F" w:rsidRDefault="002151C3" w:rsidP="006C5A84">
            <w:pPr>
              <w:pStyle w:val="Tabletext"/>
              <w:jc w:val="center"/>
              <w:rPr>
                <w:lang w:val="fr-CH" w:eastAsia="ja-JP"/>
              </w:rPr>
            </w:pPr>
            <w:r w:rsidRPr="00E0088F">
              <w:rPr>
                <w:lang w:val="fr-CH"/>
              </w:rPr>
              <w:t>NOC</w:t>
            </w:r>
          </w:p>
        </w:tc>
      </w:tr>
      <w:tr w:rsidR="002151C3" w:rsidRPr="00E0088F" w14:paraId="3DA2A7EB" w14:textId="77777777" w:rsidTr="002809AC">
        <w:trPr>
          <w:cantSplit/>
          <w:trHeight w:val="925"/>
          <w:jc w:val="center"/>
        </w:trPr>
        <w:tc>
          <w:tcPr>
            <w:tcW w:w="635" w:type="dxa"/>
            <w:tcBorders>
              <w:top w:val="single" w:sz="6" w:space="0" w:color="auto"/>
              <w:left w:val="single" w:sz="6" w:space="0" w:color="auto"/>
              <w:bottom w:val="single" w:sz="6" w:space="0" w:color="auto"/>
              <w:right w:val="single" w:sz="6" w:space="0" w:color="auto"/>
            </w:tcBorders>
            <w:hideMark/>
          </w:tcPr>
          <w:p w14:paraId="31E989AA" w14:textId="77777777" w:rsidR="002151C3" w:rsidRPr="00E0088F" w:rsidRDefault="002151C3" w:rsidP="006C5A84">
            <w:pPr>
              <w:pStyle w:val="Tabletext"/>
              <w:jc w:val="center"/>
              <w:rPr>
                <w:lang w:val="fr-CH"/>
              </w:rPr>
            </w:pPr>
            <w:r w:rsidRPr="00E0088F">
              <w:rPr>
                <w:lang w:val="fr-CH"/>
              </w:rPr>
              <w:t>72</w:t>
            </w:r>
            <w:r w:rsidRPr="00E0088F">
              <w:rPr>
                <w:lang w:val="fr-CH" w:eastAsia="ja-JP"/>
              </w:rPr>
              <w:t>4</w:t>
            </w:r>
          </w:p>
        </w:tc>
        <w:tc>
          <w:tcPr>
            <w:tcW w:w="3400" w:type="dxa"/>
            <w:tcBorders>
              <w:top w:val="single" w:sz="6" w:space="0" w:color="auto"/>
              <w:left w:val="single" w:sz="6" w:space="0" w:color="auto"/>
              <w:bottom w:val="single" w:sz="6" w:space="0" w:color="auto"/>
              <w:right w:val="single" w:sz="6" w:space="0" w:color="auto"/>
            </w:tcBorders>
            <w:hideMark/>
          </w:tcPr>
          <w:p w14:paraId="6753045D" w14:textId="77777777" w:rsidR="002151C3" w:rsidRPr="00E0088F" w:rsidRDefault="002151C3" w:rsidP="006C5A84">
            <w:pPr>
              <w:pStyle w:val="Tabletext"/>
              <w:rPr>
                <w:lang w:val="fr-CH"/>
              </w:rPr>
            </w:pPr>
            <w:r w:rsidRPr="00E0088F">
              <w:rPr>
                <w:lang w:val="fr-CH"/>
              </w:rPr>
              <w:t>Utilisation par l'aviation civile d'attributions de fréquences au service fixe par satellite</w:t>
            </w:r>
          </w:p>
        </w:tc>
        <w:tc>
          <w:tcPr>
            <w:tcW w:w="4250" w:type="dxa"/>
            <w:tcBorders>
              <w:top w:val="single" w:sz="6" w:space="0" w:color="auto"/>
              <w:left w:val="single" w:sz="6" w:space="0" w:color="auto"/>
              <w:bottom w:val="single" w:sz="6" w:space="0" w:color="auto"/>
              <w:right w:val="single" w:sz="6" w:space="0" w:color="auto"/>
            </w:tcBorders>
            <w:hideMark/>
          </w:tcPr>
          <w:p w14:paraId="76DB5A2B" w14:textId="77777777" w:rsidR="002151C3" w:rsidRPr="00E0088F" w:rsidRDefault="002151C3" w:rsidP="006C5A84">
            <w:pPr>
              <w:pStyle w:val="Tabletext"/>
              <w:rPr>
                <w:lang w:val="fr-CH"/>
              </w:rPr>
            </w:pPr>
            <w:r w:rsidRPr="00E0088F">
              <w:rPr>
                <w:lang w:val="fr-CH"/>
              </w:rPr>
              <w:t>(CMR-07). A toujours lieu d'être.</w:t>
            </w:r>
          </w:p>
        </w:tc>
        <w:tc>
          <w:tcPr>
            <w:tcW w:w="1360" w:type="dxa"/>
            <w:tcBorders>
              <w:top w:val="single" w:sz="6" w:space="0" w:color="auto"/>
              <w:left w:val="single" w:sz="6" w:space="0" w:color="auto"/>
              <w:bottom w:val="single" w:sz="6" w:space="0" w:color="auto"/>
              <w:right w:val="single" w:sz="6" w:space="0" w:color="auto"/>
            </w:tcBorders>
            <w:hideMark/>
          </w:tcPr>
          <w:p w14:paraId="581F2386" w14:textId="77777777" w:rsidR="002151C3" w:rsidRPr="00E0088F" w:rsidRDefault="002151C3" w:rsidP="006C5A84">
            <w:pPr>
              <w:pStyle w:val="Tabletext"/>
              <w:jc w:val="center"/>
              <w:rPr>
                <w:lang w:val="fr-CH"/>
              </w:rPr>
            </w:pPr>
            <w:r w:rsidRPr="00E0088F">
              <w:rPr>
                <w:lang w:val="fr-CH"/>
              </w:rPr>
              <w:t>NOC</w:t>
            </w:r>
          </w:p>
        </w:tc>
      </w:tr>
    </w:tbl>
    <w:p w14:paraId="666FBB62" w14:textId="77777777" w:rsidR="002809AC" w:rsidRPr="00E0088F" w:rsidRDefault="002809AC" w:rsidP="006C5A84">
      <w:pPr>
        <w:pStyle w:val="Reasons"/>
        <w:rPr>
          <w:lang w:val="fr-CH"/>
        </w:rPr>
      </w:pPr>
    </w:p>
    <w:p w14:paraId="23100DAF" w14:textId="39E9B782" w:rsidR="002809AC" w:rsidRPr="00E0088F" w:rsidRDefault="002809AC" w:rsidP="006C5A84">
      <w:pPr>
        <w:jc w:val="center"/>
        <w:rPr>
          <w:lang w:val="fr-CH"/>
        </w:rPr>
      </w:pPr>
      <w:r w:rsidRPr="00E0088F">
        <w:rPr>
          <w:lang w:val="fr-CH"/>
        </w:rPr>
        <w:t>______________</w:t>
      </w:r>
    </w:p>
    <w:sectPr w:rsidR="002809AC" w:rsidRPr="00E0088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1C99" w14:textId="77777777" w:rsidR="00356D4B" w:rsidRDefault="00356D4B">
      <w:r>
        <w:separator/>
      </w:r>
    </w:p>
  </w:endnote>
  <w:endnote w:type="continuationSeparator" w:id="0">
    <w:p w14:paraId="412241A4" w14:textId="77777777" w:rsidR="00356D4B" w:rsidRDefault="0035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59"/>
    <w:family w:val="auto"/>
    <w:notTrueType/>
    <w:pitch w:val="variable"/>
    <w:sig w:usb0="00000001"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2F0E" w14:textId="2360A7E6" w:rsidR="00356D4B" w:rsidRDefault="00356D4B">
    <w:pPr>
      <w:rPr>
        <w:lang w:val="en-US"/>
      </w:rPr>
    </w:pPr>
    <w:r>
      <w:fldChar w:fldCharType="begin"/>
    </w:r>
    <w:r>
      <w:rPr>
        <w:lang w:val="en-US"/>
      </w:rPr>
      <w:instrText xml:space="preserve"> FILENAME \p  \* MERGEFORMAT </w:instrText>
    </w:r>
    <w:r>
      <w:fldChar w:fldCharType="separate"/>
    </w:r>
    <w:r w:rsidR="00D659BB">
      <w:rPr>
        <w:noProof/>
        <w:lang w:val="en-US"/>
      </w:rPr>
      <w:t>P:\FRA\ITU-R\CONF-R\CMR19\000\028ADD18F.docx</w:t>
    </w:r>
    <w:r>
      <w:fldChar w:fldCharType="end"/>
    </w:r>
    <w:r>
      <w:rPr>
        <w:lang w:val="en-US"/>
      </w:rPr>
      <w:tab/>
    </w:r>
    <w:r>
      <w:fldChar w:fldCharType="begin"/>
    </w:r>
    <w:r>
      <w:instrText xml:space="preserve"> SAVEDATE \@ DD.MM.YY </w:instrText>
    </w:r>
    <w:r>
      <w:fldChar w:fldCharType="separate"/>
    </w:r>
    <w:r w:rsidR="00D659BB">
      <w:rPr>
        <w:noProof/>
      </w:rPr>
      <w:t>25.10.19</w:t>
    </w:r>
    <w:r>
      <w:fldChar w:fldCharType="end"/>
    </w:r>
    <w:r>
      <w:rPr>
        <w:lang w:val="en-US"/>
      </w:rPr>
      <w:tab/>
    </w:r>
    <w:r>
      <w:fldChar w:fldCharType="begin"/>
    </w:r>
    <w:r>
      <w:instrText xml:space="preserve"> PRINTDATE \@ DD.MM.YY </w:instrText>
    </w:r>
    <w:r>
      <w:fldChar w:fldCharType="separate"/>
    </w:r>
    <w:r w:rsidR="00D659BB">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5994" w14:textId="3BC2C8E6" w:rsidR="00356D4B" w:rsidRDefault="00356D4B" w:rsidP="006C5A84">
    <w:pPr>
      <w:pStyle w:val="Footer"/>
      <w:tabs>
        <w:tab w:val="clear" w:pos="5954"/>
        <w:tab w:val="clear" w:pos="9639"/>
        <w:tab w:val="left" w:pos="5297"/>
      </w:tabs>
      <w:rPr>
        <w:lang w:val="en-US"/>
      </w:rPr>
    </w:pPr>
    <w:fldSimple w:instr=" FILENAME \p  \* MERGEFORMAT ">
      <w:r w:rsidR="00D659BB">
        <w:t>P:\FRA\ITU-R\CONF-R\CMR19\000\028ADD18F.docx</w:t>
      </w:r>
    </w:fldSimple>
    <w:r>
      <w:t xml:space="preserve"> (461527)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75EA" w14:textId="735C6430" w:rsidR="00356D4B" w:rsidRDefault="00356D4B" w:rsidP="006C5A84">
    <w:pPr>
      <w:pStyle w:val="Footer"/>
      <w:rPr>
        <w:lang w:val="en-US"/>
      </w:rPr>
    </w:pPr>
    <w:fldSimple w:instr=" FILENAME \p  \* MERGEFORMAT ">
      <w:r w:rsidR="00D659BB">
        <w:t>P:\FRA\ITU-R\CONF-R\CMR19\000\028ADD18F.docx</w:t>
      </w:r>
    </w:fldSimple>
    <w:r>
      <w:t xml:space="preserve"> (461527)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17CE" w14:textId="77777777" w:rsidR="00356D4B" w:rsidRDefault="00356D4B">
      <w:r>
        <w:rPr>
          <w:b/>
        </w:rPr>
        <w:t>_______________</w:t>
      </w:r>
    </w:p>
  </w:footnote>
  <w:footnote w:type="continuationSeparator" w:id="0">
    <w:p w14:paraId="65D92A1E" w14:textId="77777777" w:rsidR="00356D4B" w:rsidRDefault="0035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045B" w14:textId="77777777" w:rsidR="00356D4B" w:rsidRDefault="00356D4B" w:rsidP="004F1F8E">
    <w:pPr>
      <w:pStyle w:val="Header"/>
    </w:pPr>
    <w:r>
      <w:fldChar w:fldCharType="begin"/>
    </w:r>
    <w:r>
      <w:instrText xml:space="preserve"> PAGE </w:instrText>
    </w:r>
    <w:r>
      <w:fldChar w:fldCharType="separate"/>
    </w:r>
    <w:r>
      <w:rPr>
        <w:noProof/>
      </w:rPr>
      <w:t>2</w:t>
    </w:r>
    <w:r>
      <w:fldChar w:fldCharType="end"/>
    </w:r>
  </w:p>
  <w:p w14:paraId="2AB71371" w14:textId="77777777" w:rsidR="00356D4B" w:rsidRDefault="00356D4B" w:rsidP="00FD7AA3">
    <w:pPr>
      <w:pStyle w:val="Header"/>
    </w:pPr>
    <w:r>
      <w:t>CMR19/28(Add.18)-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003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D22D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1E09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C8CE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CA9C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AED5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C21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9648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90C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AC0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start w:val="1"/>
      <w:numFmt w:val="bullet"/>
      <w:lvlText w:val=""/>
      <w:lvlJc w:val="left"/>
      <w:pPr>
        <w:tabs>
          <w:tab w:val="num" w:pos="5459"/>
        </w:tabs>
        <w:ind w:left="5459" w:hanging="360"/>
      </w:pPr>
      <w:rPr>
        <w:rFonts w:ascii="Wingdings" w:hAnsi="Wingdings" w:hint="default"/>
      </w:rPr>
    </w:lvl>
  </w:abstractNum>
  <w:abstractNum w:abstractNumId="13" w15:restartNumberingAfterBreak="0">
    <w:nsid w:val="27BC09F7"/>
    <w:multiLevelType w:val="hybridMultilevel"/>
    <w:tmpl w:val="7D12ABA0"/>
    <w:lvl w:ilvl="0" w:tplc="9A3ED54C">
      <w:start w:val="81"/>
      <w:numFmt w:val="bullet"/>
      <w:pStyle w:val="Alinea"/>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caps w:val="0"/>
        <w:strike w:val="0"/>
        <w:dstrike w:val="0"/>
        <w:vanish w:val="0"/>
        <w:webHidden w:val="0"/>
        <w:color w:val="auto"/>
        <w:u w:val="none" w:color="FFFF00"/>
        <w:effect w:val="none"/>
        <w:vertAlign w:val="baseline"/>
        <w:specVanish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1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29C"/>
    <w:rsid w:val="00007EC7"/>
    <w:rsid w:val="00010B43"/>
    <w:rsid w:val="00016648"/>
    <w:rsid w:val="0003522F"/>
    <w:rsid w:val="00035E4D"/>
    <w:rsid w:val="00054D8A"/>
    <w:rsid w:val="00062978"/>
    <w:rsid w:val="00063A1F"/>
    <w:rsid w:val="00066E61"/>
    <w:rsid w:val="00067E8F"/>
    <w:rsid w:val="00080E2C"/>
    <w:rsid w:val="00081366"/>
    <w:rsid w:val="000863B3"/>
    <w:rsid w:val="000A4755"/>
    <w:rsid w:val="000A55AE"/>
    <w:rsid w:val="000B2E0C"/>
    <w:rsid w:val="000B3D0C"/>
    <w:rsid w:val="000C185F"/>
    <w:rsid w:val="000C2346"/>
    <w:rsid w:val="000E1B59"/>
    <w:rsid w:val="001167B9"/>
    <w:rsid w:val="001267A0"/>
    <w:rsid w:val="0015203F"/>
    <w:rsid w:val="00160C64"/>
    <w:rsid w:val="0018169B"/>
    <w:rsid w:val="0019352B"/>
    <w:rsid w:val="001960D0"/>
    <w:rsid w:val="001A11F6"/>
    <w:rsid w:val="001A420B"/>
    <w:rsid w:val="001B4B47"/>
    <w:rsid w:val="001F17E8"/>
    <w:rsid w:val="001F5FCD"/>
    <w:rsid w:val="00204306"/>
    <w:rsid w:val="002151C3"/>
    <w:rsid w:val="0022601C"/>
    <w:rsid w:val="00232FD2"/>
    <w:rsid w:val="00253D4F"/>
    <w:rsid w:val="002601FA"/>
    <w:rsid w:val="0026554E"/>
    <w:rsid w:val="002809AC"/>
    <w:rsid w:val="002A4622"/>
    <w:rsid w:val="002A5DCC"/>
    <w:rsid w:val="002A6F8F"/>
    <w:rsid w:val="002B035B"/>
    <w:rsid w:val="002B17E5"/>
    <w:rsid w:val="002B52C8"/>
    <w:rsid w:val="002C0EBF"/>
    <w:rsid w:val="002C28A4"/>
    <w:rsid w:val="002C2C74"/>
    <w:rsid w:val="002D0FD7"/>
    <w:rsid w:val="002D7E0A"/>
    <w:rsid w:val="00315AFE"/>
    <w:rsid w:val="00333F4B"/>
    <w:rsid w:val="00356D4B"/>
    <w:rsid w:val="003606A6"/>
    <w:rsid w:val="003611A3"/>
    <w:rsid w:val="003652F7"/>
    <w:rsid w:val="0036650C"/>
    <w:rsid w:val="00393ACD"/>
    <w:rsid w:val="003A583E"/>
    <w:rsid w:val="003E0984"/>
    <w:rsid w:val="003E112B"/>
    <w:rsid w:val="003E1D1C"/>
    <w:rsid w:val="003E7B05"/>
    <w:rsid w:val="003F3719"/>
    <w:rsid w:val="003F6F2D"/>
    <w:rsid w:val="0040191B"/>
    <w:rsid w:val="00417DF5"/>
    <w:rsid w:val="00441D54"/>
    <w:rsid w:val="00441D89"/>
    <w:rsid w:val="00466211"/>
    <w:rsid w:val="00483196"/>
    <w:rsid w:val="004834A9"/>
    <w:rsid w:val="004A043D"/>
    <w:rsid w:val="004A1711"/>
    <w:rsid w:val="004D01FC"/>
    <w:rsid w:val="004E28C3"/>
    <w:rsid w:val="004F1F8E"/>
    <w:rsid w:val="00512A32"/>
    <w:rsid w:val="005343DA"/>
    <w:rsid w:val="00560874"/>
    <w:rsid w:val="00586CF2"/>
    <w:rsid w:val="005A7C75"/>
    <w:rsid w:val="005C3768"/>
    <w:rsid w:val="005C6C3F"/>
    <w:rsid w:val="005E51A9"/>
    <w:rsid w:val="00613635"/>
    <w:rsid w:val="0062093D"/>
    <w:rsid w:val="00627586"/>
    <w:rsid w:val="00637ECF"/>
    <w:rsid w:val="00647B59"/>
    <w:rsid w:val="0067656A"/>
    <w:rsid w:val="00687ACA"/>
    <w:rsid w:val="00690C7B"/>
    <w:rsid w:val="00693EF5"/>
    <w:rsid w:val="006A4B45"/>
    <w:rsid w:val="006C5A84"/>
    <w:rsid w:val="006D41D0"/>
    <w:rsid w:val="006D4724"/>
    <w:rsid w:val="006D6786"/>
    <w:rsid w:val="006E6E07"/>
    <w:rsid w:val="006F5FA2"/>
    <w:rsid w:val="0070076C"/>
    <w:rsid w:val="00701BAE"/>
    <w:rsid w:val="00721F04"/>
    <w:rsid w:val="00730E95"/>
    <w:rsid w:val="007426B9"/>
    <w:rsid w:val="00752221"/>
    <w:rsid w:val="00764342"/>
    <w:rsid w:val="007664A6"/>
    <w:rsid w:val="00774362"/>
    <w:rsid w:val="00776499"/>
    <w:rsid w:val="00786598"/>
    <w:rsid w:val="00790C74"/>
    <w:rsid w:val="007A04E8"/>
    <w:rsid w:val="007B2C34"/>
    <w:rsid w:val="007C5DE2"/>
    <w:rsid w:val="007E4673"/>
    <w:rsid w:val="00813317"/>
    <w:rsid w:val="00830086"/>
    <w:rsid w:val="00841994"/>
    <w:rsid w:val="008435E3"/>
    <w:rsid w:val="00851625"/>
    <w:rsid w:val="00851828"/>
    <w:rsid w:val="0086081A"/>
    <w:rsid w:val="00863C0A"/>
    <w:rsid w:val="008A3120"/>
    <w:rsid w:val="008A4B97"/>
    <w:rsid w:val="008B2B2F"/>
    <w:rsid w:val="008B447E"/>
    <w:rsid w:val="008C2781"/>
    <w:rsid w:val="008C5B8E"/>
    <w:rsid w:val="008C5DD5"/>
    <w:rsid w:val="008D41BE"/>
    <w:rsid w:val="008D58D3"/>
    <w:rsid w:val="008E3BC9"/>
    <w:rsid w:val="008F5E7F"/>
    <w:rsid w:val="008F67F1"/>
    <w:rsid w:val="00915783"/>
    <w:rsid w:val="00923064"/>
    <w:rsid w:val="00930FFD"/>
    <w:rsid w:val="00936D25"/>
    <w:rsid w:val="00941EA5"/>
    <w:rsid w:val="00951B68"/>
    <w:rsid w:val="00953B64"/>
    <w:rsid w:val="00964700"/>
    <w:rsid w:val="00966C16"/>
    <w:rsid w:val="00975B94"/>
    <w:rsid w:val="0098732F"/>
    <w:rsid w:val="009A045F"/>
    <w:rsid w:val="009A6A2B"/>
    <w:rsid w:val="009B7BE4"/>
    <w:rsid w:val="009C1D66"/>
    <w:rsid w:val="009C7E7C"/>
    <w:rsid w:val="009D29ED"/>
    <w:rsid w:val="00A00473"/>
    <w:rsid w:val="00A03C9B"/>
    <w:rsid w:val="00A13D4D"/>
    <w:rsid w:val="00A15AB5"/>
    <w:rsid w:val="00A37105"/>
    <w:rsid w:val="00A606C3"/>
    <w:rsid w:val="00A62686"/>
    <w:rsid w:val="00A83B09"/>
    <w:rsid w:val="00A84541"/>
    <w:rsid w:val="00A86D0A"/>
    <w:rsid w:val="00AE36A0"/>
    <w:rsid w:val="00AE5D53"/>
    <w:rsid w:val="00B00294"/>
    <w:rsid w:val="00B3749C"/>
    <w:rsid w:val="00B64FD0"/>
    <w:rsid w:val="00B86DE8"/>
    <w:rsid w:val="00B93AAA"/>
    <w:rsid w:val="00BA5BD0"/>
    <w:rsid w:val="00BB1D82"/>
    <w:rsid w:val="00BC217E"/>
    <w:rsid w:val="00BC3312"/>
    <w:rsid w:val="00BD51C5"/>
    <w:rsid w:val="00BE17B9"/>
    <w:rsid w:val="00BF26E7"/>
    <w:rsid w:val="00C047D8"/>
    <w:rsid w:val="00C53FCA"/>
    <w:rsid w:val="00C54AF1"/>
    <w:rsid w:val="00C5643C"/>
    <w:rsid w:val="00C76BAF"/>
    <w:rsid w:val="00C814B9"/>
    <w:rsid w:val="00C9284D"/>
    <w:rsid w:val="00CD516F"/>
    <w:rsid w:val="00D00DD5"/>
    <w:rsid w:val="00D119A7"/>
    <w:rsid w:val="00D25FBA"/>
    <w:rsid w:val="00D32B28"/>
    <w:rsid w:val="00D405AA"/>
    <w:rsid w:val="00D42954"/>
    <w:rsid w:val="00D543A1"/>
    <w:rsid w:val="00D659BB"/>
    <w:rsid w:val="00D66EAC"/>
    <w:rsid w:val="00D717F7"/>
    <w:rsid w:val="00D730DF"/>
    <w:rsid w:val="00D772F0"/>
    <w:rsid w:val="00D77BDC"/>
    <w:rsid w:val="00DC402B"/>
    <w:rsid w:val="00DD0F5C"/>
    <w:rsid w:val="00DE0932"/>
    <w:rsid w:val="00DF628A"/>
    <w:rsid w:val="00E0088F"/>
    <w:rsid w:val="00E03A27"/>
    <w:rsid w:val="00E049F1"/>
    <w:rsid w:val="00E21BDF"/>
    <w:rsid w:val="00E37A25"/>
    <w:rsid w:val="00E537FF"/>
    <w:rsid w:val="00E60CB2"/>
    <w:rsid w:val="00E6539B"/>
    <w:rsid w:val="00E70A31"/>
    <w:rsid w:val="00E723A7"/>
    <w:rsid w:val="00EA3F38"/>
    <w:rsid w:val="00EA5AB6"/>
    <w:rsid w:val="00EB0FC2"/>
    <w:rsid w:val="00EC7615"/>
    <w:rsid w:val="00ED16AA"/>
    <w:rsid w:val="00ED5341"/>
    <w:rsid w:val="00ED6B8D"/>
    <w:rsid w:val="00EE3D7B"/>
    <w:rsid w:val="00EF662E"/>
    <w:rsid w:val="00F10064"/>
    <w:rsid w:val="00F113B0"/>
    <w:rsid w:val="00F148F1"/>
    <w:rsid w:val="00F31DA0"/>
    <w:rsid w:val="00F56F88"/>
    <w:rsid w:val="00F711A7"/>
    <w:rsid w:val="00FA3BBF"/>
    <w:rsid w:val="00FB4C2C"/>
    <w:rsid w:val="00FC41F8"/>
    <w:rsid w:val="00FD2051"/>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5DB30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151C3"/>
    <w:rPr>
      <w:rFonts w:ascii="Times New Roman" w:hAnsi="Times New Roman"/>
      <w:b/>
      <w:sz w:val="28"/>
      <w:lang w:val="fr-FR" w:eastAsia="en-US"/>
    </w:rPr>
  </w:style>
  <w:style w:type="character" w:customStyle="1" w:styleId="Heading2Char">
    <w:name w:val="Heading 2 Char"/>
    <w:basedOn w:val="DefaultParagraphFont"/>
    <w:link w:val="Heading2"/>
    <w:qFormat/>
    <w:rsid w:val="002151C3"/>
    <w:rPr>
      <w:rFonts w:ascii="Times New Roman" w:hAnsi="Times New Roman"/>
      <w:b/>
      <w:sz w:val="24"/>
      <w:lang w:val="fr-FR" w:eastAsia="en-US"/>
    </w:rPr>
  </w:style>
  <w:style w:type="character" w:customStyle="1" w:styleId="Heading3Char">
    <w:name w:val="Heading 3 Char"/>
    <w:basedOn w:val="DefaultParagraphFont"/>
    <w:link w:val="Heading3"/>
    <w:rsid w:val="002151C3"/>
    <w:rPr>
      <w:rFonts w:ascii="Times New Roman" w:hAnsi="Times New Roman"/>
      <w:b/>
      <w:sz w:val="24"/>
      <w:lang w:val="fr-FR" w:eastAsia="en-US"/>
    </w:rPr>
  </w:style>
  <w:style w:type="character" w:customStyle="1" w:styleId="Heading4Char">
    <w:name w:val="Heading 4 Char"/>
    <w:basedOn w:val="DefaultParagraphFont"/>
    <w:link w:val="Heading4"/>
    <w:rsid w:val="002151C3"/>
    <w:rPr>
      <w:rFonts w:ascii="Times New Roman" w:hAnsi="Times New Roman"/>
      <w:b/>
      <w:sz w:val="24"/>
      <w:lang w:val="fr-FR" w:eastAsia="en-US"/>
    </w:rPr>
  </w:style>
  <w:style w:type="character" w:customStyle="1" w:styleId="Heading5Char">
    <w:name w:val="Heading 5 Char"/>
    <w:basedOn w:val="DefaultParagraphFont"/>
    <w:link w:val="Heading5"/>
    <w:rsid w:val="002151C3"/>
    <w:rPr>
      <w:rFonts w:ascii="Times New Roman" w:hAnsi="Times New Roman"/>
      <w:b/>
      <w:sz w:val="24"/>
      <w:lang w:val="fr-FR" w:eastAsia="en-US"/>
    </w:rPr>
  </w:style>
  <w:style w:type="character" w:customStyle="1" w:styleId="Heading6Char">
    <w:name w:val="Heading 6 Char"/>
    <w:basedOn w:val="DefaultParagraphFont"/>
    <w:link w:val="Heading6"/>
    <w:rsid w:val="002151C3"/>
    <w:rPr>
      <w:rFonts w:ascii="Times New Roman" w:hAnsi="Times New Roman"/>
      <w:b/>
      <w:sz w:val="24"/>
      <w:lang w:val="fr-FR" w:eastAsia="en-US"/>
    </w:rPr>
  </w:style>
  <w:style w:type="character" w:customStyle="1" w:styleId="Heading7Char">
    <w:name w:val="Heading 7 Char"/>
    <w:basedOn w:val="DefaultParagraphFont"/>
    <w:link w:val="Heading7"/>
    <w:rsid w:val="002151C3"/>
    <w:rPr>
      <w:rFonts w:ascii="Times New Roman" w:hAnsi="Times New Roman"/>
      <w:b/>
      <w:sz w:val="24"/>
      <w:lang w:val="fr-FR" w:eastAsia="en-US"/>
    </w:rPr>
  </w:style>
  <w:style w:type="character" w:customStyle="1" w:styleId="Heading8Char">
    <w:name w:val="Heading 8 Char"/>
    <w:basedOn w:val="DefaultParagraphFont"/>
    <w:link w:val="Heading8"/>
    <w:rsid w:val="002151C3"/>
    <w:rPr>
      <w:rFonts w:ascii="Times New Roman" w:hAnsi="Times New Roman"/>
      <w:b/>
      <w:sz w:val="24"/>
      <w:lang w:val="fr-FR" w:eastAsia="en-US"/>
    </w:rPr>
  </w:style>
  <w:style w:type="character" w:customStyle="1" w:styleId="Heading9Char">
    <w:name w:val="Heading 9 Char"/>
    <w:basedOn w:val="DefaultParagraphFont"/>
    <w:link w:val="Heading9"/>
    <w:rsid w:val="002151C3"/>
    <w:rPr>
      <w:rFonts w:ascii="Times New Roman" w:hAnsi="Times New Roman"/>
      <w:b/>
      <w:sz w:val="24"/>
      <w:lang w:val="fr-FR" w:eastAsia="en-US"/>
    </w:rPr>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link w:val="NormalaftertitleChar"/>
    <w:qFormat/>
    <w:pPr>
      <w:spacing w:before="280"/>
    </w:pPr>
  </w:style>
  <w:style w:type="character" w:customStyle="1" w:styleId="NormalaftertitleChar">
    <w:name w:val="Normal after title Char"/>
    <w:basedOn w:val="DefaultParagraphFont"/>
    <w:link w:val="Normalaftertitle"/>
    <w:qFormat/>
    <w:locked/>
    <w:rsid w:val="002151C3"/>
    <w:rPr>
      <w:rFonts w:ascii="Times New Roman" w:hAnsi="Times New Roman"/>
      <w:sz w:val="24"/>
      <w:lang w:val="fr-FR" w:eastAsia="en-US"/>
    </w:rPr>
  </w:style>
  <w:style w:type="character" w:customStyle="1" w:styleId="AnnextitleChar1">
    <w:name w:val="Annex_title Char1"/>
    <w:basedOn w:val="DefaultParagraphFont"/>
    <w:link w:val="Annextitle"/>
    <w:locked/>
    <w:rsid w:val="002151C3"/>
    <w:rPr>
      <w:rFonts w:ascii="Times New Roman Bold" w:hAnsi="Times New Roman Bold"/>
      <w:b/>
      <w:sz w:val="28"/>
      <w:lang w:val="fr-FR" w:eastAsia="en-US"/>
    </w:rPr>
  </w:style>
  <w:style w:type="character" w:customStyle="1" w:styleId="AnnexNoCar">
    <w:name w:val="Annex_No Car"/>
    <w:basedOn w:val="DefaultParagraphFont"/>
    <w:link w:val="AnnexNo"/>
    <w:locked/>
    <w:rsid w:val="002151C3"/>
    <w:rPr>
      <w:rFonts w:ascii="Times New Roman" w:hAnsi="Times New Roman"/>
      <w:caps/>
      <w:sz w:val="28"/>
      <w:lang w:val="fr-FR" w:eastAsia="en-US"/>
    </w:rPr>
  </w:style>
  <w:style w:type="paragraph" w:customStyle="1" w:styleId="AppendixNo">
    <w:name w:val="Appendix_No"/>
    <w:basedOn w:val="AnnexNo"/>
    <w:next w:val="Annexref"/>
    <w:link w:val="AppendixNoChar"/>
  </w:style>
  <w:style w:type="character" w:customStyle="1" w:styleId="AppendixNoChar">
    <w:name w:val="Appendix_No Char"/>
    <w:basedOn w:val="DefaultParagraphFont"/>
    <w:link w:val="AppendixNo"/>
    <w:locked/>
    <w:rsid w:val="002151C3"/>
    <w:rPr>
      <w:rFonts w:ascii="Times New Roman" w:hAnsi="Times New Roman"/>
      <w:caps/>
      <w:sz w:val="28"/>
      <w:lang w:val="fr-FR" w:eastAsia="en-US"/>
    </w:rP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character" w:customStyle="1" w:styleId="AppendixtitleChar">
    <w:name w:val="Appendix_title Char"/>
    <w:basedOn w:val="DefaultParagraphFont"/>
    <w:link w:val="Appendixtitle"/>
    <w:locked/>
    <w:rsid w:val="002151C3"/>
    <w:rPr>
      <w:rFonts w:ascii="Times New Roman Bold" w:hAnsi="Times New Roman Bold"/>
      <w:b/>
      <w:sz w:val="28"/>
      <w:lang w:val="fr-FR" w:eastAsia="en-US"/>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titleCar">
    <w:name w:val="Art_title Car"/>
    <w:basedOn w:val="DefaultParagraphFont"/>
    <w:link w:val="Arttitle"/>
    <w:locked/>
    <w:rsid w:val="002151C3"/>
    <w:rPr>
      <w:rFonts w:ascii="Times New Roman" w:hAnsi="Times New Roman"/>
      <w:b/>
      <w:sz w:val="28"/>
      <w:lang w:val="fr-FR" w:eastAsia="en-US"/>
    </w:rPr>
  </w:style>
  <w:style w:type="character" w:customStyle="1" w:styleId="ArtNoChar">
    <w:name w:val="Art_No Char"/>
    <w:basedOn w:val="DefaultParagraphFont"/>
    <w:link w:val="ArtNo"/>
    <w:locked/>
    <w:rsid w:val="002151C3"/>
    <w:rPr>
      <w:rFonts w:ascii="Times New Roman" w:hAnsi="Times New Roman"/>
      <w:caps/>
      <w:sz w:val="28"/>
      <w:lang w:val="fr-FR" w:eastAsia="en-US"/>
    </w:rPr>
  </w:style>
  <w:style w:type="paragraph" w:customStyle="1" w:styleId="Call">
    <w:name w:val="Call"/>
    <w:basedOn w:val="Normal"/>
    <w:next w:val="Normal"/>
    <w:link w:val="CallChar"/>
    <w:qFormat/>
    <w:pPr>
      <w:keepNext/>
      <w:keepLines/>
      <w:spacing w:before="160"/>
      <w:ind w:left="1134"/>
    </w:pPr>
    <w:rPr>
      <w:i/>
    </w:rPr>
  </w:style>
  <w:style w:type="character" w:customStyle="1" w:styleId="CallChar">
    <w:name w:val="Call Char"/>
    <w:basedOn w:val="DefaultParagraphFont"/>
    <w:link w:val="Call"/>
    <w:qFormat/>
    <w:locked/>
    <w:rsid w:val="002151C3"/>
    <w:rPr>
      <w:rFonts w:ascii="Times New Roman" w:hAnsi="Times New Roman"/>
      <w:i/>
      <w:sz w:val="24"/>
      <w:lang w:val="fr-FR" w:eastAsia="en-US"/>
    </w:rPr>
  </w:style>
  <w:style w:type="paragraph" w:customStyle="1" w:styleId="ChapNo">
    <w:name w:val="Chap_No"/>
    <w:basedOn w:val="ArtNo"/>
    <w:next w:val="Chaptitle"/>
    <w:link w:val="ChapNoChar"/>
    <w:uiPriority w:val="99"/>
    <w:rPr>
      <w:rFonts w:ascii="Times New Roman Bold" w:hAnsi="Times New Roman Bold"/>
      <w:b/>
    </w:rPr>
  </w:style>
  <w:style w:type="paragraph" w:customStyle="1" w:styleId="Chaptitle">
    <w:name w:val="Chap_title"/>
    <w:basedOn w:val="Arttitle"/>
    <w:next w:val="Normalaftertitle"/>
    <w:link w:val="ChaptitleChar"/>
  </w:style>
  <w:style w:type="character" w:customStyle="1" w:styleId="ChaptitleChar">
    <w:name w:val="Chap_title Char"/>
    <w:link w:val="Chaptitle"/>
    <w:locked/>
    <w:rsid w:val="002151C3"/>
    <w:rPr>
      <w:rFonts w:ascii="Times New Roman" w:hAnsi="Times New Roman"/>
      <w:b/>
      <w:sz w:val="28"/>
      <w:lang w:val="fr-FR" w:eastAsia="en-US"/>
    </w:rPr>
  </w:style>
  <w:style w:type="character" w:customStyle="1" w:styleId="ChapNoChar">
    <w:name w:val="Chap_No Char"/>
    <w:basedOn w:val="DefaultParagraphFont"/>
    <w:link w:val="ChapNo"/>
    <w:uiPriority w:val="99"/>
    <w:locked/>
    <w:rsid w:val="002151C3"/>
    <w:rPr>
      <w:rFonts w:ascii="Times New Roman Bold" w:hAnsi="Times New Roman Bold"/>
      <w:b/>
      <w:caps/>
      <w:sz w:val="28"/>
      <w:lang w:val="fr-FR" w:eastAsia="en-US"/>
    </w:rPr>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2151C3"/>
    <w:rPr>
      <w:rFonts w:ascii="Times New Roman" w:hAnsi="Times New Roman"/>
      <w:sz w:val="24"/>
      <w:lang w:val="fr-FR" w:eastAsia="en-US"/>
    </w:rPr>
  </w:style>
  <w:style w:type="paragraph" w:customStyle="1" w:styleId="enumlev2">
    <w:name w:val="enumlev2"/>
    <w:basedOn w:val="enumlev1"/>
    <w:link w:val="enumlev2Char"/>
    <w:pPr>
      <w:ind w:left="1871" w:hanging="737"/>
    </w:pPr>
  </w:style>
  <w:style w:type="character" w:customStyle="1" w:styleId="enumlev2Char">
    <w:name w:val="enumlev2 Char"/>
    <w:basedOn w:val="DefaultParagraphFont"/>
    <w:link w:val="enumlev2"/>
    <w:locked/>
    <w:rsid w:val="002151C3"/>
    <w:rPr>
      <w:rFonts w:ascii="Times New Roman" w:hAnsi="Times New Roman"/>
      <w:sz w:val="24"/>
      <w:lang w:val="fr-FR" w:eastAsia="en-US"/>
    </w:r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character" w:customStyle="1" w:styleId="EquationChar">
    <w:name w:val="Equation Char"/>
    <w:link w:val="Equation"/>
    <w:qFormat/>
    <w:locked/>
    <w:rsid w:val="002151C3"/>
    <w:rPr>
      <w:rFonts w:ascii="Times New Roman" w:hAnsi="Times New Roman"/>
      <w:sz w:val="24"/>
      <w:lang w:val="fr-FR" w:eastAsia="en-US"/>
    </w:r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character" w:customStyle="1" w:styleId="EquationlegendChar">
    <w:name w:val="Equation_legend Char"/>
    <w:link w:val="Equationlegend"/>
    <w:qFormat/>
    <w:locked/>
    <w:rsid w:val="002151C3"/>
    <w:rPr>
      <w:rFonts w:ascii="Times New Roman" w:hAnsi="Times New Roman"/>
      <w:sz w:val="24"/>
      <w:lang w:val="fr-FR" w:eastAsia="en-US"/>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qFormat/>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character" w:customStyle="1" w:styleId="FiguretitleChar">
    <w:name w:val="Figure_title Char"/>
    <w:link w:val="Figuretitle"/>
    <w:locked/>
    <w:rsid w:val="002151C3"/>
    <w:rPr>
      <w:rFonts w:ascii="Times New Roman Bold" w:hAnsi="Times New Roman Bold" w:cs="Times New Roman Bold"/>
      <w:b/>
      <w:lang w:val="fr-FR" w:eastAsia="en-US"/>
    </w:rPr>
  </w:style>
  <w:style w:type="character" w:customStyle="1" w:styleId="FigureNoChar">
    <w:name w:val="Figure_No Char"/>
    <w:link w:val="FigureNo"/>
    <w:qFormat/>
    <w:locked/>
    <w:rsid w:val="002151C3"/>
    <w:rPr>
      <w:rFonts w:ascii="Times New Roman" w:hAnsi="Times New Roman"/>
      <w:caps/>
      <w:lang w:val="fr-FR" w:eastAsia="en-US"/>
    </w:rPr>
  </w:style>
  <w:style w:type="paragraph" w:customStyle="1" w:styleId="Figurewithouttitle">
    <w:name w:val="Figure_without_title"/>
    <w:basedOn w:val="FigureNo"/>
    <w:next w:val="Normal"/>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locked/>
    <w:rsid w:val="002151C3"/>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2151C3"/>
    <w:rPr>
      <w:rFonts w:ascii="Times New Roman" w:hAnsi="Times New Roman"/>
      <w:sz w:val="24"/>
      <w:lang w:val="fr-FR"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rsid w:val="004F1F8E"/>
    <w:rPr>
      <w:rFonts w:ascii="Times New Roman" w:hAnsi="Times New Roman"/>
      <w:sz w:val="18"/>
      <w:lang w:val="fr-FR" w:eastAsia="en-US"/>
    </w:rPr>
  </w:style>
  <w:style w:type="paragraph" w:customStyle="1" w:styleId="Headingb">
    <w:name w:val="Heading_b"/>
    <w:basedOn w:val="Normal"/>
    <w:next w:val="Normal"/>
    <w:link w:val="HeadingbChar"/>
    <w:qFormat/>
    <w:rsid w:val="000B2E0C"/>
    <w:pPr>
      <w:keepNext/>
      <w:spacing w:before="160"/>
    </w:pPr>
    <w:rPr>
      <w:b/>
    </w:rPr>
  </w:style>
  <w:style w:type="character" w:customStyle="1" w:styleId="HeadingbChar">
    <w:name w:val="Heading_b Char"/>
    <w:link w:val="Headingb"/>
    <w:locked/>
    <w:rsid w:val="002151C3"/>
    <w:rPr>
      <w:rFonts w:ascii="Times New Roman" w:hAnsi="Times New Roman"/>
      <w:b/>
      <w:sz w:val="24"/>
      <w:lang w:val="fr-FR" w:eastAsia="en-US"/>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customStyle="1" w:styleId="NoteChar">
    <w:name w:val="Note Char"/>
    <w:basedOn w:val="DefaultParagraphFont"/>
    <w:link w:val="Note"/>
    <w:qFormat/>
    <w:locked/>
    <w:rsid w:val="002151C3"/>
    <w:rPr>
      <w:rFonts w:ascii="Times New Roman" w:hAnsi="Times New Roman"/>
      <w:sz w:val="24"/>
      <w:lang w:val="fr-FR" w:eastAsia="en-US"/>
    </w:rPr>
  </w:style>
  <w:style w:type="character" w:styleId="PageNumber">
    <w:name w:val="page number"/>
    <w:basedOn w:val="DefaultParagraphFont"/>
    <w:rsid w:val="00E37A25"/>
  </w:style>
  <w:style w:type="paragraph" w:customStyle="1" w:styleId="Proposal">
    <w:name w:val="Proposal"/>
    <w:basedOn w:val="Normal"/>
    <w:next w:val="Normal"/>
    <w:link w:val="ProposalZchn"/>
    <w:qFormat/>
    <w:rsid w:val="007426B9"/>
    <w:pPr>
      <w:keepNext/>
      <w:spacing w:before="240"/>
    </w:pPr>
    <w:rPr>
      <w:rFonts w:hAnsi="Times New Roman Bold"/>
      <w:b/>
    </w:rPr>
  </w:style>
  <w:style w:type="character" w:customStyle="1" w:styleId="ProposalZchn">
    <w:name w:val="Proposal Zchn"/>
    <w:link w:val="Proposal"/>
    <w:locked/>
    <w:rsid w:val="002151C3"/>
    <w:rPr>
      <w:rFonts w:ascii="Times New Roman" w:hAnsi="Times New Roman Bold"/>
      <w:b/>
      <w:sz w:val="24"/>
      <w:lang w:val="fr-FR" w:eastAsia="en-US"/>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D25FBA"/>
    <w:pPr>
      <w:spacing w:before="120"/>
    </w:pPr>
  </w:style>
  <w:style w:type="paragraph" w:styleId="TOC3">
    <w:name w:val="toc 3"/>
    <w:basedOn w:val="TOC2"/>
    <w:uiPriority w:val="39"/>
    <w:rsid w:val="00D25FBA"/>
  </w:style>
  <w:style w:type="paragraph" w:styleId="TOC4">
    <w:name w:val="toc 4"/>
    <w:basedOn w:val="TOC3"/>
    <w:uiPriority w:val="39"/>
    <w:rsid w:val="00D25FBA"/>
  </w:style>
  <w:style w:type="paragraph" w:styleId="TOC5">
    <w:name w:val="toc 5"/>
    <w:basedOn w:val="TOC4"/>
    <w:uiPriority w:val="39"/>
    <w:rsid w:val="00D25FBA"/>
  </w:style>
  <w:style w:type="paragraph" w:styleId="TOC6">
    <w:name w:val="toc 6"/>
    <w:basedOn w:val="TOC4"/>
    <w:uiPriority w:val="39"/>
    <w:rsid w:val="00D25FBA"/>
  </w:style>
  <w:style w:type="paragraph" w:styleId="TOC7">
    <w:name w:val="toc 7"/>
    <w:basedOn w:val="TOC4"/>
    <w:uiPriority w:val="39"/>
    <w:rsid w:val="00D25FBA"/>
  </w:style>
  <w:style w:type="paragraph" w:styleId="TOC8">
    <w:name w:val="toc 8"/>
    <w:basedOn w:val="TOC4"/>
    <w:uiPriority w:val="39"/>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character" w:customStyle="1" w:styleId="Title1Char">
    <w:name w:val="Title 1 Char"/>
    <w:basedOn w:val="DefaultParagraphFont"/>
    <w:link w:val="Title1"/>
    <w:qFormat/>
    <w:locked/>
    <w:rsid w:val="002151C3"/>
    <w:rPr>
      <w:rFonts w:ascii="Times New Roman" w:hAnsi="Times New Roman"/>
      <w:caps/>
      <w:sz w:val="28"/>
      <w:lang w:val="fr-FR" w:eastAsia="en-US"/>
    </w:rPr>
  </w:style>
  <w:style w:type="paragraph" w:customStyle="1" w:styleId="Title2">
    <w:name w:val="Title 2"/>
    <w:basedOn w:val="Normal"/>
    <w:next w:val="Normal"/>
    <w:link w:val="Title2Carattere"/>
    <w:uiPriority w:val="99"/>
    <w:rsid w:val="00D25FBA"/>
    <w:pPr>
      <w:overflowPunct/>
      <w:autoSpaceDE/>
      <w:autoSpaceDN/>
      <w:adjustRightInd/>
      <w:spacing w:before="480"/>
      <w:jc w:val="center"/>
      <w:textAlignment w:val="auto"/>
    </w:pPr>
    <w:rPr>
      <w:caps/>
      <w:sz w:val="28"/>
    </w:rPr>
  </w:style>
  <w:style w:type="character" w:customStyle="1" w:styleId="Title2Carattere">
    <w:name w:val="Title 2 Carattere"/>
    <w:basedOn w:val="DefaultParagraphFont"/>
    <w:link w:val="Title2"/>
    <w:uiPriority w:val="99"/>
    <w:locked/>
    <w:rsid w:val="002151C3"/>
    <w:rPr>
      <w:rFonts w:ascii="Times New Roman" w:hAnsi="Times New Roman"/>
      <w:caps/>
      <w:sz w:val="28"/>
      <w:lang w:val="fr-FR" w:eastAsia="en-US"/>
    </w:rPr>
  </w:style>
  <w:style w:type="paragraph" w:customStyle="1" w:styleId="Title3">
    <w:name w:val="Title 3"/>
    <w:basedOn w:val="Title2"/>
    <w:next w:val="Normal"/>
    <w:link w:val="Title3Char"/>
    <w:rsid w:val="00D25FBA"/>
    <w:pPr>
      <w:spacing w:before="240"/>
    </w:pPr>
    <w:rPr>
      <w:caps w:val="0"/>
    </w:rPr>
  </w:style>
  <w:style w:type="character" w:customStyle="1" w:styleId="Title3Char">
    <w:name w:val="Title 3 Char"/>
    <w:link w:val="Title3"/>
    <w:locked/>
    <w:rsid w:val="002151C3"/>
    <w:rPr>
      <w:rFonts w:ascii="Times New Roman" w:hAnsi="Times New Roman"/>
      <w:sz w:val="28"/>
      <w:lang w:val="fr-FR" w:eastAsia="en-US"/>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character" w:customStyle="1" w:styleId="RecNoChar">
    <w:name w:val="Rec_No Char"/>
    <w:link w:val="RecNo"/>
    <w:locked/>
    <w:rsid w:val="002151C3"/>
    <w:rPr>
      <w:rFonts w:ascii="Times New Roman" w:hAnsi="Times New Roman"/>
      <w:caps/>
      <w:sz w:val="28"/>
      <w:lang w:val="fr-FR" w:eastAsia="en-US"/>
    </w:rPr>
  </w:style>
  <w:style w:type="paragraph" w:customStyle="1" w:styleId="Rectitle">
    <w:name w:val="Rec_title"/>
    <w:basedOn w:val="RecNo"/>
    <w:next w:val="Normal"/>
    <w:link w:val="Rectitle0"/>
    <w:rsid w:val="00D25FBA"/>
    <w:pPr>
      <w:spacing w:before="240"/>
    </w:pPr>
    <w:rPr>
      <w:rFonts w:ascii="Times New Roman Bold" w:hAnsi="Times New Roman Bold"/>
      <w:b/>
      <w:caps w:val="0"/>
    </w:rPr>
  </w:style>
  <w:style w:type="character" w:customStyle="1" w:styleId="Rectitle0">
    <w:name w:val="Rec_title Знак"/>
    <w:link w:val="Rectitle"/>
    <w:locked/>
    <w:rsid w:val="002151C3"/>
    <w:rPr>
      <w:rFonts w:ascii="Times New Roman Bold" w:hAnsi="Times New Roman Bold"/>
      <w:b/>
      <w:sz w:val="28"/>
      <w:lang w:val="fr-FR" w:eastAsia="en-US"/>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asonsChar">
    <w:name w:val="Reasons Char"/>
    <w:basedOn w:val="DefaultParagraphFont"/>
    <w:link w:val="Reasons"/>
    <w:locked/>
    <w:rsid w:val="002151C3"/>
    <w:rPr>
      <w:rFonts w:ascii="Times New Roman" w:hAnsi="Times New Roman"/>
      <w:sz w:val="24"/>
      <w:lang w:val="fr-FR" w:eastAsia="en-US"/>
    </w:r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link w:val="RepNoChar"/>
    <w:rsid w:val="00D25FBA"/>
  </w:style>
  <w:style w:type="character" w:customStyle="1" w:styleId="RepNoChar">
    <w:name w:val="Rep_No Char"/>
    <w:basedOn w:val="DefaultParagraphFont"/>
    <w:link w:val="RepNo"/>
    <w:locked/>
    <w:rsid w:val="002151C3"/>
    <w:rPr>
      <w:rFonts w:ascii="Times New Roman" w:hAnsi="Times New Roman"/>
      <w:caps/>
      <w:sz w:val="28"/>
      <w:lang w:val="fr-FR" w:eastAsia="en-US"/>
    </w:rPr>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link w:val="ReptitleChar"/>
    <w:rsid w:val="00D25FBA"/>
  </w:style>
  <w:style w:type="character" w:customStyle="1" w:styleId="ReptitleChar">
    <w:name w:val="Rep_title Char"/>
    <w:basedOn w:val="DefaultParagraphFont"/>
    <w:link w:val="Reptitle"/>
    <w:locked/>
    <w:rsid w:val="002151C3"/>
    <w:rPr>
      <w:rFonts w:ascii="Times New Roman Bold" w:hAnsi="Times New Roman Bold"/>
      <w:b/>
      <w:sz w:val="28"/>
      <w:lang w:val="fr-FR" w:eastAsia="en-US"/>
    </w:rPr>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character" w:customStyle="1" w:styleId="ResNoChar">
    <w:name w:val="Res_No Char"/>
    <w:basedOn w:val="DefaultParagraphFont"/>
    <w:link w:val="ResNo"/>
    <w:qFormat/>
    <w:locked/>
    <w:rsid w:val="002151C3"/>
    <w:rPr>
      <w:rFonts w:ascii="Times New Roman" w:hAnsi="Times New Roman"/>
      <w:caps/>
      <w:sz w:val="28"/>
      <w:lang w:val="fr-FR" w:eastAsia="en-US"/>
    </w:rPr>
  </w:style>
  <w:style w:type="paragraph" w:customStyle="1" w:styleId="Restitle">
    <w:name w:val="Res_title"/>
    <w:basedOn w:val="Rectitle"/>
    <w:next w:val="Normal"/>
    <w:link w:val="RestitleChar"/>
    <w:qFormat/>
    <w:rsid w:val="00D25FBA"/>
  </w:style>
  <w:style w:type="character" w:customStyle="1" w:styleId="RestitleChar">
    <w:name w:val="Res_title Char"/>
    <w:basedOn w:val="DefaultParagraphFont"/>
    <w:link w:val="Restitle"/>
    <w:qFormat/>
    <w:locked/>
    <w:rsid w:val="002151C3"/>
    <w:rPr>
      <w:rFonts w:ascii="Times New Roman Bold" w:hAnsi="Times New Roman Bold"/>
      <w:b/>
      <w:sz w:val="28"/>
      <w:lang w:val="fr-FR" w:eastAsia="en-US"/>
    </w:rPr>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2151C3"/>
    <w:rPr>
      <w:rFonts w:ascii="Times New Roman" w:hAnsi="Times New Roman"/>
      <w:b/>
      <w:sz w:val="24"/>
      <w:lang w:val="fr-FR" w:eastAsia="en-US"/>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character" w:customStyle="1" w:styleId="SourceChar">
    <w:name w:val="Source Char"/>
    <w:basedOn w:val="DefaultParagraphFont"/>
    <w:link w:val="Source"/>
    <w:locked/>
    <w:rsid w:val="002151C3"/>
    <w:rPr>
      <w:rFonts w:ascii="Times New Roman" w:hAnsi="Times New Roman"/>
      <w:b/>
      <w:sz w:val="28"/>
      <w:lang w:val="fr-FR" w:eastAsia="en-US"/>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qFormat/>
    <w:locked/>
    <w:rsid w:val="002151C3"/>
    <w:rPr>
      <w:rFonts w:ascii="Times New Roman" w:hAnsi="Times New Roman"/>
      <w:lang w:val="fr-FR" w:eastAsia="en-US"/>
    </w:rPr>
  </w:style>
  <w:style w:type="paragraph" w:customStyle="1" w:styleId="Tablehead">
    <w:name w:val="Table_head"/>
    <w:basedOn w:val="Tabletext"/>
    <w:next w:val="Tabletext"/>
    <w:link w:val="TableheadChar"/>
    <w:qFormat/>
    <w:rsid w:val="00D25FBA"/>
    <w:pPr>
      <w:keepNext/>
      <w:spacing w:before="80" w:after="80"/>
      <w:jc w:val="center"/>
    </w:pPr>
    <w:rPr>
      <w:b/>
    </w:rPr>
  </w:style>
  <w:style w:type="character" w:customStyle="1" w:styleId="TableheadChar">
    <w:name w:val="Table_head Char"/>
    <w:basedOn w:val="DefaultParagraphFont"/>
    <w:link w:val="Tablehead"/>
    <w:qFormat/>
    <w:locked/>
    <w:rsid w:val="002151C3"/>
    <w:rPr>
      <w:rFonts w:ascii="Times New Roman" w:hAnsi="Times New Roman"/>
      <w:b/>
      <w:lang w:val="fr-FR" w:eastAsia="en-US"/>
    </w:rPr>
  </w:style>
  <w:style w:type="paragraph" w:customStyle="1" w:styleId="Tablelegend">
    <w:name w:val="Table_legend"/>
    <w:basedOn w:val="Tabletext"/>
    <w:link w:val="TablelegendChar"/>
    <w:rsid w:val="00D25FBA"/>
    <w:pPr>
      <w:tabs>
        <w:tab w:val="clear" w:pos="284"/>
      </w:tabs>
      <w:spacing w:before="120"/>
    </w:pPr>
  </w:style>
  <w:style w:type="character" w:customStyle="1" w:styleId="TablelegendChar">
    <w:name w:val="Table_legend Char"/>
    <w:link w:val="Tablelegend"/>
    <w:locked/>
    <w:rsid w:val="002151C3"/>
    <w:rPr>
      <w:rFonts w:ascii="Times New Roman" w:hAnsi="Times New Roman"/>
      <w:lang w:val="fr-FR" w:eastAsia="en-US"/>
    </w:rPr>
  </w:style>
  <w:style w:type="paragraph" w:customStyle="1" w:styleId="TableNo">
    <w:name w:val="Table_No"/>
    <w:basedOn w:val="Normal"/>
    <w:next w:val="Normal"/>
    <w:link w:val="TableNo0"/>
    <w:qFormat/>
    <w:rsid w:val="00D25FBA"/>
    <w:pPr>
      <w:keepNext/>
      <w:spacing w:before="560" w:after="120"/>
      <w:jc w:val="center"/>
    </w:pPr>
    <w:rPr>
      <w:caps/>
      <w:sz w:val="20"/>
    </w:rPr>
  </w:style>
  <w:style w:type="character" w:customStyle="1" w:styleId="TableNo0">
    <w:name w:val="Table_No Знак"/>
    <w:basedOn w:val="DefaultParagraphFont"/>
    <w:link w:val="TableNo"/>
    <w:locked/>
    <w:rsid w:val="002151C3"/>
    <w:rPr>
      <w:rFonts w:ascii="Times New Roman" w:hAnsi="Times New Roman"/>
      <w:caps/>
      <w:lang w:val="fr-FR" w:eastAsia="en-US"/>
    </w:rPr>
  </w:style>
  <w:style w:type="paragraph" w:customStyle="1" w:styleId="TableTextS5">
    <w:name w:val="Table_TextS5"/>
    <w:basedOn w:val="Normal"/>
    <w:link w:val="TableTextS5Char"/>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TableTextS5Char">
    <w:name w:val="Table_TextS5 Char"/>
    <w:basedOn w:val="DefaultParagraphFont"/>
    <w:link w:val="TableTextS5"/>
    <w:locked/>
    <w:rsid w:val="002151C3"/>
    <w:rPr>
      <w:rFonts w:ascii="Times New Roman" w:hAnsi="Times New Roman"/>
      <w:lang w:val="fr-FR" w:eastAsia="en-US"/>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qFormat/>
    <w:locked/>
    <w:rsid w:val="002151C3"/>
    <w:rPr>
      <w:rFonts w:ascii="Times New Roman Bold" w:hAnsi="Times New Roman Bold"/>
      <w:b/>
      <w:lang w:val="fr-FR" w:eastAsia="en-US"/>
    </w:rPr>
  </w:style>
  <w:style w:type="table" w:styleId="TableGrid">
    <w:name w:val="Table Grid"/>
    <w:basedOn w:val="TableNormal"/>
    <w:uiPriority w:val="5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AnnextitleChar">
    <w:name w:val="Annex_title Char"/>
    <w:basedOn w:val="DefaultParagraphFont"/>
    <w:locked/>
    <w:rsid w:val="002151C3"/>
    <w:rPr>
      <w:rFonts w:ascii="Times New Roman Bold" w:hAnsi="Times New Roman Bold" w:cs="Times New Roman Bold"/>
      <w:b/>
      <w:sz w:val="28"/>
      <w:lang w:val="en-GB" w:eastAsia="en-US"/>
    </w:rPr>
  </w:style>
  <w:style w:type="character" w:styleId="Hyperlink">
    <w:name w:val="Hyperlink"/>
    <w:aliases w:val="超级链接,CEO_Hyperlink"/>
    <w:basedOn w:val="DefaultParagraphFont"/>
    <w:uiPriority w:val="99"/>
    <w:semiHidden/>
    <w:unhideWhenUsed/>
    <w:qFormat/>
    <w:rsid w:val="002151C3"/>
    <w:rPr>
      <w:color w:val="0000FF"/>
      <w:u w:val="single"/>
    </w:rPr>
  </w:style>
  <w:style w:type="character" w:customStyle="1" w:styleId="HTMLPreformattedChar">
    <w:name w:val="HTML Preformatted Char"/>
    <w:basedOn w:val="DefaultParagraphFont"/>
    <w:link w:val="HTMLPreformatted"/>
    <w:semiHidden/>
    <w:rsid w:val="002151C3"/>
    <w:rPr>
      <w:rFonts w:ascii="Courier New" w:hAnsi="Courier New" w:cs="Courier New"/>
      <w:color w:val="000000"/>
      <w:lang w:val="en-GB" w:eastAsia="en-GB"/>
    </w:rPr>
  </w:style>
  <w:style w:type="paragraph" w:styleId="HTMLPreformatted">
    <w:name w:val="HTML Preformatted"/>
    <w:basedOn w:val="Normal"/>
    <w:link w:val="HTMLPreformattedChar"/>
    <w:semiHidden/>
    <w:unhideWhenUsed/>
    <w:rsid w:val="002151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val="en-GB" w:eastAsia="en-GB"/>
    </w:rPr>
  </w:style>
  <w:style w:type="character" w:customStyle="1" w:styleId="NormalWebChar">
    <w:name w:val="Normal (Web) Char"/>
    <w:basedOn w:val="DefaultParagraphFont"/>
    <w:link w:val="NormalWeb"/>
    <w:semiHidden/>
    <w:locked/>
    <w:rsid w:val="002151C3"/>
    <w:rPr>
      <w:rFonts w:ascii="Times New Roman" w:eastAsiaTheme="minorHAnsi" w:hAnsi="Times New Roman"/>
      <w:sz w:val="24"/>
      <w:szCs w:val="24"/>
      <w:lang w:eastAsia="en-US"/>
    </w:rPr>
  </w:style>
  <w:style w:type="paragraph" w:styleId="NormalWeb">
    <w:name w:val="Normal (Web)"/>
    <w:basedOn w:val="Normal"/>
    <w:link w:val="NormalWebChar"/>
    <w:semiHidden/>
    <w:unhideWhenUsed/>
    <w:rsid w:val="002151C3"/>
    <w:pPr>
      <w:tabs>
        <w:tab w:val="clear" w:pos="1134"/>
        <w:tab w:val="clear" w:pos="1871"/>
        <w:tab w:val="clear" w:pos="2268"/>
      </w:tabs>
      <w:overflowPunct/>
      <w:autoSpaceDE/>
      <w:autoSpaceDN/>
      <w:adjustRightInd/>
      <w:spacing w:before="0"/>
      <w:textAlignment w:val="auto"/>
    </w:pPr>
    <w:rPr>
      <w:rFonts w:eastAsiaTheme="minorHAnsi"/>
      <w:szCs w:val="24"/>
      <w:lang w:val="en-US"/>
    </w:rPr>
  </w:style>
  <w:style w:type="paragraph" w:customStyle="1" w:styleId="msonormal0">
    <w:name w:val="msonormal"/>
    <w:basedOn w:val="Normal"/>
    <w:rsid w:val="002151C3"/>
    <w:pPr>
      <w:tabs>
        <w:tab w:val="clear" w:pos="1134"/>
        <w:tab w:val="clear" w:pos="1871"/>
        <w:tab w:val="clear" w:pos="2268"/>
      </w:tabs>
      <w:overflowPunct/>
      <w:autoSpaceDE/>
      <w:autoSpaceDN/>
      <w:adjustRightInd/>
      <w:spacing w:before="0"/>
      <w:textAlignment w:val="auto"/>
    </w:pPr>
    <w:rPr>
      <w:rFonts w:eastAsiaTheme="minorHAnsi"/>
      <w:szCs w:val="24"/>
      <w:lang w:val="en-US"/>
    </w:rPr>
  </w:style>
  <w:style w:type="character" w:customStyle="1" w:styleId="CommentTextChar">
    <w:name w:val="Comment Text Char"/>
    <w:basedOn w:val="DefaultParagraphFont"/>
    <w:link w:val="CommentText"/>
    <w:semiHidden/>
    <w:rsid w:val="002151C3"/>
    <w:rPr>
      <w:rFonts w:ascii="Times New Roman" w:hAnsi="Times New Roman"/>
      <w:lang w:val="fr-FR" w:eastAsia="en-US"/>
    </w:rPr>
  </w:style>
  <w:style w:type="paragraph" w:styleId="CommentText">
    <w:name w:val="annotation text"/>
    <w:basedOn w:val="Normal"/>
    <w:link w:val="CommentTextChar"/>
    <w:semiHidden/>
    <w:unhideWhenUsed/>
    <w:rsid w:val="002151C3"/>
    <w:pPr>
      <w:textAlignment w:val="auto"/>
    </w:pPr>
    <w:rPr>
      <w:sz w:val="20"/>
    </w:rPr>
  </w:style>
  <w:style w:type="character" w:customStyle="1" w:styleId="CaptionChar">
    <w:name w:val="Caption Char"/>
    <w:aliases w:val="ECC Caption Char,Ca Char"/>
    <w:basedOn w:val="DefaultParagraphFont"/>
    <w:link w:val="Caption"/>
    <w:semiHidden/>
    <w:locked/>
    <w:rsid w:val="002151C3"/>
    <w:rPr>
      <w:rFonts w:ascii="Times New Roman" w:hAnsi="Times New Roman"/>
      <w:i/>
      <w:iCs/>
      <w:color w:val="1F497D" w:themeColor="text2"/>
      <w:sz w:val="18"/>
      <w:szCs w:val="18"/>
      <w:lang w:val="en-GB" w:eastAsia="en-US"/>
    </w:rPr>
  </w:style>
  <w:style w:type="paragraph" w:styleId="Caption">
    <w:name w:val="caption"/>
    <w:aliases w:val="ECC Caption,Ca"/>
    <w:basedOn w:val="Normal"/>
    <w:next w:val="Normal"/>
    <w:link w:val="CaptionChar"/>
    <w:semiHidden/>
    <w:unhideWhenUsed/>
    <w:qFormat/>
    <w:rsid w:val="002151C3"/>
    <w:pPr>
      <w:spacing w:before="0" w:after="200"/>
      <w:textAlignment w:val="auto"/>
    </w:pPr>
    <w:rPr>
      <w:i/>
      <w:iCs/>
      <w:color w:val="1F497D" w:themeColor="text2"/>
      <w:sz w:val="18"/>
      <w:szCs w:val="18"/>
      <w:lang w:val="en-GB"/>
    </w:rPr>
  </w:style>
  <w:style w:type="character" w:customStyle="1" w:styleId="EndnoteTextChar">
    <w:name w:val="Endnote Text Char"/>
    <w:basedOn w:val="DefaultParagraphFont"/>
    <w:link w:val="EndnoteText"/>
    <w:semiHidden/>
    <w:rsid w:val="002151C3"/>
    <w:rPr>
      <w:rFonts w:ascii="Times New Roman" w:hAnsi="Times New Roman"/>
      <w:lang w:val="fr-FR" w:eastAsia="en-US"/>
    </w:rPr>
  </w:style>
  <w:style w:type="paragraph" w:styleId="EndnoteText">
    <w:name w:val="endnote text"/>
    <w:basedOn w:val="Normal"/>
    <w:link w:val="EndnoteTextChar"/>
    <w:semiHidden/>
    <w:unhideWhenUsed/>
    <w:rsid w:val="002151C3"/>
    <w:pPr>
      <w:spacing w:before="0"/>
      <w:textAlignment w:val="auto"/>
    </w:pPr>
    <w:rPr>
      <w:sz w:val="20"/>
    </w:rPr>
  </w:style>
  <w:style w:type="paragraph" w:styleId="BodyText">
    <w:name w:val="Body Text"/>
    <w:basedOn w:val="Normal"/>
    <w:link w:val="BodyTextChar"/>
    <w:semiHidden/>
    <w:unhideWhenUsed/>
    <w:rsid w:val="002151C3"/>
    <w:pPr>
      <w:framePr w:hSpace="1701" w:wrap="notBeside" w:vAnchor="page" w:hAnchor="text" w:y="852"/>
      <w:jc w:val="center"/>
      <w:textAlignment w:val="auto"/>
    </w:pPr>
    <w:rPr>
      <w:b/>
      <w:smallCaps/>
    </w:rPr>
  </w:style>
  <w:style w:type="character" w:customStyle="1" w:styleId="BodyTextChar">
    <w:name w:val="Body Text Char"/>
    <w:basedOn w:val="DefaultParagraphFont"/>
    <w:link w:val="BodyText"/>
    <w:semiHidden/>
    <w:rsid w:val="002151C3"/>
    <w:rPr>
      <w:rFonts w:ascii="Times New Roman" w:hAnsi="Times New Roman"/>
      <w:b/>
      <w:smallCaps/>
      <w:sz w:val="24"/>
      <w:lang w:val="fr-FR" w:eastAsia="en-US"/>
    </w:rPr>
  </w:style>
  <w:style w:type="paragraph" w:styleId="Title">
    <w:name w:val="Title"/>
    <w:basedOn w:val="Normal"/>
    <w:next w:val="Normal"/>
    <w:link w:val="TitleChar"/>
    <w:qFormat/>
    <w:rsid w:val="002151C3"/>
    <w:pPr>
      <w:pBdr>
        <w:top w:val="single" w:sz="6" w:space="8" w:color="9BBB59" w:themeColor="accent3"/>
        <w:bottom w:val="single" w:sz="6" w:space="8" w:color="9BBB59" w:themeColor="accent3"/>
      </w:pBdr>
      <w:tabs>
        <w:tab w:val="clear" w:pos="1134"/>
        <w:tab w:val="clear" w:pos="1871"/>
        <w:tab w:val="clear" w:pos="2268"/>
      </w:tabs>
      <w:overflowPunct/>
      <w:autoSpaceDE/>
      <w:autoSpaceDN/>
      <w:adjustRightInd/>
      <w:spacing w:before="0" w:after="400"/>
      <w:contextualSpacing/>
      <w:jc w:val="center"/>
      <w:textAlignment w:val="auto"/>
    </w:pPr>
    <w:rPr>
      <w:rFonts w:asciiTheme="majorHAnsi" w:eastAsiaTheme="majorEastAsia" w:hAnsiTheme="majorHAnsi" w:cstheme="majorBidi"/>
      <w:caps/>
      <w:color w:val="1F497D" w:themeColor="text2"/>
      <w:spacing w:val="30"/>
      <w:sz w:val="72"/>
      <w:szCs w:val="72"/>
      <w:lang w:val="en-US" w:eastAsia="zh-CN"/>
    </w:rPr>
  </w:style>
  <w:style w:type="character" w:customStyle="1" w:styleId="TitleChar">
    <w:name w:val="Title Char"/>
    <w:basedOn w:val="DefaultParagraphFont"/>
    <w:link w:val="Title"/>
    <w:rsid w:val="002151C3"/>
    <w:rPr>
      <w:rFonts w:asciiTheme="majorHAnsi" w:eastAsiaTheme="majorEastAsia" w:hAnsiTheme="majorHAnsi" w:cstheme="majorBidi"/>
      <w:caps/>
      <w:color w:val="1F497D" w:themeColor="text2"/>
      <w:spacing w:val="30"/>
      <w:sz w:val="72"/>
      <w:szCs w:val="72"/>
    </w:rPr>
  </w:style>
  <w:style w:type="character" w:customStyle="1" w:styleId="ClosingChar">
    <w:name w:val="Closing Char"/>
    <w:basedOn w:val="DefaultParagraphFont"/>
    <w:link w:val="Closing"/>
    <w:semiHidden/>
    <w:rsid w:val="002151C3"/>
    <w:rPr>
      <w:rFonts w:ascii="Century" w:eastAsia="MS Mincho" w:hAnsi="Century"/>
      <w:kern w:val="2"/>
      <w:sz w:val="21"/>
      <w:szCs w:val="24"/>
      <w:lang w:eastAsia="ja-JP"/>
    </w:rPr>
  </w:style>
  <w:style w:type="paragraph" w:styleId="Closing">
    <w:name w:val="Closing"/>
    <w:basedOn w:val="Normal"/>
    <w:link w:val="ClosingChar"/>
    <w:semiHidden/>
    <w:unhideWhenUsed/>
    <w:rsid w:val="002151C3"/>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BodyTextIndentChar">
    <w:name w:val="Body Text Indent Char"/>
    <w:basedOn w:val="DefaultParagraphFont"/>
    <w:link w:val="BodyTextIndent"/>
    <w:semiHidden/>
    <w:rsid w:val="002151C3"/>
    <w:rPr>
      <w:rFonts w:ascii="Times New Roman" w:eastAsia="MS Mincho" w:hAnsi="Times New Roman"/>
      <w:sz w:val="24"/>
      <w:szCs w:val="24"/>
      <w:lang w:eastAsia="ru-RU"/>
    </w:rPr>
  </w:style>
  <w:style w:type="paragraph" w:styleId="BodyTextIndent">
    <w:name w:val="Body Text Indent"/>
    <w:basedOn w:val="Normal"/>
    <w:link w:val="BodyTextIndentChar"/>
    <w:semiHidden/>
    <w:unhideWhenUsed/>
    <w:rsid w:val="002151C3"/>
    <w:pPr>
      <w:tabs>
        <w:tab w:val="clear" w:pos="1134"/>
        <w:tab w:val="clear" w:pos="1871"/>
        <w:tab w:val="clear" w:pos="2268"/>
      </w:tabs>
      <w:overflowPunct/>
      <w:autoSpaceDE/>
      <w:autoSpaceDN/>
      <w:adjustRightInd/>
      <w:spacing w:before="0"/>
      <w:ind w:firstLine="708"/>
      <w:jc w:val="both"/>
      <w:textAlignment w:val="auto"/>
    </w:pPr>
    <w:rPr>
      <w:rFonts w:eastAsia="MS Mincho"/>
      <w:szCs w:val="24"/>
      <w:lang w:val="en-US" w:eastAsia="ru-RU"/>
    </w:rPr>
  </w:style>
  <w:style w:type="paragraph" w:styleId="Subtitle">
    <w:name w:val="Subtitle"/>
    <w:basedOn w:val="Normal"/>
    <w:next w:val="Normal"/>
    <w:link w:val="SubtitleChar"/>
    <w:qFormat/>
    <w:rsid w:val="002151C3"/>
    <w:pPr>
      <w:tabs>
        <w:tab w:val="clear" w:pos="1134"/>
        <w:tab w:val="clear" w:pos="1871"/>
        <w:tab w:val="clear" w:pos="2268"/>
      </w:tabs>
      <w:overflowPunct/>
      <w:autoSpaceDE/>
      <w:autoSpaceDN/>
      <w:adjustRightInd/>
      <w:spacing w:before="0" w:after="160" w:line="300" w:lineRule="auto"/>
      <w:jc w:val="center"/>
      <w:textAlignment w:val="auto"/>
    </w:pPr>
    <w:rPr>
      <w:rFonts w:asciiTheme="minorHAnsi" w:eastAsiaTheme="minorEastAsia" w:hAnsiTheme="minorHAnsi" w:cstheme="minorBidi"/>
      <w:color w:val="1F497D" w:themeColor="text2"/>
      <w:sz w:val="28"/>
      <w:szCs w:val="28"/>
      <w:lang w:val="en-US" w:eastAsia="zh-CN"/>
    </w:rPr>
  </w:style>
  <w:style w:type="character" w:customStyle="1" w:styleId="SubtitleChar">
    <w:name w:val="Subtitle Char"/>
    <w:basedOn w:val="DefaultParagraphFont"/>
    <w:link w:val="Subtitle"/>
    <w:rsid w:val="002151C3"/>
    <w:rPr>
      <w:rFonts w:asciiTheme="minorHAnsi" w:eastAsiaTheme="minorEastAsia" w:hAnsiTheme="minorHAnsi" w:cstheme="minorBidi"/>
      <w:color w:val="1F497D" w:themeColor="text2"/>
      <w:sz w:val="28"/>
      <w:szCs w:val="28"/>
    </w:rPr>
  </w:style>
  <w:style w:type="paragraph" w:styleId="Date">
    <w:name w:val="Date"/>
    <w:basedOn w:val="Normal"/>
    <w:link w:val="DateChar"/>
    <w:unhideWhenUsed/>
    <w:rsid w:val="002151C3"/>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textAlignment w:val="auto"/>
    </w:pPr>
    <w:rPr>
      <w:sz w:val="20"/>
      <w:lang w:val="en-GB"/>
    </w:rPr>
  </w:style>
  <w:style w:type="character" w:customStyle="1" w:styleId="DateChar">
    <w:name w:val="Date Char"/>
    <w:basedOn w:val="DefaultParagraphFont"/>
    <w:link w:val="Date"/>
    <w:rsid w:val="002151C3"/>
    <w:rPr>
      <w:rFonts w:ascii="Times New Roman" w:hAnsi="Times New Roman"/>
      <w:lang w:val="en-GB" w:eastAsia="en-US"/>
    </w:rPr>
  </w:style>
  <w:style w:type="character" w:customStyle="1" w:styleId="BodyText2Char">
    <w:name w:val="Body Text 2 Char"/>
    <w:aliases w:val="Body Text1 Char"/>
    <w:basedOn w:val="DefaultParagraphFont"/>
    <w:link w:val="BodyText2"/>
    <w:semiHidden/>
    <w:locked/>
    <w:rsid w:val="002151C3"/>
    <w:rPr>
      <w:rFonts w:ascii="Times New Roman" w:hAnsi="Times New Roman"/>
      <w:sz w:val="24"/>
      <w:lang w:val="en-GB" w:eastAsia="en-US"/>
    </w:rPr>
  </w:style>
  <w:style w:type="paragraph" w:styleId="BodyText2">
    <w:name w:val="Body Text 2"/>
    <w:aliases w:val="Body Text1"/>
    <w:basedOn w:val="Normal"/>
    <w:link w:val="BodyText2Char"/>
    <w:semiHidden/>
    <w:unhideWhenUsed/>
    <w:rsid w:val="002151C3"/>
    <w:pPr>
      <w:tabs>
        <w:tab w:val="clear" w:pos="1134"/>
        <w:tab w:val="clear" w:pos="1871"/>
        <w:tab w:val="clear" w:pos="2268"/>
        <w:tab w:val="left" w:pos="794"/>
        <w:tab w:val="left" w:pos="1191"/>
        <w:tab w:val="left" w:pos="1588"/>
        <w:tab w:val="left" w:pos="1985"/>
      </w:tabs>
      <w:ind w:left="720" w:hanging="720"/>
      <w:textAlignment w:val="auto"/>
    </w:pPr>
    <w:rPr>
      <w:lang w:val="en-GB"/>
    </w:rPr>
  </w:style>
  <w:style w:type="character" w:customStyle="1" w:styleId="BodyText2Char1">
    <w:name w:val="Body Text 2 Char1"/>
    <w:aliases w:val="Body Text1 Char1"/>
    <w:basedOn w:val="DefaultParagraphFont"/>
    <w:semiHidden/>
    <w:rsid w:val="002151C3"/>
    <w:rPr>
      <w:rFonts w:ascii="Times New Roman" w:hAnsi="Times New Roman"/>
      <w:sz w:val="24"/>
      <w:lang w:val="fr-FR" w:eastAsia="en-US"/>
    </w:rPr>
  </w:style>
  <w:style w:type="character" w:customStyle="1" w:styleId="BodyText3Char">
    <w:name w:val="Body Text 3 Char"/>
    <w:basedOn w:val="DefaultParagraphFont"/>
    <w:link w:val="BodyText3"/>
    <w:semiHidden/>
    <w:rsid w:val="002151C3"/>
    <w:rPr>
      <w:rFonts w:ascii="Times New Roman" w:hAnsi="Times New Roman"/>
      <w:sz w:val="22"/>
      <w:szCs w:val="22"/>
      <w:lang w:val="ru-RU" w:eastAsia="ru-RU"/>
    </w:rPr>
  </w:style>
  <w:style w:type="paragraph" w:styleId="BodyText3">
    <w:name w:val="Body Text 3"/>
    <w:basedOn w:val="Normal"/>
    <w:link w:val="BodyText3Char"/>
    <w:semiHidden/>
    <w:unhideWhenUsed/>
    <w:rsid w:val="002151C3"/>
    <w:pPr>
      <w:tabs>
        <w:tab w:val="clear" w:pos="1134"/>
        <w:tab w:val="clear" w:pos="1871"/>
        <w:tab w:val="clear" w:pos="2268"/>
      </w:tabs>
      <w:overflowPunct/>
      <w:autoSpaceDE/>
      <w:autoSpaceDN/>
      <w:adjustRightInd/>
      <w:spacing w:before="0"/>
      <w:textAlignment w:val="auto"/>
    </w:pPr>
    <w:rPr>
      <w:sz w:val="22"/>
      <w:szCs w:val="22"/>
      <w:lang w:val="ru-RU" w:eastAsia="ru-RU"/>
    </w:rPr>
  </w:style>
  <w:style w:type="character" w:customStyle="1" w:styleId="BodyTextIndent2Char">
    <w:name w:val="Body Text Indent 2 Char"/>
    <w:basedOn w:val="DefaultParagraphFont"/>
    <w:link w:val="BodyTextIndent2"/>
    <w:semiHidden/>
    <w:rsid w:val="002151C3"/>
    <w:rPr>
      <w:rFonts w:ascii="Times New Roman" w:hAnsi="Times New Roman"/>
      <w:i/>
      <w:sz w:val="24"/>
      <w:lang w:val="en-GB" w:eastAsia="en-US"/>
    </w:rPr>
  </w:style>
  <w:style w:type="paragraph" w:styleId="BodyTextIndent2">
    <w:name w:val="Body Text Indent 2"/>
    <w:basedOn w:val="Normal"/>
    <w:link w:val="BodyTextIndent2Char"/>
    <w:semiHidden/>
    <w:unhideWhenUsed/>
    <w:rsid w:val="002151C3"/>
    <w:pPr>
      <w:tabs>
        <w:tab w:val="clear" w:pos="1134"/>
        <w:tab w:val="clear" w:pos="1871"/>
        <w:tab w:val="clear" w:pos="2268"/>
        <w:tab w:val="left" w:pos="794"/>
        <w:tab w:val="left" w:pos="1191"/>
        <w:tab w:val="left" w:pos="1588"/>
        <w:tab w:val="left" w:pos="1985"/>
      </w:tabs>
      <w:ind w:left="1560" w:hanging="1560"/>
      <w:jc w:val="both"/>
      <w:textAlignment w:val="auto"/>
    </w:pPr>
    <w:rPr>
      <w:i/>
      <w:lang w:val="en-GB"/>
    </w:rPr>
  </w:style>
  <w:style w:type="character" w:customStyle="1" w:styleId="BodyTextIndent3Char">
    <w:name w:val="Body Text Indent 3 Char"/>
    <w:basedOn w:val="DefaultParagraphFont"/>
    <w:link w:val="BodyTextIndent3"/>
    <w:semiHidden/>
    <w:rsid w:val="002151C3"/>
    <w:rPr>
      <w:rFonts w:ascii="Times New Roman" w:hAnsi="Times New Roman"/>
      <w:b/>
      <w:bCs/>
      <w:i/>
      <w:iCs/>
      <w:sz w:val="24"/>
      <w:lang w:eastAsia="en-US"/>
    </w:rPr>
  </w:style>
  <w:style w:type="paragraph" w:styleId="BodyTextIndent3">
    <w:name w:val="Body Text Indent 3"/>
    <w:basedOn w:val="Normal"/>
    <w:link w:val="BodyTextIndent3Char"/>
    <w:semiHidden/>
    <w:unhideWhenUsed/>
    <w:rsid w:val="002151C3"/>
    <w:pPr>
      <w:tabs>
        <w:tab w:val="clear" w:pos="1134"/>
        <w:tab w:val="clear" w:pos="1871"/>
        <w:tab w:val="clear" w:pos="2268"/>
      </w:tabs>
      <w:overflowPunct/>
      <w:autoSpaceDE/>
      <w:autoSpaceDN/>
      <w:adjustRightInd/>
      <w:ind w:left="992"/>
      <w:textAlignment w:val="auto"/>
    </w:pPr>
    <w:rPr>
      <w:b/>
      <w:bCs/>
      <w:i/>
      <w:iCs/>
      <w:lang w:val="en-US"/>
    </w:rPr>
  </w:style>
  <w:style w:type="character" w:customStyle="1" w:styleId="DocumentMapChar">
    <w:name w:val="Document Map Char"/>
    <w:basedOn w:val="DefaultParagraphFont"/>
    <w:link w:val="DocumentMap"/>
    <w:semiHidden/>
    <w:rsid w:val="002151C3"/>
    <w:rPr>
      <w:rFonts w:ascii="Tahoma" w:hAnsi="Tahoma" w:cs="Tahoma"/>
      <w:sz w:val="16"/>
      <w:szCs w:val="16"/>
      <w:lang w:val="en-GB" w:eastAsia="en-US"/>
    </w:rPr>
  </w:style>
  <w:style w:type="paragraph" w:styleId="DocumentMap">
    <w:name w:val="Document Map"/>
    <w:basedOn w:val="Normal"/>
    <w:link w:val="DocumentMapChar"/>
    <w:semiHidden/>
    <w:unhideWhenUsed/>
    <w:rsid w:val="002151C3"/>
    <w:pPr>
      <w:spacing w:before="0"/>
      <w:textAlignment w:val="auto"/>
    </w:pPr>
    <w:rPr>
      <w:rFonts w:ascii="Tahoma" w:hAnsi="Tahoma" w:cs="Tahoma"/>
      <w:sz w:val="16"/>
      <w:szCs w:val="16"/>
      <w:lang w:val="en-GB"/>
    </w:rPr>
  </w:style>
  <w:style w:type="character" w:customStyle="1" w:styleId="PlainTextChar">
    <w:name w:val="Plain Text Char"/>
    <w:basedOn w:val="DefaultParagraphFont"/>
    <w:link w:val="PlainText"/>
    <w:semiHidden/>
    <w:rsid w:val="002151C3"/>
    <w:rPr>
      <w:rFonts w:ascii="Arial" w:eastAsiaTheme="minorHAnsi" w:hAnsi="Arial" w:cstheme="minorBidi"/>
      <w:sz w:val="22"/>
      <w:szCs w:val="21"/>
      <w:lang w:eastAsia="en-US"/>
    </w:rPr>
  </w:style>
  <w:style w:type="paragraph" w:styleId="PlainText">
    <w:name w:val="Plain Text"/>
    <w:basedOn w:val="Normal"/>
    <w:link w:val="PlainTextChar"/>
    <w:semiHidden/>
    <w:unhideWhenUsed/>
    <w:rsid w:val="002151C3"/>
    <w:pPr>
      <w:tabs>
        <w:tab w:val="clear" w:pos="1134"/>
        <w:tab w:val="clear" w:pos="1871"/>
        <w:tab w:val="clear" w:pos="2268"/>
      </w:tabs>
      <w:overflowPunct/>
      <w:autoSpaceDE/>
      <w:autoSpaceDN/>
      <w:adjustRightInd/>
      <w:spacing w:before="0"/>
      <w:textAlignment w:val="auto"/>
    </w:pPr>
    <w:rPr>
      <w:rFonts w:ascii="Arial" w:eastAsiaTheme="minorHAnsi" w:hAnsi="Arial" w:cstheme="minorBidi"/>
      <w:sz w:val="22"/>
      <w:szCs w:val="21"/>
      <w:lang w:val="en-US"/>
    </w:rPr>
  </w:style>
  <w:style w:type="character" w:customStyle="1" w:styleId="CommentSubjectChar">
    <w:name w:val="Comment Subject Char"/>
    <w:basedOn w:val="CommentTextChar"/>
    <w:link w:val="CommentSubject"/>
    <w:semiHidden/>
    <w:rsid w:val="002151C3"/>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2151C3"/>
    <w:rPr>
      <w:b/>
      <w:bCs/>
      <w:lang w:val="en-GB"/>
    </w:rPr>
  </w:style>
  <w:style w:type="character" w:customStyle="1" w:styleId="BalloonTextChar">
    <w:name w:val="Balloon Text Char"/>
    <w:basedOn w:val="DefaultParagraphFont"/>
    <w:link w:val="BalloonText"/>
    <w:semiHidden/>
    <w:rsid w:val="002151C3"/>
    <w:rPr>
      <w:rFonts w:ascii="Tahoma" w:hAnsi="Tahoma" w:cs="Tahoma"/>
      <w:sz w:val="16"/>
      <w:szCs w:val="16"/>
      <w:lang w:val="fr-FR" w:eastAsia="en-US"/>
    </w:rPr>
  </w:style>
  <w:style w:type="paragraph" w:styleId="BalloonText">
    <w:name w:val="Balloon Text"/>
    <w:basedOn w:val="Normal"/>
    <w:link w:val="BalloonTextChar"/>
    <w:semiHidden/>
    <w:unhideWhenUsed/>
    <w:rsid w:val="002151C3"/>
    <w:pPr>
      <w:spacing w:before="0"/>
      <w:textAlignment w:val="auto"/>
    </w:pPr>
    <w:rPr>
      <w:rFonts w:ascii="Tahoma" w:hAnsi="Tahoma" w:cs="Tahoma"/>
      <w:sz w:val="16"/>
      <w:szCs w:val="16"/>
    </w:rPr>
  </w:style>
  <w:style w:type="paragraph" w:styleId="NoSpacing">
    <w:name w:val="No Spacing"/>
    <w:uiPriority w:val="1"/>
    <w:qFormat/>
    <w:rsid w:val="002151C3"/>
    <w:rPr>
      <w:rFonts w:asciiTheme="minorHAnsi" w:eastAsiaTheme="minorEastAsia" w:hAnsiTheme="minorHAnsi" w:cstheme="minorBidi"/>
      <w:sz w:val="21"/>
      <w:szCs w:val="21"/>
    </w:rPr>
  </w:style>
  <w:style w:type="character" w:customStyle="1" w:styleId="ListParagraphChar">
    <w:name w:val="List Paragraph Char"/>
    <w:basedOn w:val="DefaultParagraphFont"/>
    <w:link w:val="ListParagraph"/>
    <w:locked/>
    <w:rsid w:val="002151C3"/>
    <w:rPr>
      <w:rFonts w:ascii="Times New Roman" w:hAnsi="Times New Roman"/>
      <w:sz w:val="24"/>
      <w:lang w:val="en-GB" w:eastAsia="en-US"/>
    </w:rPr>
  </w:style>
  <w:style w:type="paragraph" w:styleId="ListParagraph">
    <w:name w:val="List Paragraph"/>
    <w:basedOn w:val="Normal"/>
    <w:link w:val="ListParagraphChar"/>
    <w:qFormat/>
    <w:rsid w:val="002151C3"/>
    <w:pPr>
      <w:ind w:left="720"/>
      <w:contextualSpacing/>
      <w:textAlignment w:val="auto"/>
    </w:pPr>
    <w:rPr>
      <w:lang w:val="en-GB"/>
    </w:rPr>
  </w:style>
  <w:style w:type="paragraph" w:styleId="Quote">
    <w:name w:val="Quote"/>
    <w:basedOn w:val="Normal"/>
    <w:next w:val="Normal"/>
    <w:link w:val="QuoteChar"/>
    <w:uiPriority w:val="29"/>
    <w:qFormat/>
    <w:rsid w:val="002151C3"/>
    <w:pPr>
      <w:tabs>
        <w:tab w:val="clear" w:pos="1134"/>
        <w:tab w:val="clear" w:pos="1871"/>
        <w:tab w:val="clear" w:pos="2268"/>
      </w:tabs>
      <w:overflowPunct/>
      <w:autoSpaceDE/>
      <w:autoSpaceDN/>
      <w:adjustRightInd/>
      <w:spacing w:before="160" w:after="160" w:line="300" w:lineRule="auto"/>
      <w:ind w:left="720" w:right="720"/>
      <w:jc w:val="center"/>
      <w:textAlignment w:val="auto"/>
    </w:pPr>
    <w:rPr>
      <w:rFonts w:asciiTheme="minorHAnsi" w:eastAsiaTheme="minorEastAsia" w:hAnsiTheme="minorHAnsi" w:cstheme="minorBidi"/>
      <w:i/>
      <w:iCs/>
      <w:color w:val="76923C" w:themeColor="accent3" w:themeShade="BF"/>
      <w:szCs w:val="24"/>
      <w:lang w:val="en-US" w:eastAsia="zh-CN"/>
    </w:rPr>
  </w:style>
  <w:style w:type="character" w:customStyle="1" w:styleId="QuoteChar">
    <w:name w:val="Quote Char"/>
    <w:basedOn w:val="DefaultParagraphFont"/>
    <w:link w:val="Quote"/>
    <w:uiPriority w:val="29"/>
    <w:rsid w:val="002151C3"/>
    <w:rPr>
      <w:rFonts w:asciiTheme="minorHAnsi" w:eastAsiaTheme="minorEastAsia" w:hAnsiTheme="minorHAnsi" w:cstheme="minorBidi"/>
      <w:i/>
      <w:iCs/>
      <w:color w:val="76923C" w:themeColor="accent3" w:themeShade="BF"/>
      <w:sz w:val="24"/>
      <w:szCs w:val="24"/>
    </w:rPr>
  </w:style>
  <w:style w:type="paragraph" w:styleId="IntenseQuote">
    <w:name w:val="Intense Quote"/>
    <w:basedOn w:val="Normal"/>
    <w:next w:val="Normal"/>
    <w:link w:val="IntenseQuoteChar"/>
    <w:uiPriority w:val="30"/>
    <w:qFormat/>
    <w:rsid w:val="002151C3"/>
    <w:pPr>
      <w:tabs>
        <w:tab w:val="clear" w:pos="1134"/>
        <w:tab w:val="clear" w:pos="1871"/>
        <w:tab w:val="clear" w:pos="2268"/>
      </w:tabs>
      <w:overflowPunct/>
      <w:autoSpaceDE/>
      <w:autoSpaceDN/>
      <w:adjustRightInd/>
      <w:spacing w:before="160" w:after="160" w:line="276" w:lineRule="auto"/>
      <w:ind w:left="936" w:right="936"/>
      <w:jc w:val="center"/>
      <w:textAlignment w:val="auto"/>
    </w:pPr>
    <w:rPr>
      <w:rFonts w:asciiTheme="majorHAnsi" w:eastAsiaTheme="majorEastAsia" w:hAnsiTheme="majorHAnsi" w:cstheme="majorBidi"/>
      <w:caps/>
      <w:color w:val="365F91" w:themeColor="accent1" w:themeShade="BF"/>
      <w:sz w:val="28"/>
      <w:szCs w:val="28"/>
      <w:lang w:val="en-US" w:eastAsia="zh-CN"/>
    </w:rPr>
  </w:style>
  <w:style w:type="character" w:customStyle="1" w:styleId="IntenseQuoteChar">
    <w:name w:val="Intense Quote Char"/>
    <w:basedOn w:val="DefaultParagraphFont"/>
    <w:link w:val="IntenseQuote"/>
    <w:uiPriority w:val="30"/>
    <w:rsid w:val="002151C3"/>
    <w:rPr>
      <w:rFonts w:asciiTheme="majorHAnsi" w:eastAsiaTheme="majorEastAsia" w:hAnsiTheme="majorHAnsi" w:cstheme="majorBidi"/>
      <w:caps/>
      <w:color w:val="365F91" w:themeColor="accent1" w:themeShade="BF"/>
      <w:sz w:val="28"/>
      <w:szCs w:val="28"/>
    </w:rPr>
  </w:style>
  <w:style w:type="paragraph" w:styleId="TOCHeading">
    <w:name w:val="TOC Heading"/>
    <w:basedOn w:val="Heading1"/>
    <w:next w:val="Normal"/>
    <w:uiPriority w:val="39"/>
    <w:semiHidden/>
    <w:unhideWhenUsed/>
    <w:qFormat/>
    <w:rsid w:val="002151C3"/>
    <w:pPr>
      <w:tabs>
        <w:tab w:val="clear" w:pos="1134"/>
        <w:tab w:val="clear" w:pos="1871"/>
        <w:tab w:val="clear" w:pos="2268"/>
      </w:tabs>
      <w:overflowPunct/>
      <w:autoSpaceDE/>
      <w:autoSpaceDN/>
      <w:adjustRightInd/>
      <w:spacing w:before="320" w:after="80"/>
      <w:ind w:left="0" w:firstLine="0"/>
      <w:jc w:val="center"/>
      <w:textAlignment w:val="auto"/>
      <w:outlineLvl w:val="9"/>
    </w:pPr>
    <w:rPr>
      <w:rFonts w:asciiTheme="majorHAnsi" w:eastAsiaTheme="majorEastAsia" w:hAnsiTheme="majorHAnsi" w:cstheme="majorBidi"/>
      <w:b w:val="0"/>
      <w:color w:val="365F91" w:themeColor="accent1" w:themeShade="BF"/>
      <w:sz w:val="40"/>
      <w:szCs w:val="40"/>
      <w:lang w:val="en-US" w:eastAsia="zh-CN"/>
    </w:rPr>
  </w:style>
  <w:style w:type="character" w:customStyle="1" w:styleId="NormalaftertitleChar0">
    <w:name w:val="Normal_after_title Char"/>
    <w:basedOn w:val="DefaultParagraphFont"/>
    <w:link w:val="Normalaftertitle0"/>
    <w:uiPriority w:val="99"/>
    <w:qFormat/>
    <w:locked/>
    <w:rsid w:val="002151C3"/>
    <w:rPr>
      <w:rFonts w:ascii="Times New Roman" w:hAnsi="Times New Roman"/>
      <w:sz w:val="24"/>
      <w:lang w:val="fr-FR" w:eastAsia="en-US"/>
    </w:rPr>
  </w:style>
  <w:style w:type="paragraph" w:customStyle="1" w:styleId="Normalaftertitle0">
    <w:name w:val="Normal_after_title"/>
    <w:basedOn w:val="Normal"/>
    <w:next w:val="Normal"/>
    <w:link w:val="NormalaftertitleChar0"/>
    <w:uiPriority w:val="99"/>
    <w:qFormat/>
    <w:rsid w:val="002151C3"/>
    <w:pPr>
      <w:spacing w:before="360"/>
      <w:textAlignment w:val="auto"/>
    </w:pPr>
  </w:style>
  <w:style w:type="paragraph" w:customStyle="1" w:styleId="ASN1">
    <w:name w:val="ASN.1"/>
    <w:basedOn w:val="Normal"/>
    <w:rsid w:val="002151C3"/>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paragraph" w:customStyle="1" w:styleId="Partref">
    <w:name w:val="Part_ref"/>
    <w:basedOn w:val="Annexref"/>
    <w:next w:val="Parttitle"/>
    <w:rsid w:val="002151C3"/>
    <w:pPr>
      <w:textAlignment w:val="auto"/>
    </w:pPr>
  </w:style>
  <w:style w:type="paragraph" w:customStyle="1" w:styleId="Recref">
    <w:name w:val="Rec_ref"/>
    <w:basedOn w:val="Rectitle"/>
    <w:next w:val="Recdate"/>
    <w:rsid w:val="002151C3"/>
    <w:pPr>
      <w:spacing w:before="120"/>
      <w:textAlignment w:val="auto"/>
    </w:pPr>
    <w:rPr>
      <w:rFonts w:ascii="Times New Roman" w:hAnsi="Times New Roman" w:cs="Times New Roman Bold"/>
      <w:b w:val="0"/>
      <w:sz w:val="24"/>
    </w:rPr>
  </w:style>
  <w:style w:type="paragraph" w:customStyle="1" w:styleId="Questionref">
    <w:name w:val="Question_ref"/>
    <w:basedOn w:val="Recref"/>
    <w:next w:val="Questiondate"/>
    <w:rsid w:val="002151C3"/>
  </w:style>
  <w:style w:type="paragraph" w:customStyle="1" w:styleId="Resref">
    <w:name w:val="Res_ref"/>
    <w:basedOn w:val="Recref"/>
    <w:next w:val="Resdate"/>
    <w:rsid w:val="002151C3"/>
  </w:style>
  <w:style w:type="paragraph" w:customStyle="1" w:styleId="Tableref">
    <w:name w:val="Table_ref"/>
    <w:basedOn w:val="Normal"/>
    <w:next w:val="Tabletitle"/>
    <w:rsid w:val="002151C3"/>
    <w:pPr>
      <w:keepNext/>
      <w:spacing w:before="560"/>
      <w:jc w:val="center"/>
      <w:textAlignment w:val="auto"/>
    </w:pPr>
    <w:rPr>
      <w:sz w:val="20"/>
    </w:rPr>
  </w:style>
  <w:style w:type="paragraph" w:customStyle="1" w:styleId="Formal">
    <w:name w:val="Formal"/>
    <w:basedOn w:val="ASN1"/>
    <w:rsid w:val="002151C3"/>
    <w:rPr>
      <w:b w:val="0"/>
    </w:rPr>
  </w:style>
  <w:style w:type="character" w:customStyle="1" w:styleId="TableTextChar0">
    <w:name w:val="Table_Text Char"/>
    <w:basedOn w:val="DefaultParagraphFont"/>
    <w:link w:val="TableText0"/>
    <w:locked/>
    <w:rsid w:val="002151C3"/>
    <w:rPr>
      <w:rFonts w:ascii="Times New Roman" w:hAnsi="Times New Roman" w:cs="Angsana New"/>
      <w:sz w:val="22"/>
      <w:szCs w:val="22"/>
      <w:lang w:val="es-ES_tradnl" w:eastAsia="en-US"/>
    </w:rPr>
  </w:style>
  <w:style w:type="paragraph" w:customStyle="1" w:styleId="TableText0">
    <w:name w:val="Table_Text"/>
    <w:basedOn w:val="Normal"/>
    <w:link w:val="TableTextChar0"/>
    <w:rsid w:val="002151C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TableHead0">
    <w:name w:val="Table_Head"/>
    <w:basedOn w:val="TableText0"/>
    <w:rsid w:val="002151C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pPr>
    <w:rPr>
      <w:rFonts w:cs="Times New Roman"/>
      <w:b/>
      <w:szCs w:val="20"/>
      <w:lang w:val="en-GB"/>
    </w:rPr>
  </w:style>
  <w:style w:type="paragraph" w:customStyle="1" w:styleId="AnnexTitle0">
    <w:name w:val="Annex_Title"/>
    <w:basedOn w:val="Normal"/>
    <w:next w:val="Normalaftertitle"/>
    <w:rsid w:val="002151C3"/>
    <w:pPr>
      <w:tabs>
        <w:tab w:val="clear" w:pos="1871"/>
        <w:tab w:val="left" w:pos="567"/>
        <w:tab w:val="left" w:pos="1701"/>
        <w:tab w:val="left" w:pos="2835"/>
      </w:tabs>
      <w:spacing w:before="240" w:after="280"/>
      <w:jc w:val="center"/>
      <w:textAlignment w:val="auto"/>
    </w:pPr>
    <w:rPr>
      <w:b/>
    </w:rPr>
  </w:style>
  <w:style w:type="paragraph" w:customStyle="1" w:styleId="RA">
    <w:name w:val="RA"/>
    <w:basedOn w:val="Normal"/>
    <w:rsid w:val="002151C3"/>
    <w:pPr>
      <w:jc w:val="center"/>
      <w:textAlignment w:val="auto"/>
    </w:pPr>
    <w:rPr>
      <w:b/>
      <w:sz w:val="44"/>
      <w:lang w:val="fr-CH"/>
    </w:rPr>
  </w:style>
  <w:style w:type="paragraph" w:customStyle="1" w:styleId="Headingi0">
    <w:name w:val="Heading i"/>
    <w:basedOn w:val="enumlev1"/>
    <w:rsid w:val="002151C3"/>
    <w:pPr>
      <w:textAlignment w:val="auto"/>
    </w:pPr>
    <w:rPr>
      <w:i/>
      <w:lang w:val="en-US"/>
    </w:rPr>
  </w:style>
  <w:style w:type="paragraph" w:customStyle="1" w:styleId="Method">
    <w:name w:val="Method"/>
    <w:basedOn w:val="Heading2"/>
    <w:rsid w:val="002151C3"/>
    <w:pPr>
      <w:textAlignment w:val="auto"/>
    </w:pPr>
    <w:rPr>
      <w:rFonts w:asciiTheme="majorBidi" w:hAnsiTheme="majorBidi" w:cstheme="majorBidi"/>
      <w:lang w:val="fr-CH"/>
    </w:rPr>
  </w:style>
  <w:style w:type="paragraph" w:customStyle="1" w:styleId="Summary">
    <w:name w:val="Summary"/>
    <w:basedOn w:val="Normal"/>
    <w:next w:val="Normalaftertitle0"/>
    <w:rsid w:val="002151C3"/>
    <w:pPr>
      <w:tabs>
        <w:tab w:val="clear" w:pos="1134"/>
        <w:tab w:val="clear" w:pos="1871"/>
        <w:tab w:val="clear" w:pos="2268"/>
        <w:tab w:val="left" w:pos="794"/>
        <w:tab w:val="left" w:pos="1191"/>
        <w:tab w:val="left" w:pos="1588"/>
        <w:tab w:val="left" w:pos="1985"/>
      </w:tabs>
      <w:spacing w:after="480"/>
      <w:jc w:val="both"/>
      <w:textAlignment w:val="auto"/>
    </w:pPr>
    <w:rPr>
      <w:sz w:val="22"/>
      <w:lang w:val="es-ES_tradnl"/>
    </w:rPr>
  </w:style>
  <w:style w:type="paragraph" w:customStyle="1" w:styleId="ECCTabletext">
    <w:name w:val="ECC Table text"/>
    <w:basedOn w:val="Normal"/>
    <w:qFormat/>
    <w:rsid w:val="002151C3"/>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ECCBulletsLv1">
    <w:name w:val="ECC Bullets Lv1"/>
    <w:basedOn w:val="Normal"/>
    <w:qFormat/>
    <w:rsid w:val="002151C3"/>
    <w:pPr>
      <w:numPr>
        <w:numId w:val="12"/>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lang w:val="en-GB"/>
    </w:rPr>
  </w:style>
  <w:style w:type="paragraph" w:customStyle="1" w:styleId="ECCBulletsLv2">
    <w:name w:val="ECC Bullets Lv2"/>
    <w:basedOn w:val="ECCBulletsLv1"/>
    <w:rsid w:val="002151C3"/>
    <w:pPr>
      <w:ind w:left="680" w:hanging="340"/>
    </w:pPr>
  </w:style>
  <w:style w:type="paragraph" w:customStyle="1" w:styleId="ECCFiguregraphcentered">
    <w:name w:val="ECC Figure/graph centered"/>
    <w:next w:val="Normal"/>
    <w:rsid w:val="002151C3"/>
    <w:pPr>
      <w:spacing w:before="240" w:after="240"/>
      <w:jc w:val="center"/>
    </w:pPr>
    <w:rPr>
      <w:rFonts w:ascii="Arial" w:eastAsia="Calibri" w:hAnsi="Arial"/>
      <w:noProof/>
      <w:lang w:val="de-DE" w:eastAsia="de-DE"/>
      <w14:cntxtAlts/>
    </w:rPr>
  </w:style>
  <w:style w:type="paragraph" w:customStyle="1" w:styleId="ECCTablenote">
    <w:name w:val="ECC Table note"/>
    <w:qFormat/>
    <w:rsid w:val="002151C3"/>
    <w:pPr>
      <w:ind w:left="284" w:hanging="284"/>
      <w:jc w:val="both"/>
    </w:pPr>
    <w:rPr>
      <w:rFonts w:ascii="Arial" w:eastAsia="Calibri" w:hAnsi="Arial"/>
      <w:sz w:val="16"/>
      <w:szCs w:val="16"/>
      <w:lang w:val="en-GB" w:eastAsia="en-US"/>
    </w:rPr>
  </w:style>
  <w:style w:type="character" w:customStyle="1" w:styleId="ECCLetterHeadZchn">
    <w:name w:val="ECC Letter Head Zchn"/>
    <w:basedOn w:val="DefaultParagraphFont"/>
    <w:link w:val="ECCLetterHead"/>
    <w:locked/>
    <w:rsid w:val="002151C3"/>
    <w:rPr>
      <w:rFonts w:ascii="Calibri" w:eastAsia="Calibri" w:hAnsi="Calibri" w:cs="Calibri"/>
      <w:b/>
      <w:sz w:val="22"/>
      <w:lang w:val="en-GB"/>
    </w:rPr>
  </w:style>
  <w:style w:type="paragraph" w:customStyle="1" w:styleId="ECCLetterHead">
    <w:name w:val="ECC Letter Head"/>
    <w:basedOn w:val="Normal"/>
    <w:link w:val="ECCLetterHeadZchn"/>
    <w:qFormat/>
    <w:rsid w:val="002151C3"/>
    <w:pPr>
      <w:tabs>
        <w:tab w:val="clear" w:pos="1134"/>
        <w:tab w:val="clear" w:pos="1871"/>
        <w:tab w:val="clear" w:pos="2268"/>
        <w:tab w:val="right" w:pos="4750"/>
      </w:tabs>
      <w:overflowPunct/>
      <w:autoSpaceDE/>
      <w:autoSpaceDN/>
      <w:adjustRightInd/>
      <w:spacing w:before="60" w:after="60"/>
      <w:jc w:val="both"/>
      <w:textAlignment w:val="auto"/>
    </w:pPr>
    <w:rPr>
      <w:rFonts w:ascii="Calibri" w:eastAsia="Calibri" w:hAnsi="Calibri" w:cs="Calibri"/>
      <w:b/>
      <w:sz w:val="22"/>
      <w:lang w:val="en-GB" w:eastAsia="zh-CN"/>
    </w:rPr>
  </w:style>
  <w:style w:type="paragraph" w:customStyle="1" w:styleId="ECCEditorsNote">
    <w:name w:val="ECC Editor's Note"/>
    <w:next w:val="Normal"/>
    <w:qFormat/>
    <w:rsid w:val="002151C3"/>
    <w:pPr>
      <w:numPr>
        <w:numId w:val="14"/>
      </w:numPr>
      <w:shd w:val="solid" w:color="FFFF00" w:fill="auto"/>
      <w:spacing w:before="120" w:after="60"/>
      <w:jc w:val="both"/>
    </w:pPr>
    <w:rPr>
      <w:rFonts w:ascii="Arial" w:eastAsia="Calibri" w:hAnsi="Arial"/>
      <w:szCs w:val="22"/>
      <w:lang w:val="da-DK" w:eastAsia="de-DE"/>
    </w:rPr>
  </w:style>
  <w:style w:type="character" w:customStyle="1" w:styleId="headingbZchn">
    <w:name w:val="heading_b Zchn"/>
    <w:basedOn w:val="Heading3Char"/>
    <w:link w:val="headingb0"/>
    <w:locked/>
    <w:rsid w:val="002151C3"/>
    <w:rPr>
      <w:rFonts w:ascii="Times New Roman" w:hAnsi="Times New Roman"/>
      <w:b w:val="0"/>
      <w:sz w:val="24"/>
      <w:lang w:val="en-GB" w:eastAsia="fr-FR"/>
    </w:rPr>
  </w:style>
  <w:style w:type="paragraph" w:customStyle="1" w:styleId="headingb0">
    <w:name w:val="heading_b"/>
    <w:basedOn w:val="Heading3"/>
    <w:next w:val="Normal"/>
    <w:link w:val="headingbZchn"/>
    <w:rsid w:val="002151C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lang w:val="en-GB" w:eastAsia="fr-FR"/>
    </w:rPr>
  </w:style>
  <w:style w:type="paragraph" w:customStyle="1" w:styleId="Tablefin">
    <w:name w:val="Table_fin"/>
    <w:basedOn w:val="Normal"/>
    <w:rsid w:val="002151C3"/>
    <w:pPr>
      <w:spacing w:before="160"/>
      <w:textAlignment w:val="auto"/>
    </w:pPr>
    <w:rPr>
      <w:rFonts w:ascii="Times New Roman Bold" w:eastAsia="MS Mincho" w:hAnsi="Times New Roman Bold" w:cs="Times New Roman Bold"/>
      <w:b/>
      <w:lang w:val="en-GB" w:eastAsia="ja-JP"/>
    </w:rPr>
  </w:style>
  <w:style w:type="paragraph" w:customStyle="1" w:styleId="Tableno1">
    <w:name w:val="Table_no"/>
    <w:basedOn w:val="Normal"/>
    <w:rsid w:val="002151C3"/>
    <w:pPr>
      <w:textAlignment w:val="auto"/>
    </w:pPr>
    <w:rPr>
      <w:lang w:val="en-US"/>
    </w:rPr>
  </w:style>
  <w:style w:type="paragraph" w:customStyle="1" w:styleId="Headingb1">
    <w:name w:val="Heading b"/>
    <w:basedOn w:val="Normal"/>
    <w:rsid w:val="002151C3"/>
    <w:pPr>
      <w:textAlignment w:val="auto"/>
    </w:pPr>
    <w:rPr>
      <w:rFonts w:eastAsia="MS Mincho"/>
      <w:b/>
      <w:lang w:val="fr-CH" w:eastAsia="ja-JP"/>
    </w:rPr>
  </w:style>
  <w:style w:type="paragraph" w:customStyle="1" w:styleId="Methodheading5">
    <w:name w:val="Method_heading5"/>
    <w:basedOn w:val="Methodheading4"/>
    <w:rsid w:val="002151C3"/>
    <w:pPr>
      <w:textAlignment w:val="auto"/>
    </w:pPr>
    <w:rPr>
      <w:lang w:val="fr-CH"/>
    </w:rPr>
  </w:style>
  <w:style w:type="paragraph" w:customStyle="1" w:styleId="StyleCallJustified">
    <w:name w:val="Style Call + Justified"/>
    <w:basedOn w:val="Call"/>
    <w:rsid w:val="002151C3"/>
    <w:pPr>
      <w:textAlignment w:val="auto"/>
    </w:pPr>
  </w:style>
  <w:style w:type="paragraph" w:customStyle="1" w:styleId="EditorsNote">
    <w:name w:val="EditorsNote"/>
    <w:basedOn w:val="Normal"/>
    <w:rsid w:val="002151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Normal8">
    <w:name w:val="Normal8"/>
    <w:basedOn w:val="Normal"/>
    <w:rsid w:val="002151C3"/>
    <w:pPr>
      <w:textAlignment w:val="auto"/>
    </w:pPr>
  </w:style>
  <w:style w:type="paragraph" w:customStyle="1" w:styleId="m">
    <w:name w:val="m"/>
    <w:basedOn w:val="Heading3"/>
    <w:rsid w:val="002151C3"/>
    <w:pPr>
      <w:tabs>
        <w:tab w:val="clear" w:pos="1871"/>
        <w:tab w:val="clear" w:pos="2268"/>
      </w:tabs>
      <w:overflowPunct/>
      <w:autoSpaceDE/>
      <w:autoSpaceDN/>
      <w:adjustRightInd/>
      <w:spacing w:before="160"/>
      <w:ind w:left="0" w:firstLine="0"/>
      <w:textAlignment w:val="auto"/>
    </w:pPr>
    <w:rPr>
      <w:rFonts w:asciiTheme="majorHAnsi" w:eastAsiaTheme="majorEastAsia" w:hAnsiTheme="majorHAnsi" w:cstheme="majorBidi"/>
      <w:b w:val="0"/>
      <w:sz w:val="32"/>
      <w:szCs w:val="32"/>
      <w:lang w:val="en-US" w:eastAsia="zh-CN"/>
    </w:rPr>
  </w:style>
  <w:style w:type="paragraph" w:customStyle="1" w:styleId="paragraph">
    <w:name w:val="paragraph"/>
    <w:basedOn w:val="Normal"/>
    <w:qFormat/>
    <w:rsid w:val="002151C3"/>
    <w:pPr>
      <w:tabs>
        <w:tab w:val="clear" w:pos="1134"/>
        <w:tab w:val="clear" w:pos="1871"/>
        <w:tab w:val="clear" w:pos="2268"/>
      </w:tabs>
      <w:overflowPunct/>
      <w:autoSpaceDE/>
      <w:autoSpaceDN/>
      <w:adjustRightInd/>
      <w:spacing w:before="100" w:beforeAutospacing="1" w:after="100" w:afterAutospacing="1" w:line="300" w:lineRule="auto"/>
      <w:textAlignment w:val="auto"/>
    </w:pPr>
    <w:rPr>
      <w:rFonts w:asciiTheme="minorHAnsi" w:eastAsiaTheme="minorEastAsia" w:hAnsiTheme="minorHAnsi" w:cstheme="minorBidi"/>
      <w:sz w:val="21"/>
      <w:szCs w:val="24"/>
      <w:lang w:val="en-US" w:eastAsia="zh-CN"/>
    </w:rPr>
  </w:style>
  <w:style w:type="paragraph" w:customStyle="1" w:styleId="Tablefreq0">
    <w:name w:val="Table freq"/>
    <w:basedOn w:val="Normal"/>
    <w:rsid w:val="002151C3"/>
    <w:pPr>
      <w:tabs>
        <w:tab w:val="clear" w:pos="1134"/>
        <w:tab w:val="clear" w:pos="1871"/>
        <w:tab w:val="clear" w:pos="2268"/>
        <w:tab w:val="left" w:pos="170"/>
        <w:tab w:val="left" w:pos="567"/>
        <w:tab w:val="left" w:pos="737"/>
        <w:tab w:val="left" w:pos="2977"/>
        <w:tab w:val="left" w:pos="3266"/>
      </w:tabs>
      <w:overflowPunct/>
      <w:autoSpaceDE/>
      <w:autoSpaceDN/>
      <w:adjustRightInd/>
      <w:spacing w:before="30" w:after="30" w:line="300" w:lineRule="auto"/>
      <w:textAlignment w:val="auto"/>
    </w:pPr>
    <w:rPr>
      <w:rFonts w:asciiTheme="minorHAnsi" w:eastAsiaTheme="minorEastAsia" w:hAnsiTheme="minorHAnsi" w:cstheme="minorBidi"/>
      <w:b/>
      <w:sz w:val="20"/>
      <w:szCs w:val="21"/>
      <w:lang w:val="en-US" w:eastAsia="zh-CN"/>
    </w:rPr>
  </w:style>
  <w:style w:type="paragraph" w:customStyle="1" w:styleId="TabletextCentered">
    <w:name w:val="Table_text + Centered"/>
    <w:aliases w:val="Superscript"/>
    <w:basedOn w:val="Tabletext"/>
    <w:rsid w:val="002151C3"/>
    <w:pPr>
      <w:keepLines/>
      <w:jc w:val="center"/>
      <w:textAlignment w:val="auto"/>
    </w:pPr>
    <w:rPr>
      <w:noProof/>
      <w:vertAlign w:val="superscript"/>
      <w:lang w:val="fr-CH"/>
    </w:rPr>
  </w:style>
  <w:style w:type="paragraph" w:customStyle="1" w:styleId="TabletextHanging0">
    <w:name w:val="Table_text + Hanging:  0"/>
    <w:aliases w:val="5 cm"/>
    <w:basedOn w:val="Tabletext"/>
    <w:rsid w:val="002151C3"/>
    <w:pPr>
      <w:ind w:left="284" w:hanging="284"/>
      <w:textAlignment w:val="auto"/>
    </w:pPr>
    <w:rPr>
      <w:lang w:val="en-US"/>
    </w:rPr>
  </w:style>
  <w:style w:type="paragraph" w:customStyle="1" w:styleId="Unquote">
    <w:name w:val="Unquote"/>
    <w:basedOn w:val="Headingb"/>
    <w:rsid w:val="002151C3"/>
    <w:pPr>
      <w:keepNext w:val="0"/>
      <w:spacing w:before="120" w:after="240"/>
      <w:textAlignment w:val="auto"/>
    </w:pPr>
    <w:rPr>
      <w:rFonts w:ascii="Times New Roman Bold" w:hAnsi="Times New Roman Bold" w:cs="Times New Roman Bold"/>
      <w:i/>
      <w:iCs/>
      <w:u w:val="single"/>
      <w:lang w:val="en-US"/>
    </w:rPr>
  </w:style>
  <w:style w:type="paragraph" w:customStyle="1" w:styleId="Normala">
    <w:name w:val="Normal_a"/>
    <w:basedOn w:val="Normal"/>
    <w:rsid w:val="002151C3"/>
    <w:pPr>
      <w:textAlignment w:val="auto"/>
    </w:pPr>
    <w:rPr>
      <w:lang w:val="en-GB"/>
    </w:rPr>
  </w:style>
  <w:style w:type="paragraph" w:customStyle="1" w:styleId="Headingu">
    <w:name w:val="Heading_u"/>
    <w:basedOn w:val="Normal"/>
    <w:rsid w:val="002151C3"/>
    <w:pPr>
      <w:textAlignment w:val="auto"/>
    </w:pPr>
    <w:rPr>
      <w:u w:val="single"/>
      <w:lang w:val="en-GB"/>
    </w:rPr>
  </w:style>
  <w:style w:type="paragraph" w:customStyle="1" w:styleId="Resons">
    <w:name w:val="Resons"/>
    <w:basedOn w:val="Normal"/>
    <w:rsid w:val="002151C3"/>
    <w:pPr>
      <w:textAlignment w:val="auto"/>
    </w:pPr>
    <w:rPr>
      <w:lang w:val="fr-CH"/>
    </w:rPr>
  </w:style>
  <w:style w:type="paragraph" w:customStyle="1" w:styleId="Arti">
    <w:name w:val="Arti"/>
    <w:basedOn w:val="ArtNo"/>
    <w:rsid w:val="002151C3"/>
    <w:pPr>
      <w:textAlignment w:val="auto"/>
    </w:pPr>
    <w:rPr>
      <w:lang w:val="fr-CH"/>
    </w:rPr>
  </w:style>
  <w:style w:type="paragraph" w:customStyle="1" w:styleId="Tablefin0">
    <w:name w:val="Table fin"/>
    <w:basedOn w:val="Reasons"/>
    <w:rsid w:val="002151C3"/>
    <w:pPr>
      <w:spacing w:before="0"/>
      <w:textAlignment w:val="auto"/>
    </w:pPr>
    <w:rPr>
      <w:b/>
      <w:sz w:val="18"/>
      <w:lang w:val="en-GB"/>
    </w:rPr>
  </w:style>
  <w:style w:type="paragraph" w:customStyle="1" w:styleId="At">
    <w:name w:val="At"/>
    <w:basedOn w:val="ArtNo"/>
    <w:rsid w:val="002151C3"/>
    <w:pPr>
      <w:textAlignment w:val="auto"/>
    </w:pPr>
  </w:style>
  <w:style w:type="paragraph" w:customStyle="1" w:styleId="Tablele">
    <w:name w:val="Table le"/>
    <w:basedOn w:val="Normal"/>
    <w:rsid w:val="002151C3"/>
    <w:pPr>
      <w:textAlignment w:val="auto"/>
    </w:pPr>
    <w:rPr>
      <w:lang w:val="fr-CH"/>
    </w:rPr>
  </w:style>
  <w:style w:type="paragraph" w:customStyle="1" w:styleId="MEP">
    <w:name w:val="MEP"/>
    <w:basedOn w:val="Normal"/>
    <w:rsid w:val="002151C3"/>
    <w:pPr>
      <w:spacing w:before="240"/>
      <w:jc w:val="both"/>
      <w:textAlignment w:val="auto"/>
    </w:pPr>
    <w:rPr>
      <w:noProof/>
      <w:lang w:val="en-GB"/>
    </w:rPr>
  </w:style>
  <w:style w:type="paragraph" w:customStyle="1" w:styleId="TableNote">
    <w:name w:val="TableNote"/>
    <w:basedOn w:val="Normal"/>
    <w:uiPriority w:val="99"/>
    <w:rsid w:val="002151C3"/>
    <w:pPr>
      <w:tabs>
        <w:tab w:val="clear" w:pos="1134"/>
        <w:tab w:val="clear" w:pos="1871"/>
        <w:tab w:val="clear" w:pos="2268"/>
      </w:tabs>
      <w:spacing w:before="40" w:after="40"/>
      <w:textAlignment w:val="auto"/>
    </w:pPr>
    <w:rPr>
      <w:rFonts w:eastAsiaTheme="minorEastAsia"/>
      <w:color w:val="000000"/>
      <w:sz w:val="20"/>
    </w:rPr>
  </w:style>
  <w:style w:type="paragraph" w:customStyle="1" w:styleId="ECCParBulleted">
    <w:name w:val="ECC Par Bulleted"/>
    <w:basedOn w:val="Normal"/>
    <w:rsid w:val="002151C3"/>
    <w:pPr>
      <w:numPr>
        <w:numId w:val="16"/>
      </w:numPr>
      <w:tabs>
        <w:tab w:val="clear" w:pos="1134"/>
        <w:tab w:val="clear" w:pos="1871"/>
        <w:tab w:val="clear" w:pos="2268"/>
      </w:tabs>
      <w:overflowPunct/>
      <w:autoSpaceDE/>
      <w:autoSpaceDN/>
      <w:adjustRightInd/>
      <w:spacing w:before="0"/>
      <w:jc w:val="both"/>
      <w:textAlignment w:val="auto"/>
    </w:pPr>
    <w:rPr>
      <w:rFonts w:ascii="Arial" w:hAnsi="Arial"/>
      <w:sz w:val="20"/>
      <w:szCs w:val="24"/>
      <w:lang w:val="en-GB"/>
    </w:rPr>
  </w:style>
  <w:style w:type="paragraph" w:customStyle="1" w:styleId="Tabletext1">
    <w:name w:val="Table text"/>
    <w:basedOn w:val="Normal"/>
    <w:rsid w:val="002151C3"/>
    <w:pPr>
      <w:tabs>
        <w:tab w:val="clear" w:pos="1134"/>
        <w:tab w:val="clear" w:pos="1871"/>
        <w:tab w:val="clear" w:pos="2268"/>
      </w:tabs>
      <w:adjustRightInd/>
      <w:jc w:val="center"/>
      <w:textAlignment w:val="auto"/>
    </w:pPr>
    <w:rPr>
      <w:rFonts w:eastAsiaTheme="minorEastAsia"/>
      <w:color w:val="000000"/>
      <w:sz w:val="20"/>
      <w:lang w:val="en-GB" w:eastAsia="ru-RU"/>
    </w:rPr>
  </w:style>
  <w:style w:type="character" w:customStyle="1" w:styleId="Note2Char">
    <w:name w:val="Note2 Char"/>
    <w:basedOn w:val="DefaultParagraphFont"/>
    <w:link w:val="Note2"/>
    <w:locked/>
    <w:rsid w:val="002151C3"/>
    <w:rPr>
      <w:rFonts w:ascii="Times New Roman" w:hAnsi="Times New Roman"/>
      <w:szCs w:val="16"/>
      <w:lang w:val="en-GB" w:eastAsia="en-US"/>
    </w:rPr>
  </w:style>
  <w:style w:type="paragraph" w:customStyle="1" w:styleId="Note2">
    <w:name w:val="Note2"/>
    <w:basedOn w:val="Normal"/>
    <w:link w:val="Note2Char"/>
    <w:qFormat/>
    <w:rsid w:val="002151C3"/>
    <w:pPr>
      <w:tabs>
        <w:tab w:val="left" w:pos="284"/>
      </w:tabs>
      <w:spacing w:before="80"/>
      <w:jc w:val="both"/>
      <w:textAlignment w:val="auto"/>
    </w:pPr>
    <w:rPr>
      <w:sz w:val="20"/>
      <w:szCs w:val="16"/>
      <w:lang w:val="en-GB"/>
    </w:rPr>
  </w:style>
  <w:style w:type="character" w:customStyle="1" w:styleId="BRNormalZchn">
    <w:name w:val="BR_Normal Zchn"/>
    <w:basedOn w:val="DefaultParagraphFont"/>
    <w:link w:val="BRNormal"/>
    <w:locked/>
    <w:rsid w:val="002151C3"/>
    <w:rPr>
      <w:rFonts w:ascii="Times New Roman" w:hAnsi="Times New Roman"/>
      <w:sz w:val="24"/>
      <w:lang w:val="en-GB" w:eastAsia="en-US"/>
    </w:rPr>
  </w:style>
  <w:style w:type="paragraph" w:customStyle="1" w:styleId="BRNormal">
    <w:name w:val="BR_Normal"/>
    <w:basedOn w:val="Normal"/>
    <w:link w:val="BRNormalZchn"/>
    <w:qFormat/>
    <w:rsid w:val="002151C3"/>
    <w:pPr>
      <w:textAlignment w:val="auto"/>
    </w:pPr>
    <w:rPr>
      <w:lang w:val="en-GB"/>
    </w:rPr>
  </w:style>
  <w:style w:type="paragraph" w:customStyle="1" w:styleId="Heading">
    <w:name w:val="Heading"/>
    <w:basedOn w:val="Normal"/>
    <w:next w:val="BodyText"/>
    <w:rsid w:val="002151C3"/>
    <w:pPr>
      <w:keepNext/>
      <w:suppressAutoHyphens/>
      <w:autoSpaceDN/>
      <w:adjustRightInd/>
      <w:spacing w:before="240" w:after="120"/>
      <w:textAlignment w:val="auto"/>
    </w:pPr>
    <w:rPr>
      <w:rFonts w:ascii="Arial" w:eastAsia="Microsoft YaHei" w:hAnsi="Arial" w:cs="Mangal"/>
      <w:sz w:val="28"/>
      <w:szCs w:val="28"/>
      <w:lang w:val="en-GB" w:eastAsia="zh-CN"/>
    </w:rPr>
  </w:style>
  <w:style w:type="paragraph" w:customStyle="1" w:styleId="Index">
    <w:name w:val="Index"/>
    <w:basedOn w:val="Normal"/>
    <w:rsid w:val="002151C3"/>
    <w:pPr>
      <w:suppressLineNumbers/>
      <w:suppressAutoHyphens/>
      <w:autoSpaceDN/>
      <w:adjustRightInd/>
      <w:textAlignment w:val="auto"/>
    </w:pPr>
    <w:rPr>
      <w:rFonts w:cs="Mangal"/>
      <w:lang w:val="en-GB" w:eastAsia="zh-CN"/>
    </w:rPr>
  </w:style>
  <w:style w:type="paragraph" w:customStyle="1" w:styleId="TabletitleBR">
    <w:name w:val="Table_title_BR"/>
    <w:basedOn w:val="Normal"/>
    <w:next w:val="Tablehead"/>
    <w:rsid w:val="002151C3"/>
    <w:pPr>
      <w:keepNext/>
      <w:keepLines/>
      <w:suppressAutoHyphens/>
      <w:autoSpaceDN/>
      <w:adjustRightInd/>
      <w:spacing w:before="0" w:after="120"/>
      <w:jc w:val="center"/>
      <w:textAlignment w:val="auto"/>
    </w:pPr>
    <w:rPr>
      <w:b/>
      <w:lang w:val="en-GB" w:eastAsia="zh-CN"/>
    </w:rPr>
  </w:style>
  <w:style w:type="paragraph" w:customStyle="1" w:styleId="TableNoBR">
    <w:name w:val="Table_No_BR"/>
    <w:basedOn w:val="Normal"/>
    <w:next w:val="TabletitleBR"/>
    <w:rsid w:val="002151C3"/>
    <w:pPr>
      <w:keepNext/>
      <w:suppressAutoHyphens/>
      <w:autoSpaceDN/>
      <w:adjustRightInd/>
      <w:spacing w:before="560" w:after="120"/>
      <w:jc w:val="center"/>
      <w:textAlignment w:val="auto"/>
    </w:pPr>
    <w:rPr>
      <w:caps/>
      <w:lang w:val="en-GB" w:eastAsia="zh-CN"/>
    </w:rPr>
  </w:style>
  <w:style w:type="paragraph" w:customStyle="1" w:styleId="FiguretitleBR">
    <w:name w:val="Figure_title_BR"/>
    <w:basedOn w:val="TabletitleBR"/>
    <w:next w:val="Figurewithouttitle"/>
    <w:rsid w:val="002151C3"/>
    <w:pPr>
      <w:keepNext w:val="0"/>
      <w:spacing w:after="480"/>
    </w:pPr>
  </w:style>
  <w:style w:type="paragraph" w:customStyle="1" w:styleId="FigureNoBR">
    <w:name w:val="Figure_No_BR"/>
    <w:basedOn w:val="Normal"/>
    <w:next w:val="FiguretitleBR"/>
    <w:rsid w:val="002151C3"/>
    <w:pPr>
      <w:keepNext/>
      <w:keepLines/>
      <w:suppressAutoHyphens/>
      <w:autoSpaceDN/>
      <w:adjustRightInd/>
      <w:spacing w:before="480" w:after="120"/>
      <w:jc w:val="center"/>
      <w:textAlignment w:val="auto"/>
    </w:pPr>
    <w:rPr>
      <w:caps/>
      <w:lang w:val="en-GB" w:eastAsia="zh-CN"/>
    </w:rPr>
  </w:style>
  <w:style w:type="paragraph" w:customStyle="1" w:styleId="FigureTitle0">
    <w:name w:val="Figure Title"/>
    <w:basedOn w:val="Normal"/>
    <w:rsid w:val="002151C3"/>
    <w:pPr>
      <w:widowControl w:val="0"/>
      <w:suppressAutoHyphens/>
      <w:overflowPunct/>
      <w:autoSpaceDE/>
      <w:autoSpaceDN/>
      <w:adjustRightInd/>
      <w:spacing w:after="120" w:line="360" w:lineRule="atLeast"/>
      <w:ind w:left="1440"/>
      <w:jc w:val="center"/>
      <w:textAlignment w:val="auto"/>
    </w:pPr>
    <w:rPr>
      <w:rFonts w:eastAsia="SimSun"/>
      <w:b/>
      <w:kern w:val="2"/>
      <w:sz w:val="22"/>
      <w:lang w:val="en-US" w:eastAsia="zh-CN"/>
    </w:rPr>
  </w:style>
  <w:style w:type="paragraph" w:customStyle="1" w:styleId="Fig">
    <w:name w:val="Fig"/>
    <w:basedOn w:val="Normal"/>
    <w:next w:val="Normal"/>
    <w:rsid w:val="002151C3"/>
    <w:pPr>
      <w:suppressAutoHyphens/>
      <w:autoSpaceDN/>
      <w:adjustRightInd/>
      <w:spacing w:before="136"/>
      <w:jc w:val="center"/>
      <w:textAlignment w:val="auto"/>
    </w:pPr>
    <w:rPr>
      <w:sz w:val="20"/>
      <w:lang w:val="en-US" w:eastAsia="zh-CN"/>
    </w:rPr>
  </w:style>
  <w:style w:type="paragraph" w:customStyle="1" w:styleId="TableContents">
    <w:name w:val="Table Contents"/>
    <w:basedOn w:val="Normal"/>
    <w:rsid w:val="002151C3"/>
    <w:pPr>
      <w:suppressLineNumbers/>
      <w:suppressAutoHyphens/>
      <w:autoSpaceDN/>
      <w:adjustRightInd/>
      <w:textAlignment w:val="auto"/>
    </w:pPr>
    <w:rPr>
      <w:lang w:val="en-GB" w:eastAsia="zh-CN"/>
    </w:rPr>
  </w:style>
  <w:style w:type="paragraph" w:customStyle="1" w:styleId="TableHeading">
    <w:name w:val="Table Heading"/>
    <w:basedOn w:val="TableContents"/>
    <w:rsid w:val="002151C3"/>
    <w:pPr>
      <w:jc w:val="center"/>
    </w:pPr>
    <w:rPr>
      <w:b/>
      <w:bCs/>
    </w:rPr>
  </w:style>
  <w:style w:type="paragraph" w:customStyle="1" w:styleId="Framecontents">
    <w:name w:val="Frame contents"/>
    <w:basedOn w:val="BodyText"/>
    <w:rsid w:val="002151C3"/>
    <w:pPr>
      <w:framePr w:hSpace="0" w:wrap="auto" w:vAnchor="margin" w:yAlign="inline"/>
      <w:suppressAutoHyphens/>
      <w:autoSpaceDN/>
      <w:adjustRightInd/>
      <w:spacing w:before="0" w:after="120"/>
      <w:jc w:val="left"/>
    </w:pPr>
    <w:rPr>
      <w:b w:val="0"/>
      <w:smallCaps w:val="0"/>
      <w:lang w:val="en-GB" w:eastAsia="zh-CN"/>
    </w:rPr>
  </w:style>
  <w:style w:type="paragraph" w:customStyle="1" w:styleId="t3">
    <w:name w:val="t3"/>
    <w:basedOn w:val="Normal"/>
    <w:rsid w:val="002151C3"/>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paragraph" w:customStyle="1" w:styleId="ResTitle0">
    <w:name w:val="Res_Title"/>
    <w:basedOn w:val="Normal"/>
    <w:rsid w:val="002151C3"/>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US"/>
    </w:rPr>
  </w:style>
  <w:style w:type="character" w:customStyle="1" w:styleId="BodyText-MITRE2007Char">
    <w:name w:val="Body Text - MITRE 2007 Char"/>
    <w:basedOn w:val="DefaultParagraphFont"/>
    <w:link w:val="BodyText-MITRE2007"/>
    <w:locked/>
    <w:rsid w:val="002151C3"/>
    <w:rPr>
      <w:rFonts w:ascii="Times New Roman" w:eastAsiaTheme="minorEastAsia" w:hAnsi="Times New Roman"/>
      <w:sz w:val="24"/>
      <w:szCs w:val="24"/>
      <w:lang w:eastAsia="en-US"/>
    </w:rPr>
  </w:style>
  <w:style w:type="paragraph" w:customStyle="1" w:styleId="BodyText-MITRE2007">
    <w:name w:val="Body Text - MITRE 2007"/>
    <w:link w:val="BodyText-MITRE2007Char"/>
    <w:qFormat/>
    <w:rsid w:val="002151C3"/>
    <w:pPr>
      <w:tabs>
        <w:tab w:val="left" w:pos="720"/>
        <w:tab w:val="left" w:pos="2160"/>
        <w:tab w:val="left" w:pos="3600"/>
        <w:tab w:val="left" w:pos="5040"/>
        <w:tab w:val="left" w:pos="6480"/>
        <w:tab w:val="left" w:pos="7920"/>
      </w:tabs>
      <w:spacing w:before="100" w:after="100"/>
    </w:pPr>
    <w:rPr>
      <w:rFonts w:ascii="Times New Roman" w:eastAsiaTheme="minorEastAsia" w:hAnsi="Times New Roman"/>
      <w:sz w:val="24"/>
      <w:szCs w:val="24"/>
      <w:lang w:eastAsia="en-US"/>
    </w:rPr>
  </w:style>
  <w:style w:type="paragraph" w:customStyle="1" w:styleId="p0">
    <w:name w:val="p0"/>
    <w:basedOn w:val="Normal"/>
    <w:rsid w:val="002151C3"/>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5">
    <w:name w:val="p15"/>
    <w:basedOn w:val="Normal"/>
    <w:rsid w:val="002151C3"/>
    <w:pPr>
      <w:tabs>
        <w:tab w:val="clear" w:pos="1134"/>
        <w:tab w:val="clear" w:pos="1871"/>
        <w:tab w:val="clear" w:pos="2268"/>
      </w:tabs>
      <w:overflowPunct/>
      <w:autoSpaceDE/>
      <w:adjustRightInd/>
      <w:spacing w:before="0" w:after="200" w:line="271" w:lineRule="auto"/>
      <w:ind w:left="720"/>
      <w:textAlignment w:val="auto"/>
    </w:pPr>
    <w:rPr>
      <w:rFonts w:ascii="Calibri" w:eastAsia="SimSun" w:hAnsi="Calibri" w:cs="Calibri"/>
      <w:sz w:val="22"/>
      <w:szCs w:val="22"/>
      <w:lang w:val="en-US" w:eastAsia="zh-CN"/>
    </w:rPr>
  </w:style>
  <w:style w:type="character" w:customStyle="1" w:styleId="Note95ptCharChar">
    <w:name w:val="Note + 9.5 pt Char Char"/>
    <w:link w:val="Note95pt"/>
    <w:locked/>
    <w:rsid w:val="002151C3"/>
    <w:rPr>
      <w:rFonts w:ascii="Times New Roman" w:eastAsia="SimSun" w:hAnsi="Times New Roman"/>
      <w:sz w:val="19"/>
      <w:szCs w:val="19"/>
      <w:lang w:val="ru-RU" w:eastAsia="ru-RU"/>
    </w:rPr>
  </w:style>
  <w:style w:type="paragraph" w:customStyle="1" w:styleId="Note95pt">
    <w:name w:val="Note + 9.5 pt"/>
    <w:basedOn w:val="Normal"/>
    <w:link w:val="Note95ptCharChar"/>
    <w:rsid w:val="002151C3"/>
    <w:pPr>
      <w:tabs>
        <w:tab w:val="left" w:pos="284"/>
      </w:tabs>
      <w:spacing w:before="80"/>
      <w:ind w:left="992"/>
      <w:jc w:val="both"/>
      <w:textAlignment w:val="auto"/>
    </w:pPr>
    <w:rPr>
      <w:rFonts w:eastAsia="SimSun"/>
      <w:sz w:val="19"/>
      <w:szCs w:val="19"/>
      <w:lang w:val="ru-RU" w:eastAsia="ru-RU"/>
    </w:rPr>
  </w:style>
  <w:style w:type="character" w:customStyle="1" w:styleId="Note95ptBoldChar">
    <w:name w:val="Note + 9.5 pt Bold Char"/>
    <w:link w:val="Note95ptBold"/>
    <w:locked/>
    <w:rsid w:val="002151C3"/>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2151C3"/>
    <w:pPr>
      <w:tabs>
        <w:tab w:val="left" w:pos="284"/>
      </w:tabs>
      <w:spacing w:before="80"/>
      <w:ind w:left="992"/>
      <w:jc w:val="both"/>
      <w:textAlignment w:val="auto"/>
    </w:pPr>
    <w:rPr>
      <w:rFonts w:eastAsia="SimSun"/>
      <w:b/>
      <w:bCs/>
      <w:sz w:val="19"/>
      <w:szCs w:val="19"/>
      <w:lang w:val="ru-RU" w:eastAsia="ru-RU"/>
    </w:rPr>
  </w:style>
  <w:style w:type="paragraph" w:customStyle="1" w:styleId="yiv4770536762msonormal">
    <w:name w:val="yiv4770536762msonormal"/>
    <w:basedOn w:val="Normal"/>
    <w:rsid w:val="002151C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Agenda">
    <w:name w:val="Agenda"/>
    <w:basedOn w:val="Title3"/>
    <w:rsid w:val="002151C3"/>
    <w:rPr>
      <w:lang w:val="en-GB"/>
    </w:rPr>
  </w:style>
  <w:style w:type="paragraph" w:customStyle="1" w:styleId="Default">
    <w:name w:val="Default"/>
    <w:rsid w:val="002151C3"/>
    <w:pPr>
      <w:autoSpaceDE w:val="0"/>
      <w:autoSpaceDN w:val="0"/>
      <w:adjustRightInd w:val="0"/>
    </w:pPr>
    <w:rPr>
      <w:rFonts w:ascii="Times New Roman" w:eastAsiaTheme="minorEastAsia" w:hAnsi="Times New Roman"/>
      <w:color w:val="000000"/>
      <w:sz w:val="24"/>
      <w:szCs w:val="24"/>
      <w:lang w:val="fr-FR"/>
    </w:rPr>
  </w:style>
  <w:style w:type="paragraph" w:customStyle="1" w:styleId="Tablehead1">
    <w:name w:val="Table head"/>
    <w:basedOn w:val="Normal"/>
    <w:rsid w:val="002151C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textAlignment w:val="auto"/>
    </w:pPr>
    <w:rPr>
      <w:rFonts w:ascii="Times New Roman Bold" w:hAnsi="Times New Roman Bold"/>
      <w:b/>
      <w:sz w:val="20"/>
      <w:lang w:val="en-GB"/>
    </w:rPr>
  </w:style>
  <w:style w:type="paragraph" w:customStyle="1" w:styleId="TableTitle0">
    <w:name w:val="Table_Title"/>
    <w:basedOn w:val="Normal"/>
    <w:next w:val="Normal"/>
    <w:rsid w:val="002151C3"/>
    <w:pPr>
      <w:keepNext/>
      <w:tabs>
        <w:tab w:val="clear" w:pos="1134"/>
        <w:tab w:val="clear" w:pos="1871"/>
        <w:tab w:val="clear" w:pos="2268"/>
      </w:tabs>
      <w:spacing w:before="0" w:after="120"/>
      <w:jc w:val="center"/>
      <w:textAlignment w:val="auto"/>
    </w:pPr>
    <w:rPr>
      <w:b/>
      <w:sz w:val="20"/>
      <w:lang w:val="en-GB"/>
    </w:rPr>
  </w:style>
  <w:style w:type="character" w:customStyle="1" w:styleId="Style2notboldChar">
    <w:name w:val="Style2 (not bold) Char"/>
    <w:basedOn w:val="DefaultParagraphFont"/>
    <w:link w:val="Style2notbold"/>
    <w:locked/>
    <w:rsid w:val="002151C3"/>
    <w:rPr>
      <w:rFonts w:ascii="Times New Roman" w:hAnsi="Times New Roman"/>
      <w:noProof/>
      <w:color w:val="000000"/>
      <w:sz w:val="16"/>
      <w:szCs w:val="16"/>
      <w:lang w:eastAsia="en-US"/>
    </w:rPr>
  </w:style>
  <w:style w:type="paragraph" w:customStyle="1" w:styleId="Style2notbold">
    <w:name w:val="Style2 (not bold)"/>
    <w:basedOn w:val="Normal"/>
    <w:link w:val="Style2notboldChar"/>
    <w:rsid w:val="002151C3"/>
    <w:pPr>
      <w:tabs>
        <w:tab w:val="clear" w:pos="1134"/>
        <w:tab w:val="clear" w:pos="1871"/>
        <w:tab w:val="clear" w:pos="2268"/>
        <w:tab w:val="left" w:pos="794"/>
        <w:tab w:val="left" w:pos="1191"/>
        <w:tab w:val="left" w:pos="1588"/>
        <w:tab w:val="left" w:pos="1985"/>
      </w:tabs>
      <w:spacing w:before="40"/>
      <w:ind w:left="227"/>
      <w:textAlignment w:val="auto"/>
    </w:pPr>
    <w:rPr>
      <w:noProof/>
      <w:color w:val="000000"/>
      <w:sz w:val="16"/>
      <w:szCs w:val="16"/>
      <w:lang w:val="en-US"/>
    </w:rPr>
  </w:style>
  <w:style w:type="character" w:customStyle="1" w:styleId="AnnexNoTitleChar">
    <w:name w:val="Annex_NoTitle Char"/>
    <w:basedOn w:val="DefaultParagraphFont"/>
    <w:link w:val="AnnexNoTitle"/>
    <w:locked/>
    <w:rsid w:val="002151C3"/>
    <w:rPr>
      <w:rFonts w:ascii="Times New Roman" w:hAnsi="Times New Roman"/>
      <w:b/>
      <w:noProof/>
      <w:sz w:val="28"/>
      <w:lang w:val="en-CA" w:eastAsia="en-US"/>
    </w:rPr>
  </w:style>
  <w:style w:type="paragraph" w:customStyle="1" w:styleId="AnnexNoTitle">
    <w:name w:val="Annex_NoTitle"/>
    <w:basedOn w:val="Normal"/>
    <w:next w:val="Normal"/>
    <w:link w:val="AnnexNoTitleChar"/>
    <w:rsid w:val="002151C3"/>
    <w:pPr>
      <w:keepNext/>
      <w:keepLines/>
      <w:tabs>
        <w:tab w:val="clear" w:pos="1134"/>
        <w:tab w:val="clear" w:pos="1871"/>
        <w:tab w:val="clear" w:pos="2268"/>
        <w:tab w:val="left" w:pos="794"/>
        <w:tab w:val="left" w:pos="1191"/>
        <w:tab w:val="left" w:pos="1588"/>
        <w:tab w:val="left" w:pos="1985"/>
      </w:tabs>
      <w:spacing w:before="480"/>
      <w:jc w:val="center"/>
      <w:textAlignment w:val="auto"/>
    </w:pPr>
    <w:rPr>
      <w:b/>
      <w:noProof/>
      <w:sz w:val="28"/>
      <w:lang w:val="en-CA"/>
    </w:rPr>
  </w:style>
  <w:style w:type="character" w:customStyle="1" w:styleId="Style0CharChar">
    <w:name w:val="Style0 Char Char"/>
    <w:basedOn w:val="DefaultParagraphFont"/>
    <w:link w:val="Style0"/>
    <w:locked/>
    <w:rsid w:val="002151C3"/>
    <w:rPr>
      <w:rFonts w:ascii="Times New Roman" w:hAnsi="Times New Roman"/>
      <w:b/>
      <w:bCs/>
      <w:noProof/>
      <w:color w:val="000000"/>
      <w:sz w:val="16"/>
      <w:szCs w:val="16"/>
      <w:lang w:val="en-CA" w:eastAsia="en-US"/>
    </w:rPr>
  </w:style>
  <w:style w:type="paragraph" w:customStyle="1" w:styleId="Style0">
    <w:name w:val="Style0"/>
    <w:basedOn w:val="Normal"/>
    <w:link w:val="Style0CharChar"/>
    <w:rsid w:val="002151C3"/>
    <w:pPr>
      <w:tabs>
        <w:tab w:val="clear" w:pos="1134"/>
        <w:tab w:val="clear" w:pos="1871"/>
        <w:tab w:val="clear" w:pos="2268"/>
        <w:tab w:val="left" w:pos="794"/>
        <w:tab w:val="left" w:pos="1191"/>
        <w:tab w:val="left" w:pos="1588"/>
        <w:tab w:val="left" w:pos="1985"/>
      </w:tabs>
      <w:spacing w:before="40"/>
      <w:textAlignment w:val="auto"/>
    </w:pPr>
    <w:rPr>
      <w:b/>
      <w:bCs/>
      <w:noProof/>
      <w:color w:val="000000"/>
      <w:sz w:val="16"/>
      <w:szCs w:val="16"/>
      <w:lang w:val="en-CA"/>
    </w:rPr>
  </w:style>
  <w:style w:type="character" w:customStyle="1" w:styleId="Style1notBoldChar">
    <w:name w:val="Style1(not Bold) Char"/>
    <w:basedOn w:val="DefaultParagraphFont"/>
    <w:link w:val="Style1notBold"/>
    <w:locked/>
    <w:rsid w:val="002151C3"/>
    <w:rPr>
      <w:rFonts w:ascii="Times New Roman" w:hAnsi="Times New Roman"/>
      <w:noProof/>
      <w:color w:val="000000"/>
      <w:sz w:val="16"/>
      <w:szCs w:val="16"/>
      <w:lang w:eastAsia="en-US"/>
    </w:rPr>
  </w:style>
  <w:style w:type="paragraph" w:customStyle="1" w:styleId="Style1notBold">
    <w:name w:val="Style1(not Bold)"/>
    <w:basedOn w:val="Normal"/>
    <w:link w:val="Style1notBoldChar"/>
    <w:rsid w:val="002151C3"/>
    <w:pPr>
      <w:tabs>
        <w:tab w:val="clear" w:pos="1134"/>
        <w:tab w:val="clear" w:pos="1871"/>
        <w:tab w:val="clear" w:pos="2268"/>
        <w:tab w:val="left" w:pos="794"/>
        <w:tab w:val="left" w:pos="1191"/>
        <w:tab w:val="left" w:pos="1588"/>
        <w:tab w:val="left" w:pos="1985"/>
      </w:tabs>
      <w:spacing w:before="40"/>
      <w:ind w:left="57"/>
      <w:textAlignment w:val="auto"/>
    </w:pPr>
    <w:rPr>
      <w:noProof/>
      <w:color w:val="000000"/>
      <w:sz w:val="16"/>
      <w:szCs w:val="16"/>
      <w:lang w:val="en-US"/>
    </w:rPr>
  </w:style>
  <w:style w:type="character" w:customStyle="1" w:styleId="Style3notboldChar">
    <w:name w:val="Style3 (not bold) Char"/>
    <w:basedOn w:val="DefaultParagraphFont"/>
    <w:link w:val="Style3notbold"/>
    <w:locked/>
    <w:rsid w:val="002151C3"/>
    <w:rPr>
      <w:rFonts w:ascii="Times New Roman" w:hAnsi="Times New Roman"/>
      <w:noProof/>
      <w:sz w:val="16"/>
      <w:lang w:val="en-CA" w:eastAsia="en-US"/>
    </w:rPr>
  </w:style>
  <w:style w:type="paragraph" w:customStyle="1" w:styleId="Style3notbold">
    <w:name w:val="Style3 (not bold)"/>
    <w:basedOn w:val="Normal"/>
    <w:link w:val="Style3notboldChar"/>
    <w:rsid w:val="002151C3"/>
    <w:pPr>
      <w:tabs>
        <w:tab w:val="clear" w:pos="1134"/>
        <w:tab w:val="clear" w:pos="1871"/>
        <w:tab w:val="clear" w:pos="2268"/>
        <w:tab w:val="left" w:pos="794"/>
        <w:tab w:val="left" w:pos="1191"/>
        <w:tab w:val="left" w:pos="1588"/>
        <w:tab w:val="left" w:pos="1985"/>
      </w:tabs>
      <w:spacing w:before="40"/>
      <w:ind w:left="397"/>
      <w:textAlignment w:val="auto"/>
    </w:pPr>
    <w:rPr>
      <w:noProof/>
      <w:sz w:val="16"/>
      <w:lang w:val="en-CA"/>
    </w:rPr>
  </w:style>
  <w:style w:type="character" w:customStyle="1" w:styleId="Style4notboldChar">
    <w:name w:val="Style4 (not bold) Char"/>
    <w:basedOn w:val="Style3notboldChar"/>
    <w:link w:val="Style4notbold"/>
    <w:locked/>
    <w:rsid w:val="002151C3"/>
    <w:rPr>
      <w:rFonts w:ascii="Times New Roman" w:hAnsi="Times New Roman"/>
      <w:noProof/>
      <w:sz w:val="16"/>
      <w:lang w:val="en-CA" w:eastAsia="en-US"/>
    </w:rPr>
  </w:style>
  <w:style w:type="paragraph" w:customStyle="1" w:styleId="Style4notbold">
    <w:name w:val="Style4 (not bold)"/>
    <w:basedOn w:val="Style3notbold"/>
    <w:link w:val="Style4notboldChar"/>
    <w:rsid w:val="002151C3"/>
    <w:pPr>
      <w:ind w:left="567"/>
    </w:pPr>
  </w:style>
  <w:style w:type="character" w:customStyle="1" w:styleId="Style1Char">
    <w:name w:val="Style1 Char"/>
    <w:basedOn w:val="Style0CharChar"/>
    <w:link w:val="Style1"/>
    <w:locked/>
    <w:rsid w:val="002151C3"/>
    <w:rPr>
      <w:rFonts w:ascii="Times New Roman Bold" w:hAnsi="Times New Roman Bold" w:cs="Times New Roman Bold"/>
      <w:b/>
      <w:bCs/>
      <w:noProof/>
      <w:color w:val="000000"/>
      <w:sz w:val="16"/>
      <w:szCs w:val="16"/>
      <w:lang w:val="en-CA" w:eastAsia="en-US"/>
    </w:rPr>
  </w:style>
  <w:style w:type="paragraph" w:customStyle="1" w:styleId="Style1">
    <w:name w:val="Style1"/>
    <w:basedOn w:val="Style0"/>
    <w:link w:val="Style1Char"/>
    <w:rsid w:val="002151C3"/>
    <w:rPr>
      <w:rFonts w:ascii="Times New Roman Bold" w:hAnsi="Times New Roman Bold" w:cs="Times New Roman Bold"/>
    </w:rPr>
  </w:style>
  <w:style w:type="paragraph" w:customStyle="1" w:styleId="AppendixNoTitle">
    <w:name w:val="Appendix_NoTitle"/>
    <w:basedOn w:val="AnnexNoTitle"/>
    <w:next w:val="Normalaftertitle0"/>
    <w:rsid w:val="002151C3"/>
    <w:rPr>
      <w:noProof w:val="0"/>
      <w:lang w:val="en-GB"/>
    </w:rPr>
  </w:style>
  <w:style w:type="character" w:customStyle="1" w:styleId="HeadingbCharCharChar">
    <w:name w:val="Heading_b Char Char Char"/>
    <w:basedOn w:val="DefaultParagraphFont"/>
    <w:link w:val="HeadingbCharChar"/>
    <w:locked/>
    <w:rsid w:val="002151C3"/>
    <w:rPr>
      <w:rFonts w:ascii="Times New Roman" w:hAnsi="Times New Roman"/>
      <w:b/>
      <w:sz w:val="24"/>
      <w:lang w:val="en-GB" w:eastAsia="en-US"/>
    </w:rPr>
  </w:style>
  <w:style w:type="paragraph" w:customStyle="1" w:styleId="HeadingbCharChar">
    <w:name w:val="Heading_b Char Char"/>
    <w:basedOn w:val="Normal"/>
    <w:next w:val="Normal"/>
    <w:link w:val="HeadingbCharCharChar"/>
    <w:autoRedefine/>
    <w:rsid w:val="002151C3"/>
    <w:pPr>
      <w:keepNext/>
      <w:tabs>
        <w:tab w:val="clear" w:pos="1134"/>
        <w:tab w:val="clear" w:pos="1871"/>
        <w:tab w:val="clear" w:pos="2268"/>
        <w:tab w:val="left" w:pos="794"/>
        <w:tab w:val="left" w:pos="1191"/>
        <w:tab w:val="left" w:pos="1588"/>
        <w:tab w:val="left" w:pos="1985"/>
      </w:tabs>
      <w:spacing w:before="240"/>
      <w:textAlignment w:val="auto"/>
    </w:pPr>
    <w:rPr>
      <w:b/>
      <w:lang w:val="en-GB"/>
    </w:rPr>
  </w:style>
  <w:style w:type="paragraph" w:customStyle="1" w:styleId="Heading20">
    <w:name w:val="Heading2"/>
    <w:basedOn w:val="Heading2"/>
    <w:rsid w:val="002151C3"/>
    <w:pPr>
      <w:textAlignment w:val="auto"/>
    </w:pPr>
    <w:rPr>
      <w:lang w:val="fr-CH"/>
    </w:rPr>
  </w:style>
  <w:style w:type="character" w:customStyle="1" w:styleId="MTDisplayEquationChar">
    <w:name w:val="MTDisplayEquation Char"/>
    <w:basedOn w:val="DefaultParagraphFont"/>
    <w:link w:val="MTDisplayEquation"/>
    <w:locked/>
    <w:rsid w:val="002151C3"/>
    <w:rPr>
      <w:rFonts w:ascii="Times New Roman" w:hAnsi="Times New Roman"/>
      <w:sz w:val="24"/>
      <w:lang w:val="fr-FR" w:eastAsia="en-US"/>
    </w:rPr>
  </w:style>
  <w:style w:type="paragraph" w:customStyle="1" w:styleId="MTDisplayEquation">
    <w:name w:val="MTDisplayEquation"/>
    <w:basedOn w:val="Normal"/>
    <w:next w:val="Normal"/>
    <w:link w:val="MTDisplayEquationChar"/>
    <w:rsid w:val="002151C3"/>
    <w:pPr>
      <w:tabs>
        <w:tab w:val="clear" w:pos="1134"/>
        <w:tab w:val="clear" w:pos="1871"/>
        <w:tab w:val="clear" w:pos="2268"/>
        <w:tab w:val="center" w:pos="4820"/>
        <w:tab w:val="right" w:pos="9640"/>
      </w:tabs>
      <w:textAlignment w:val="auto"/>
    </w:pPr>
  </w:style>
  <w:style w:type="paragraph" w:customStyle="1" w:styleId="t">
    <w:name w:val="t"/>
    <w:basedOn w:val="Tabletext"/>
    <w:rsid w:val="002151C3"/>
    <w:pPr>
      <w:textAlignment w:val="auto"/>
    </w:pPr>
  </w:style>
  <w:style w:type="paragraph" w:customStyle="1" w:styleId="Table-text">
    <w:name w:val="Table-text"/>
    <w:basedOn w:val="Tabletext"/>
    <w:rsid w:val="002151C3"/>
    <w:pPr>
      <w:jc w:val="center"/>
      <w:textAlignment w:val="auto"/>
    </w:pPr>
    <w:rPr>
      <w:lang w:val="en-GB"/>
    </w:rPr>
  </w:style>
  <w:style w:type="paragraph" w:customStyle="1" w:styleId="Alinea">
    <w:name w:val="Alinea"/>
    <w:basedOn w:val="Normal"/>
    <w:qFormat/>
    <w:rsid w:val="002151C3"/>
    <w:pPr>
      <w:numPr>
        <w:numId w:val="18"/>
      </w:numPr>
      <w:tabs>
        <w:tab w:val="clear" w:pos="1134"/>
        <w:tab w:val="clear" w:pos="1871"/>
        <w:tab w:val="clear" w:pos="2268"/>
      </w:tabs>
      <w:overflowPunct/>
      <w:spacing w:before="0" w:after="120"/>
      <w:jc w:val="both"/>
      <w:textAlignment w:val="auto"/>
    </w:pPr>
    <w:rPr>
      <w:rFonts w:eastAsia="Calibri"/>
      <w:szCs w:val="24"/>
      <w:lang w:val="en-US"/>
    </w:rPr>
  </w:style>
  <w:style w:type="paragraph" w:customStyle="1" w:styleId="Appendic">
    <w:name w:val="Appendic"/>
    <w:basedOn w:val="AppendixNo"/>
    <w:rsid w:val="002151C3"/>
    <w:pPr>
      <w:textAlignment w:val="auto"/>
    </w:pPr>
  </w:style>
  <w:style w:type="paragraph" w:customStyle="1" w:styleId="enulev">
    <w:name w:val="enulev"/>
    <w:basedOn w:val="FootnoteText"/>
    <w:rsid w:val="002151C3"/>
    <w:pPr>
      <w:ind w:left="255" w:hanging="255"/>
      <w:textAlignment w:val="auto"/>
    </w:pPr>
    <w:rPr>
      <w:lang w:val="en-GB"/>
    </w:rPr>
  </w:style>
  <w:style w:type="paragraph" w:customStyle="1" w:styleId="enulev1">
    <w:name w:val="enulev1"/>
    <w:basedOn w:val="FootnoteText"/>
    <w:rsid w:val="002151C3"/>
    <w:pPr>
      <w:ind w:left="255" w:hanging="255"/>
      <w:textAlignment w:val="auto"/>
    </w:pPr>
  </w:style>
  <w:style w:type="paragraph" w:customStyle="1" w:styleId="enumlev">
    <w:name w:val="enumlev"/>
    <w:basedOn w:val="enulev1"/>
    <w:rsid w:val="002151C3"/>
  </w:style>
  <w:style w:type="paragraph" w:customStyle="1" w:styleId="Table">
    <w:name w:val="Table"/>
    <w:basedOn w:val="Normal"/>
    <w:rsid w:val="002151C3"/>
    <w:pPr>
      <w:jc w:val="center"/>
      <w:textAlignment w:val="auto"/>
    </w:pPr>
    <w:rPr>
      <w:rFonts w:asciiTheme="majorBidi" w:hAnsiTheme="majorBidi" w:cstheme="majorBidi"/>
      <w:b/>
      <w:bCs/>
      <w:i/>
      <w:iCs/>
      <w:sz w:val="18"/>
      <w:szCs w:val="18"/>
      <w:lang w:val="en-US" w:eastAsia="zh-CN"/>
    </w:rPr>
  </w:style>
  <w:style w:type="paragraph" w:customStyle="1" w:styleId="Pre">
    <w:name w:val="Pre"/>
    <w:basedOn w:val="Normal"/>
    <w:rsid w:val="002151C3"/>
    <w:pPr>
      <w:keepNext/>
      <w:spacing w:before="240"/>
      <w:textAlignment w:val="auto"/>
    </w:pPr>
    <w:rPr>
      <w:rFonts w:hAnsi="Times New Roman Bold"/>
      <w:b/>
      <w:lang w:val="fr-CH"/>
    </w:rPr>
  </w:style>
  <w:style w:type="paragraph" w:customStyle="1" w:styleId="ApE">
    <w:name w:val="ApE"/>
    <w:basedOn w:val="AppendixNo"/>
    <w:rsid w:val="002151C3"/>
    <w:pPr>
      <w:textAlignment w:val="auto"/>
    </w:pPr>
  </w:style>
  <w:style w:type="paragraph" w:customStyle="1" w:styleId="AppendixNotitle0">
    <w:name w:val="Appendix_No &amp; title"/>
    <w:basedOn w:val="Normal"/>
    <w:next w:val="Normalaftertitle0"/>
    <w:rsid w:val="002151C3"/>
    <w:pPr>
      <w:keepNext/>
      <w:keepLines/>
      <w:spacing w:before="480"/>
      <w:jc w:val="center"/>
      <w:textAlignment w:val="auto"/>
    </w:pPr>
    <w:rPr>
      <w:b/>
      <w:sz w:val="28"/>
    </w:rPr>
  </w:style>
  <w:style w:type="paragraph" w:customStyle="1" w:styleId="FooterQP">
    <w:name w:val="Footer_QP"/>
    <w:basedOn w:val="Normal"/>
    <w:uiPriority w:val="99"/>
    <w:rsid w:val="002151C3"/>
    <w:pPr>
      <w:tabs>
        <w:tab w:val="left" w:pos="907"/>
        <w:tab w:val="right" w:pos="8789"/>
        <w:tab w:val="right" w:pos="9639"/>
      </w:tabs>
      <w:spacing w:before="0"/>
      <w:textAlignment w:val="auto"/>
    </w:pPr>
    <w:rPr>
      <w:rFonts w:eastAsia="MS Mincho"/>
      <w:b/>
      <w:sz w:val="22"/>
      <w:lang w:val="en-GB"/>
    </w:rPr>
  </w:style>
  <w:style w:type="paragraph" w:customStyle="1" w:styleId="Heading8a">
    <w:name w:val="Heading 8a"/>
    <w:basedOn w:val="Heading8"/>
    <w:next w:val="Normal"/>
    <w:uiPriority w:val="99"/>
    <w:rsid w:val="002151C3"/>
    <w:pPr>
      <w:tabs>
        <w:tab w:val="clear" w:pos="1871"/>
        <w:tab w:val="clear" w:pos="2268"/>
        <w:tab w:val="left" w:pos="1418"/>
      </w:tabs>
      <w:ind w:left="1418" w:hanging="1418"/>
      <w:textAlignment w:val="auto"/>
    </w:pPr>
    <w:rPr>
      <w:rFonts w:eastAsia="MS Mincho"/>
      <w:lang w:val="en-GB"/>
    </w:rPr>
  </w:style>
  <w:style w:type="paragraph" w:customStyle="1" w:styleId="Heading9a">
    <w:name w:val="Heading 9a"/>
    <w:basedOn w:val="Heading9"/>
    <w:next w:val="Normal"/>
    <w:uiPriority w:val="99"/>
    <w:rsid w:val="002151C3"/>
    <w:pPr>
      <w:tabs>
        <w:tab w:val="clear" w:pos="1871"/>
        <w:tab w:val="clear" w:pos="2268"/>
        <w:tab w:val="left" w:pos="1559"/>
      </w:tabs>
      <w:ind w:left="1559" w:hanging="1559"/>
      <w:textAlignment w:val="auto"/>
    </w:pPr>
    <w:rPr>
      <w:rFonts w:eastAsia="MS Mincho"/>
      <w:lang w:val="en-GB"/>
    </w:rPr>
  </w:style>
  <w:style w:type="paragraph" w:customStyle="1" w:styleId="CharCharCharCharCharChar">
    <w:name w:val="Char Char Char Char Char Char"/>
    <w:basedOn w:val="Normal"/>
    <w:uiPriority w:val="99"/>
    <w:rsid w:val="002151C3"/>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AnnexNotitle0">
    <w:name w:val="Annex_No &amp; title"/>
    <w:basedOn w:val="Normal"/>
    <w:next w:val="Normalaftertitle0"/>
    <w:uiPriority w:val="99"/>
    <w:rsid w:val="002151C3"/>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b/>
      <w:sz w:val="28"/>
      <w:lang w:val="en-GB"/>
    </w:rPr>
  </w:style>
  <w:style w:type="paragraph" w:customStyle="1" w:styleId="CHAPI">
    <w:name w:val="CHAPI"/>
    <w:basedOn w:val="Chaptitle"/>
    <w:rsid w:val="002151C3"/>
    <w:pPr>
      <w:textAlignment w:val="auto"/>
    </w:pPr>
    <w:rPr>
      <w:bCs/>
      <w:lang w:val="fr-CH"/>
    </w:rPr>
  </w:style>
  <w:style w:type="paragraph" w:customStyle="1" w:styleId="prop">
    <w:name w:val="prop"/>
    <w:basedOn w:val="Source"/>
    <w:rsid w:val="002151C3"/>
    <w:pPr>
      <w:textAlignment w:val="auto"/>
    </w:pPr>
    <w:rPr>
      <w:lang w:val="fr-CH"/>
    </w:rPr>
  </w:style>
  <w:style w:type="paragraph" w:customStyle="1" w:styleId="rea">
    <w:name w:val="rea"/>
    <w:basedOn w:val="Normal"/>
    <w:rsid w:val="002151C3"/>
    <w:pPr>
      <w:textAlignment w:val="auto"/>
    </w:pPr>
    <w:rPr>
      <w:lang w:val="fr-CH"/>
    </w:rPr>
  </w:style>
  <w:style w:type="paragraph" w:customStyle="1" w:styleId="hy">
    <w:name w:val="hy"/>
    <w:basedOn w:val="TOC1"/>
    <w:rsid w:val="002151C3"/>
    <w:pPr>
      <w:tabs>
        <w:tab w:val="clear" w:pos="567"/>
      </w:tabs>
      <w:ind w:left="1134" w:hanging="1134"/>
      <w:textAlignment w:val="auto"/>
    </w:pPr>
    <w:rPr>
      <w:noProof/>
    </w:rPr>
  </w:style>
  <w:style w:type="paragraph" w:customStyle="1" w:styleId="s">
    <w:name w:val="s"/>
    <w:basedOn w:val="Normal"/>
    <w:rsid w:val="002151C3"/>
    <w:pPr>
      <w:textAlignment w:val="auto"/>
    </w:pPr>
    <w:rPr>
      <w:lang w:val="en-US"/>
    </w:rPr>
  </w:style>
  <w:style w:type="character" w:styleId="SubtleEmphasis">
    <w:name w:val="Subtle Emphasis"/>
    <w:basedOn w:val="DefaultParagraphFont"/>
    <w:uiPriority w:val="19"/>
    <w:qFormat/>
    <w:rsid w:val="002151C3"/>
    <w:rPr>
      <w:i/>
      <w:iCs/>
      <w:color w:val="595959" w:themeColor="text1" w:themeTint="A6"/>
    </w:rPr>
  </w:style>
  <w:style w:type="character" w:styleId="IntenseEmphasis">
    <w:name w:val="Intense Emphasis"/>
    <w:basedOn w:val="DefaultParagraphFont"/>
    <w:uiPriority w:val="21"/>
    <w:qFormat/>
    <w:rsid w:val="002151C3"/>
    <w:rPr>
      <w:b/>
      <w:bCs/>
      <w:i/>
      <w:iCs/>
      <w:color w:val="auto"/>
    </w:rPr>
  </w:style>
  <w:style w:type="character" w:styleId="SubtleReference">
    <w:name w:val="Subtle Reference"/>
    <w:basedOn w:val="DefaultParagraphFont"/>
    <w:uiPriority w:val="31"/>
    <w:qFormat/>
    <w:rsid w:val="002151C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1"/>
    <w:qFormat/>
    <w:rsid w:val="002151C3"/>
    <w:rPr>
      <w:b/>
      <w:bCs/>
      <w:caps w:val="0"/>
      <w:smallCaps/>
      <w:color w:val="auto"/>
      <w:spacing w:val="0"/>
      <w:u w:val="single"/>
    </w:rPr>
  </w:style>
  <w:style w:type="character" w:styleId="BookTitle">
    <w:name w:val="Book Title"/>
    <w:basedOn w:val="DefaultParagraphFont"/>
    <w:uiPriority w:val="33"/>
    <w:qFormat/>
    <w:rsid w:val="002151C3"/>
    <w:rPr>
      <w:b/>
      <w:bCs/>
      <w:caps w:val="0"/>
      <w:smallCaps/>
      <w:spacing w:val="0"/>
    </w:rPr>
  </w:style>
  <w:style w:type="character" w:customStyle="1" w:styleId="href">
    <w:name w:val="href"/>
    <w:basedOn w:val="DefaultParagraphFont"/>
    <w:qFormat/>
    <w:rsid w:val="002151C3"/>
  </w:style>
  <w:style w:type="character" w:customStyle="1" w:styleId="ArtrefBold">
    <w:name w:val="Art_ref +  Bold"/>
    <w:basedOn w:val="Artref"/>
    <w:uiPriority w:val="99"/>
    <w:rsid w:val="002151C3"/>
    <w:rPr>
      <w:b/>
      <w:bCs w:val="0"/>
      <w:color w:val="auto"/>
    </w:rPr>
  </w:style>
  <w:style w:type="character" w:customStyle="1" w:styleId="ApprefBold">
    <w:name w:val="App_ref + Bold"/>
    <w:basedOn w:val="Appref"/>
    <w:uiPriority w:val="99"/>
    <w:qFormat/>
    <w:rsid w:val="002151C3"/>
    <w:rPr>
      <w:b/>
      <w:bCs/>
      <w:color w:val="000000"/>
    </w:rPr>
  </w:style>
  <w:style w:type="character" w:customStyle="1" w:styleId="bri1">
    <w:name w:val="bri1"/>
    <w:basedOn w:val="DefaultParagraphFont"/>
    <w:rsid w:val="002151C3"/>
    <w:rPr>
      <w:b/>
      <w:bCs/>
      <w:color w:val="B10739"/>
    </w:rPr>
  </w:style>
  <w:style w:type="character" w:customStyle="1" w:styleId="Tabletitle1">
    <w:name w:val="Table_title Знак"/>
    <w:locked/>
    <w:rsid w:val="002151C3"/>
    <w:rPr>
      <w:rFonts w:ascii="Times New Roman Bold" w:hAnsi="Times New Roman Bold" w:cs="Times New Roman Bold" w:hint="default"/>
      <w:b/>
      <w:bCs w:val="0"/>
      <w:lang w:val="fr-FR" w:eastAsia="en-US"/>
    </w:rPr>
  </w:style>
  <w:style w:type="character" w:customStyle="1" w:styleId="ProposalChar">
    <w:name w:val="Proposal Char"/>
    <w:basedOn w:val="DefaultParagraphFont"/>
    <w:qFormat/>
    <w:locked/>
    <w:rsid w:val="002151C3"/>
    <w:rPr>
      <w:rFonts w:ascii="Times New Roman" w:hAnsi="Times New Roman Bold" w:cs="Times New Roman" w:hint="default"/>
      <w:b/>
      <w:bCs w:val="0"/>
      <w:sz w:val="24"/>
      <w:lang w:val="fr-FR" w:eastAsia="en-US"/>
    </w:rPr>
  </w:style>
  <w:style w:type="character" w:customStyle="1" w:styleId="BalloonTextChar1">
    <w:name w:val="Balloon Text Char1"/>
    <w:basedOn w:val="DefaultParagraphFont"/>
    <w:rsid w:val="002151C3"/>
    <w:rPr>
      <w:rFonts w:ascii="Segoe UI" w:hAnsi="Segoe UI" w:cs="Segoe UI" w:hint="default"/>
      <w:sz w:val="18"/>
      <w:szCs w:val="18"/>
      <w:lang w:val="en-GB" w:eastAsia="en-US"/>
    </w:rPr>
  </w:style>
  <w:style w:type="character" w:customStyle="1" w:styleId="ECCHLbold">
    <w:name w:val="ECC HL bold"/>
    <w:basedOn w:val="DefaultParagraphFont"/>
    <w:uiPriority w:val="1"/>
    <w:qFormat/>
    <w:rsid w:val="002151C3"/>
    <w:rPr>
      <w:b/>
      <w:bCs/>
    </w:rPr>
  </w:style>
  <w:style w:type="character" w:customStyle="1" w:styleId="ECCParagraph">
    <w:name w:val="ECC Paragraph"/>
    <w:basedOn w:val="DefaultParagraphFont"/>
    <w:uiPriority w:val="1"/>
    <w:qFormat/>
    <w:rsid w:val="002151C3"/>
    <w:rPr>
      <w:rFonts w:ascii="Arial" w:hAnsi="Arial" w:cs="Arial" w:hint="default"/>
      <w:noProof w:val="0"/>
      <w:sz w:val="20"/>
      <w:bdr w:val="none" w:sz="0" w:space="0" w:color="auto" w:frame="1"/>
      <w:lang w:val="en-GB"/>
    </w:rPr>
  </w:style>
  <w:style w:type="character" w:customStyle="1" w:styleId="ECCHLsuperscript">
    <w:name w:val="ECC HL superscript"/>
    <w:uiPriority w:val="1"/>
    <w:qFormat/>
    <w:rsid w:val="002151C3"/>
    <w:rPr>
      <w:vertAlign w:val="superscript"/>
    </w:rPr>
  </w:style>
  <w:style w:type="character" w:customStyle="1" w:styleId="ECCHLpetrol">
    <w:name w:val="ECC HL petrol"/>
    <w:basedOn w:val="DefaultParagraphFont"/>
    <w:uiPriority w:val="1"/>
    <w:qFormat/>
    <w:rsid w:val="002151C3"/>
    <w:rPr>
      <w:iCs w:val="0"/>
      <w:color w:val="FFFFFF" w:themeColor="background1"/>
      <w:bdr w:val="none" w:sz="0" w:space="0" w:color="auto" w:frame="1"/>
      <w:shd w:val="solid" w:color="008080" w:fill="auto"/>
    </w:rPr>
  </w:style>
  <w:style w:type="character" w:customStyle="1" w:styleId="st">
    <w:name w:val="st"/>
    <w:basedOn w:val="DefaultParagraphFont"/>
    <w:rsid w:val="002151C3"/>
  </w:style>
  <w:style w:type="character" w:customStyle="1" w:styleId="ArtrefBold0">
    <w:name w:val="Art_ref + Bold"/>
    <w:basedOn w:val="Artref"/>
    <w:uiPriority w:val="99"/>
    <w:rsid w:val="002151C3"/>
    <w:rPr>
      <w:b/>
      <w:bCs/>
      <w:color w:val="auto"/>
    </w:rPr>
  </w:style>
  <w:style w:type="character" w:customStyle="1" w:styleId="enumlev10">
    <w:name w:val="enumlev1 Знак"/>
    <w:basedOn w:val="DefaultParagraphFont"/>
    <w:uiPriority w:val="99"/>
    <w:locked/>
    <w:rsid w:val="002151C3"/>
    <w:rPr>
      <w:rFonts w:ascii="Times New Roman" w:hAnsi="Times New Roman" w:cs="Times New Roman" w:hint="default"/>
      <w:sz w:val="24"/>
      <w:lang w:val="en-GB" w:eastAsia="en-US"/>
    </w:rPr>
  </w:style>
  <w:style w:type="character" w:customStyle="1" w:styleId="normaltextrun">
    <w:name w:val="normaltextrun"/>
    <w:basedOn w:val="DefaultParagraphFont"/>
    <w:rsid w:val="002151C3"/>
  </w:style>
  <w:style w:type="character" w:customStyle="1" w:styleId="eop">
    <w:name w:val="eop"/>
    <w:basedOn w:val="DefaultParagraphFont"/>
    <w:rsid w:val="002151C3"/>
  </w:style>
  <w:style w:type="character" w:customStyle="1" w:styleId="TableNoChar">
    <w:name w:val="Table_No Char"/>
    <w:locked/>
    <w:rsid w:val="002151C3"/>
    <w:rPr>
      <w:rFonts w:ascii="Times New Roman" w:hAnsi="Times New Roman" w:cs="Times New Roman" w:hint="default"/>
      <w:caps/>
      <w:lang w:val="fr-FR" w:eastAsia="en-US"/>
    </w:rPr>
  </w:style>
  <w:style w:type="character" w:customStyle="1" w:styleId="a">
    <w:name w:val="Привязка сноски"/>
    <w:rsid w:val="002151C3"/>
    <w:rPr>
      <w:vertAlign w:val="superscript"/>
    </w:rPr>
  </w:style>
  <w:style w:type="character" w:customStyle="1" w:styleId="xmsoins">
    <w:name w:val="x_msoins"/>
    <w:basedOn w:val="DefaultParagraphFont"/>
    <w:rsid w:val="002151C3"/>
  </w:style>
  <w:style w:type="character" w:customStyle="1" w:styleId="xmsodel">
    <w:name w:val="x_msodel"/>
    <w:basedOn w:val="DefaultParagraphFont"/>
    <w:rsid w:val="002151C3"/>
  </w:style>
  <w:style w:type="character" w:customStyle="1" w:styleId="ApprefBold0">
    <w:name w:val="App_ref +  Bold"/>
    <w:rsid w:val="002151C3"/>
    <w:rPr>
      <w:b/>
      <w:bCs w:val="0"/>
      <w:color w:val="auto"/>
    </w:rPr>
  </w:style>
  <w:style w:type="character" w:customStyle="1" w:styleId="MODRef">
    <w:name w:val="MODRef"/>
    <w:basedOn w:val="DefaultParagraphFont"/>
    <w:rsid w:val="002151C3"/>
    <w:rPr>
      <w:b/>
      <w:bCs w:val="0"/>
      <w:sz w:val="24"/>
      <w:lang w:val="fr-FR"/>
    </w:rPr>
  </w:style>
  <w:style w:type="character" w:customStyle="1" w:styleId="fontstyle01">
    <w:name w:val="fontstyle01"/>
    <w:basedOn w:val="DefaultParagraphFont"/>
    <w:rsid w:val="002151C3"/>
    <w:rPr>
      <w:rFonts w:ascii="Calibri" w:hAnsi="Calibri" w:cs="Calibri" w:hint="default"/>
      <w:color w:val="000000"/>
      <w:sz w:val="24"/>
      <w:szCs w:val="24"/>
    </w:rPr>
  </w:style>
  <w:style w:type="character" w:customStyle="1" w:styleId="ArtrefBold1">
    <w:name w:val="Art_ref + Bold1"/>
    <w:basedOn w:val="Artref"/>
    <w:rsid w:val="002151C3"/>
    <w:rPr>
      <w:b/>
      <w:bCs/>
      <w:color w:val="auto"/>
    </w:rPr>
  </w:style>
  <w:style w:type="character" w:customStyle="1" w:styleId="title20">
    <w:name w:val="title2"/>
    <w:basedOn w:val="DefaultParagraphFont"/>
    <w:rsid w:val="002151C3"/>
  </w:style>
  <w:style w:type="character" w:customStyle="1" w:styleId="artref0">
    <w:name w:val="artref"/>
    <w:basedOn w:val="DefaultParagraphFont"/>
    <w:rsid w:val="002151C3"/>
  </w:style>
  <w:style w:type="character" w:customStyle="1" w:styleId="ECCHLcyan">
    <w:name w:val="ECC HL cyan"/>
    <w:basedOn w:val="DefaultParagraphFont"/>
    <w:uiPriority w:val="1"/>
    <w:qFormat/>
    <w:rsid w:val="002151C3"/>
    <w:rPr>
      <w:iCs w:val="0"/>
      <w:bdr w:val="none" w:sz="0" w:space="0" w:color="auto" w:frame="1"/>
      <w:shd w:val="solid" w:color="00FFFF" w:fill="auto"/>
      <w:lang w:val="en-GB"/>
    </w:rPr>
  </w:style>
  <w:style w:type="character" w:customStyle="1" w:styleId="rvts7">
    <w:name w:val="rvts7"/>
    <w:basedOn w:val="DefaultParagraphFont"/>
    <w:rsid w:val="002151C3"/>
    <w:rPr>
      <w:rFonts w:ascii="Calibri" w:hAnsi="Calibri" w:cs="Calibri" w:hint="default"/>
      <w:sz w:val="24"/>
      <w:szCs w:val="24"/>
    </w:rPr>
  </w:style>
  <w:style w:type="character" w:customStyle="1" w:styleId="illustration">
    <w:name w:val="illustration"/>
    <w:basedOn w:val="DefaultParagraphFont"/>
    <w:rsid w:val="002151C3"/>
  </w:style>
  <w:style w:type="character" w:customStyle="1" w:styleId="ECCHLmagenta">
    <w:name w:val="ECC HL magenta"/>
    <w:basedOn w:val="DefaultParagraphFont"/>
    <w:uiPriority w:val="1"/>
    <w:qFormat/>
    <w:rsid w:val="002151C3"/>
    <w:rPr>
      <w:color w:val="auto"/>
      <w:bdr w:val="none" w:sz="0" w:space="0" w:color="auto" w:frame="1"/>
      <w:shd w:val="clear" w:color="auto" w:fill="FF6699"/>
      <w:lang w:val="en-GB"/>
    </w:rPr>
  </w:style>
  <w:style w:type="character" w:customStyle="1" w:styleId="ECCHLyellow">
    <w:name w:val="ECC HL yellow"/>
    <w:basedOn w:val="DefaultParagraphFont"/>
    <w:uiPriority w:val="1"/>
    <w:qFormat/>
    <w:rsid w:val="002151C3"/>
    <w:rPr>
      <w:i w:val="0"/>
      <w:iCs w:val="0"/>
      <w:bdr w:val="none" w:sz="0" w:space="0" w:color="auto" w:frame="1"/>
      <w:shd w:val="clear" w:color="auto" w:fill="FFFF00"/>
      <w:lang w:val="en-GB"/>
    </w:rPr>
  </w:style>
  <w:style w:type="character" w:customStyle="1" w:styleId="WW8Num2z0">
    <w:name w:val="WW8Num2z0"/>
    <w:rsid w:val="002151C3"/>
    <w:rPr>
      <w:rFonts w:ascii="Times New Roman" w:hAnsi="Times New Roman" w:cs="Times New Roman" w:hint="default"/>
    </w:rPr>
  </w:style>
  <w:style w:type="character" w:customStyle="1" w:styleId="EndnoteCharacters">
    <w:name w:val="Endnote Characters"/>
    <w:rsid w:val="002151C3"/>
    <w:rPr>
      <w:vertAlign w:val="superscript"/>
    </w:rPr>
  </w:style>
  <w:style w:type="character" w:customStyle="1" w:styleId="FootnoteCharacters">
    <w:name w:val="Footnote Characters"/>
    <w:rsid w:val="002151C3"/>
    <w:rPr>
      <w:position w:val="6"/>
      <w:sz w:val="18"/>
    </w:rPr>
  </w:style>
  <w:style w:type="character" w:customStyle="1" w:styleId="ECCHLbrown">
    <w:name w:val="ECC HL brown"/>
    <w:basedOn w:val="DefaultParagraphFont"/>
    <w:uiPriority w:val="1"/>
    <w:qFormat/>
    <w:rsid w:val="002151C3"/>
    <w:rPr>
      <w:color w:val="D9D9D9" w:themeColor="background1" w:themeShade="D9"/>
      <w:bdr w:val="none" w:sz="0" w:space="0" w:color="auto" w:frame="1"/>
      <w:shd w:val="clear" w:color="auto" w:fill="996633"/>
    </w:rPr>
  </w:style>
  <w:style w:type="character" w:customStyle="1" w:styleId="apple-converted-space">
    <w:name w:val="apple-converted-space"/>
    <w:basedOn w:val="DefaultParagraphFont"/>
    <w:rsid w:val="002151C3"/>
  </w:style>
  <w:style w:type="character" w:customStyle="1" w:styleId="ECCHLblue">
    <w:name w:val="ECC HL blue"/>
    <w:uiPriority w:val="1"/>
    <w:qFormat/>
    <w:rsid w:val="002151C3"/>
    <w:rPr>
      <w:i w:val="0"/>
      <w:iCs w:val="0"/>
      <w:color w:val="FFFF00"/>
      <w:bdr w:val="none" w:sz="0" w:space="0" w:color="auto" w:frame="1"/>
      <w:shd w:val="clear" w:color="auto" w:fill="548DD4" w:themeFill="text2" w:themeFillTint="99"/>
      <w:lang w:val="en-GB"/>
    </w:rPr>
  </w:style>
  <w:style w:type="character" w:customStyle="1" w:styleId="ECCHLgreen">
    <w:name w:val="ECC HL green"/>
    <w:uiPriority w:val="1"/>
    <w:qFormat/>
    <w:rsid w:val="002151C3"/>
    <w:rPr>
      <w:i w:val="0"/>
      <w:iCs w:val="0"/>
      <w:bdr w:val="none" w:sz="0" w:space="0" w:color="auto" w:frame="1"/>
      <w:shd w:val="clear" w:color="auto" w:fill="92D050"/>
      <w:lang w:val="en-GB"/>
    </w:rPr>
  </w:style>
  <w:style w:type="character" w:customStyle="1" w:styleId="ECCHLorange">
    <w:name w:val="ECC HL orange"/>
    <w:basedOn w:val="DefaultParagraphFont"/>
    <w:uiPriority w:val="1"/>
    <w:qFormat/>
    <w:rsid w:val="002151C3"/>
    <w:rPr>
      <w:bdr w:val="none" w:sz="0" w:space="0" w:color="auto" w:frame="1"/>
      <w:shd w:val="clear" w:color="auto" w:fill="FFC000"/>
    </w:rPr>
  </w:style>
  <w:style w:type="character" w:customStyle="1" w:styleId="ECCHLunderlined">
    <w:name w:val="ECC HL underlined"/>
    <w:basedOn w:val="DefaultParagraphFont"/>
    <w:uiPriority w:val="1"/>
    <w:qFormat/>
    <w:rsid w:val="002151C3"/>
    <w:rPr>
      <w:i w:val="0"/>
      <w:iCs w:val="0"/>
      <w:u w:val="single"/>
    </w:rPr>
  </w:style>
  <w:style w:type="character" w:customStyle="1" w:styleId="ECCHLsubscript">
    <w:name w:val="ECC HL sub script"/>
    <w:basedOn w:val="DefaultParagraphFont"/>
    <w:uiPriority w:val="1"/>
    <w:qFormat/>
    <w:rsid w:val="002151C3"/>
    <w:rPr>
      <w:vertAlign w:val="subscript"/>
    </w:rPr>
  </w:style>
  <w:style w:type="character" w:customStyle="1" w:styleId="ECCHLsuperscript0">
    <w:name w:val="ECC HL super script"/>
    <w:basedOn w:val="DefaultParagraphFont"/>
    <w:uiPriority w:val="1"/>
    <w:qFormat/>
    <w:rsid w:val="002151C3"/>
    <w:rPr>
      <w:vertAlign w:val="superscript"/>
    </w:rPr>
  </w:style>
  <w:style w:type="character" w:customStyle="1" w:styleId="skypepnhprintcontainer1381318816">
    <w:name w:val="skype_pnh_print_container_1381318816"/>
    <w:basedOn w:val="DefaultParagraphFont"/>
    <w:rsid w:val="002151C3"/>
  </w:style>
  <w:style w:type="character" w:customStyle="1" w:styleId="skypepnhtextspan">
    <w:name w:val="skype_pnh_text_span"/>
    <w:basedOn w:val="DefaultParagraphFont"/>
    <w:rsid w:val="002151C3"/>
  </w:style>
  <w:style w:type="character" w:customStyle="1" w:styleId="RectitleChar">
    <w:name w:val="Rec_title Char"/>
    <w:basedOn w:val="DefaultParagraphFont"/>
    <w:locked/>
    <w:rsid w:val="002151C3"/>
    <w:rPr>
      <w:rFonts w:ascii="Times New Roman Bold" w:hAnsi="Times New Roman Bold" w:cs="Times New Roman Bold" w:hint="default"/>
      <w:b/>
      <w:bCs w:val="0"/>
      <w:sz w:val="28"/>
      <w:lang w:val="en-GB" w:eastAsia="en-US"/>
    </w:rPr>
  </w:style>
  <w:style w:type="character" w:customStyle="1" w:styleId="DateChar1">
    <w:name w:val="Date Char1"/>
    <w:basedOn w:val="DefaultParagraphFont"/>
    <w:rsid w:val="002151C3"/>
    <w:rPr>
      <w:rFonts w:ascii="Times New Roman" w:hAnsi="Times New Roman" w:cs="Times New Roman" w:hint="default"/>
      <w:sz w:val="24"/>
      <w:lang w:val="fr-FR" w:eastAsia="en-US"/>
    </w:rPr>
  </w:style>
  <w:style w:type="character" w:customStyle="1" w:styleId="MTConvertedEquation">
    <w:name w:val="MTConvertedEquation"/>
    <w:basedOn w:val="DefaultParagraphFont"/>
    <w:rsid w:val="002151C3"/>
    <w:rPr>
      <w:rFonts w:ascii="Cambria Math" w:hAnsi="Cambria Math" w:hint="default"/>
      <w:i/>
      <w:iCs w:val="0"/>
      <w:lang w:val="fr-CH" w:eastAsia="ja-JP"/>
    </w:rPr>
  </w:style>
  <w:style w:type="character" w:customStyle="1" w:styleId="spellingerror">
    <w:name w:val="spellingerror"/>
    <w:basedOn w:val="DefaultParagraphFont"/>
    <w:rsid w:val="002151C3"/>
  </w:style>
  <w:style w:type="character" w:customStyle="1" w:styleId="-">
    <w:name w:val="Интернет-ссылка"/>
    <w:basedOn w:val="DefaultParagraphFont"/>
    <w:uiPriority w:val="99"/>
    <w:rsid w:val="002151C3"/>
    <w:rPr>
      <w:color w:val="0000FF" w:themeColor="hyperlink"/>
      <w:u w:val="single"/>
    </w:rPr>
  </w:style>
  <w:style w:type="character" w:styleId="FollowedHyperlink">
    <w:name w:val="FollowedHyperlink"/>
    <w:basedOn w:val="DefaultParagraphFont"/>
    <w:semiHidden/>
    <w:unhideWhenUsed/>
    <w:rsid w:val="006E6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528429">
      <w:bodyDiv w:val="1"/>
      <w:marLeft w:val="0"/>
      <w:marRight w:val="0"/>
      <w:marTop w:val="0"/>
      <w:marBottom w:val="0"/>
      <w:divBdr>
        <w:top w:val="none" w:sz="0" w:space="0" w:color="auto"/>
        <w:left w:val="none" w:sz="0" w:space="0" w:color="auto"/>
        <w:bottom w:val="none" w:sz="0" w:space="0" w:color="auto"/>
        <w:right w:val="none" w:sz="0" w:space="0" w:color="auto"/>
      </w:divBdr>
    </w:div>
    <w:div w:id="762796633">
      <w:bodyDiv w:val="1"/>
      <w:marLeft w:val="0"/>
      <w:marRight w:val="0"/>
      <w:marTop w:val="0"/>
      <w:marBottom w:val="0"/>
      <w:divBdr>
        <w:top w:val="none" w:sz="0" w:space="0" w:color="auto"/>
        <w:left w:val="none" w:sz="0" w:space="0" w:color="auto"/>
        <w:bottom w:val="none" w:sz="0" w:space="0" w:color="auto"/>
        <w:right w:val="none" w:sz="0" w:space="0" w:color="auto"/>
      </w:divBdr>
    </w:div>
    <w:div w:id="1061173758">
      <w:bodyDiv w:val="1"/>
      <w:marLeft w:val="0"/>
      <w:marRight w:val="0"/>
      <w:marTop w:val="0"/>
      <w:marBottom w:val="0"/>
      <w:divBdr>
        <w:top w:val="none" w:sz="0" w:space="0" w:color="auto"/>
        <w:left w:val="none" w:sz="0" w:space="0" w:color="auto"/>
        <w:bottom w:val="none" w:sz="0" w:space="0" w:color="auto"/>
        <w:right w:val="none" w:sz="0" w:space="0" w:color="auto"/>
      </w:divBdr>
    </w:div>
    <w:div w:id="1171994855">
      <w:bodyDiv w:val="1"/>
      <w:marLeft w:val="0"/>
      <w:marRight w:val="0"/>
      <w:marTop w:val="0"/>
      <w:marBottom w:val="0"/>
      <w:divBdr>
        <w:top w:val="none" w:sz="0" w:space="0" w:color="auto"/>
        <w:left w:val="none" w:sz="0" w:space="0" w:color="auto"/>
        <w:bottom w:val="none" w:sz="0" w:space="0" w:color="auto"/>
        <w:right w:val="none" w:sz="0" w:space="0" w:color="auto"/>
      </w:divBdr>
    </w:div>
    <w:div w:id="1291327412">
      <w:bodyDiv w:val="1"/>
      <w:marLeft w:val="0"/>
      <w:marRight w:val="0"/>
      <w:marTop w:val="0"/>
      <w:marBottom w:val="0"/>
      <w:divBdr>
        <w:top w:val="none" w:sz="0" w:space="0" w:color="auto"/>
        <w:left w:val="none" w:sz="0" w:space="0" w:color="auto"/>
        <w:bottom w:val="none" w:sz="0" w:space="0" w:color="auto"/>
        <w:right w:val="none" w:sz="0" w:space="0" w:color="auto"/>
      </w:divBdr>
    </w:div>
    <w:div w:id="1919360901">
      <w:bodyDiv w:val="1"/>
      <w:marLeft w:val="0"/>
      <w:marRight w:val="0"/>
      <w:marTop w:val="0"/>
      <w:marBottom w:val="0"/>
      <w:divBdr>
        <w:top w:val="none" w:sz="0" w:space="0" w:color="auto"/>
        <w:left w:val="none" w:sz="0" w:space="0" w:color="auto"/>
        <w:bottom w:val="none" w:sz="0" w:space="0" w:color="auto"/>
        <w:right w:val="none" w:sz="0" w:space="0" w:color="auto"/>
      </w:divBdr>
    </w:div>
    <w:div w:id="213683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ITU-R/information/Pages/res647.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45CF62-BC53-40D9-A475-DE355EBCBDD1}">
  <ds:schemaRefs>
    <ds:schemaRef ds:uri="996b2e75-67fd-4955-a3b0-5ab9934cb50b"/>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F94971-6C4D-4C38-8698-BDB088BC976B}">
  <ds:schemaRefs>
    <ds:schemaRef ds:uri="http://schemas.microsoft.com/sharepoint/v3/contenttype/forms"/>
  </ds:schemaRefs>
</ds:datastoreItem>
</file>

<file path=customXml/itemProps3.xml><?xml version="1.0" encoding="utf-8"?>
<ds:datastoreItem xmlns:ds="http://schemas.openxmlformats.org/officeDocument/2006/customXml" ds:itemID="{09A12C8C-F025-4266-985A-7242538E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43BB0-C35E-43A2-88A5-237BA23849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9546</Words>
  <Characters>50040</Characters>
  <Application>Microsoft Office Word</Application>
  <DocSecurity>0</DocSecurity>
  <Lines>2296</Lines>
  <Paragraphs>816</Paragraphs>
  <ScaleCrop>false</ScaleCrop>
  <HeadingPairs>
    <vt:vector size="2" baseType="variant">
      <vt:variant>
        <vt:lpstr>Title</vt:lpstr>
      </vt:variant>
      <vt:variant>
        <vt:i4>1</vt:i4>
      </vt:variant>
    </vt:vector>
  </HeadingPairs>
  <TitlesOfParts>
    <vt:vector size="1" baseType="lpstr">
      <vt:lpstr>R16-WRC19-C-0028!A18!MSW-F</vt:lpstr>
    </vt:vector>
  </TitlesOfParts>
  <Manager>Secrétariat général - Pool</Manager>
  <Company>Union internationale des télécommunications (UIT)</Company>
  <LinksUpToDate>false</LinksUpToDate>
  <CharactersWithSpaces>58803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R16-WRC19-C-0028!A18!MSW-F</dc:title>
  <dc:subject>Conférence mondiale des radiocommunications - 2019</dc:subject>
  <dc:creator>Documents Proposals Manager (DPM)</dc:creator>
  <cp:keywords>DPM_v2019.10.15.2_prod</cp:keywords>
  <dc:description/>
  <cp:lastModifiedBy>French</cp:lastModifiedBy>
  <cp:revision>11</cp:revision>
  <cp:lastPrinted>2019-10-25T20:59:00Z</cp:lastPrinted>
  <dcterms:created xsi:type="dcterms:W3CDTF">2019-10-25T12:21:00Z</dcterms:created>
  <dcterms:modified xsi:type="dcterms:W3CDTF">2019-10-25T20:59:00Z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