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76A51" w14:paraId="23DB0077" w14:textId="77777777" w:rsidTr="0050008E">
        <w:trPr>
          <w:cantSplit/>
        </w:trPr>
        <w:tc>
          <w:tcPr>
            <w:tcW w:w="6911" w:type="dxa"/>
          </w:tcPr>
          <w:p w14:paraId="389D6E45" w14:textId="77777777" w:rsidR="0090121B" w:rsidRPr="00876A51" w:rsidRDefault="005D46FB" w:rsidP="00876A51">
            <w:pPr>
              <w:spacing w:before="400" w:after="48"/>
              <w:rPr>
                <w:rFonts w:ascii="Verdana" w:hAnsi="Verdana"/>
                <w:position w:val="6"/>
              </w:rPr>
            </w:pPr>
            <w:r w:rsidRPr="00876A51">
              <w:rPr>
                <w:rFonts w:ascii="Verdana" w:hAnsi="Verdana" w:cs="Times"/>
                <w:b/>
                <w:position w:val="6"/>
                <w:sz w:val="20"/>
              </w:rPr>
              <w:t>Conferencia Mundial de Radiocomunicaciones (CMR-1</w:t>
            </w:r>
            <w:r w:rsidR="00C44E9E" w:rsidRPr="00876A51">
              <w:rPr>
                <w:rFonts w:ascii="Verdana" w:hAnsi="Verdana" w:cs="Times"/>
                <w:b/>
                <w:position w:val="6"/>
                <w:sz w:val="20"/>
              </w:rPr>
              <w:t>9</w:t>
            </w:r>
            <w:r w:rsidRPr="00876A51">
              <w:rPr>
                <w:rFonts w:ascii="Verdana" w:hAnsi="Verdana" w:cs="Times"/>
                <w:b/>
                <w:position w:val="6"/>
                <w:sz w:val="20"/>
              </w:rPr>
              <w:t>)</w:t>
            </w:r>
            <w:r w:rsidRPr="00876A51">
              <w:rPr>
                <w:rFonts w:ascii="Verdana" w:hAnsi="Verdana" w:cs="Times"/>
                <w:b/>
                <w:position w:val="6"/>
                <w:sz w:val="20"/>
              </w:rPr>
              <w:br/>
            </w:r>
            <w:r w:rsidR="006124AD" w:rsidRPr="00876A51">
              <w:rPr>
                <w:rFonts w:ascii="Verdana" w:hAnsi="Verdana"/>
                <w:b/>
                <w:bCs/>
                <w:position w:val="6"/>
                <w:sz w:val="17"/>
                <w:szCs w:val="17"/>
              </w:rPr>
              <w:t>Sharm el-Sheikh (Egipto)</w:t>
            </w:r>
            <w:r w:rsidRPr="00876A51">
              <w:rPr>
                <w:rFonts w:ascii="Verdana" w:hAnsi="Verdana"/>
                <w:b/>
                <w:bCs/>
                <w:position w:val="6"/>
                <w:sz w:val="17"/>
                <w:szCs w:val="17"/>
              </w:rPr>
              <w:t>, 2</w:t>
            </w:r>
            <w:r w:rsidR="00C44E9E" w:rsidRPr="00876A51">
              <w:rPr>
                <w:rFonts w:ascii="Verdana" w:hAnsi="Verdana"/>
                <w:b/>
                <w:bCs/>
                <w:position w:val="6"/>
                <w:sz w:val="17"/>
                <w:szCs w:val="17"/>
              </w:rPr>
              <w:t xml:space="preserve">8 de octubre </w:t>
            </w:r>
            <w:r w:rsidR="00DE1C31" w:rsidRPr="00876A51">
              <w:rPr>
                <w:rFonts w:ascii="Verdana" w:hAnsi="Verdana"/>
                <w:b/>
                <w:bCs/>
                <w:position w:val="6"/>
                <w:sz w:val="17"/>
                <w:szCs w:val="17"/>
              </w:rPr>
              <w:t>–</w:t>
            </w:r>
            <w:r w:rsidR="00C44E9E" w:rsidRPr="00876A51">
              <w:rPr>
                <w:rFonts w:ascii="Verdana" w:hAnsi="Verdana"/>
                <w:b/>
                <w:bCs/>
                <w:position w:val="6"/>
                <w:sz w:val="17"/>
                <w:szCs w:val="17"/>
              </w:rPr>
              <w:t xml:space="preserve"> </w:t>
            </w:r>
            <w:r w:rsidRPr="00876A51">
              <w:rPr>
                <w:rFonts w:ascii="Verdana" w:hAnsi="Verdana"/>
                <w:b/>
                <w:bCs/>
                <w:position w:val="6"/>
                <w:sz w:val="17"/>
                <w:szCs w:val="17"/>
              </w:rPr>
              <w:t>2</w:t>
            </w:r>
            <w:r w:rsidR="00C44E9E" w:rsidRPr="00876A51">
              <w:rPr>
                <w:rFonts w:ascii="Verdana" w:hAnsi="Verdana"/>
                <w:b/>
                <w:bCs/>
                <w:position w:val="6"/>
                <w:sz w:val="17"/>
                <w:szCs w:val="17"/>
              </w:rPr>
              <w:t>2</w:t>
            </w:r>
            <w:r w:rsidRPr="00876A51">
              <w:rPr>
                <w:rFonts w:ascii="Verdana" w:hAnsi="Verdana"/>
                <w:b/>
                <w:bCs/>
                <w:position w:val="6"/>
                <w:sz w:val="17"/>
                <w:szCs w:val="17"/>
              </w:rPr>
              <w:t xml:space="preserve"> de noviembre de 201</w:t>
            </w:r>
            <w:r w:rsidR="00C44E9E" w:rsidRPr="00876A51">
              <w:rPr>
                <w:rFonts w:ascii="Verdana" w:hAnsi="Verdana"/>
                <w:b/>
                <w:bCs/>
                <w:position w:val="6"/>
                <w:sz w:val="17"/>
                <w:szCs w:val="17"/>
              </w:rPr>
              <w:t>9</w:t>
            </w:r>
          </w:p>
        </w:tc>
        <w:tc>
          <w:tcPr>
            <w:tcW w:w="3120" w:type="dxa"/>
          </w:tcPr>
          <w:p w14:paraId="0A9C28EF" w14:textId="77777777" w:rsidR="0090121B" w:rsidRPr="00876A51" w:rsidRDefault="00DA71A3" w:rsidP="00876A51">
            <w:pPr>
              <w:spacing w:before="0"/>
              <w:jc w:val="right"/>
            </w:pPr>
            <w:r w:rsidRPr="00876A51">
              <w:rPr>
                <w:rFonts w:ascii="Verdana" w:hAnsi="Verdana"/>
                <w:b/>
                <w:bCs/>
                <w:noProof/>
                <w:szCs w:val="24"/>
                <w:lang w:eastAsia="es-ES_tradnl"/>
              </w:rPr>
              <w:drawing>
                <wp:inline distT="0" distB="0" distL="0" distR="0" wp14:anchorId="0ED7A9C9" wp14:editId="0299418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76A51" w14:paraId="616E2111" w14:textId="77777777" w:rsidTr="0050008E">
        <w:trPr>
          <w:cantSplit/>
        </w:trPr>
        <w:tc>
          <w:tcPr>
            <w:tcW w:w="6911" w:type="dxa"/>
            <w:tcBorders>
              <w:bottom w:val="single" w:sz="12" w:space="0" w:color="auto"/>
            </w:tcBorders>
          </w:tcPr>
          <w:p w14:paraId="23AD8C14" w14:textId="77777777" w:rsidR="0090121B" w:rsidRPr="00876A51" w:rsidRDefault="0090121B" w:rsidP="00876A51">
            <w:pPr>
              <w:spacing w:before="0" w:after="48"/>
              <w:rPr>
                <w:b/>
                <w:smallCaps/>
                <w:szCs w:val="24"/>
              </w:rPr>
            </w:pPr>
            <w:bookmarkStart w:id="0" w:name="dhead"/>
          </w:p>
        </w:tc>
        <w:tc>
          <w:tcPr>
            <w:tcW w:w="3120" w:type="dxa"/>
            <w:tcBorders>
              <w:bottom w:val="single" w:sz="12" w:space="0" w:color="auto"/>
            </w:tcBorders>
          </w:tcPr>
          <w:p w14:paraId="53E3B39B" w14:textId="77777777" w:rsidR="0090121B" w:rsidRPr="00876A51" w:rsidRDefault="0090121B" w:rsidP="00876A51">
            <w:pPr>
              <w:spacing w:before="0"/>
              <w:rPr>
                <w:rFonts w:ascii="Verdana" w:hAnsi="Verdana"/>
                <w:szCs w:val="24"/>
              </w:rPr>
            </w:pPr>
          </w:p>
        </w:tc>
      </w:tr>
      <w:tr w:rsidR="0090121B" w:rsidRPr="00876A51" w14:paraId="6F68335C" w14:textId="77777777" w:rsidTr="0090121B">
        <w:trPr>
          <w:cantSplit/>
        </w:trPr>
        <w:tc>
          <w:tcPr>
            <w:tcW w:w="6911" w:type="dxa"/>
            <w:tcBorders>
              <w:top w:val="single" w:sz="12" w:space="0" w:color="auto"/>
            </w:tcBorders>
          </w:tcPr>
          <w:p w14:paraId="58F76842" w14:textId="77777777" w:rsidR="0090121B" w:rsidRPr="00876A51" w:rsidRDefault="0090121B" w:rsidP="00876A51">
            <w:pPr>
              <w:spacing w:before="0" w:after="48"/>
              <w:rPr>
                <w:rFonts w:ascii="Verdana" w:hAnsi="Verdana"/>
                <w:b/>
                <w:smallCaps/>
                <w:sz w:val="20"/>
              </w:rPr>
            </w:pPr>
          </w:p>
        </w:tc>
        <w:tc>
          <w:tcPr>
            <w:tcW w:w="3120" w:type="dxa"/>
            <w:tcBorders>
              <w:top w:val="single" w:sz="12" w:space="0" w:color="auto"/>
            </w:tcBorders>
          </w:tcPr>
          <w:p w14:paraId="26679913" w14:textId="77777777" w:rsidR="0090121B" w:rsidRPr="00876A51" w:rsidRDefault="0090121B" w:rsidP="00876A51">
            <w:pPr>
              <w:spacing w:before="0"/>
              <w:rPr>
                <w:rFonts w:ascii="Verdana" w:hAnsi="Verdana"/>
                <w:sz w:val="20"/>
              </w:rPr>
            </w:pPr>
          </w:p>
        </w:tc>
      </w:tr>
      <w:tr w:rsidR="0090121B" w:rsidRPr="00876A51" w14:paraId="03CD9AE7" w14:textId="77777777" w:rsidTr="0090121B">
        <w:trPr>
          <w:cantSplit/>
        </w:trPr>
        <w:tc>
          <w:tcPr>
            <w:tcW w:w="6911" w:type="dxa"/>
          </w:tcPr>
          <w:p w14:paraId="0B8738E0" w14:textId="77777777" w:rsidR="0090121B" w:rsidRPr="00876A51" w:rsidRDefault="001E7D42" w:rsidP="00876A51">
            <w:pPr>
              <w:pStyle w:val="Committee"/>
              <w:framePr w:hSpace="0" w:wrap="auto" w:hAnchor="text" w:yAlign="inline"/>
              <w:spacing w:line="240" w:lineRule="auto"/>
              <w:rPr>
                <w:sz w:val="18"/>
                <w:szCs w:val="18"/>
                <w:lang w:val="es-ES_tradnl"/>
              </w:rPr>
            </w:pPr>
            <w:r w:rsidRPr="00876A51">
              <w:rPr>
                <w:sz w:val="18"/>
                <w:szCs w:val="18"/>
                <w:lang w:val="es-ES_tradnl"/>
              </w:rPr>
              <w:t>SESIÓN PLENARIA</w:t>
            </w:r>
          </w:p>
        </w:tc>
        <w:tc>
          <w:tcPr>
            <w:tcW w:w="3120" w:type="dxa"/>
          </w:tcPr>
          <w:p w14:paraId="5D9DA4F1" w14:textId="77777777" w:rsidR="0090121B" w:rsidRPr="00876A51" w:rsidRDefault="00AE658F" w:rsidP="00876A51">
            <w:pPr>
              <w:spacing w:before="0"/>
              <w:rPr>
                <w:rFonts w:ascii="Verdana" w:hAnsi="Verdana"/>
                <w:sz w:val="18"/>
                <w:szCs w:val="18"/>
              </w:rPr>
            </w:pPr>
            <w:r w:rsidRPr="00876A51">
              <w:rPr>
                <w:rFonts w:ascii="Verdana" w:hAnsi="Verdana"/>
                <w:b/>
                <w:sz w:val="18"/>
                <w:szCs w:val="18"/>
              </w:rPr>
              <w:t>Addéndum 4 al</w:t>
            </w:r>
            <w:r w:rsidRPr="00876A51">
              <w:rPr>
                <w:rFonts w:ascii="Verdana" w:hAnsi="Verdana"/>
                <w:b/>
                <w:sz w:val="18"/>
                <w:szCs w:val="18"/>
              </w:rPr>
              <w:br/>
              <w:t>Documento 28</w:t>
            </w:r>
            <w:r w:rsidR="0090121B" w:rsidRPr="00876A51">
              <w:rPr>
                <w:rFonts w:ascii="Verdana" w:hAnsi="Verdana"/>
                <w:b/>
                <w:sz w:val="18"/>
                <w:szCs w:val="18"/>
              </w:rPr>
              <w:t>-</w:t>
            </w:r>
            <w:r w:rsidRPr="00876A51">
              <w:rPr>
                <w:rFonts w:ascii="Verdana" w:hAnsi="Verdana"/>
                <w:b/>
                <w:sz w:val="18"/>
                <w:szCs w:val="18"/>
              </w:rPr>
              <w:t>S</w:t>
            </w:r>
          </w:p>
        </w:tc>
      </w:tr>
      <w:bookmarkEnd w:id="0"/>
      <w:tr w:rsidR="000A5B9A" w:rsidRPr="00876A51" w14:paraId="3C37EE87" w14:textId="77777777" w:rsidTr="0090121B">
        <w:trPr>
          <w:cantSplit/>
        </w:trPr>
        <w:tc>
          <w:tcPr>
            <w:tcW w:w="6911" w:type="dxa"/>
          </w:tcPr>
          <w:p w14:paraId="01BC523C" w14:textId="77777777" w:rsidR="000A5B9A" w:rsidRPr="00876A51" w:rsidRDefault="000A5B9A" w:rsidP="00876A51">
            <w:pPr>
              <w:spacing w:before="0" w:after="48"/>
              <w:rPr>
                <w:rFonts w:ascii="Verdana" w:hAnsi="Verdana"/>
                <w:b/>
                <w:smallCaps/>
                <w:sz w:val="18"/>
                <w:szCs w:val="18"/>
              </w:rPr>
            </w:pPr>
          </w:p>
        </w:tc>
        <w:tc>
          <w:tcPr>
            <w:tcW w:w="3120" w:type="dxa"/>
          </w:tcPr>
          <w:p w14:paraId="30AB71C2" w14:textId="77777777" w:rsidR="000A5B9A" w:rsidRPr="00876A51" w:rsidRDefault="000A5B9A" w:rsidP="00876A51">
            <w:pPr>
              <w:spacing w:before="0"/>
              <w:rPr>
                <w:rFonts w:ascii="Verdana" w:hAnsi="Verdana"/>
                <w:b/>
                <w:sz w:val="18"/>
                <w:szCs w:val="18"/>
              </w:rPr>
            </w:pPr>
            <w:r w:rsidRPr="00876A51">
              <w:rPr>
                <w:rFonts w:ascii="Verdana" w:hAnsi="Verdana"/>
                <w:b/>
                <w:sz w:val="18"/>
                <w:szCs w:val="18"/>
              </w:rPr>
              <w:t>27 de septiembre de 2019</w:t>
            </w:r>
          </w:p>
        </w:tc>
      </w:tr>
      <w:tr w:rsidR="000A5B9A" w:rsidRPr="00876A51" w14:paraId="6B53416A" w14:textId="77777777" w:rsidTr="0090121B">
        <w:trPr>
          <w:cantSplit/>
        </w:trPr>
        <w:tc>
          <w:tcPr>
            <w:tcW w:w="6911" w:type="dxa"/>
          </w:tcPr>
          <w:p w14:paraId="48C693B9" w14:textId="77777777" w:rsidR="000A5B9A" w:rsidRPr="00876A51" w:rsidRDefault="000A5B9A" w:rsidP="00876A51">
            <w:pPr>
              <w:spacing w:before="0" w:after="48"/>
              <w:rPr>
                <w:rFonts w:ascii="Verdana" w:hAnsi="Verdana"/>
                <w:b/>
                <w:smallCaps/>
                <w:sz w:val="18"/>
                <w:szCs w:val="18"/>
              </w:rPr>
            </w:pPr>
          </w:p>
        </w:tc>
        <w:tc>
          <w:tcPr>
            <w:tcW w:w="3120" w:type="dxa"/>
          </w:tcPr>
          <w:p w14:paraId="051E0284" w14:textId="77777777" w:rsidR="000A5B9A" w:rsidRPr="00876A51" w:rsidRDefault="000A5B9A" w:rsidP="00876A51">
            <w:pPr>
              <w:spacing w:before="0"/>
              <w:rPr>
                <w:rFonts w:ascii="Verdana" w:hAnsi="Verdana"/>
                <w:b/>
                <w:sz w:val="18"/>
                <w:szCs w:val="18"/>
              </w:rPr>
            </w:pPr>
            <w:r w:rsidRPr="00876A51">
              <w:rPr>
                <w:rFonts w:ascii="Verdana" w:hAnsi="Verdana"/>
                <w:b/>
                <w:sz w:val="18"/>
                <w:szCs w:val="18"/>
              </w:rPr>
              <w:t>Original: chino</w:t>
            </w:r>
          </w:p>
        </w:tc>
      </w:tr>
      <w:tr w:rsidR="000A5B9A" w:rsidRPr="00876A51" w14:paraId="77AFE4E5" w14:textId="77777777" w:rsidTr="006744FC">
        <w:trPr>
          <w:cantSplit/>
        </w:trPr>
        <w:tc>
          <w:tcPr>
            <w:tcW w:w="10031" w:type="dxa"/>
            <w:gridSpan w:val="2"/>
          </w:tcPr>
          <w:p w14:paraId="740179F0" w14:textId="77777777" w:rsidR="000A5B9A" w:rsidRPr="00876A51" w:rsidRDefault="000A5B9A" w:rsidP="00876A51">
            <w:pPr>
              <w:spacing w:before="0"/>
              <w:rPr>
                <w:rFonts w:ascii="Verdana" w:hAnsi="Verdana"/>
                <w:b/>
                <w:sz w:val="18"/>
                <w:szCs w:val="22"/>
              </w:rPr>
            </w:pPr>
          </w:p>
        </w:tc>
      </w:tr>
      <w:tr w:rsidR="000A5B9A" w:rsidRPr="00876A51" w14:paraId="6F987E44" w14:textId="77777777" w:rsidTr="0050008E">
        <w:trPr>
          <w:cantSplit/>
        </w:trPr>
        <w:tc>
          <w:tcPr>
            <w:tcW w:w="10031" w:type="dxa"/>
            <w:gridSpan w:val="2"/>
          </w:tcPr>
          <w:p w14:paraId="31ED1702" w14:textId="77777777" w:rsidR="000A5B9A" w:rsidRPr="00876A51" w:rsidRDefault="000A5B9A" w:rsidP="00876A51">
            <w:pPr>
              <w:pStyle w:val="Source"/>
            </w:pPr>
            <w:bookmarkStart w:id="1" w:name="dsource" w:colFirst="0" w:colLast="0"/>
            <w:r w:rsidRPr="00876A51">
              <w:t>China (República Popular de)</w:t>
            </w:r>
          </w:p>
        </w:tc>
      </w:tr>
      <w:tr w:rsidR="000A5B9A" w:rsidRPr="00876A51" w14:paraId="184F21AF" w14:textId="77777777" w:rsidTr="0050008E">
        <w:trPr>
          <w:cantSplit/>
        </w:trPr>
        <w:tc>
          <w:tcPr>
            <w:tcW w:w="10031" w:type="dxa"/>
            <w:gridSpan w:val="2"/>
          </w:tcPr>
          <w:p w14:paraId="4830EF0A" w14:textId="22C11DD8" w:rsidR="000A5B9A" w:rsidRPr="00876A51" w:rsidRDefault="000A5B9A" w:rsidP="00876A51">
            <w:pPr>
              <w:pStyle w:val="Title1"/>
            </w:pPr>
            <w:bookmarkStart w:id="2" w:name="dtitle1" w:colFirst="0" w:colLast="0"/>
            <w:bookmarkEnd w:id="1"/>
            <w:r w:rsidRPr="00876A51">
              <w:t>Prop</w:t>
            </w:r>
            <w:r w:rsidR="007174EB" w:rsidRPr="00876A51">
              <w:t xml:space="preserve">UESTAS PARA LOS TRABAJOS </w:t>
            </w:r>
            <w:bookmarkStart w:id="3" w:name="_GoBack"/>
            <w:bookmarkEnd w:id="3"/>
            <w:r w:rsidR="007174EB" w:rsidRPr="00876A51">
              <w:t>DE LA CONFERENCIA</w:t>
            </w:r>
          </w:p>
        </w:tc>
      </w:tr>
      <w:tr w:rsidR="000A5B9A" w:rsidRPr="00876A51" w14:paraId="637F3C9F" w14:textId="77777777" w:rsidTr="0050008E">
        <w:trPr>
          <w:cantSplit/>
        </w:trPr>
        <w:tc>
          <w:tcPr>
            <w:tcW w:w="10031" w:type="dxa"/>
            <w:gridSpan w:val="2"/>
          </w:tcPr>
          <w:p w14:paraId="2ECC0241" w14:textId="77777777" w:rsidR="000A5B9A" w:rsidRPr="00876A51" w:rsidRDefault="000A5B9A" w:rsidP="00876A51">
            <w:pPr>
              <w:pStyle w:val="Title2"/>
            </w:pPr>
            <w:bookmarkStart w:id="4" w:name="dtitle2" w:colFirst="0" w:colLast="0"/>
            <w:bookmarkEnd w:id="2"/>
          </w:p>
        </w:tc>
      </w:tr>
      <w:tr w:rsidR="000A5B9A" w:rsidRPr="00876A51" w14:paraId="3D032759" w14:textId="77777777" w:rsidTr="0050008E">
        <w:trPr>
          <w:cantSplit/>
        </w:trPr>
        <w:tc>
          <w:tcPr>
            <w:tcW w:w="10031" w:type="dxa"/>
            <w:gridSpan w:val="2"/>
          </w:tcPr>
          <w:p w14:paraId="234584C4" w14:textId="77777777" w:rsidR="000A5B9A" w:rsidRPr="00876A51" w:rsidRDefault="000A5B9A" w:rsidP="00876A51">
            <w:pPr>
              <w:pStyle w:val="Agendaitem"/>
            </w:pPr>
            <w:bookmarkStart w:id="5" w:name="dtitle3" w:colFirst="0" w:colLast="0"/>
            <w:bookmarkEnd w:id="4"/>
            <w:r w:rsidRPr="00876A51">
              <w:t>Punto 1.4 del orden del día</w:t>
            </w:r>
          </w:p>
        </w:tc>
      </w:tr>
    </w:tbl>
    <w:bookmarkEnd w:id="5"/>
    <w:p w14:paraId="3D095A7F" w14:textId="77777777" w:rsidR="001C0E40" w:rsidRPr="00876A51" w:rsidRDefault="00B12FAA" w:rsidP="00876A51">
      <w:r w:rsidRPr="00876A51">
        <w:t>1.4</w:t>
      </w:r>
      <w:r w:rsidRPr="00876A51">
        <w:tab/>
        <w:t xml:space="preserve">considerar los resultados de los estudios con arreglo a la Resolución </w:t>
      </w:r>
      <w:r w:rsidRPr="00876A51">
        <w:rPr>
          <w:b/>
          <w:bCs/>
        </w:rPr>
        <w:t>557</w:t>
      </w:r>
      <w:r w:rsidRPr="00876A51">
        <w:rPr>
          <w:b/>
        </w:rPr>
        <w:t xml:space="preserve"> (CMR</w:t>
      </w:r>
      <w:r w:rsidRPr="00876A51">
        <w:rPr>
          <w:b/>
        </w:rPr>
        <w:noBreakHyphen/>
        <w:t>15)</w:t>
      </w:r>
      <w:r w:rsidRPr="00876A51">
        <w:rPr>
          <w:bCs/>
        </w:rPr>
        <w:t>,</w:t>
      </w:r>
      <w:r w:rsidRPr="00876A51">
        <w:t xml:space="preserve"> y examinar y, si procede, revisar las restricciones mencionadas en el Anexo 7 del Apéndice </w:t>
      </w:r>
      <w:r w:rsidRPr="00876A51">
        <w:rPr>
          <w:b/>
        </w:rPr>
        <w:t>30 (Rev.CMR-15</w:t>
      </w:r>
      <w:r w:rsidRPr="00876A51">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2AE199D2" w14:textId="77777777" w:rsidR="00E276E0" w:rsidRPr="00876A51" w:rsidRDefault="00E276E0" w:rsidP="00876A51">
      <w:pPr>
        <w:pStyle w:val="Headingb"/>
      </w:pPr>
      <w:r w:rsidRPr="00876A51">
        <w:t>Introducción</w:t>
      </w:r>
    </w:p>
    <w:p w14:paraId="2BD6E568" w14:textId="7D191C9A" w:rsidR="00E276E0" w:rsidRPr="00876A51" w:rsidRDefault="007174EB" w:rsidP="00876A51">
      <w:pPr>
        <w:rPr>
          <w:rFonts w:eastAsia="SimSun"/>
          <w:b/>
          <w:lang w:eastAsia="zh-CN"/>
        </w:rPr>
      </w:pPr>
      <w:r w:rsidRPr="00876A51">
        <w:t>En este documento se presentan las propuestas de China en el marco del punto 1.4 del orden del día. En el Informe de la RPC a la CMR-19 se identifican dos métodos para responder a este punto del orden del día</w:t>
      </w:r>
      <w:r w:rsidR="00E276E0" w:rsidRPr="00876A51">
        <w:rPr>
          <w:rFonts w:eastAsia="SimSun"/>
          <w:lang w:eastAsia="zh-CN"/>
        </w:rPr>
        <w:t>.</w:t>
      </w:r>
    </w:p>
    <w:p w14:paraId="6E2B91A2" w14:textId="77777777" w:rsidR="00E276E0" w:rsidRPr="00876A51" w:rsidRDefault="00E276E0" w:rsidP="00876A51">
      <w:pPr>
        <w:pStyle w:val="Headingb"/>
      </w:pPr>
      <w:r w:rsidRPr="00876A51">
        <w:t>Propuestas</w:t>
      </w:r>
    </w:p>
    <w:p w14:paraId="187EDF4D" w14:textId="319D74A3" w:rsidR="00363A65" w:rsidRPr="00876A51" w:rsidRDefault="007174EB" w:rsidP="00876A51">
      <w:r w:rsidRPr="00876A51">
        <w:rPr>
          <w:rFonts w:eastAsia="SimSun"/>
        </w:rPr>
        <w:t>China está a favor del Método B del Informe de la RPC y con los estudios del UIT-R realizados al respect</w:t>
      </w:r>
      <w:r w:rsidR="00876A51">
        <w:rPr>
          <w:rFonts w:eastAsia="SimSun"/>
        </w:rPr>
        <w:t>o</w:t>
      </w:r>
      <w:r w:rsidRPr="00876A51">
        <w:rPr>
          <w:rFonts w:eastAsia="SimSun"/>
        </w:rPr>
        <w:t>. China considera que una eventual revisión de los límites indicados en el Anexo 7 al Apéndice</w:t>
      </w:r>
      <w:r w:rsidR="00E276E0" w:rsidRPr="00876A51">
        <w:t> </w:t>
      </w:r>
      <w:r w:rsidR="00E276E0" w:rsidRPr="00876A51">
        <w:rPr>
          <w:b/>
        </w:rPr>
        <w:t>30</w:t>
      </w:r>
      <w:r w:rsidR="00E276E0" w:rsidRPr="00876A51">
        <w:rPr>
          <w:b/>
          <w:iCs/>
        </w:rPr>
        <w:t xml:space="preserve"> (Rev.</w:t>
      </w:r>
      <w:r w:rsidRPr="00876A51">
        <w:rPr>
          <w:b/>
          <w:iCs/>
        </w:rPr>
        <w:t>CMR</w:t>
      </w:r>
      <w:r w:rsidR="00E276E0" w:rsidRPr="00876A51">
        <w:rPr>
          <w:b/>
          <w:iCs/>
        </w:rPr>
        <w:t xml:space="preserve">-15) </w:t>
      </w:r>
      <w:r w:rsidRPr="00876A51">
        <w:rPr>
          <w:bCs/>
          <w:iCs/>
        </w:rPr>
        <w:t>del Reglamento de Radiocomunicaciones en virtud de la Resolución</w:t>
      </w:r>
      <w:r w:rsidR="00E276E0" w:rsidRPr="00876A51">
        <w:rPr>
          <w:iCs/>
        </w:rPr>
        <w:t xml:space="preserve"> </w:t>
      </w:r>
      <w:r w:rsidR="00E276E0" w:rsidRPr="00876A51">
        <w:rPr>
          <w:b/>
          <w:bCs/>
          <w:iCs/>
        </w:rPr>
        <w:t>557 (</w:t>
      </w:r>
      <w:r w:rsidRPr="00876A51">
        <w:rPr>
          <w:b/>
          <w:bCs/>
          <w:iCs/>
        </w:rPr>
        <w:t>CMR</w:t>
      </w:r>
      <w:r w:rsidR="00E276E0" w:rsidRPr="00876A51">
        <w:rPr>
          <w:b/>
          <w:bCs/>
          <w:iCs/>
        </w:rPr>
        <w:t>-15)</w:t>
      </w:r>
      <w:r w:rsidR="00E276E0" w:rsidRPr="00876A51">
        <w:rPr>
          <w:iCs/>
        </w:rPr>
        <w:t xml:space="preserve"> </w:t>
      </w:r>
      <w:r w:rsidRPr="00876A51">
        <w:rPr>
          <w:iCs/>
        </w:rPr>
        <w:t>no deberá menoscabar la utilización actual y futura del SFS/SRS en la banda de frecuencias</w:t>
      </w:r>
      <w:r w:rsidR="00E276E0" w:rsidRPr="00876A51">
        <w:rPr>
          <w:iCs/>
        </w:rPr>
        <w:t xml:space="preserve"> 11</w:t>
      </w:r>
      <w:r w:rsidRPr="00876A51">
        <w:rPr>
          <w:iCs/>
        </w:rPr>
        <w:t>,</w:t>
      </w:r>
      <w:r w:rsidR="00E276E0" w:rsidRPr="00876A51">
        <w:rPr>
          <w:iCs/>
        </w:rPr>
        <w:t>7-12</w:t>
      </w:r>
      <w:r w:rsidRPr="00876A51">
        <w:rPr>
          <w:iCs/>
        </w:rPr>
        <w:t>,</w:t>
      </w:r>
      <w:r w:rsidR="00E276E0" w:rsidRPr="00876A51">
        <w:rPr>
          <w:iCs/>
        </w:rPr>
        <w:t xml:space="preserve">7 GHz </w:t>
      </w:r>
      <w:r w:rsidRPr="00876A51">
        <w:rPr>
          <w:iCs/>
        </w:rPr>
        <w:t>en la Región</w:t>
      </w:r>
      <w:r w:rsidR="00E276E0" w:rsidRPr="00876A51">
        <w:rPr>
          <w:iCs/>
        </w:rPr>
        <w:t> 3</w:t>
      </w:r>
      <w:r w:rsidR="00E276E0" w:rsidRPr="00876A51">
        <w:rPr>
          <w:rFonts w:eastAsia="SimSun"/>
          <w:lang w:eastAsia="zh-CN"/>
        </w:rPr>
        <w:t>.</w:t>
      </w:r>
    </w:p>
    <w:p w14:paraId="564952BB" w14:textId="77777777" w:rsidR="008750A8" w:rsidRPr="00876A51" w:rsidRDefault="008750A8" w:rsidP="00876A51">
      <w:pPr>
        <w:tabs>
          <w:tab w:val="clear" w:pos="1134"/>
          <w:tab w:val="clear" w:pos="1871"/>
          <w:tab w:val="clear" w:pos="2268"/>
        </w:tabs>
        <w:overflowPunct/>
        <w:autoSpaceDE/>
        <w:autoSpaceDN/>
        <w:adjustRightInd/>
        <w:spacing w:before="0"/>
        <w:textAlignment w:val="auto"/>
      </w:pPr>
      <w:r w:rsidRPr="00876A51">
        <w:br w:type="page"/>
      </w:r>
    </w:p>
    <w:p w14:paraId="55F7ADE5" w14:textId="77777777" w:rsidR="00B063AE" w:rsidRPr="00876A51" w:rsidRDefault="00B12FAA" w:rsidP="00876A51">
      <w:pPr>
        <w:pStyle w:val="AppendixNo"/>
        <w:rPr>
          <w:vertAlign w:val="superscript"/>
        </w:rPr>
      </w:pPr>
      <w:r w:rsidRPr="00876A51">
        <w:lastRenderedPageBreak/>
        <w:t xml:space="preserve">APÉNDICE </w:t>
      </w:r>
      <w:r w:rsidRPr="00876A51">
        <w:rPr>
          <w:rStyle w:val="href"/>
          <w:color w:val="000000"/>
        </w:rPr>
        <w:t xml:space="preserve">30 </w:t>
      </w:r>
      <w:r w:rsidRPr="00876A51">
        <w:t>(</w:t>
      </w:r>
      <w:r w:rsidRPr="00876A51">
        <w:rPr>
          <w:caps w:val="0"/>
        </w:rPr>
        <w:t>REV</w:t>
      </w:r>
      <w:r w:rsidRPr="00876A51">
        <w:t>.CMR-15)</w:t>
      </w:r>
      <w:r w:rsidRPr="00876A51">
        <w:rPr>
          <w:rStyle w:val="FootnoteReference"/>
          <w:color w:val="000000"/>
        </w:rPr>
        <w:footnoteReference w:customMarkFollows="1" w:id="1"/>
        <w:t>*</w:t>
      </w:r>
    </w:p>
    <w:p w14:paraId="19D6FB7E" w14:textId="77777777" w:rsidR="00B063AE" w:rsidRPr="00876A51" w:rsidRDefault="00B12FAA" w:rsidP="00876A51">
      <w:pPr>
        <w:pStyle w:val="Appendixtitle"/>
        <w:rPr>
          <w:b w:val="0"/>
          <w:bCs/>
          <w:color w:val="000000"/>
          <w:sz w:val="16"/>
        </w:rPr>
      </w:pPr>
      <w:r w:rsidRPr="00876A51">
        <w:rPr>
          <w:color w:val="000000"/>
        </w:rPr>
        <w:t>Disposiciones aplicables a todos los servicios y Planes y Lista</w:t>
      </w:r>
      <w:r w:rsidRPr="00876A51">
        <w:rPr>
          <w:rStyle w:val="FootnoteReference"/>
          <w:b w:val="0"/>
          <w:bCs/>
          <w:color w:val="000000"/>
        </w:rPr>
        <w:footnoteReference w:customMarkFollows="1" w:id="2"/>
        <w:t>1</w:t>
      </w:r>
      <w:r w:rsidRPr="00876A51">
        <w:rPr>
          <w:color w:val="000000"/>
        </w:rPr>
        <w:t xml:space="preserve"> asociados</w:t>
      </w:r>
      <w:r w:rsidRPr="00876A51">
        <w:rPr>
          <w:color w:val="000000"/>
        </w:rPr>
        <w:br/>
        <w:t>para el servicio de radiodifusión por satélite en las bandas de</w:t>
      </w:r>
      <w:r w:rsidRPr="00876A51">
        <w:rPr>
          <w:color w:val="000000"/>
        </w:rPr>
        <w:br/>
        <w:t>frecuencias 11,7</w:t>
      </w:r>
      <w:r w:rsidRPr="00876A51">
        <w:rPr>
          <w:color w:val="000000"/>
        </w:rPr>
        <w:noBreakHyphen/>
        <w:t>12,2 GHz (en la Región 3), 11,7-12,5 GHz</w:t>
      </w:r>
      <w:r w:rsidRPr="00876A51">
        <w:rPr>
          <w:color w:val="000000"/>
        </w:rPr>
        <w:br/>
        <w:t>            (en la Región 1) y 12,2</w:t>
      </w:r>
      <w:r w:rsidRPr="00876A51">
        <w:rPr>
          <w:color w:val="000000"/>
        </w:rPr>
        <w:noBreakHyphen/>
        <w:t>12,7 GHz (en la Región 2)</w:t>
      </w:r>
      <w:r w:rsidRPr="00876A51">
        <w:rPr>
          <w:b w:val="0"/>
          <w:bCs/>
          <w:color w:val="000000"/>
          <w:sz w:val="16"/>
        </w:rPr>
        <w:t>     </w:t>
      </w:r>
      <w:r w:rsidRPr="00876A51">
        <w:rPr>
          <w:rFonts w:ascii="Times New Roman"/>
          <w:b w:val="0"/>
          <w:bCs/>
          <w:color w:val="000000"/>
          <w:sz w:val="16"/>
        </w:rPr>
        <w:t>(CMR</w:t>
      </w:r>
      <w:r w:rsidRPr="00876A51">
        <w:rPr>
          <w:rFonts w:ascii="Times New Roman"/>
          <w:b w:val="0"/>
          <w:bCs/>
          <w:color w:val="000000"/>
          <w:sz w:val="16"/>
        </w:rPr>
        <w:noBreakHyphen/>
        <w:t>03)</w:t>
      </w:r>
    </w:p>
    <w:p w14:paraId="677AC752" w14:textId="77777777" w:rsidR="00646F64" w:rsidRPr="00876A51" w:rsidRDefault="00B12FAA" w:rsidP="00876A51">
      <w:pPr>
        <w:pStyle w:val="Proposal"/>
      </w:pPr>
      <w:r w:rsidRPr="00876A51">
        <w:t>MOD</w:t>
      </w:r>
      <w:r w:rsidRPr="00876A51">
        <w:tab/>
        <w:t>CHN/28A4/1</w:t>
      </w:r>
      <w:r w:rsidRPr="00876A51">
        <w:rPr>
          <w:vanish/>
          <w:color w:val="7F7F7F" w:themeColor="text1" w:themeTint="80"/>
          <w:vertAlign w:val="superscript"/>
        </w:rPr>
        <w:t>#49974</w:t>
      </w:r>
    </w:p>
    <w:p w14:paraId="6C3D779E" w14:textId="77777777" w:rsidR="00B571EC" w:rsidRPr="00876A51" w:rsidRDefault="00B12FAA" w:rsidP="00876A51">
      <w:pPr>
        <w:pStyle w:val="AnnexNo"/>
      </w:pPr>
      <w:r w:rsidRPr="00876A51">
        <w:t>ANEXO 7</w:t>
      </w:r>
      <w:r w:rsidRPr="00876A51">
        <w:rPr>
          <w:sz w:val="16"/>
          <w:szCs w:val="16"/>
        </w:rPr>
        <w:t>     (Rev.CMR</w:t>
      </w:r>
      <w:r w:rsidRPr="00876A51">
        <w:rPr>
          <w:sz w:val="16"/>
          <w:szCs w:val="16"/>
        </w:rPr>
        <w:noBreakHyphen/>
        <w:t>03)</w:t>
      </w:r>
    </w:p>
    <w:p w14:paraId="0D22D8A5" w14:textId="77777777" w:rsidR="00B571EC" w:rsidRPr="00876A51" w:rsidRDefault="00B12FAA" w:rsidP="00876A51">
      <w:pPr>
        <w:pStyle w:val="Annextitle"/>
      </w:pPr>
      <w:r w:rsidRPr="00876A51">
        <w:t>Restricciones aplicables a la posición orbital</w:t>
      </w:r>
      <w:ins w:id="6" w:author="Spanish" w:date="2019-03-13T14:35:00Z">
        <w:r w:rsidRPr="00876A51">
          <w:rPr>
            <w:rStyle w:val="FootnoteReference"/>
            <w:rFonts w:ascii="Times New Roman"/>
            <w:b w:val="0"/>
          </w:rPr>
          <w:t xml:space="preserve">ADD </w:t>
        </w:r>
        <w:r w:rsidRPr="00876A51">
          <w:rPr>
            <w:rStyle w:val="FootnoteReference"/>
            <w:rFonts w:ascii="Times New Roman"/>
            <w:b w:val="0"/>
          </w:rPr>
          <w:footnoteReference w:customMarkFollows="1" w:id="3"/>
          <w:t xml:space="preserve">YY, ADD </w:t>
        </w:r>
        <w:r w:rsidRPr="00876A51">
          <w:rPr>
            <w:rStyle w:val="FootnoteReference"/>
            <w:rFonts w:ascii="Times New Roman"/>
            <w:b w:val="0"/>
          </w:rPr>
          <w:footnoteReference w:customMarkFollows="1" w:id="4"/>
          <w:t>ZZ</w:t>
        </w:r>
      </w:ins>
    </w:p>
    <w:p w14:paraId="0CDDE951" w14:textId="77777777" w:rsidR="00646F64" w:rsidRPr="00876A51" w:rsidRDefault="00646F64" w:rsidP="00876A51">
      <w:pPr>
        <w:pStyle w:val="Reasons"/>
      </w:pPr>
    </w:p>
    <w:p w14:paraId="384C84D2" w14:textId="77777777" w:rsidR="00646F64" w:rsidRPr="00876A51" w:rsidRDefault="00B12FAA" w:rsidP="00876A51">
      <w:pPr>
        <w:pStyle w:val="Proposal"/>
      </w:pPr>
      <w:r w:rsidRPr="00876A51">
        <w:t>MOD</w:t>
      </w:r>
      <w:r w:rsidRPr="00876A51">
        <w:tab/>
        <w:t>CHN/28A4/2</w:t>
      </w:r>
      <w:r w:rsidRPr="00876A51">
        <w:rPr>
          <w:vanish/>
          <w:color w:val="7F7F7F" w:themeColor="text1" w:themeTint="80"/>
          <w:vertAlign w:val="superscript"/>
        </w:rPr>
        <w:t>#49975</w:t>
      </w:r>
    </w:p>
    <w:p w14:paraId="6A902F33" w14:textId="77777777" w:rsidR="00B571EC" w:rsidRPr="00876A51" w:rsidRDefault="00B12FAA" w:rsidP="00876A51">
      <w:pPr>
        <w:pStyle w:val="enumlev1"/>
        <w:rPr>
          <w:strike/>
        </w:rPr>
      </w:pPr>
      <w:r w:rsidRPr="00876A51">
        <w:rPr>
          <w:rStyle w:val="Provsplit"/>
          <w:rFonts w:asciiTheme="majorBidi" w:hAnsiTheme="majorBidi" w:cstheme="majorBidi"/>
        </w:rPr>
        <w:t>1)</w:t>
      </w:r>
      <w:r w:rsidRPr="00876A51">
        <w:tab/>
        <w:t xml:space="preserve">Ninguna estación espacial de radiodifusión que preste servicio en una zona de la Región 1 en una frecuencia de la banda 11,7-12,2 GHz ocupará una posición orbital nominal situada </w:t>
      </w:r>
      <w:del w:id="12" w:author="" w:date="2018-08-03T13:39:00Z">
        <w:r w:rsidRPr="00876A51" w:rsidDel="00013F28">
          <w:delText xml:space="preserve">más al oeste de 37,2° W o </w:delText>
        </w:r>
      </w:del>
      <w:r w:rsidRPr="00876A51">
        <w:t>más al este de 146° E.</w:t>
      </w:r>
    </w:p>
    <w:p w14:paraId="386F993C" w14:textId="2158D169" w:rsidR="00646F64" w:rsidRPr="00876A51" w:rsidRDefault="00B12FAA" w:rsidP="00876A51">
      <w:pPr>
        <w:pStyle w:val="Reasons"/>
      </w:pPr>
      <w:r w:rsidRPr="00876A51">
        <w:rPr>
          <w:b/>
        </w:rPr>
        <w:t>Motivos:</w:t>
      </w:r>
      <w:r w:rsidRPr="00876A51">
        <w:tab/>
      </w:r>
      <w:r w:rsidR="007174EB" w:rsidRPr="00876A51">
        <w:t>No se menoscabará la utilización actual y futura del SFS/SRS en la banda de frecuencias</w:t>
      </w:r>
      <w:r w:rsidR="00E276E0" w:rsidRPr="00876A51">
        <w:rPr>
          <w:iCs/>
        </w:rPr>
        <w:t xml:space="preserve"> 11</w:t>
      </w:r>
      <w:r w:rsidR="007174EB" w:rsidRPr="00876A51">
        <w:rPr>
          <w:iCs/>
        </w:rPr>
        <w:t>,</w:t>
      </w:r>
      <w:r w:rsidR="00E276E0" w:rsidRPr="00876A51">
        <w:rPr>
          <w:iCs/>
        </w:rPr>
        <w:t>7-12</w:t>
      </w:r>
      <w:r w:rsidR="007174EB" w:rsidRPr="00876A51">
        <w:rPr>
          <w:iCs/>
        </w:rPr>
        <w:t>,</w:t>
      </w:r>
      <w:r w:rsidR="00E276E0" w:rsidRPr="00876A51">
        <w:rPr>
          <w:iCs/>
        </w:rPr>
        <w:t xml:space="preserve">7 GHz </w:t>
      </w:r>
      <w:r w:rsidR="007174EB" w:rsidRPr="00876A51">
        <w:rPr>
          <w:iCs/>
        </w:rPr>
        <w:t>en la Región</w:t>
      </w:r>
      <w:r w:rsidR="00E276E0" w:rsidRPr="00876A51">
        <w:rPr>
          <w:iCs/>
        </w:rPr>
        <w:t xml:space="preserve"> 3.</w:t>
      </w:r>
    </w:p>
    <w:p w14:paraId="2C56673E" w14:textId="77777777" w:rsidR="00646F64" w:rsidRPr="00876A51" w:rsidRDefault="00B12FAA" w:rsidP="00876A51">
      <w:pPr>
        <w:pStyle w:val="Proposal"/>
      </w:pPr>
      <w:r w:rsidRPr="00876A51">
        <w:t>MOD</w:t>
      </w:r>
      <w:r w:rsidRPr="00876A51">
        <w:tab/>
        <w:t>CHN/28A4/3</w:t>
      </w:r>
      <w:r w:rsidRPr="00876A51">
        <w:rPr>
          <w:vanish/>
          <w:color w:val="7F7F7F" w:themeColor="text1" w:themeTint="80"/>
          <w:vertAlign w:val="superscript"/>
        </w:rPr>
        <w:t>#49976</w:t>
      </w:r>
    </w:p>
    <w:p w14:paraId="09C38434" w14:textId="77777777" w:rsidR="00B571EC" w:rsidRPr="00876A51" w:rsidRDefault="00B12FAA" w:rsidP="00876A51">
      <w:pPr>
        <w:pStyle w:val="enumlev1"/>
      </w:pPr>
      <w:r w:rsidRPr="00876A51">
        <w:rPr>
          <w:rStyle w:val="Provsplit"/>
          <w:rFonts w:asciiTheme="majorBidi" w:hAnsiTheme="majorBidi" w:cstheme="majorBidi"/>
        </w:rPr>
        <w:t>2)</w:t>
      </w:r>
      <w:r w:rsidRPr="00876A51">
        <w:tab/>
        <w:t xml:space="preserve">Ningún satélite de radiodifusión que preste servicio en una zona de la Región 2 </w:t>
      </w:r>
      <w:ins w:id="13" w:author=" Spanish" w:date="2019-02-27T00:16:00Z">
        <w:r w:rsidRPr="00876A51">
          <w:t xml:space="preserve">y utilice una </w:t>
        </w:r>
      </w:ins>
      <w:ins w:id="14" w:author="Spanish" w:date="2019-03-27T08:59:00Z">
        <w:r w:rsidRPr="00876A51">
          <w:t xml:space="preserve">frecuencia de </w:t>
        </w:r>
      </w:ins>
      <w:ins w:id="15" w:author=" Spanish" w:date="2019-02-27T00:16:00Z">
        <w:r w:rsidRPr="00876A51">
          <w:t>la banda</w:t>
        </w:r>
      </w:ins>
      <w:ins w:id="16" w:author=" Spanish" w:date="2019-02-27T00:21:00Z">
        <w:r w:rsidRPr="00876A51">
          <w:t xml:space="preserve"> de frecuencias 12,2-12,7 GHz, </w:t>
        </w:r>
      </w:ins>
      <w:r w:rsidRPr="00876A51">
        <w:t>que implique una posición orbital distinta de la contenida en el Plan de la Región 2, ocupará una posición orbital nominal:</w:t>
      </w:r>
    </w:p>
    <w:p w14:paraId="2CB367BA" w14:textId="77777777" w:rsidR="00B571EC" w:rsidRPr="00876A51" w:rsidDel="000A4F99" w:rsidRDefault="00B12FAA" w:rsidP="00876A51">
      <w:pPr>
        <w:pStyle w:val="enumlev2"/>
        <w:rPr>
          <w:del w:id="17" w:author="" w:date="2018-08-03T13:40:00Z"/>
          <w:rFonts w:asciiTheme="majorBidi" w:hAnsiTheme="majorBidi" w:cstheme="majorBidi"/>
        </w:rPr>
      </w:pPr>
      <w:del w:id="18" w:author="" w:date="2018-08-03T13:40:00Z">
        <w:r w:rsidRPr="00876A51" w:rsidDel="000A4F99">
          <w:rPr>
            <w:rFonts w:asciiTheme="majorBidi" w:hAnsiTheme="majorBidi" w:cstheme="majorBidi"/>
            <w:i/>
          </w:rPr>
          <w:delText>a)</w:delText>
        </w:r>
        <w:r w:rsidRPr="00876A51" w:rsidDel="000A4F99">
          <w:rPr>
            <w:rFonts w:asciiTheme="majorBidi" w:hAnsiTheme="majorBidi" w:cstheme="majorBidi"/>
          </w:rPr>
          <w:tab/>
          <w:delText>más al este de 54° W en la banda 12,5-12,7 GHz;</w:delText>
        </w:r>
        <w:r w:rsidRPr="00876A51" w:rsidDel="000A4F99">
          <w:rPr>
            <w:rFonts w:asciiTheme="majorBidi" w:hAnsiTheme="majorBidi" w:cstheme="majorBidi"/>
            <w:i/>
          </w:rPr>
          <w:delText xml:space="preserve"> o</w:delText>
        </w:r>
      </w:del>
    </w:p>
    <w:p w14:paraId="799F242E" w14:textId="77777777" w:rsidR="00B571EC" w:rsidRPr="00876A51" w:rsidDel="000A4F99" w:rsidRDefault="00B12FAA" w:rsidP="00876A51">
      <w:pPr>
        <w:pStyle w:val="enumlev2"/>
        <w:rPr>
          <w:del w:id="19" w:author="" w:date="2018-08-03T13:40:00Z"/>
          <w:rFonts w:asciiTheme="majorBidi" w:hAnsiTheme="majorBidi" w:cstheme="majorBidi"/>
        </w:rPr>
      </w:pPr>
      <w:del w:id="20" w:author="" w:date="2018-08-03T13:40:00Z">
        <w:r w:rsidRPr="00876A51" w:rsidDel="000A4F99">
          <w:rPr>
            <w:rFonts w:asciiTheme="majorBidi" w:hAnsiTheme="majorBidi" w:cstheme="majorBidi"/>
            <w:i/>
          </w:rPr>
          <w:delText>b)</w:delText>
        </w:r>
        <w:r w:rsidRPr="00876A51" w:rsidDel="000A4F99">
          <w:rPr>
            <w:rFonts w:asciiTheme="majorBidi" w:hAnsiTheme="majorBidi" w:cstheme="majorBidi"/>
          </w:rPr>
          <w:tab/>
          <w:delText>más al este de 44° W en la banda 12,2-12,5 GHz;</w:delText>
        </w:r>
        <w:r w:rsidRPr="00876A51" w:rsidDel="000A4F99">
          <w:rPr>
            <w:rFonts w:asciiTheme="majorBidi" w:hAnsiTheme="majorBidi" w:cstheme="majorBidi"/>
            <w:i/>
          </w:rPr>
          <w:delText xml:space="preserve"> o</w:delText>
        </w:r>
      </w:del>
    </w:p>
    <w:p w14:paraId="693C0234" w14:textId="77777777" w:rsidR="00B571EC" w:rsidRPr="00876A51" w:rsidRDefault="00B12FAA" w:rsidP="00876A51">
      <w:pPr>
        <w:pStyle w:val="enumlev2"/>
      </w:pPr>
      <w:del w:id="21" w:author="" w:date="2018-08-03T13:40:00Z">
        <w:r w:rsidRPr="00876A51" w:rsidDel="000A4F99">
          <w:rPr>
            <w:i/>
          </w:rPr>
          <w:lastRenderedPageBreak/>
          <w:delText>c)</w:delText>
        </w:r>
        <w:r w:rsidRPr="00876A51" w:rsidDel="000A4F99">
          <w:tab/>
        </w:r>
      </w:del>
      <w:r w:rsidRPr="00876A51">
        <w:t>más al oeste de 175,2° W</w:t>
      </w:r>
      <w:del w:id="22" w:author="Spanish" w:date="2019-02-26T22:21:00Z">
        <w:r w:rsidRPr="00876A51" w:rsidDel="005D1958">
          <w:delText xml:space="preserve"> en la banda 12,2-12,7 GHz</w:delText>
        </w:r>
      </w:del>
      <w:r w:rsidRPr="00876A51">
        <w:t>.</w:t>
      </w:r>
    </w:p>
    <w:p w14:paraId="3E2D6AB8" w14:textId="77777777" w:rsidR="00B571EC" w:rsidRPr="00876A51" w:rsidRDefault="00B12FAA" w:rsidP="00876A51">
      <w:pPr>
        <w:pStyle w:val="enumlev1"/>
      </w:pPr>
      <w:r w:rsidRPr="00876A51">
        <w:tab/>
        <w:t>Sin embargo se permitirán las modificaciones necesarias para resolver las posibles incompatibilidades durante la incorporación del Plan de enlaces de conexión de las Regiones 1 y 3 en el Reglamento de Radiocomunicaciones.</w:t>
      </w:r>
    </w:p>
    <w:p w14:paraId="6F63E8E9" w14:textId="6A1B060A" w:rsidR="00646F64" w:rsidRPr="00876A51" w:rsidRDefault="00B12FAA" w:rsidP="00876A51">
      <w:pPr>
        <w:pStyle w:val="Reasons"/>
      </w:pPr>
      <w:r w:rsidRPr="00876A51">
        <w:rPr>
          <w:b/>
        </w:rPr>
        <w:t>Motivos:</w:t>
      </w:r>
      <w:r w:rsidRPr="00876A51">
        <w:tab/>
      </w:r>
      <w:r w:rsidR="007174EB" w:rsidRPr="00876A51">
        <w:t>No se menoscabará la utilización actual y futura del SFS/SRS en la banda de frecuencias</w:t>
      </w:r>
      <w:r w:rsidR="007174EB" w:rsidRPr="00876A51">
        <w:rPr>
          <w:iCs/>
        </w:rPr>
        <w:t xml:space="preserve"> 11,7-12,7 GHz en la Región 3</w:t>
      </w:r>
      <w:r w:rsidR="00E276E0" w:rsidRPr="00876A51">
        <w:rPr>
          <w:iCs/>
        </w:rPr>
        <w:t>.</w:t>
      </w:r>
    </w:p>
    <w:p w14:paraId="66EB2B34" w14:textId="77777777" w:rsidR="00646F64" w:rsidRPr="00876A51" w:rsidRDefault="00B12FAA" w:rsidP="00876A51">
      <w:pPr>
        <w:pStyle w:val="Proposal"/>
      </w:pPr>
      <w:r w:rsidRPr="00876A51">
        <w:t>SUP</w:t>
      </w:r>
      <w:r w:rsidRPr="00876A51">
        <w:tab/>
        <w:t>CHN/28A4/4</w:t>
      </w:r>
      <w:r w:rsidRPr="00876A51">
        <w:rPr>
          <w:vanish/>
          <w:color w:val="7F7F7F" w:themeColor="text1" w:themeTint="80"/>
          <w:vertAlign w:val="superscript"/>
        </w:rPr>
        <w:t>#49977</w:t>
      </w:r>
    </w:p>
    <w:p w14:paraId="66E54DC5" w14:textId="77777777" w:rsidR="00B571EC" w:rsidRPr="00876A51" w:rsidRDefault="00B12FAA" w:rsidP="00876A51">
      <w:pPr>
        <w:pStyle w:val="enumlev1"/>
      </w:pPr>
      <w:r w:rsidRPr="00876A51">
        <w:rPr>
          <w:rStyle w:val="Provsplit"/>
          <w:rFonts w:asciiTheme="majorBidi" w:hAnsiTheme="majorBidi" w:cstheme="majorBidi"/>
        </w:rPr>
        <w:t>3)</w:t>
      </w:r>
      <w:r w:rsidRPr="00876A51">
        <w:tab/>
        <w:t>La finalidad de las restricciones de la posición orbital y de la p.i.r.e. que se indican a continuación es preservar el acceso a la órbita de los satélites geoestacionarios por el servicio fijo por satélite de la Región 2 en la banda 11,7-12,2 GHz. En el arco orbital de la órbita de los satélites geoestacionarios entre 37,2° W y 10° E, la posición orbital asociada con cualquier propuesta de asignación nueva o modificada en la Lista de utilizaciones adicionales en las Regiones 1 y 3 deberá encontrarse en uno de los tramos del arco orbital indicados en el Cuadro 1. La p.i.r.e. de esas asignaciones no deberá exceder de 56 dBW excepto en las posiciones indicadas en el Cuadro 2.</w:t>
      </w:r>
    </w:p>
    <w:p w14:paraId="05E55D48" w14:textId="5263E2C0" w:rsidR="00646F64" w:rsidRPr="00876A51" w:rsidRDefault="00B12FAA" w:rsidP="00876A51">
      <w:pPr>
        <w:pStyle w:val="Reasons"/>
      </w:pPr>
      <w:r w:rsidRPr="00876A51">
        <w:rPr>
          <w:b/>
        </w:rPr>
        <w:t>Motivos:</w:t>
      </w:r>
      <w:r w:rsidRPr="00876A51">
        <w:tab/>
      </w:r>
      <w:r w:rsidR="007174EB" w:rsidRPr="00876A51">
        <w:t>No se menoscabará la utilización actual y futura del SFS/SRS en la banda de frecuencias</w:t>
      </w:r>
      <w:r w:rsidR="007174EB" w:rsidRPr="00876A51">
        <w:rPr>
          <w:iCs/>
        </w:rPr>
        <w:t xml:space="preserve"> 11,7-12,7 GHz en la Región 3</w:t>
      </w:r>
      <w:r w:rsidR="00E276E0" w:rsidRPr="00876A51">
        <w:rPr>
          <w:iCs/>
        </w:rPr>
        <w:t>.</w:t>
      </w:r>
    </w:p>
    <w:p w14:paraId="4B38370C" w14:textId="77777777" w:rsidR="00646F64" w:rsidRPr="00876A51" w:rsidRDefault="00B12FAA" w:rsidP="00876A51">
      <w:pPr>
        <w:pStyle w:val="Proposal"/>
      </w:pPr>
      <w:r w:rsidRPr="00876A51">
        <w:t>SUP</w:t>
      </w:r>
      <w:r w:rsidRPr="00876A51">
        <w:tab/>
        <w:t>CHN/28A4/5</w:t>
      </w:r>
      <w:r w:rsidRPr="00876A51">
        <w:rPr>
          <w:vanish/>
          <w:color w:val="7F7F7F" w:themeColor="text1" w:themeTint="80"/>
          <w:vertAlign w:val="superscript"/>
        </w:rPr>
        <w:t>#49978</w:t>
      </w:r>
    </w:p>
    <w:p w14:paraId="46A4A16C" w14:textId="77777777" w:rsidR="00B571EC" w:rsidRPr="00876A51" w:rsidRDefault="00B12FAA" w:rsidP="00876A51">
      <w:pPr>
        <w:pStyle w:val="TableNo"/>
      </w:pPr>
      <w:r w:rsidRPr="00876A51">
        <w:t>CUADRO 1</w:t>
      </w:r>
    </w:p>
    <w:p w14:paraId="34D192D0" w14:textId="77777777" w:rsidR="00B571EC" w:rsidRPr="00876A51" w:rsidRDefault="00B12FAA" w:rsidP="00876A51">
      <w:pPr>
        <w:pStyle w:val="Tabletitle"/>
      </w:pPr>
      <w:r w:rsidRPr="00876A51">
        <w:t>Tramos permitidos del arco orbital entre 37,2° W y 10° E para asignaciones</w:t>
      </w:r>
      <w:r w:rsidRPr="00876A51">
        <w:br/>
        <w:t>nuevas o modificadas en el Plan y en la Lista de las Regiones 1 y 3</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B571EC" w:rsidRPr="00876A51" w14:paraId="36430EA9" w14:textId="77777777" w:rsidTr="009F5F4C">
        <w:tc>
          <w:tcPr>
            <w:tcW w:w="834" w:type="dxa"/>
            <w:tcBorders>
              <w:bottom w:val="single" w:sz="4" w:space="0" w:color="auto"/>
            </w:tcBorders>
            <w:vAlign w:val="center"/>
          </w:tcPr>
          <w:p w14:paraId="66FA0296" w14:textId="77777777" w:rsidR="00B571EC" w:rsidRPr="00876A51" w:rsidRDefault="00B12FAA" w:rsidP="00876A51">
            <w:pPr>
              <w:pStyle w:val="Tablelegend"/>
              <w:tabs>
                <w:tab w:val="clear" w:pos="567"/>
                <w:tab w:val="clear" w:pos="851"/>
              </w:tabs>
              <w:spacing w:after="120"/>
              <w:ind w:left="-57" w:right="-57"/>
              <w:jc w:val="center"/>
              <w:rPr>
                <w:rFonts w:asciiTheme="majorBidi" w:hAnsiTheme="majorBidi" w:cstheme="majorBidi"/>
                <w:b/>
                <w:bCs/>
              </w:rPr>
            </w:pPr>
            <w:r w:rsidRPr="00876A51">
              <w:rPr>
                <w:rFonts w:asciiTheme="majorBidi" w:hAnsiTheme="majorBidi" w:cstheme="majorBidi"/>
                <w:b/>
              </w:rPr>
              <w:t>Posición orbital</w:t>
            </w:r>
          </w:p>
        </w:tc>
        <w:tc>
          <w:tcPr>
            <w:tcW w:w="789" w:type="dxa"/>
            <w:tcBorders>
              <w:bottom w:val="single" w:sz="4" w:space="0" w:color="auto"/>
            </w:tcBorders>
            <w:vAlign w:val="center"/>
          </w:tcPr>
          <w:p w14:paraId="20422A35"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37,2° W a</w:t>
            </w:r>
            <w:r w:rsidRPr="00876A51">
              <w:rPr>
                <w:rFonts w:asciiTheme="majorBidi" w:hAnsiTheme="majorBidi" w:cstheme="majorBidi"/>
              </w:rPr>
              <w:br/>
              <w:t>36° W</w:t>
            </w:r>
          </w:p>
        </w:tc>
        <w:tc>
          <w:tcPr>
            <w:tcW w:w="788" w:type="dxa"/>
            <w:tcBorders>
              <w:bottom w:val="single" w:sz="4" w:space="0" w:color="auto"/>
            </w:tcBorders>
            <w:vAlign w:val="center"/>
          </w:tcPr>
          <w:p w14:paraId="2559F472"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33,5° W</w:t>
            </w:r>
            <w:r w:rsidRPr="00876A51">
              <w:rPr>
                <w:rFonts w:asciiTheme="majorBidi" w:hAnsiTheme="majorBidi" w:cstheme="majorBidi"/>
              </w:rPr>
              <w:br/>
              <w:t>a</w:t>
            </w:r>
            <w:r w:rsidRPr="00876A51">
              <w:rPr>
                <w:rFonts w:asciiTheme="majorBidi" w:hAnsiTheme="majorBidi" w:cstheme="majorBidi"/>
              </w:rPr>
              <w:br/>
              <w:t>32,5° W</w:t>
            </w:r>
          </w:p>
        </w:tc>
        <w:tc>
          <w:tcPr>
            <w:tcW w:w="788" w:type="dxa"/>
            <w:tcBorders>
              <w:bottom w:val="single" w:sz="4" w:space="0" w:color="auto"/>
            </w:tcBorders>
            <w:vAlign w:val="center"/>
          </w:tcPr>
          <w:p w14:paraId="07036DF1"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30° W</w:t>
            </w:r>
            <w:r w:rsidRPr="00876A51">
              <w:rPr>
                <w:rFonts w:asciiTheme="majorBidi" w:hAnsiTheme="majorBidi" w:cstheme="majorBidi"/>
              </w:rPr>
              <w:br/>
              <w:t>a</w:t>
            </w:r>
            <w:r w:rsidRPr="00876A51">
              <w:rPr>
                <w:rFonts w:asciiTheme="majorBidi" w:hAnsiTheme="majorBidi" w:cstheme="majorBidi"/>
              </w:rPr>
              <w:br/>
              <w:t>29° W</w:t>
            </w:r>
          </w:p>
        </w:tc>
        <w:tc>
          <w:tcPr>
            <w:tcW w:w="788" w:type="dxa"/>
            <w:tcBorders>
              <w:bottom w:val="single" w:sz="4" w:space="0" w:color="auto"/>
            </w:tcBorders>
            <w:vAlign w:val="center"/>
          </w:tcPr>
          <w:p w14:paraId="299D76B1"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26° W</w:t>
            </w:r>
            <w:r w:rsidRPr="00876A51">
              <w:rPr>
                <w:rFonts w:asciiTheme="majorBidi" w:hAnsiTheme="majorBidi" w:cstheme="majorBidi"/>
              </w:rPr>
              <w:br/>
              <w:t>a</w:t>
            </w:r>
            <w:r w:rsidRPr="00876A51">
              <w:rPr>
                <w:rFonts w:asciiTheme="majorBidi" w:hAnsiTheme="majorBidi" w:cstheme="majorBidi"/>
              </w:rPr>
              <w:br/>
              <w:t>24° W</w:t>
            </w:r>
          </w:p>
        </w:tc>
        <w:tc>
          <w:tcPr>
            <w:tcW w:w="788" w:type="dxa"/>
            <w:tcBorders>
              <w:bottom w:val="single" w:sz="4" w:space="0" w:color="auto"/>
            </w:tcBorders>
            <w:vAlign w:val="center"/>
          </w:tcPr>
          <w:p w14:paraId="18DF2A5D"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20° W</w:t>
            </w:r>
            <w:r w:rsidRPr="00876A51">
              <w:rPr>
                <w:rFonts w:asciiTheme="majorBidi" w:hAnsiTheme="majorBidi" w:cstheme="majorBidi"/>
              </w:rPr>
              <w:br/>
              <w:t>a</w:t>
            </w:r>
            <w:r w:rsidRPr="00876A51">
              <w:rPr>
                <w:rFonts w:asciiTheme="majorBidi" w:hAnsiTheme="majorBidi" w:cstheme="majorBidi"/>
              </w:rPr>
              <w:br/>
              <w:t>18 W</w:t>
            </w:r>
          </w:p>
        </w:tc>
        <w:tc>
          <w:tcPr>
            <w:tcW w:w="788" w:type="dxa"/>
            <w:tcBorders>
              <w:bottom w:val="single" w:sz="4" w:space="0" w:color="auto"/>
            </w:tcBorders>
            <w:vAlign w:val="center"/>
          </w:tcPr>
          <w:p w14:paraId="4468DEE4"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14° W </w:t>
            </w:r>
            <w:r w:rsidRPr="00876A51">
              <w:rPr>
                <w:rFonts w:asciiTheme="majorBidi" w:hAnsiTheme="majorBidi" w:cstheme="majorBidi"/>
              </w:rPr>
              <w:br/>
              <w:t>a</w:t>
            </w:r>
            <w:r w:rsidRPr="00876A51">
              <w:rPr>
                <w:rFonts w:asciiTheme="majorBidi" w:hAnsiTheme="majorBidi" w:cstheme="majorBidi"/>
              </w:rPr>
              <w:br/>
              <w:t>12° W</w:t>
            </w:r>
          </w:p>
        </w:tc>
        <w:tc>
          <w:tcPr>
            <w:tcW w:w="788" w:type="dxa"/>
            <w:tcBorders>
              <w:bottom w:val="single" w:sz="4" w:space="0" w:color="auto"/>
            </w:tcBorders>
            <w:vAlign w:val="center"/>
          </w:tcPr>
          <w:p w14:paraId="063BB802"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8° W </w:t>
            </w:r>
            <w:r w:rsidRPr="00876A51">
              <w:rPr>
                <w:rFonts w:asciiTheme="majorBidi" w:hAnsiTheme="majorBidi" w:cstheme="majorBidi"/>
              </w:rPr>
              <w:br/>
              <w:t>a</w:t>
            </w:r>
            <w:r w:rsidRPr="00876A51">
              <w:rPr>
                <w:rFonts w:asciiTheme="majorBidi" w:hAnsiTheme="majorBidi" w:cstheme="majorBidi"/>
              </w:rPr>
              <w:br/>
              <w:t>6 W</w:t>
            </w:r>
          </w:p>
        </w:tc>
        <w:tc>
          <w:tcPr>
            <w:tcW w:w="782" w:type="dxa"/>
            <w:tcBorders>
              <w:bottom w:val="single" w:sz="4" w:space="0" w:color="auto"/>
            </w:tcBorders>
            <w:vAlign w:val="center"/>
          </w:tcPr>
          <w:p w14:paraId="3C0EDCC6"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4° W </w:t>
            </w:r>
            <w:r w:rsidRPr="00876A51">
              <w:rPr>
                <w:rFonts w:asciiTheme="majorBidi" w:hAnsiTheme="majorBidi" w:cstheme="majorBidi"/>
                <w:vertAlign w:val="superscript"/>
              </w:rPr>
              <w:t>1</w:t>
            </w:r>
          </w:p>
        </w:tc>
        <w:tc>
          <w:tcPr>
            <w:tcW w:w="788" w:type="dxa"/>
            <w:tcBorders>
              <w:bottom w:val="single" w:sz="4" w:space="0" w:color="auto"/>
            </w:tcBorders>
            <w:vAlign w:val="center"/>
          </w:tcPr>
          <w:p w14:paraId="21386CAD"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2° W </w:t>
            </w:r>
            <w:r w:rsidRPr="00876A51">
              <w:rPr>
                <w:rFonts w:asciiTheme="majorBidi" w:hAnsiTheme="majorBidi" w:cstheme="majorBidi"/>
              </w:rPr>
              <w:br/>
              <w:t>a</w:t>
            </w:r>
            <w:r w:rsidRPr="00876A51">
              <w:rPr>
                <w:rFonts w:asciiTheme="majorBidi" w:hAnsiTheme="majorBidi" w:cstheme="majorBidi"/>
              </w:rPr>
              <w:br/>
              <w:t>0°</w:t>
            </w:r>
          </w:p>
        </w:tc>
        <w:tc>
          <w:tcPr>
            <w:tcW w:w="788" w:type="dxa"/>
            <w:tcBorders>
              <w:bottom w:val="single" w:sz="4" w:space="0" w:color="auto"/>
            </w:tcBorders>
            <w:vAlign w:val="center"/>
          </w:tcPr>
          <w:p w14:paraId="0CADED09"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4° E</w:t>
            </w:r>
            <w:r w:rsidRPr="00876A51">
              <w:rPr>
                <w:rFonts w:asciiTheme="majorBidi" w:hAnsiTheme="majorBidi" w:cstheme="majorBidi"/>
              </w:rPr>
              <w:br/>
              <w:t>a</w:t>
            </w:r>
            <w:r w:rsidRPr="00876A51">
              <w:rPr>
                <w:rFonts w:asciiTheme="majorBidi" w:hAnsiTheme="majorBidi" w:cstheme="majorBidi"/>
              </w:rPr>
              <w:br/>
              <w:t>6° E</w:t>
            </w:r>
          </w:p>
        </w:tc>
        <w:tc>
          <w:tcPr>
            <w:tcW w:w="737" w:type="dxa"/>
            <w:tcBorders>
              <w:bottom w:val="single" w:sz="4" w:space="0" w:color="auto"/>
            </w:tcBorders>
            <w:vAlign w:val="center"/>
          </w:tcPr>
          <w:p w14:paraId="076B30FD"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9° E </w:t>
            </w:r>
            <w:r w:rsidRPr="00876A51">
              <w:rPr>
                <w:rFonts w:asciiTheme="majorBidi" w:hAnsiTheme="majorBidi" w:cstheme="majorBidi"/>
                <w:vertAlign w:val="superscript"/>
              </w:rPr>
              <w:t>1</w:t>
            </w:r>
          </w:p>
        </w:tc>
      </w:tr>
      <w:tr w:rsidR="00B571EC" w:rsidRPr="00876A51" w14:paraId="2FE62EBF" w14:textId="77777777" w:rsidTr="009F5F4C">
        <w:tc>
          <w:tcPr>
            <w:tcW w:w="9446" w:type="dxa"/>
            <w:gridSpan w:val="12"/>
            <w:tcBorders>
              <w:left w:val="nil"/>
              <w:bottom w:val="nil"/>
              <w:right w:val="nil"/>
            </w:tcBorders>
            <w:vAlign w:val="center"/>
          </w:tcPr>
          <w:p w14:paraId="45963E70" w14:textId="77777777" w:rsidR="00B571EC" w:rsidRPr="00876A51" w:rsidRDefault="00B12FAA" w:rsidP="00876A51">
            <w:pPr>
              <w:pStyle w:val="Tablelegend"/>
              <w:tabs>
                <w:tab w:val="clear" w:pos="567"/>
                <w:tab w:val="clear" w:pos="851"/>
              </w:tabs>
              <w:ind w:left="199" w:hanging="284"/>
            </w:pPr>
            <w:r w:rsidRPr="00876A51">
              <w:rPr>
                <w:vertAlign w:val="superscript"/>
              </w:rPr>
              <w:t>1</w:t>
            </w:r>
            <w:r w:rsidRPr="00876A51">
              <w:tab/>
            </w:r>
            <w:r w:rsidRPr="00876A51">
              <w:rPr>
                <w:rFonts w:asciiTheme="majorBidi" w:hAnsiTheme="majorBidi" w:cstheme="majorBidi"/>
              </w:rPr>
              <w:t>Las</w:t>
            </w:r>
            <w:r w:rsidRPr="00876A51">
              <w:t xml:space="preserve"> propuestas de asignaciones nuevas o modificadas en la Lista asociadas a esta posición orbital no deberán exceder del límite de densidad de flujo de potencia de </w:t>
            </w:r>
            <w:r w:rsidRPr="00876A51">
              <w:sym w:font="Symbol" w:char="F02D"/>
            </w:r>
            <w:r w:rsidRPr="00876A51">
              <w:t>138 dB(W/(m</w:t>
            </w:r>
            <w:r w:rsidRPr="00876A51">
              <w:rPr>
                <w:position w:val="6"/>
                <w:sz w:val="16"/>
              </w:rPr>
              <w:t>2</w:t>
            </w:r>
            <w:r w:rsidRPr="00876A51">
              <w:t> </w:t>
            </w:r>
            <w:r w:rsidRPr="00876A51">
              <w:sym w:font="Symbol" w:char="F0D7"/>
            </w:r>
            <w:r w:rsidRPr="00876A51">
              <w:t> 27 MHz)) en un punto cualquiera de la Región 2.</w:t>
            </w:r>
          </w:p>
        </w:tc>
      </w:tr>
    </w:tbl>
    <w:p w14:paraId="2C9C29FB" w14:textId="77777777" w:rsidR="00646F64" w:rsidRPr="00876A51" w:rsidRDefault="00646F64" w:rsidP="00876A51"/>
    <w:p w14:paraId="7E035ECB" w14:textId="349576D8" w:rsidR="00646F64" w:rsidRPr="00876A51" w:rsidRDefault="00B12FAA" w:rsidP="00876A51">
      <w:pPr>
        <w:pStyle w:val="Reasons"/>
      </w:pPr>
      <w:r w:rsidRPr="00876A51">
        <w:rPr>
          <w:b/>
        </w:rPr>
        <w:t>Motivos:</w:t>
      </w:r>
      <w:r w:rsidRPr="00876A51">
        <w:tab/>
      </w:r>
      <w:r w:rsidR="007174EB" w:rsidRPr="00876A51">
        <w:t>No se menoscabará la utilización actual y futura del SFS/SRS en la banda de frecuencias</w:t>
      </w:r>
      <w:r w:rsidR="007174EB" w:rsidRPr="00876A51">
        <w:rPr>
          <w:iCs/>
        </w:rPr>
        <w:t xml:space="preserve"> 11,7-12,7 GHz en la Región 3</w:t>
      </w:r>
      <w:r w:rsidR="00E276E0" w:rsidRPr="00876A51">
        <w:rPr>
          <w:iCs/>
        </w:rPr>
        <w:t>.</w:t>
      </w:r>
    </w:p>
    <w:p w14:paraId="62587F11" w14:textId="77777777" w:rsidR="00646F64" w:rsidRPr="00876A51" w:rsidRDefault="00B12FAA" w:rsidP="00876A51">
      <w:pPr>
        <w:pStyle w:val="Proposal"/>
      </w:pPr>
      <w:r w:rsidRPr="00876A51">
        <w:t>SUP</w:t>
      </w:r>
      <w:r w:rsidRPr="00876A51">
        <w:tab/>
        <w:t>CHN/28A4/6</w:t>
      </w:r>
      <w:r w:rsidRPr="00876A51">
        <w:rPr>
          <w:vanish/>
          <w:color w:val="7F7F7F" w:themeColor="text1" w:themeTint="80"/>
          <w:vertAlign w:val="superscript"/>
        </w:rPr>
        <w:t>#49979</w:t>
      </w:r>
    </w:p>
    <w:p w14:paraId="780F899C" w14:textId="77777777" w:rsidR="00B571EC" w:rsidRPr="00876A51" w:rsidRDefault="00B12FAA" w:rsidP="00876A51">
      <w:pPr>
        <w:pStyle w:val="TableNo"/>
      </w:pPr>
      <w:r w:rsidRPr="00876A51">
        <w:t>CUADRO 2</w:t>
      </w:r>
    </w:p>
    <w:p w14:paraId="071F2F18" w14:textId="77777777" w:rsidR="00B571EC" w:rsidRPr="00876A51" w:rsidRDefault="00B12FAA" w:rsidP="00876A51">
      <w:pPr>
        <w:pStyle w:val="Tabletitle"/>
      </w:pPr>
      <w:r w:rsidRPr="00876A51">
        <w:t xml:space="preserve">Posiciones nominales en el arco orbital entre 37,2° W y 10° E </w:t>
      </w:r>
      <w:r w:rsidRPr="00876A51">
        <w:br/>
        <w:t>en las que la p.i.r.e. puede exceder del límite de 56 dBW</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B571EC" w:rsidRPr="00876A51" w14:paraId="45570E65" w14:textId="77777777" w:rsidTr="009F5F4C">
        <w:tc>
          <w:tcPr>
            <w:tcW w:w="834" w:type="dxa"/>
            <w:tcBorders>
              <w:bottom w:val="single" w:sz="4" w:space="0" w:color="auto"/>
            </w:tcBorders>
            <w:vAlign w:val="center"/>
          </w:tcPr>
          <w:p w14:paraId="525E644A" w14:textId="77777777" w:rsidR="00B571EC" w:rsidRPr="00876A51" w:rsidRDefault="00B12FAA" w:rsidP="00876A51">
            <w:pPr>
              <w:pStyle w:val="Tablelegend"/>
              <w:tabs>
                <w:tab w:val="clear" w:pos="567"/>
                <w:tab w:val="clear" w:pos="851"/>
              </w:tabs>
              <w:spacing w:after="120"/>
              <w:ind w:left="-57" w:right="-57"/>
              <w:jc w:val="center"/>
              <w:rPr>
                <w:rFonts w:asciiTheme="majorBidi" w:hAnsiTheme="majorBidi" w:cstheme="majorBidi"/>
                <w:b/>
                <w:bCs/>
              </w:rPr>
            </w:pPr>
            <w:r w:rsidRPr="00876A51">
              <w:rPr>
                <w:rFonts w:asciiTheme="majorBidi" w:hAnsiTheme="majorBidi" w:cstheme="majorBidi"/>
                <w:b/>
              </w:rPr>
              <w:t>Posición orbital</w:t>
            </w:r>
          </w:p>
        </w:tc>
        <w:tc>
          <w:tcPr>
            <w:tcW w:w="789" w:type="dxa"/>
            <w:tcBorders>
              <w:bottom w:val="single" w:sz="4" w:space="0" w:color="auto"/>
            </w:tcBorders>
            <w:vAlign w:val="center"/>
          </w:tcPr>
          <w:p w14:paraId="0A3A4A0C"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37° W</w:t>
            </w:r>
            <w:r w:rsidRPr="00876A51">
              <w:rPr>
                <w:rFonts w:asciiTheme="majorBidi" w:hAnsiTheme="majorBidi" w:cstheme="majorBidi"/>
              </w:rPr>
              <w:br/>
            </w:r>
            <w:r w:rsidRPr="00876A51">
              <w:rPr>
                <w:rFonts w:asciiTheme="majorBidi" w:hAnsiTheme="majorBidi" w:cstheme="majorBidi"/>
              </w:rPr>
              <w:sym w:font="Symbol" w:char="F0B1"/>
            </w:r>
            <w:r w:rsidRPr="00876A51">
              <w:rPr>
                <w:rFonts w:asciiTheme="majorBidi" w:hAnsiTheme="majorBidi" w:cstheme="majorBidi"/>
              </w:rPr>
              <w:t> 0,2°</w:t>
            </w:r>
          </w:p>
        </w:tc>
        <w:tc>
          <w:tcPr>
            <w:tcW w:w="788" w:type="dxa"/>
            <w:tcBorders>
              <w:bottom w:val="single" w:sz="4" w:space="0" w:color="auto"/>
            </w:tcBorders>
            <w:vAlign w:val="center"/>
          </w:tcPr>
          <w:p w14:paraId="793755B2"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33,5° W</w:t>
            </w:r>
          </w:p>
        </w:tc>
        <w:tc>
          <w:tcPr>
            <w:tcW w:w="788" w:type="dxa"/>
            <w:tcBorders>
              <w:bottom w:val="single" w:sz="4" w:space="0" w:color="auto"/>
            </w:tcBorders>
            <w:vAlign w:val="center"/>
          </w:tcPr>
          <w:p w14:paraId="5ADF755D"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30° W</w:t>
            </w:r>
          </w:p>
        </w:tc>
        <w:tc>
          <w:tcPr>
            <w:tcW w:w="788" w:type="dxa"/>
            <w:tcBorders>
              <w:bottom w:val="single" w:sz="4" w:space="0" w:color="auto"/>
            </w:tcBorders>
            <w:vAlign w:val="center"/>
          </w:tcPr>
          <w:p w14:paraId="49A6599C"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25° W </w:t>
            </w:r>
            <w:r w:rsidRPr="00876A51">
              <w:rPr>
                <w:rFonts w:asciiTheme="majorBidi" w:hAnsiTheme="majorBidi" w:cstheme="majorBidi"/>
              </w:rPr>
              <w:sym w:font="Symbol" w:char="F0B1"/>
            </w:r>
            <w:r w:rsidRPr="00876A51">
              <w:rPr>
                <w:rFonts w:asciiTheme="majorBidi" w:hAnsiTheme="majorBidi" w:cstheme="majorBidi"/>
              </w:rPr>
              <w:t> 0,2°</w:t>
            </w:r>
          </w:p>
        </w:tc>
        <w:tc>
          <w:tcPr>
            <w:tcW w:w="788" w:type="dxa"/>
            <w:tcBorders>
              <w:bottom w:val="single" w:sz="4" w:space="0" w:color="auto"/>
            </w:tcBorders>
            <w:vAlign w:val="center"/>
          </w:tcPr>
          <w:p w14:paraId="0DC893EF"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19° W </w:t>
            </w:r>
            <w:r w:rsidRPr="00876A51">
              <w:rPr>
                <w:rFonts w:asciiTheme="majorBidi" w:hAnsiTheme="majorBidi" w:cstheme="majorBidi"/>
              </w:rPr>
              <w:sym w:font="Symbol" w:char="F0B1"/>
            </w:r>
            <w:r w:rsidRPr="00876A51">
              <w:rPr>
                <w:rFonts w:asciiTheme="majorBidi" w:hAnsiTheme="majorBidi" w:cstheme="majorBidi"/>
              </w:rPr>
              <w:t> 0,2°</w:t>
            </w:r>
          </w:p>
        </w:tc>
        <w:tc>
          <w:tcPr>
            <w:tcW w:w="788" w:type="dxa"/>
            <w:tcBorders>
              <w:bottom w:val="single" w:sz="4" w:space="0" w:color="auto"/>
            </w:tcBorders>
            <w:vAlign w:val="center"/>
          </w:tcPr>
          <w:p w14:paraId="62DFFEA1"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13° W </w:t>
            </w:r>
            <w:r w:rsidRPr="00876A51">
              <w:rPr>
                <w:rFonts w:asciiTheme="majorBidi" w:hAnsiTheme="majorBidi" w:cstheme="majorBidi"/>
              </w:rPr>
              <w:sym w:font="Symbol" w:char="F0B1"/>
            </w:r>
            <w:r w:rsidRPr="00876A51">
              <w:rPr>
                <w:rFonts w:asciiTheme="majorBidi" w:hAnsiTheme="majorBidi" w:cstheme="majorBidi"/>
              </w:rPr>
              <w:t> 0,2°</w:t>
            </w:r>
          </w:p>
        </w:tc>
        <w:tc>
          <w:tcPr>
            <w:tcW w:w="788" w:type="dxa"/>
            <w:tcBorders>
              <w:bottom w:val="single" w:sz="4" w:space="0" w:color="auto"/>
            </w:tcBorders>
            <w:vAlign w:val="center"/>
          </w:tcPr>
          <w:p w14:paraId="46385947"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7° W </w:t>
            </w:r>
            <w:r w:rsidRPr="00876A51">
              <w:rPr>
                <w:rFonts w:asciiTheme="majorBidi" w:hAnsiTheme="majorBidi" w:cstheme="majorBidi"/>
              </w:rPr>
              <w:sym w:font="Symbol" w:char="F0B1"/>
            </w:r>
            <w:r w:rsidRPr="00876A51">
              <w:rPr>
                <w:rFonts w:asciiTheme="majorBidi" w:hAnsiTheme="majorBidi" w:cstheme="majorBidi"/>
              </w:rPr>
              <w:t> 0,2°</w:t>
            </w:r>
          </w:p>
        </w:tc>
        <w:tc>
          <w:tcPr>
            <w:tcW w:w="782" w:type="dxa"/>
            <w:tcBorders>
              <w:bottom w:val="single" w:sz="4" w:space="0" w:color="auto"/>
            </w:tcBorders>
            <w:vAlign w:val="center"/>
          </w:tcPr>
          <w:p w14:paraId="7AC5DD1E"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4° W </w:t>
            </w:r>
            <w:r w:rsidRPr="00876A51">
              <w:rPr>
                <w:rFonts w:asciiTheme="majorBidi" w:hAnsiTheme="majorBidi" w:cstheme="majorBidi"/>
                <w:vertAlign w:val="superscript"/>
              </w:rPr>
              <w:t>1</w:t>
            </w:r>
          </w:p>
        </w:tc>
        <w:tc>
          <w:tcPr>
            <w:tcW w:w="788" w:type="dxa"/>
            <w:tcBorders>
              <w:bottom w:val="single" w:sz="4" w:space="0" w:color="auto"/>
            </w:tcBorders>
            <w:vAlign w:val="center"/>
          </w:tcPr>
          <w:p w14:paraId="13C0D06C"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1° W </w:t>
            </w:r>
            <w:r w:rsidRPr="00876A51">
              <w:rPr>
                <w:rFonts w:asciiTheme="majorBidi" w:hAnsiTheme="majorBidi" w:cstheme="majorBidi"/>
              </w:rPr>
              <w:sym w:font="Symbol" w:char="F0B1"/>
            </w:r>
            <w:r w:rsidRPr="00876A51">
              <w:rPr>
                <w:rFonts w:asciiTheme="majorBidi" w:hAnsiTheme="majorBidi" w:cstheme="majorBidi"/>
              </w:rPr>
              <w:t> 0,2°</w:t>
            </w:r>
          </w:p>
        </w:tc>
        <w:tc>
          <w:tcPr>
            <w:tcW w:w="788" w:type="dxa"/>
            <w:tcBorders>
              <w:bottom w:val="single" w:sz="4" w:space="0" w:color="auto"/>
            </w:tcBorders>
            <w:vAlign w:val="center"/>
          </w:tcPr>
          <w:p w14:paraId="670870E9"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5° E </w:t>
            </w:r>
            <w:r w:rsidRPr="00876A51">
              <w:rPr>
                <w:rFonts w:asciiTheme="majorBidi" w:hAnsiTheme="majorBidi" w:cstheme="majorBidi"/>
              </w:rPr>
              <w:sym w:font="Symbol" w:char="F0B1"/>
            </w:r>
            <w:r w:rsidRPr="00876A51">
              <w:rPr>
                <w:rFonts w:asciiTheme="majorBidi" w:hAnsiTheme="majorBidi" w:cstheme="majorBidi"/>
              </w:rPr>
              <w:t> 0,2°</w:t>
            </w:r>
          </w:p>
        </w:tc>
        <w:tc>
          <w:tcPr>
            <w:tcW w:w="737" w:type="dxa"/>
            <w:tcBorders>
              <w:bottom w:val="single" w:sz="4" w:space="0" w:color="auto"/>
            </w:tcBorders>
            <w:vAlign w:val="center"/>
          </w:tcPr>
          <w:p w14:paraId="49E084E4" w14:textId="77777777" w:rsidR="00B571EC" w:rsidRPr="00876A51" w:rsidRDefault="00B12FAA" w:rsidP="00876A51">
            <w:pPr>
              <w:pStyle w:val="Tabletext"/>
              <w:ind w:left="-57" w:right="-57"/>
              <w:jc w:val="center"/>
              <w:rPr>
                <w:rFonts w:asciiTheme="majorBidi" w:hAnsiTheme="majorBidi" w:cstheme="majorBidi"/>
              </w:rPr>
            </w:pPr>
            <w:r w:rsidRPr="00876A51">
              <w:rPr>
                <w:rFonts w:asciiTheme="majorBidi" w:hAnsiTheme="majorBidi" w:cstheme="majorBidi"/>
              </w:rPr>
              <w:t xml:space="preserve">9° E </w:t>
            </w:r>
            <w:r w:rsidRPr="00876A51">
              <w:rPr>
                <w:rFonts w:asciiTheme="majorBidi" w:hAnsiTheme="majorBidi" w:cstheme="majorBidi"/>
                <w:vertAlign w:val="superscript"/>
              </w:rPr>
              <w:t>1</w:t>
            </w:r>
          </w:p>
        </w:tc>
      </w:tr>
      <w:tr w:rsidR="00B571EC" w:rsidRPr="00876A51" w14:paraId="470CFE6E" w14:textId="77777777" w:rsidTr="009F5F4C">
        <w:tc>
          <w:tcPr>
            <w:tcW w:w="9446" w:type="dxa"/>
            <w:gridSpan w:val="12"/>
            <w:tcBorders>
              <w:left w:val="nil"/>
              <w:bottom w:val="nil"/>
              <w:right w:val="nil"/>
            </w:tcBorders>
            <w:vAlign w:val="center"/>
          </w:tcPr>
          <w:p w14:paraId="37D0244A" w14:textId="77777777" w:rsidR="00B571EC" w:rsidRPr="00876A51" w:rsidRDefault="00B12FAA" w:rsidP="00876A51">
            <w:pPr>
              <w:pStyle w:val="Tablelegend"/>
              <w:tabs>
                <w:tab w:val="clear" w:pos="567"/>
                <w:tab w:val="clear" w:pos="851"/>
              </w:tabs>
              <w:ind w:left="199" w:hanging="284"/>
              <w:rPr>
                <w:rFonts w:asciiTheme="majorBidi" w:hAnsiTheme="majorBidi" w:cstheme="majorBidi"/>
              </w:rPr>
            </w:pPr>
            <w:r w:rsidRPr="00876A51">
              <w:rPr>
                <w:rFonts w:asciiTheme="majorBidi" w:hAnsiTheme="majorBidi" w:cstheme="majorBidi"/>
                <w:vertAlign w:val="superscript"/>
              </w:rPr>
              <w:t>1</w:t>
            </w:r>
            <w:r w:rsidRPr="00876A51">
              <w:rPr>
                <w:rFonts w:asciiTheme="majorBidi" w:hAnsiTheme="majorBidi" w:cstheme="majorBidi"/>
              </w:rPr>
              <w:tab/>
              <w:t xml:space="preserve">Las propuestas de asignaciones nuevas o modificadas en la Lista asociadas a esta posición orbital no deberán exceder del límite de densidad de flujo de potencia de </w:t>
            </w:r>
            <w:r w:rsidRPr="00876A51">
              <w:rPr>
                <w:rFonts w:asciiTheme="majorBidi" w:hAnsiTheme="majorBidi" w:cstheme="majorBidi"/>
              </w:rPr>
              <w:sym w:font="Symbol" w:char="F02D"/>
            </w:r>
            <w:r w:rsidRPr="00876A51">
              <w:rPr>
                <w:rFonts w:asciiTheme="majorBidi" w:hAnsiTheme="majorBidi" w:cstheme="majorBidi"/>
              </w:rPr>
              <w:t>138 dB(W/(m</w:t>
            </w:r>
            <w:r w:rsidRPr="00876A51">
              <w:rPr>
                <w:rFonts w:asciiTheme="majorBidi" w:hAnsiTheme="majorBidi" w:cstheme="majorBidi"/>
                <w:position w:val="6"/>
                <w:sz w:val="16"/>
              </w:rPr>
              <w:t>2</w:t>
            </w:r>
            <w:r w:rsidRPr="00876A51">
              <w:rPr>
                <w:rFonts w:asciiTheme="majorBidi" w:hAnsiTheme="majorBidi" w:cstheme="majorBidi"/>
              </w:rPr>
              <w:t> </w:t>
            </w:r>
            <w:r w:rsidRPr="00876A51">
              <w:rPr>
                <w:rFonts w:asciiTheme="majorBidi" w:hAnsiTheme="majorBidi" w:cstheme="majorBidi"/>
              </w:rPr>
              <w:sym w:font="Symbol" w:char="F0D7"/>
            </w:r>
            <w:r w:rsidRPr="00876A51">
              <w:rPr>
                <w:rFonts w:asciiTheme="majorBidi" w:hAnsiTheme="majorBidi" w:cstheme="majorBidi"/>
              </w:rPr>
              <w:t> 27 MHz)) en un punto cualquiera de la Región 2.</w:t>
            </w:r>
          </w:p>
        </w:tc>
      </w:tr>
    </w:tbl>
    <w:p w14:paraId="588989BE" w14:textId="77777777" w:rsidR="00646F64" w:rsidRPr="00876A51" w:rsidRDefault="00646F64" w:rsidP="00876A51"/>
    <w:p w14:paraId="2F761850" w14:textId="64FD1B53" w:rsidR="00646F64" w:rsidRPr="00876A51" w:rsidRDefault="00B12FAA" w:rsidP="00876A51">
      <w:pPr>
        <w:pStyle w:val="Reasons"/>
      </w:pPr>
      <w:r w:rsidRPr="00876A51">
        <w:rPr>
          <w:b/>
        </w:rPr>
        <w:t>Motivos:</w:t>
      </w:r>
      <w:r w:rsidRPr="00876A51">
        <w:tab/>
      </w:r>
      <w:r w:rsidR="007174EB" w:rsidRPr="00876A51">
        <w:t>No se menoscabará la utilización actual y futura del SFS/SRS en la banda de frecuencias</w:t>
      </w:r>
      <w:r w:rsidR="007174EB" w:rsidRPr="00876A51">
        <w:rPr>
          <w:iCs/>
        </w:rPr>
        <w:t xml:space="preserve"> 11,7-12,7 GHz en la Región 3</w:t>
      </w:r>
    </w:p>
    <w:p w14:paraId="608F8A2E" w14:textId="77777777" w:rsidR="00646F64" w:rsidRPr="00876A51" w:rsidRDefault="00B12FAA" w:rsidP="00876A51">
      <w:pPr>
        <w:pStyle w:val="Proposal"/>
      </w:pPr>
      <w:r w:rsidRPr="00876A51">
        <w:rPr>
          <w:u w:val="single"/>
        </w:rPr>
        <w:t>NOC</w:t>
      </w:r>
      <w:r w:rsidRPr="00876A51">
        <w:tab/>
        <w:t>CHN/28A4/7</w:t>
      </w:r>
      <w:r w:rsidRPr="00876A51">
        <w:rPr>
          <w:vanish/>
          <w:color w:val="7F7F7F" w:themeColor="text1" w:themeTint="80"/>
          <w:vertAlign w:val="superscript"/>
        </w:rPr>
        <w:t>#49980</w:t>
      </w:r>
    </w:p>
    <w:p w14:paraId="7DB4EDBC" w14:textId="77777777" w:rsidR="00B571EC" w:rsidRPr="00876A51" w:rsidRDefault="00B12FAA" w:rsidP="00876A51">
      <w:pPr>
        <w:rPr>
          <w:highlight w:val="cyan"/>
        </w:rPr>
      </w:pPr>
      <w:r w:rsidRPr="00876A51">
        <w:rPr>
          <w:rStyle w:val="Provsplit"/>
          <w:rFonts w:asciiTheme="majorBidi" w:hAnsiTheme="majorBidi" w:cstheme="majorBidi"/>
        </w:rPr>
        <w:t>B</w:t>
      </w:r>
      <w:r w:rsidRPr="00876A51">
        <w:tab/>
        <w:t>El Plan de la Región 2 está basado en la agrupación de estaciones espaciales en las posiciones orbitales nominales de ±0,2° a partir del centro del grupo de satélites. Las administraciones pueden situar cualquier satélite de una agrupación en cualquier posición orbital comprendida dentro de la misma, siempre que obtengan el acuerdo de las administraciones que tengan asignaciones para estaciones espaciales en el mismo grupo (véase el § 4.13.1 del Anexo 3 al Apéndice </w:t>
      </w:r>
      <w:r w:rsidRPr="00876A51">
        <w:rPr>
          <w:rStyle w:val="Appref"/>
          <w:rFonts w:asciiTheme="majorBidi" w:hAnsiTheme="majorBidi" w:cstheme="majorBidi"/>
          <w:b/>
          <w:bCs/>
          <w:color w:val="000000"/>
        </w:rPr>
        <w:t>30A</w:t>
      </w:r>
      <w:r w:rsidRPr="00876A51">
        <w:t>).</w:t>
      </w:r>
    </w:p>
    <w:p w14:paraId="21113C23" w14:textId="17B769AB" w:rsidR="00E276E0" w:rsidRDefault="00B12FAA" w:rsidP="00876A51">
      <w:pPr>
        <w:pStyle w:val="Reasons"/>
        <w:rPr>
          <w:iCs/>
        </w:rPr>
      </w:pPr>
      <w:r w:rsidRPr="00876A51">
        <w:rPr>
          <w:b/>
        </w:rPr>
        <w:t>Motivos:</w:t>
      </w:r>
      <w:r w:rsidRPr="00876A51">
        <w:tab/>
      </w:r>
      <w:r w:rsidR="007174EB" w:rsidRPr="00876A51">
        <w:t>No se menoscabará la utilización actual y futura del SFS/SRS en la banda de frecuencias</w:t>
      </w:r>
      <w:r w:rsidR="007174EB" w:rsidRPr="00876A51">
        <w:rPr>
          <w:iCs/>
        </w:rPr>
        <w:t xml:space="preserve"> 11,7-12,7 GHz en la Región 3</w:t>
      </w:r>
      <w:r w:rsidR="00E276E0" w:rsidRPr="00876A51">
        <w:rPr>
          <w:iCs/>
        </w:rPr>
        <w:t>.</w:t>
      </w:r>
    </w:p>
    <w:p w14:paraId="725D9571" w14:textId="77777777" w:rsidR="00876A51" w:rsidRPr="00876A51" w:rsidRDefault="00876A51" w:rsidP="00876A51"/>
    <w:p w14:paraId="2D3CC17D" w14:textId="77777777" w:rsidR="00646F64" w:rsidRPr="00876A51" w:rsidRDefault="00E276E0" w:rsidP="00876A51">
      <w:pPr>
        <w:jc w:val="center"/>
      </w:pPr>
      <w:r w:rsidRPr="00876A51">
        <w:t>______________</w:t>
      </w:r>
    </w:p>
    <w:sectPr w:rsidR="00646F64" w:rsidRPr="00876A5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9B7A" w14:textId="77777777" w:rsidR="003C0613" w:rsidRDefault="003C0613">
      <w:r>
        <w:separator/>
      </w:r>
    </w:p>
  </w:endnote>
  <w:endnote w:type="continuationSeparator" w:id="0">
    <w:p w14:paraId="2FAB2E1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FEE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7B3E02" w14:textId="4FE77B65" w:rsidR="0077084A" w:rsidRPr="002C7C32" w:rsidRDefault="0077084A">
    <w:pPr>
      <w:ind w:right="360"/>
    </w:pPr>
    <w:r>
      <w:fldChar w:fldCharType="begin"/>
    </w:r>
    <w:r w:rsidRPr="002C7C32">
      <w:instrText xml:space="preserve"> FILENAME \p  \* MERGEFORMAT </w:instrText>
    </w:r>
    <w:r>
      <w:fldChar w:fldCharType="separate"/>
    </w:r>
    <w:r w:rsidR="002C7C32" w:rsidRPr="002C7C32">
      <w:rPr>
        <w:noProof/>
      </w:rPr>
      <w:t>P:\ESP\ITU-R\CONF-R\CMR19\000\028ADD04S.docx</w:t>
    </w:r>
    <w:r>
      <w:fldChar w:fldCharType="end"/>
    </w:r>
    <w:r w:rsidRPr="002C7C32">
      <w:tab/>
    </w:r>
    <w:r>
      <w:fldChar w:fldCharType="begin"/>
    </w:r>
    <w:r>
      <w:instrText xml:space="preserve"> SAVEDATE \@ DD.MM.YY </w:instrText>
    </w:r>
    <w:r>
      <w:fldChar w:fldCharType="separate"/>
    </w:r>
    <w:r w:rsidR="002C7C32">
      <w:rPr>
        <w:noProof/>
      </w:rPr>
      <w:t>23.10.19</w:t>
    </w:r>
    <w:r>
      <w:fldChar w:fldCharType="end"/>
    </w:r>
    <w:r w:rsidRPr="002C7C32">
      <w:tab/>
    </w:r>
    <w:r>
      <w:fldChar w:fldCharType="begin"/>
    </w:r>
    <w:r>
      <w:instrText xml:space="preserve"> PRINTDATE \@ DD.MM.YY </w:instrText>
    </w:r>
    <w:r>
      <w:fldChar w:fldCharType="separate"/>
    </w:r>
    <w:r w:rsidR="002C7C3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50D3" w14:textId="016247AE" w:rsidR="0077084A" w:rsidRDefault="00E276E0" w:rsidP="00E276E0">
    <w:pPr>
      <w:pStyle w:val="Footer"/>
      <w:rPr>
        <w:lang w:val="en-US"/>
      </w:rPr>
    </w:pPr>
    <w:r w:rsidRPr="00E276E0">
      <w:rPr>
        <w:lang w:val="en-US"/>
      </w:rPr>
      <w:fldChar w:fldCharType="begin"/>
    </w:r>
    <w:r w:rsidRPr="00E276E0">
      <w:rPr>
        <w:lang w:val="en-US"/>
      </w:rPr>
      <w:instrText xml:space="preserve"> FILENAME \p  \* MERGEFORMAT </w:instrText>
    </w:r>
    <w:r w:rsidRPr="00E276E0">
      <w:rPr>
        <w:lang w:val="en-US"/>
      </w:rPr>
      <w:fldChar w:fldCharType="separate"/>
    </w:r>
    <w:r w:rsidR="002C7C32">
      <w:rPr>
        <w:lang w:val="en-US"/>
      </w:rPr>
      <w:t>P:\ESP\ITU-R\CONF-R\CMR19\000\028ADD04S.docx</w:t>
    </w:r>
    <w:r w:rsidRPr="00E276E0">
      <w:rPr>
        <w:lang w:val="en-US"/>
      </w:rPr>
      <w:fldChar w:fldCharType="end"/>
    </w:r>
    <w:r>
      <w:rPr>
        <w:lang w:val="en-US"/>
      </w:rPr>
      <w:t xml:space="preserve"> (461545</w:t>
    </w:r>
    <w:r w:rsidRPr="00E276E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E9F9" w14:textId="56CE6344" w:rsidR="0077084A" w:rsidRDefault="00E276E0" w:rsidP="00E276E0">
    <w:pPr>
      <w:pStyle w:val="Footer"/>
      <w:rPr>
        <w:lang w:val="en-US"/>
      </w:rPr>
    </w:pPr>
    <w:r w:rsidRPr="00E276E0">
      <w:rPr>
        <w:lang w:val="en-US"/>
      </w:rPr>
      <w:fldChar w:fldCharType="begin"/>
    </w:r>
    <w:r w:rsidRPr="00E276E0">
      <w:rPr>
        <w:lang w:val="en-US"/>
      </w:rPr>
      <w:instrText xml:space="preserve"> FILENAME \p  \* MERGEFORMAT </w:instrText>
    </w:r>
    <w:r w:rsidRPr="00E276E0">
      <w:rPr>
        <w:lang w:val="en-US"/>
      </w:rPr>
      <w:fldChar w:fldCharType="separate"/>
    </w:r>
    <w:r w:rsidR="002C7C32">
      <w:rPr>
        <w:lang w:val="en-US"/>
      </w:rPr>
      <w:t>P:\ESP\ITU-R\CONF-R\CMR19\000\028ADD04S.docx</w:t>
    </w:r>
    <w:r w:rsidRPr="00E276E0">
      <w:rPr>
        <w:lang w:val="en-US"/>
      </w:rPr>
      <w:fldChar w:fldCharType="end"/>
    </w:r>
    <w:r>
      <w:rPr>
        <w:lang w:val="en-US"/>
      </w:rPr>
      <w:t xml:space="preserve"> (461545</w:t>
    </w:r>
    <w:r w:rsidRPr="00E276E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037A" w14:textId="77777777" w:rsidR="003C0613" w:rsidRDefault="003C0613">
      <w:r>
        <w:rPr>
          <w:b/>
        </w:rPr>
        <w:t>_______________</w:t>
      </w:r>
    </w:p>
  </w:footnote>
  <w:footnote w:type="continuationSeparator" w:id="0">
    <w:p w14:paraId="02259B42" w14:textId="77777777" w:rsidR="003C0613" w:rsidRDefault="003C0613">
      <w:r>
        <w:continuationSeparator/>
      </w:r>
    </w:p>
  </w:footnote>
  <w:footnote w:id="1">
    <w:p w14:paraId="7629F04F" w14:textId="77777777" w:rsidR="00453441" w:rsidRPr="001B0C91" w:rsidRDefault="00B12FAA"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41F4EDBA" w14:textId="77777777" w:rsidR="00453441" w:rsidRDefault="00B12FAA"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6C50C91E" w14:textId="77777777" w:rsidR="00453441" w:rsidRPr="00605F62" w:rsidRDefault="00B12FAA"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724067DA" w14:textId="77777777" w:rsidR="00453441" w:rsidRPr="001B0C91" w:rsidRDefault="00B12FAA"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2BDCFC06" w14:textId="77777777" w:rsidR="009F5F4C" w:rsidRPr="00066BB8" w:rsidRDefault="00B12FAA" w:rsidP="009F5F4C">
      <w:pPr>
        <w:pStyle w:val="FootnoteText"/>
        <w:rPr>
          <w:ins w:id="7" w:author="Spanish" w:date="2019-03-13T14:35:00Z"/>
          <w:lang w:val="es-ES"/>
        </w:rPr>
      </w:pPr>
      <w:ins w:id="8" w:author="Spanish" w:date="2019-03-13T14:35:00Z">
        <w:r w:rsidRPr="000F3C27">
          <w:rPr>
            <w:rStyle w:val="FootnoteReference"/>
          </w:rPr>
          <w:t>YY</w:t>
        </w:r>
        <w:r w:rsidRPr="00AA5238">
          <w:tab/>
        </w:r>
        <w:r w:rsidRPr="003B62FF">
          <w:t>Véase</w:t>
        </w:r>
        <w:r w:rsidRPr="000E4042">
          <w:rPr>
            <w:rStyle w:val="Provsplit"/>
            <w:lang w:val="es-ES"/>
          </w:rPr>
          <w:t xml:space="preserve"> la Resolución </w:t>
        </w:r>
        <w:r w:rsidRPr="000E4042">
          <w:rPr>
            <w:b/>
            <w:bCs/>
            <w:lang w:val="es-ES"/>
          </w:rPr>
          <w:t>[A14-LIMITA3] (CMR-19)</w:t>
        </w:r>
        <w:r w:rsidRPr="000E4042">
          <w:rPr>
            <w:lang w:val="es-ES"/>
          </w:rPr>
          <w:t>.</w:t>
        </w:r>
      </w:ins>
    </w:p>
  </w:footnote>
  <w:footnote w:id="4">
    <w:p w14:paraId="57BD4653" w14:textId="77777777" w:rsidR="009F5F4C" w:rsidRPr="00066BB8" w:rsidRDefault="00B12FAA" w:rsidP="009F5F4C">
      <w:pPr>
        <w:pStyle w:val="FootnoteText"/>
        <w:rPr>
          <w:ins w:id="9" w:author="Spanish" w:date="2019-03-13T14:35:00Z"/>
          <w:lang w:val="es-ES"/>
        </w:rPr>
      </w:pPr>
      <w:bookmarkStart w:id="10" w:name="_Hlk1821696"/>
      <w:ins w:id="11" w:author="Spanish" w:date="2019-03-13T14:35:00Z">
        <w:r w:rsidRPr="00783C20">
          <w:rPr>
            <w:rStyle w:val="FootnoteReference"/>
          </w:rPr>
          <w:t>ZZ</w:t>
        </w:r>
        <w:r w:rsidRPr="00783C20">
          <w:tab/>
        </w:r>
        <w:r w:rsidRPr="00783C20">
          <w:tab/>
        </w:r>
        <w:bookmarkEnd w:id="10"/>
        <w:r w:rsidRPr="000E4042">
          <w:rPr>
            <w:lang w:val="es-ES"/>
          </w:rPr>
          <w:t xml:space="preserve">La </w:t>
        </w:r>
        <w:r w:rsidRPr="00A379EF">
          <w:t>Resolución</w:t>
        </w:r>
        <w:r w:rsidRPr="000E4042">
          <w:rPr>
            <w:lang w:val="es-ES"/>
          </w:rPr>
          <w:t xml:space="preserve"> </w:t>
        </w:r>
        <w:r w:rsidRPr="000E4042">
          <w:rPr>
            <w:b/>
            <w:bCs/>
            <w:lang w:val="es-ES"/>
          </w:rPr>
          <w:t>[C14-LIMITA1A2] (CMR</w:t>
        </w:r>
        <w:r w:rsidRPr="000E4042">
          <w:rPr>
            <w:b/>
            <w:bCs/>
            <w:lang w:val="es-ES"/>
          </w:rPr>
          <w:noBreakHyphen/>
          <w:t xml:space="preserve">19) </w:t>
        </w:r>
        <w:r w:rsidRPr="000E4042">
          <w:rPr>
            <w:bCs/>
            <w:lang w:val="es-ES"/>
          </w:rPr>
          <w:t>es aplicable a l</w:t>
        </w:r>
        <w:r w:rsidRPr="000E4042">
          <w:rPr>
            <w:lang w:val="es-ES"/>
          </w:rPr>
          <w:t>os satélites de radiodifusión que presten servicio en zonas de la Región 1 en la banda 11,7-12,2 GHz con respecto a posiciones orbitales nominales más al oeste de 37,2° W y a los satélites de radiodifusión que presten servicio en zonas de la Región 2 en la banda 12,5-12,7 GHz con respecto a posiciones orbitales nominales más al este de 54° W.</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7B1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2FAA">
      <w:rPr>
        <w:rStyle w:val="PageNumber"/>
        <w:noProof/>
      </w:rPr>
      <w:t>4</w:t>
    </w:r>
    <w:r>
      <w:rPr>
        <w:rStyle w:val="PageNumber"/>
      </w:rPr>
      <w:fldChar w:fldCharType="end"/>
    </w:r>
  </w:p>
  <w:p w14:paraId="151FD76D" w14:textId="77777777" w:rsidR="0077084A" w:rsidRDefault="008750A8" w:rsidP="00C44E9E">
    <w:pPr>
      <w:pStyle w:val="Header"/>
      <w:rPr>
        <w:lang w:val="en-US"/>
      </w:rPr>
    </w:pPr>
    <w:r>
      <w:rPr>
        <w:lang w:val="en-US"/>
      </w:rPr>
      <w:t>CMR1</w:t>
    </w:r>
    <w:r w:rsidR="00C44E9E">
      <w:rPr>
        <w:lang w:val="en-US"/>
      </w:rPr>
      <w:t>9</w:t>
    </w:r>
    <w:r>
      <w:rPr>
        <w:lang w:val="en-US"/>
      </w:rPr>
      <w:t>/</w:t>
    </w:r>
    <w:r w:rsidR="00702F3D">
      <w:t>28(Add.4)-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78C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F45C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6C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348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01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D40B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A8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A44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3AB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C7C32"/>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62878"/>
    <w:rsid w:val="0058350F"/>
    <w:rsid w:val="00583C7E"/>
    <w:rsid w:val="0059098E"/>
    <w:rsid w:val="005D46FB"/>
    <w:rsid w:val="005F2605"/>
    <w:rsid w:val="005F3B0E"/>
    <w:rsid w:val="005F3DB8"/>
    <w:rsid w:val="005F559C"/>
    <w:rsid w:val="00602857"/>
    <w:rsid w:val="006124AD"/>
    <w:rsid w:val="00624009"/>
    <w:rsid w:val="00646F64"/>
    <w:rsid w:val="00662BA0"/>
    <w:rsid w:val="0067344B"/>
    <w:rsid w:val="00684A94"/>
    <w:rsid w:val="00692AAE"/>
    <w:rsid w:val="006C0E38"/>
    <w:rsid w:val="006D6E67"/>
    <w:rsid w:val="006E1A13"/>
    <w:rsid w:val="00701C20"/>
    <w:rsid w:val="00702F3D"/>
    <w:rsid w:val="0070518E"/>
    <w:rsid w:val="007174EB"/>
    <w:rsid w:val="007354E9"/>
    <w:rsid w:val="007424E8"/>
    <w:rsid w:val="0074579D"/>
    <w:rsid w:val="00765578"/>
    <w:rsid w:val="00766333"/>
    <w:rsid w:val="0077084A"/>
    <w:rsid w:val="007952C7"/>
    <w:rsid w:val="007C0B95"/>
    <w:rsid w:val="007C2317"/>
    <w:rsid w:val="007D330A"/>
    <w:rsid w:val="00866AE6"/>
    <w:rsid w:val="008750A8"/>
    <w:rsid w:val="00876A51"/>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12FAA"/>
    <w:rsid w:val="00B239FA"/>
    <w:rsid w:val="00B35FA4"/>
    <w:rsid w:val="00B372AB"/>
    <w:rsid w:val="00B47331"/>
    <w:rsid w:val="00B52D55"/>
    <w:rsid w:val="00B8288C"/>
    <w:rsid w:val="00B86034"/>
    <w:rsid w:val="00BE2E80"/>
    <w:rsid w:val="00BE5EDD"/>
    <w:rsid w:val="00BE6A1F"/>
    <w:rsid w:val="00C126C4"/>
    <w:rsid w:val="00C44E9E"/>
    <w:rsid w:val="00C63EB5"/>
    <w:rsid w:val="00C87DA7"/>
    <w:rsid w:val="00C958E7"/>
    <w:rsid w:val="00CC01E0"/>
    <w:rsid w:val="00CD5FEE"/>
    <w:rsid w:val="00CE60D2"/>
    <w:rsid w:val="00CE7431"/>
    <w:rsid w:val="00D00CA8"/>
    <w:rsid w:val="00D0288A"/>
    <w:rsid w:val="00D72A5D"/>
    <w:rsid w:val="00DA71A3"/>
    <w:rsid w:val="00DC629B"/>
    <w:rsid w:val="00DE1C31"/>
    <w:rsid w:val="00E05BFF"/>
    <w:rsid w:val="00E262F1"/>
    <w:rsid w:val="00E276E0"/>
    <w:rsid w:val="00E3176A"/>
    <w:rsid w:val="00E36CE4"/>
    <w:rsid w:val="00E54754"/>
    <w:rsid w:val="00E56BD3"/>
    <w:rsid w:val="00E71D14"/>
    <w:rsid w:val="00EA262C"/>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BAD04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styleId="BalloonText">
    <w:name w:val="Balloon Text"/>
    <w:basedOn w:val="Normal"/>
    <w:link w:val="BalloonTextChar"/>
    <w:semiHidden/>
    <w:unhideWhenUsed/>
    <w:rsid w:val="002C7C32"/>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876A51"/>
    <w:rPr>
      <w:rFonts w:ascii="Times New Roman" w:hAnsi="Times New Roman"/>
      <w:lang w:val="es-ES_tradnl" w:eastAsia="en-US"/>
    </w:rPr>
  </w:style>
  <w:style w:type="character" w:customStyle="1" w:styleId="BalloonTextChar">
    <w:name w:val="Balloon Text Char"/>
    <w:basedOn w:val="DefaultParagraphFont"/>
    <w:link w:val="BalloonText"/>
    <w:semiHidden/>
    <w:rsid w:val="002C7C3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DD02D-3EC2-4F0F-9BA1-593366AE9201}">
  <ds:schemaRefs>
    <ds:schemaRef ds:uri="996b2e75-67fd-4955-a3b0-5ab9934cb50b"/>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97C7AE3-9192-4E4E-9299-2428AAD0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992</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R16-WRC19-C-0028!A4!MSW-S</vt:lpstr>
    </vt:vector>
  </TitlesOfParts>
  <Manager>Secretaría General - Pool</Manager>
  <Company>Unión Internacional de Telecomunicaciones (UIT)</Company>
  <LinksUpToDate>false</LinksUpToDate>
  <CharactersWithSpaces>5852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R16-WRC19-C-0028!A4!MSW-S</dc:title>
  <dc:subject>Conferencia Mundial de Radiocomunicaciones - 2019</dc:subject>
  <dc:creator>Documents Proposals Manager (DPM)</dc:creator>
  <cp:keywords>DPM_v2019.10.15.2_prod</cp:keywords>
  <dc:description/>
  <cp:lastModifiedBy>Spanish</cp:lastModifiedBy>
  <cp:revision>4</cp:revision>
  <cp:lastPrinted>2019-10-23T00:26:00Z</cp:lastPrinted>
  <dcterms:created xsi:type="dcterms:W3CDTF">2019-10-23T00:20:00Z</dcterms:created>
  <dcterms:modified xsi:type="dcterms:W3CDTF">2019-10-23T00:34:00Z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