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90121B" w:rsidRPr="00EB53B0" w14:paraId="67639B56" w14:textId="77777777" w:rsidTr="0050008E">
        <w:trPr>
          <w:cantSplit/>
        </w:trPr>
        <w:tc>
          <w:tcPr>
            <w:tcW w:w="6911" w:type="dxa"/>
          </w:tcPr>
          <w:p w14:paraId="636D4E74" w14:textId="77777777" w:rsidR="0090121B" w:rsidRPr="00EB53B0" w:rsidRDefault="005D46FB" w:rsidP="00287BD4">
            <w:pPr>
              <w:spacing w:before="400" w:after="48"/>
              <w:rPr>
                <w:rFonts w:ascii="Verdana" w:hAnsi="Verdana"/>
                <w:position w:val="6"/>
              </w:rPr>
            </w:pPr>
            <w:r w:rsidRPr="00EB53B0">
              <w:rPr>
                <w:rFonts w:ascii="Verdana" w:hAnsi="Verdana" w:cs="Times"/>
                <w:b/>
                <w:position w:val="6"/>
                <w:sz w:val="20"/>
              </w:rPr>
              <w:t>Conferencia Mundial de Radiocomunicaciones (CMR-1</w:t>
            </w:r>
            <w:r w:rsidR="00C44E9E" w:rsidRPr="00EB53B0">
              <w:rPr>
                <w:rFonts w:ascii="Verdana" w:hAnsi="Verdana" w:cs="Times"/>
                <w:b/>
                <w:position w:val="6"/>
                <w:sz w:val="20"/>
              </w:rPr>
              <w:t>9</w:t>
            </w:r>
            <w:r w:rsidRPr="00EB53B0">
              <w:rPr>
                <w:rFonts w:ascii="Verdana" w:hAnsi="Verdana" w:cs="Times"/>
                <w:b/>
                <w:position w:val="6"/>
                <w:sz w:val="20"/>
              </w:rPr>
              <w:t>)</w:t>
            </w:r>
            <w:r w:rsidRPr="00EB53B0">
              <w:rPr>
                <w:rFonts w:ascii="Verdana" w:hAnsi="Verdana" w:cs="Times"/>
                <w:b/>
                <w:position w:val="6"/>
                <w:sz w:val="20"/>
              </w:rPr>
              <w:br/>
            </w:r>
            <w:r w:rsidR="006124AD" w:rsidRPr="00EB53B0">
              <w:rPr>
                <w:rFonts w:ascii="Verdana" w:hAnsi="Verdana"/>
                <w:b/>
                <w:bCs/>
                <w:position w:val="6"/>
                <w:sz w:val="17"/>
                <w:szCs w:val="17"/>
              </w:rPr>
              <w:t>Sharm el-Sheikh (Egipto)</w:t>
            </w:r>
            <w:r w:rsidRPr="00EB53B0">
              <w:rPr>
                <w:rFonts w:ascii="Verdana" w:hAnsi="Verdana"/>
                <w:b/>
                <w:bCs/>
                <w:position w:val="6"/>
                <w:sz w:val="17"/>
                <w:szCs w:val="17"/>
              </w:rPr>
              <w:t>, 2</w:t>
            </w:r>
            <w:r w:rsidR="00C44E9E" w:rsidRPr="00EB53B0">
              <w:rPr>
                <w:rFonts w:ascii="Verdana" w:hAnsi="Verdana"/>
                <w:b/>
                <w:bCs/>
                <w:position w:val="6"/>
                <w:sz w:val="17"/>
                <w:szCs w:val="17"/>
              </w:rPr>
              <w:t xml:space="preserve">8 de octubre </w:t>
            </w:r>
            <w:r w:rsidR="00DE1C31" w:rsidRPr="00EB53B0">
              <w:rPr>
                <w:rFonts w:ascii="Verdana" w:hAnsi="Verdana"/>
                <w:b/>
                <w:bCs/>
                <w:position w:val="6"/>
                <w:sz w:val="17"/>
                <w:szCs w:val="17"/>
              </w:rPr>
              <w:t>–</w:t>
            </w:r>
            <w:r w:rsidR="00C44E9E" w:rsidRPr="00EB53B0">
              <w:rPr>
                <w:rFonts w:ascii="Verdana" w:hAnsi="Verdana"/>
                <w:b/>
                <w:bCs/>
                <w:position w:val="6"/>
                <w:sz w:val="17"/>
                <w:szCs w:val="17"/>
              </w:rPr>
              <w:t xml:space="preserve"> </w:t>
            </w:r>
            <w:r w:rsidRPr="00EB53B0">
              <w:rPr>
                <w:rFonts w:ascii="Verdana" w:hAnsi="Verdana"/>
                <w:b/>
                <w:bCs/>
                <w:position w:val="6"/>
                <w:sz w:val="17"/>
                <w:szCs w:val="17"/>
              </w:rPr>
              <w:t>2</w:t>
            </w:r>
            <w:r w:rsidR="00C44E9E" w:rsidRPr="00EB53B0">
              <w:rPr>
                <w:rFonts w:ascii="Verdana" w:hAnsi="Verdana"/>
                <w:b/>
                <w:bCs/>
                <w:position w:val="6"/>
                <w:sz w:val="17"/>
                <w:szCs w:val="17"/>
              </w:rPr>
              <w:t>2</w:t>
            </w:r>
            <w:r w:rsidRPr="00EB53B0">
              <w:rPr>
                <w:rFonts w:ascii="Verdana" w:hAnsi="Verdana"/>
                <w:b/>
                <w:bCs/>
                <w:position w:val="6"/>
                <w:sz w:val="17"/>
                <w:szCs w:val="17"/>
              </w:rPr>
              <w:t xml:space="preserve"> de noviembre de 201</w:t>
            </w:r>
            <w:r w:rsidR="00C44E9E" w:rsidRPr="00EB53B0">
              <w:rPr>
                <w:rFonts w:ascii="Verdana" w:hAnsi="Verdana"/>
                <w:b/>
                <w:bCs/>
                <w:position w:val="6"/>
                <w:sz w:val="17"/>
                <w:szCs w:val="17"/>
              </w:rPr>
              <w:t>9</w:t>
            </w:r>
          </w:p>
        </w:tc>
        <w:tc>
          <w:tcPr>
            <w:tcW w:w="3120" w:type="dxa"/>
          </w:tcPr>
          <w:p w14:paraId="73679247" w14:textId="77777777" w:rsidR="0090121B" w:rsidRPr="00EB53B0" w:rsidRDefault="00DA71A3" w:rsidP="00287BD4">
            <w:pPr>
              <w:spacing w:before="0"/>
              <w:jc w:val="right"/>
            </w:pPr>
            <w:bookmarkStart w:id="0" w:name="ditulogo"/>
            <w:bookmarkEnd w:id="0"/>
            <w:r w:rsidRPr="00EB53B0">
              <w:rPr>
                <w:rFonts w:ascii="Verdana" w:hAnsi="Verdana"/>
                <w:b/>
                <w:bCs/>
                <w:szCs w:val="24"/>
                <w:lang w:eastAsia="es-ES_tradnl"/>
              </w:rPr>
              <w:drawing>
                <wp:inline distT="0" distB="0" distL="0" distR="0" wp14:anchorId="57EB0A6B" wp14:editId="6EFB8203">
                  <wp:extent cx="1771650" cy="695325"/>
                  <wp:effectExtent l="0" t="0" r="0" b="9525"/>
                  <wp:docPr id="3" name="Picture 3"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0" cy="695325"/>
                          </a:xfrm>
                          <a:prstGeom prst="rect">
                            <a:avLst/>
                          </a:prstGeom>
                          <a:noFill/>
                          <a:ln>
                            <a:noFill/>
                          </a:ln>
                        </pic:spPr>
                      </pic:pic>
                    </a:graphicData>
                  </a:graphic>
                </wp:inline>
              </w:drawing>
            </w:r>
          </w:p>
        </w:tc>
      </w:tr>
      <w:tr w:rsidR="0090121B" w:rsidRPr="00EB53B0" w14:paraId="3F8EAB06" w14:textId="77777777" w:rsidTr="0050008E">
        <w:trPr>
          <w:cantSplit/>
        </w:trPr>
        <w:tc>
          <w:tcPr>
            <w:tcW w:w="6911" w:type="dxa"/>
            <w:tcBorders>
              <w:bottom w:val="single" w:sz="12" w:space="0" w:color="auto"/>
            </w:tcBorders>
          </w:tcPr>
          <w:p w14:paraId="734B21A8" w14:textId="77777777" w:rsidR="0090121B" w:rsidRPr="00EB53B0" w:rsidRDefault="0090121B" w:rsidP="00287BD4">
            <w:pPr>
              <w:spacing w:before="0" w:after="48"/>
              <w:rPr>
                <w:b/>
                <w:smallCaps/>
                <w:szCs w:val="24"/>
              </w:rPr>
            </w:pPr>
            <w:bookmarkStart w:id="1" w:name="dhead"/>
          </w:p>
        </w:tc>
        <w:tc>
          <w:tcPr>
            <w:tcW w:w="3120" w:type="dxa"/>
            <w:tcBorders>
              <w:bottom w:val="single" w:sz="12" w:space="0" w:color="auto"/>
            </w:tcBorders>
          </w:tcPr>
          <w:p w14:paraId="24572E0F" w14:textId="77777777" w:rsidR="0090121B" w:rsidRPr="00EB53B0" w:rsidRDefault="0090121B" w:rsidP="00287BD4">
            <w:pPr>
              <w:spacing w:before="0"/>
              <w:rPr>
                <w:rFonts w:ascii="Verdana" w:hAnsi="Verdana"/>
                <w:szCs w:val="24"/>
              </w:rPr>
            </w:pPr>
          </w:p>
        </w:tc>
      </w:tr>
      <w:tr w:rsidR="0090121B" w:rsidRPr="00EB53B0" w14:paraId="3B9F75E8" w14:textId="77777777" w:rsidTr="0090121B">
        <w:trPr>
          <w:cantSplit/>
        </w:trPr>
        <w:tc>
          <w:tcPr>
            <w:tcW w:w="6911" w:type="dxa"/>
            <w:tcBorders>
              <w:top w:val="single" w:sz="12" w:space="0" w:color="auto"/>
            </w:tcBorders>
          </w:tcPr>
          <w:p w14:paraId="5F43DA26" w14:textId="77777777" w:rsidR="0090121B" w:rsidRPr="00EB53B0" w:rsidRDefault="0090121B" w:rsidP="00287BD4">
            <w:pPr>
              <w:spacing w:before="0" w:after="48"/>
              <w:rPr>
                <w:rFonts w:ascii="Verdana" w:hAnsi="Verdana"/>
                <w:b/>
                <w:smallCaps/>
                <w:sz w:val="20"/>
              </w:rPr>
            </w:pPr>
          </w:p>
        </w:tc>
        <w:tc>
          <w:tcPr>
            <w:tcW w:w="3120" w:type="dxa"/>
            <w:tcBorders>
              <w:top w:val="single" w:sz="12" w:space="0" w:color="auto"/>
            </w:tcBorders>
          </w:tcPr>
          <w:p w14:paraId="4914BCE5" w14:textId="77777777" w:rsidR="0090121B" w:rsidRPr="00EB53B0" w:rsidRDefault="0090121B" w:rsidP="00287BD4">
            <w:pPr>
              <w:spacing w:before="0"/>
              <w:rPr>
                <w:rFonts w:ascii="Verdana" w:hAnsi="Verdana"/>
                <w:sz w:val="20"/>
              </w:rPr>
            </w:pPr>
          </w:p>
        </w:tc>
      </w:tr>
      <w:tr w:rsidR="0090121B" w:rsidRPr="00EB53B0" w14:paraId="5F681BDD" w14:textId="77777777" w:rsidTr="0090121B">
        <w:trPr>
          <w:cantSplit/>
        </w:trPr>
        <w:tc>
          <w:tcPr>
            <w:tcW w:w="6911" w:type="dxa"/>
          </w:tcPr>
          <w:p w14:paraId="6F7B2184" w14:textId="77777777" w:rsidR="0090121B" w:rsidRPr="00EB53B0" w:rsidRDefault="001E7D42" w:rsidP="00287BD4">
            <w:pPr>
              <w:pStyle w:val="Committee"/>
              <w:framePr w:hSpace="0" w:wrap="auto" w:hAnchor="text" w:yAlign="inline"/>
              <w:spacing w:line="240" w:lineRule="auto"/>
              <w:rPr>
                <w:sz w:val="18"/>
                <w:szCs w:val="18"/>
                <w:lang w:val="es-ES_tradnl"/>
              </w:rPr>
            </w:pPr>
            <w:r w:rsidRPr="00EB53B0">
              <w:rPr>
                <w:sz w:val="18"/>
                <w:szCs w:val="18"/>
                <w:lang w:val="es-ES_tradnl"/>
              </w:rPr>
              <w:t>SESIÓN PLENARIA</w:t>
            </w:r>
          </w:p>
        </w:tc>
        <w:tc>
          <w:tcPr>
            <w:tcW w:w="3120" w:type="dxa"/>
          </w:tcPr>
          <w:p w14:paraId="61C1B5CB" w14:textId="77777777" w:rsidR="0090121B" w:rsidRPr="00EB53B0" w:rsidRDefault="00AE658F" w:rsidP="00287BD4">
            <w:pPr>
              <w:spacing w:before="0"/>
              <w:rPr>
                <w:rFonts w:ascii="Verdana" w:hAnsi="Verdana"/>
                <w:sz w:val="18"/>
                <w:szCs w:val="18"/>
              </w:rPr>
            </w:pPr>
            <w:r w:rsidRPr="00EB53B0">
              <w:rPr>
                <w:rFonts w:ascii="Verdana" w:hAnsi="Verdana"/>
                <w:b/>
                <w:sz w:val="18"/>
                <w:szCs w:val="18"/>
              </w:rPr>
              <w:t>Revisión 1 al</w:t>
            </w:r>
            <w:r w:rsidRPr="00EB53B0">
              <w:rPr>
                <w:rFonts w:ascii="Verdana" w:hAnsi="Verdana"/>
                <w:b/>
                <w:sz w:val="18"/>
                <w:szCs w:val="18"/>
              </w:rPr>
              <w:br/>
              <w:t>Documento 32</w:t>
            </w:r>
            <w:r w:rsidR="0090121B" w:rsidRPr="00EB53B0">
              <w:rPr>
                <w:rFonts w:ascii="Verdana" w:hAnsi="Verdana"/>
                <w:b/>
                <w:sz w:val="18"/>
                <w:szCs w:val="18"/>
              </w:rPr>
              <w:t>-</w:t>
            </w:r>
            <w:r w:rsidRPr="00EB53B0">
              <w:rPr>
                <w:rFonts w:ascii="Verdana" w:hAnsi="Verdana"/>
                <w:b/>
                <w:sz w:val="18"/>
                <w:szCs w:val="18"/>
              </w:rPr>
              <w:t>S</w:t>
            </w:r>
          </w:p>
        </w:tc>
      </w:tr>
      <w:bookmarkEnd w:id="1"/>
      <w:tr w:rsidR="000A5B9A" w:rsidRPr="00EB53B0" w14:paraId="16A5861E" w14:textId="77777777" w:rsidTr="0090121B">
        <w:trPr>
          <w:cantSplit/>
        </w:trPr>
        <w:tc>
          <w:tcPr>
            <w:tcW w:w="6911" w:type="dxa"/>
          </w:tcPr>
          <w:p w14:paraId="3801D570" w14:textId="77777777" w:rsidR="000A5B9A" w:rsidRPr="00EB53B0" w:rsidRDefault="000A5B9A" w:rsidP="00287BD4">
            <w:pPr>
              <w:spacing w:before="0" w:after="48"/>
              <w:rPr>
                <w:rFonts w:ascii="Verdana" w:hAnsi="Verdana"/>
                <w:b/>
                <w:smallCaps/>
                <w:sz w:val="18"/>
                <w:szCs w:val="18"/>
              </w:rPr>
            </w:pPr>
          </w:p>
        </w:tc>
        <w:tc>
          <w:tcPr>
            <w:tcW w:w="3120" w:type="dxa"/>
          </w:tcPr>
          <w:p w14:paraId="3965EF99" w14:textId="77777777" w:rsidR="000A5B9A" w:rsidRPr="00EB53B0" w:rsidRDefault="000A5B9A" w:rsidP="00287BD4">
            <w:pPr>
              <w:spacing w:before="0"/>
              <w:rPr>
                <w:rFonts w:ascii="Verdana" w:hAnsi="Verdana"/>
                <w:b/>
                <w:sz w:val="18"/>
                <w:szCs w:val="18"/>
              </w:rPr>
            </w:pPr>
            <w:r w:rsidRPr="00EB53B0">
              <w:rPr>
                <w:rFonts w:ascii="Verdana" w:hAnsi="Verdana"/>
                <w:b/>
                <w:sz w:val="18"/>
                <w:szCs w:val="18"/>
              </w:rPr>
              <w:t>22 de octubre de 2019</w:t>
            </w:r>
          </w:p>
        </w:tc>
      </w:tr>
      <w:tr w:rsidR="000A5B9A" w:rsidRPr="00EB53B0" w14:paraId="0148B8C4" w14:textId="77777777" w:rsidTr="0090121B">
        <w:trPr>
          <w:cantSplit/>
        </w:trPr>
        <w:tc>
          <w:tcPr>
            <w:tcW w:w="6911" w:type="dxa"/>
          </w:tcPr>
          <w:p w14:paraId="6716F5F4" w14:textId="77777777" w:rsidR="000A5B9A" w:rsidRPr="00EB53B0" w:rsidRDefault="000A5B9A" w:rsidP="00287BD4">
            <w:pPr>
              <w:spacing w:before="0" w:after="48"/>
              <w:rPr>
                <w:rFonts w:ascii="Verdana" w:hAnsi="Verdana"/>
                <w:b/>
                <w:smallCaps/>
                <w:sz w:val="18"/>
                <w:szCs w:val="18"/>
              </w:rPr>
            </w:pPr>
          </w:p>
        </w:tc>
        <w:tc>
          <w:tcPr>
            <w:tcW w:w="3120" w:type="dxa"/>
          </w:tcPr>
          <w:p w14:paraId="76E66F4C" w14:textId="77777777" w:rsidR="000A5B9A" w:rsidRPr="00EB53B0" w:rsidRDefault="000A5B9A" w:rsidP="00287BD4">
            <w:pPr>
              <w:spacing w:before="0"/>
              <w:rPr>
                <w:rFonts w:ascii="Verdana" w:hAnsi="Verdana"/>
                <w:b/>
                <w:sz w:val="18"/>
                <w:szCs w:val="18"/>
              </w:rPr>
            </w:pPr>
            <w:r w:rsidRPr="00EB53B0">
              <w:rPr>
                <w:rFonts w:ascii="Verdana" w:hAnsi="Verdana"/>
                <w:b/>
                <w:sz w:val="18"/>
                <w:szCs w:val="18"/>
              </w:rPr>
              <w:t>Original: ruso</w:t>
            </w:r>
          </w:p>
        </w:tc>
      </w:tr>
      <w:tr w:rsidR="000A5B9A" w:rsidRPr="00EB53B0" w14:paraId="2F3D4737" w14:textId="77777777" w:rsidTr="006744FC">
        <w:trPr>
          <w:cantSplit/>
        </w:trPr>
        <w:tc>
          <w:tcPr>
            <w:tcW w:w="10031" w:type="dxa"/>
            <w:gridSpan w:val="2"/>
          </w:tcPr>
          <w:p w14:paraId="5DE4D7F2" w14:textId="77777777" w:rsidR="000A5B9A" w:rsidRPr="00EB53B0" w:rsidRDefault="000A5B9A" w:rsidP="00287BD4">
            <w:pPr>
              <w:spacing w:before="0"/>
              <w:rPr>
                <w:rFonts w:ascii="Verdana" w:hAnsi="Verdana"/>
                <w:b/>
                <w:sz w:val="18"/>
                <w:szCs w:val="22"/>
              </w:rPr>
            </w:pPr>
          </w:p>
        </w:tc>
      </w:tr>
      <w:tr w:rsidR="003E71AC" w:rsidRPr="00EB53B0" w14:paraId="61993A85" w14:textId="77777777" w:rsidTr="0050008E">
        <w:trPr>
          <w:cantSplit/>
        </w:trPr>
        <w:tc>
          <w:tcPr>
            <w:tcW w:w="10031" w:type="dxa"/>
            <w:gridSpan w:val="2"/>
          </w:tcPr>
          <w:p w14:paraId="5CE1E84A" w14:textId="63E3891D" w:rsidR="003E71AC" w:rsidRPr="00EB53B0" w:rsidRDefault="003E71AC" w:rsidP="00287BD4">
            <w:pPr>
              <w:pStyle w:val="Source"/>
            </w:pPr>
            <w:bookmarkStart w:id="2" w:name="dsource" w:colFirst="0" w:colLast="0"/>
            <w:r w:rsidRPr="00EB53B0">
              <w:t>Federación de Rusia</w:t>
            </w:r>
          </w:p>
        </w:tc>
      </w:tr>
      <w:tr w:rsidR="003E71AC" w:rsidRPr="00EB53B0" w14:paraId="5BA39881" w14:textId="77777777" w:rsidTr="0050008E">
        <w:trPr>
          <w:cantSplit/>
        </w:trPr>
        <w:tc>
          <w:tcPr>
            <w:tcW w:w="10031" w:type="dxa"/>
            <w:gridSpan w:val="2"/>
          </w:tcPr>
          <w:p w14:paraId="4E66DFC6" w14:textId="3F104A98" w:rsidR="003E71AC" w:rsidRPr="00EB53B0" w:rsidRDefault="003E71AC" w:rsidP="00287BD4">
            <w:pPr>
              <w:pStyle w:val="Title1"/>
            </w:pPr>
            <w:bookmarkStart w:id="3" w:name="dtitle1" w:colFirst="0" w:colLast="0"/>
            <w:bookmarkEnd w:id="2"/>
            <w:r w:rsidRPr="00EB53B0">
              <w:t xml:space="preserve">PROPUESTAS EN RELACIÓN CON EL PUNTO 1.13 DEL ORDEN DEL DÍA SOBRE LAS CONDICIONES DE UTILIZACIÓN DE LAS IMT EN LA BANDA 24,25-27,5 GHz de acuerdo con LOS RESULTADOS </w:t>
            </w:r>
            <w:r w:rsidR="00977721" w:rsidRPr="00EB53B0">
              <w:br/>
            </w:r>
            <w:r w:rsidRPr="00EB53B0">
              <w:t xml:space="preserve">DE LAS PRUEBAS Y LA EXPERIENCIA DE utilización </w:t>
            </w:r>
            <w:r w:rsidR="00977721" w:rsidRPr="00EB53B0">
              <w:br/>
            </w:r>
            <w:r w:rsidRPr="00EB53B0">
              <w:t>DE las REDES 5G EN LA FEDERACIÓN DE RUSIA</w:t>
            </w:r>
          </w:p>
        </w:tc>
      </w:tr>
      <w:tr w:rsidR="000A5B9A" w:rsidRPr="00EB53B0" w14:paraId="5EF23D96" w14:textId="77777777" w:rsidTr="0050008E">
        <w:trPr>
          <w:cantSplit/>
        </w:trPr>
        <w:tc>
          <w:tcPr>
            <w:tcW w:w="10031" w:type="dxa"/>
            <w:gridSpan w:val="2"/>
          </w:tcPr>
          <w:p w14:paraId="2E1E6415" w14:textId="77777777" w:rsidR="000A5B9A" w:rsidRPr="00EB53B0" w:rsidRDefault="000A5B9A" w:rsidP="00287BD4">
            <w:pPr>
              <w:pStyle w:val="Title2"/>
            </w:pPr>
            <w:bookmarkStart w:id="4" w:name="dtitle2" w:colFirst="0" w:colLast="0"/>
            <w:bookmarkEnd w:id="3"/>
          </w:p>
        </w:tc>
      </w:tr>
      <w:tr w:rsidR="000A5B9A" w:rsidRPr="00EB53B0" w14:paraId="1FEEE605" w14:textId="77777777" w:rsidTr="0050008E">
        <w:trPr>
          <w:cantSplit/>
        </w:trPr>
        <w:tc>
          <w:tcPr>
            <w:tcW w:w="10031" w:type="dxa"/>
            <w:gridSpan w:val="2"/>
          </w:tcPr>
          <w:p w14:paraId="0E319A08" w14:textId="77777777" w:rsidR="000A5B9A" w:rsidRPr="00EB53B0" w:rsidRDefault="000A5B9A" w:rsidP="00287BD4">
            <w:pPr>
              <w:pStyle w:val="Agendaitem"/>
            </w:pPr>
            <w:bookmarkStart w:id="5" w:name="dtitle3" w:colFirst="0" w:colLast="0"/>
            <w:bookmarkEnd w:id="4"/>
          </w:p>
        </w:tc>
      </w:tr>
    </w:tbl>
    <w:bookmarkEnd w:id="5"/>
    <w:p w14:paraId="0B8FFCDC" w14:textId="68257CC2" w:rsidR="003E71AC" w:rsidRPr="00EB53B0" w:rsidRDefault="003E71AC" w:rsidP="00287BD4">
      <w:r w:rsidRPr="00EB53B0">
        <w:t>En este documento se presentan los resultados de las pruebas prácticas de una estación IMT-2020</w:t>
      </w:r>
      <w:r w:rsidRPr="00EB53B0">
        <w:rPr>
          <w:color w:val="000000"/>
          <w:position w:val="6"/>
          <w:sz w:val="18"/>
          <w:szCs w:val="24"/>
        </w:rPr>
        <w:footnoteReference w:id="1"/>
      </w:r>
      <w:r w:rsidRPr="00EB53B0">
        <w:t xml:space="preserve"> con una estación base 5G New Radio (NR) </w:t>
      </w:r>
      <w:r w:rsidR="006E43E8" w:rsidRPr="00EB53B0">
        <w:t>dedicada, facilitada por un fabricante mundial al operador de telecomunicaciones para la construcción de zonas piloto</w:t>
      </w:r>
      <w:r w:rsidRPr="00EB53B0">
        <w:t>, así como los datos estadísticos</w:t>
      </w:r>
      <w:r w:rsidR="000B3ECC" w:rsidRPr="00EB53B0">
        <w:t xml:space="preserve"> relativos, entre otras cosas, a </w:t>
      </w:r>
      <w:r w:rsidRPr="00EB53B0">
        <w:t xml:space="preserve">las características </w:t>
      </w:r>
      <w:r w:rsidR="006E43E8" w:rsidRPr="00EB53B0">
        <w:t xml:space="preserve">notificadas </w:t>
      </w:r>
      <w:r w:rsidRPr="00EB53B0">
        <w:t xml:space="preserve">de las </w:t>
      </w:r>
      <w:r w:rsidR="006E43E8" w:rsidRPr="00EB53B0">
        <w:t xml:space="preserve">redes IMT-2020 en las </w:t>
      </w:r>
      <w:r w:rsidRPr="00EB53B0">
        <w:t xml:space="preserve">zonas piloto en la gama de frecuencias 25,25-27,5 GHz, cuyo despliegue provisional en la Federación de Rusia responde al objetivo de permitir el ajuste y la realización de actividades de estudio y experimentales. Las características </w:t>
      </w:r>
      <w:r w:rsidR="006E43E8" w:rsidRPr="00EB53B0">
        <w:t xml:space="preserve">de despliegue </w:t>
      </w:r>
      <w:r w:rsidRPr="00EB53B0">
        <w:t xml:space="preserve">de las redes IMT-2020 </w:t>
      </w:r>
      <w:r w:rsidR="006E43E8" w:rsidRPr="00EB53B0">
        <w:t xml:space="preserve">en las zonas piloto </w:t>
      </w:r>
      <w:r w:rsidRPr="00EB53B0">
        <w:t xml:space="preserve">pueden ser distintas de las características </w:t>
      </w:r>
      <w:r w:rsidR="006E43E8" w:rsidRPr="00EB53B0">
        <w:t xml:space="preserve">de despliegue </w:t>
      </w:r>
      <w:r w:rsidRPr="00EB53B0">
        <w:t>de las redes IMT-2020 comerciales.</w:t>
      </w:r>
    </w:p>
    <w:p w14:paraId="2DE434B4" w14:textId="61BC2E45" w:rsidR="003E71AC" w:rsidRPr="00EB53B0" w:rsidRDefault="003E71AC" w:rsidP="00287BD4">
      <w:r w:rsidRPr="00EB53B0">
        <w:t xml:space="preserve">La información del anexo pone de relieve divergencias entre las características </w:t>
      </w:r>
      <w:r w:rsidR="006E43E8" w:rsidRPr="00EB53B0">
        <w:t xml:space="preserve">medidas </w:t>
      </w:r>
      <w:r w:rsidRPr="00EB53B0">
        <w:t xml:space="preserve">de </w:t>
      </w:r>
      <w:r w:rsidR="006E43E8" w:rsidRPr="00EB53B0">
        <w:t>una</w:t>
      </w:r>
      <w:r w:rsidRPr="00EB53B0">
        <w:t xml:space="preserve"> estaci</w:t>
      </w:r>
      <w:r w:rsidR="006E43E8" w:rsidRPr="00EB53B0">
        <w:t>ón</w:t>
      </w:r>
      <w:r w:rsidRPr="00EB53B0">
        <w:t xml:space="preserve"> IMT-2020</w:t>
      </w:r>
      <w:r w:rsidR="006E43E8" w:rsidRPr="00EB53B0">
        <w:t>,</w:t>
      </w:r>
      <w:r w:rsidRPr="00EB53B0">
        <w:t xml:space="preserve"> </w:t>
      </w:r>
      <w:r w:rsidR="006E43E8" w:rsidRPr="00EB53B0">
        <w:t xml:space="preserve">así como los escenarios de </w:t>
      </w:r>
      <w:r w:rsidRPr="00EB53B0">
        <w:t xml:space="preserve">construcción de redes </w:t>
      </w:r>
      <w:r w:rsidR="006E43E8" w:rsidRPr="00EB53B0">
        <w:t xml:space="preserve">IMT-2020 </w:t>
      </w:r>
      <w:r w:rsidRPr="00EB53B0">
        <w:t>en la gama de frecuencias 24,25-27,5 GHz</w:t>
      </w:r>
      <w:r w:rsidR="006E43E8" w:rsidRPr="00EB53B0">
        <w:t>,</w:t>
      </w:r>
      <w:r w:rsidRPr="00EB53B0">
        <w:t xml:space="preserve"> y las características </w:t>
      </w:r>
      <w:r w:rsidR="006E43E8" w:rsidRPr="00EB53B0">
        <w:t xml:space="preserve">correspondientes </w:t>
      </w:r>
      <w:r w:rsidRPr="00EB53B0">
        <w:t xml:space="preserve">de las estaciones IMT-2020 </w:t>
      </w:r>
      <w:r w:rsidR="006E43E8" w:rsidRPr="00EB53B0">
        <w:t xml:space="preserve">y los escenarios de despliegue de redes IMT-2020 </w:t>
      </w:r>
      <w:r w:rsidRPr="00EB53B0">
        <w:t xml:space="preserve">de las que hace uso el Grupo de Tareas Especiales (GTE) 5/1 en sus estudios de compatibilidad con arreglo al punto 1.13 del orden del día de la CMR-19 </w:t>
      </w:r>
      <w:r w:rsidR="006E43E8" w:rsidRPr="00EB53B0">
        <w:t>a fin de definir las</w:t>
      </w:r>
      <w:r w:rsidRPr="00EB53B0">
        <w:t xml:space="preserve"> medidas reglamentarias que podrían proteger los servicios afectados en las bandas de frecuencias implicadas y adyacentes frente a las interferencias causadas por las estaciones IMT-2020. El examen de las características </w:t>
      </w:r>
      <w:r w:rsidR="006E43E8" w:rsidRPr="00EB53B0">
        <w:t xml:space="preserve">medidas </w:t>
      </w:r>
      <w:r w:rsidRPr="00EB53B0">
        <w:t>de la estaci</w:t>
      </w:r>
      <w:r w:rsidR="006E43E8" w:rsidRPr="00EB53B0">
        <w:t>ón</w:t>
      </w:r>
      <w:r w:rsidRPr="00EB53B0">
        <w:t xml:space="preserve"> </w:t>
      </w:r>
      <w:r w:rsidR="006E43E8" w:rsidRPr="00EB53B0">
        <w:t xml:space="preserve">base </w:t>
      </w:r>
      <w:r w:rsidRPr="00EB53B0">
        <w:t xml:space="preserve">IMT-2020 </w:t>
      </w:r>
      <w:r w:rsidR="006E43E8" w:rsidRPr="00EB53B0">
        <w:t xml:space="preserve">dedicada, así como los escenarios de despliegue de redes IMT-2020 en las zonas piloto, </w:t>
      </w:r>
      <w:r w:rsidRPr="00EB53B0">
        <w:t>parece indicar que se ha subestimado el nivel de interferencia que pueden causar las estaciones IMT-2020 a las estaciones de otros servicios de radiocomunicaciones afectados.</w:t>
      </w:r>
    </w:p>
    <w:p w14:paraId="26C69A62" w14:textId="77777777" w:rsidR="003E71AC" w:rsidRPr="00EB53B0" w:rsidRDefault="003E71AC" w:rsidP="00A62855">
      <w:pPr>
        <w:keepNext/>
        <w:keepLines/>
      </w:pPr>
      <w:r w:rsidRPr="00EB53B0">
        <w:lastRenderedPageBreak/>
        <w:t>Esta contribución respalda el razonamiento que defiende la adopción de disposiciones reglamentarias en el marco del punto 1.13 del orden del día de la CMR-19 con miras a limitar las características técnicas de las estaciones IMT-2020 y así garantizar la protección de los servicios de satélite afectados contra las interferencias, entre otras cosas mediante la identificación del nivel máximo de emisiones no deseadas procedentes de estaciones base en la banda 23,6-24 GHz, a fin de garantizar la protección del servicio de exploración de la tierra por satélite (SETS) (pasivo), y mediante la limitación de las emisiones de estaciones base en el hemisferio norte para asegurar la protección del servicio entre satélites (SES) en la banda 25,25-27,5 GHz y del servicio fijo por satélite (SFS) en la banda 27-27,5 GHz.</w:t>
      </w:r>
    </w:p>
    <w:p w14:paraId="2C1D75E6" w14:textId="77777777" w:rsidR="003E71AC" w:rsidRPr="00EB53B0" w:rsidRDefault="003E71AC" w:rsidP="00287BD4">
      <w:pPr>
        <w:pStyle w:val="Heading1"/>
      </w:pPr>
      <w:r w:rsidRPr="00EB53B0">
        <w:t>1</w:t>
      </w:r>
      <w:r w:rsidRPr="00EB53B0">
        <w:tab/>
        <w:t>Características de las zonas piloto de redes 5G en las Federación de Rusia</w:t>
      </w:r>
    </w:p>
    <w:p w14:paraId="0140B94C" w14:textId="3E3D7998" w:rsidR="003E71AC" w:rsidRPr="00EB53B0" w:rsidRDefault="003E71AC" w:rsidP="00287BD4">
      <w:r w:rsidRPr="00EB53B0">
        <w:t xml:space="preserve">A continuación se presentan, en forma de funciones de distribución, </w:t>
      </w:r>
      <w:r w:rsidR="003B4944" w:rsidRPr="00EB53B0">
        <w:t xml:space="preserve">las características estadísticas de las zonas piloto </w:t>
      </w:r>
      <w:r w:rsidRPr="00EB53B0">
        <w:t>obtenid</w:t>
      </w:r>
      <w:r w:rsidR="003B4944" w:rsidRPr="00EB53B0">
        <w:t>a</w:t>
      </w:r>
      <w:r w:rsidRPr="00EB53B0">
        <w:t xml:space="preserve">s a partir de datos abiertos relativos al despliegue de redes de quinta generación previsto para zonas piloto de la Federación de Rusia. (Para calcular las estadísticas, se han utilizado los parámetros </w:t>
      </w:r>
      <w:r w:rsidR="003B4944" w:rsidRPr="00EB53B0">
        <w:t xml:space="preserve">notificados por los operadores de </w:t>
      </w:r>
      <w:r w:rsidR="00EB53B0" w:rsidRPr="00EB53B0">
        <w:t>telecomunicaciones</w:t>
      </w:r>
      <w:r w:rsidR="003B4944" w:rsidRPr="00EB53B0">
        <w:t xml:space="preserve"> </w:t>
      </w:r>
      <w:r w:rsidRPr="00EB53B0">
        <w:t>de más de 370</w:t>
      </w:r>
      <w:r w:rsidR="002715AF" w:rsidRPr="00EB53B0">
        <w:t> </w:t>
      </w:r>
      <w:r w:rsidR="003B4944" w:rsidRPr="00EB53B0">
        <w:t xml:space="preserve">emplazamientos de </w:t>
      </w:r>
      <w:r w:rsidRPr="00EB53B0">
        <w:t>estaciones base en la banda 25,25-27,5 GHz.)</w:t>
      </w:r>
    </w:p>
    <w:p w14:paraId="2B1149B0" w14:textId="77777777" w:rsidR="003E71AC" w:rsidRPr="00EB53B0" w:rsidRDefault="003E71AC" w:rsidP="00287BD4">
      <w:pPr>
        <w:pStyle w:val="FigureNo"/>
      </w:pPr>
      <w:r w:rsidRPr="00EB53B0">
        <w:t>FigurA 1.1</w:t>
      </w:r>
    </w:p>
    <w:p w14:paraId="5144BDCE" w14:textId="665D406C" w:rsidR="003E71AC" w:rsidRPr="00EB53B0" w:rsidRDefault="003E71AC" w:rsidP="00E22083">
      <w:pPr>
        <w:pStyle w:val="Figuretitle"/>
        <w:spacing w:after="240"/>
        <w:jc w:val="center"/>
        <w:rPr>
          <w:b/>
          <w:bCs/>
          <w:sz w:val="20"/>
        </w:rPr>
      </w:pPr>
      <w:r w:rsidRPr="00EB53B0">
        <w:rPr>
          <w:b/>
          <w:bCs/>
          <w:sz w:val="20"/>
        </w:rPr>
        <w:t xml:space="preserve">Función de distribución de la altura </w:t>
      </w:r>
      <w:r w:rsidR="003B4944" w:rsidRPr="00EB53B0">
        <w:rPr>
          <w:b/>
          <w:bCs/>
          <w:sz w:val="20"/>
        </w:rPr>
        <w:t xml:space="preserve">notificada </w:t>
      </w:r>
      <w:r w:rsidRPr="00EB53B0">
        <w:rPr>
          <w:b/>
          <w:bCs/>
          <w:sz w:val="20"/>
        </w:rPr>
        <w:t xml:space="preserve">del centro de fase </w:t>
      </w:r>
      <w:r w:rsidR="003B4944" w:rsidRPr="00EB53B0">
        <w:rPr>
          <w:b/>
          <w:bCs/>
          <w:sz w:val="20"/>
        </w:rPr>
        <w:t xml:space="preserve">de la antena </w:t>
      </w:r>
      <w:r w:rsidR="002715AF" w:rsidRPr="00EB53B0">
        <w:rPr>
          <w:b/>
          <w:bCs/>
          <w:sz w:val="20"/>
        </w:rPr>
        <w:br/>
      </w:r>
      <w:r w:rsidRPr="00EB53B0">
        <w:rPr>
          <w:b/>
          <w:bCs/>
          <w:sz w:val="20"/>
        </w:rPr>
        <w:t>de la estación base en relación con la superficie de la Tierra</w:t>
      </w:r>
      <w:r w:rsidR="003B4944" w:rsidRPr="00EB53B0">
        <w:rPr>
          <w:b/>
          <w:bCs/>
          <w:sz w:val="20"/>
        </w:rPr>
        <w:t xml:space="preserve"> (en metros)</w:t>
      </w:r>
    </w:p>
    <w:p w14:paraId="55325726" w14:textId="77777777" w:rsidR="003E71AC" w:rsidRPr="00EB53B0" w:rsidRDefault="003E71AC" w:rsidP="00E22083">
      <w:pPr>
        <w:pStyle w:val="Figure"/>
        <w:keepNext w:val="0"/>
        <w:keepLines w:val="0"/>
        <w:rPr>
          <w:szCs w:val="24"/>
        </w:rPr>
      </w:pPr>
      <w:r w:rsidRPr="00EB53B0">
        <w:rPr>
          <w:lang w:eastAsia="es-ES_tradnl"/>
        </w:rPr>
        <w:drawing>
          <wp:inline distT="0" distB="0" distL="0" distR="0" wp14:anchorId="618C6EED" wp14:editId="638854E9">
            <wp:extent cx="5029200" cy="2832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9200" cy="2832100"/>
                    </a:xfrm>
                    <a:prstGeom prst="rect">
                      <a:avLst/>
                    </a:prstGeom>
                  </pic:spPr>
                </pic:pic>
              </a:graphicData>
            </a:graphic>
          </wp:inline>
        </w:drawing>
      </w:r>
    </w:p>
    <w:p w14:paraId="07461DBB" w14:textId="77777777" w:rsidR="003E71AC" w:rsidRPr="00EB53B0" w:rsidRDefault="003E71AC" w:rsidP="00E22083">
      <w:pPr>
        <w:pStyle w:val="Figurelegend"/>
        <w:keepNext w:val="0"/>
        <w:keepLines w:val="0"/>
      </w:pPr>
      <w:bookmarkStart w:id="6" w:name="2s8eyo1" w:colFirst="0" w:colLast="0"/>
      <w:bookmarkStart w:id="7" w:name="_Hlk21004317"/>
      <w:bookmarkEnd w:id="6"/>
      <w:r w:rsidRPr="00EB53B0">
        <w:rPr>
          <w:b/>
          <w:bCs/>
        </w:rPr>
        <w:t>Leyenda</w:t>
      </w:r>
      <w:r w:rsidRPr="00EB53B0">
        <w:t xml:space="preserve"> – vertical: Función de distribución (en %)  //  horizontal: Altura de la estación base (en m)</w:t>
      </w:r>
    </w:p>
    <w:bookmarkEnd w:id="7"/>
    <w:p w14:paraId="27EF4901" w14:textId="77777777" w:rsidR="003E71AC" w:rsidRPr="00EB53B0" w:rsidRDefault="003E71AC" w:rsidP="00E22083">
      <w:pPr>
        <w:pStyle w:val="FigureNo"/>
      </w:pPr>
      <w:r w:rsidRPr="00EB53B0">
        <w:lastRenderedPageBreak/>
        <w:t>FigurA 1.2</w:t>
      </w:r>
    </w:p>
    <w:p w14:paraId="21D07C70" w14:textId="4C774D43" w:rsidR="003E71AC" w:rsidRPr="00EB53B0" w:rsidRDefault="003E71AC" w:rsidP="00E22083">
      <w:pPr>
        <w:pStyle w:val="Figuretitle"/>
        <w:keepNext/>
        <w:keepLines/>
        <w:spacing w:after="240"/>
        <w:jc w:val="center"/>
        <w:rPr>
          <w:b/>
          <w:bCs/>
          <w:sz w:val="20"/>
        </w:rPr>
      </w:pPr>
      <w:r w:rsidRPr="00EB53B0">
        <w:rPr>
          <w:b/>
          <w:bCs/>
          <w:sz w:val="20"/>
        </w:rPr>
        <w:t xml:space="preserve">Función de distribución de la p.i.r.e. </w:t>
      </w:r>
      <w:r w:rsidR="003B4944" w:rsidRPr="00EB53B0">
        <w:rPr>
          <w:b/>
          <w:bCs/>
          <w:sz w:val="20"/>
        </w:rPr>
        <w:t xml:space="preserve">máxima notificada </w:t>
      </w:r>
      <w:r w:rsidRPr="00EB53B0">
        <w:rPr>
          <w:b/>
          <w:bCs/>
          <w:sz w:val="20"/>
        </w:rPr>
        <w:t xml:space="preserve">de </w:t>
      </w:r>
      <w:r w:rsidR="0064714F" w:rsidRPr="00EB53B0">
        <w:rPr>
          <w:b/>
          <w:bCs/>
          <w:sz w:val="20"/>
        </w:rPr>
        <w:t xml:space="preserve">la </w:t>
      </w:r>
      <w:r w:rsidRPr="00EB53B0">
        <w:rPr>
          <w:b/>
          <w:bCs/>
          <w:sz w:val="20"/>
        </w:rPr>
        <w:t>estación base (en dBm/200 MHz)</w:t>
      </w:r>
    </w:p>
    <w:p w14:paraId="56429CB1" w14:textId="77777777" w:rsidR="003E71AC" w:rsidRPr="00EB53B0" w:rsidRDefault="003E71AC" w:rsidP="00E22083">
      <w:pPr>
        <w:pStyle w:val="Figure"/>
        <w:rPr>
          <w:lang w:eastAsia="es-ES_tradnl"/>
        </w:rPr>
      </w:pPr>
      <w:r w:rsidRPr="00EB53B0">
        <w:rPr>
          <w:lang w:eastAsia="es-ES_tradnl"/>
        </w:rPr>
        <w:drawing>
          <wp:inline distT="0" distB="0" distL="0" distR="0" wp14:anchorId="002E4E2F" wp14:editId="0B7A04E5">
            <wp:extent cx="5029200" cy="2819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9200" cy="2819400"/>
                    </a:xfrm>
                    <a:prstGeom prst="rect">
                      <a:avLst/>
                    </a:prstGeom>
                  </pic:spPr>
                </pic:pic>
              </a:graphicData>
            </a:graphic>
          </wp:inline>
        </w:drawing>
      </w:r>
    </w:p>
    <w:p w14:paraId="5482217E" w14:textId="77777777" w:rsidR="003E71AC" w:rsidRPr="00EB53B0" w:rsidRDefault="003E71AC" w:rsidP="002F5A14">
      <w:pPr>
        <w:pStyle w:val="Figurelegend"/>
      </w:pPr>
      <w:r w:rsidRPr="00EB53B0">
        <w:rPr>
          <w:b/>
          <w:bCs/>
        </w:rPr>
        <w:t>Leyenda</w:t>
      </w:r>
      <w:r w:rsidRPr="00EB53B0">
        <w:t xml:space="preserve"> – vertical: Función de distribución (en %)  //  horizontal: p.i.r.e. (en dBm/200 MHz)</w:t>
      </w:r>
    </w:p>
    <w:p w14:paraId="1F4BCDE5" w14:textId="77777777" w:rsidR="003E71AC" w:rsidRPr="00EB53B0" w:rsidRDefault="003E71AC" w:rsidP="00287BD4">
      <w:pPr>
        <w:pStyle w:val="FigureNo"/>
      </w:pPr>
      <w:r w:rsidRPr="00EB53B0">
        <w:t>FigurA 1.3</w:t>
      </w:r>
    </w:p>
    <w:p w14:paraId="3A268BFB" w14:textId="6B768B8D" w:rsidR="003E71AC" w:rsidRPr="00EB53B0" w:rsidRDefault="003E71AC" w:rsidP="00E22083">
      <w:pPr>
        <w:pStyle w:val="Figuretitle"/>
        <w:keepNext/>
        <w:keepLines/>
        <w:spacing w:after="240"/>
        <w:jc w:val="center"/>
        <w:rPr>
          <w:b/>
          <w:bCs/>
          <w:sz w:val="20"/>
        </w:rPr>
      </w:pPr>
      <w:r w:rsidRPr="00EB53B0">
        <w:rPr>
          <w:b/>
          <w:bCs/>
          <w:sz w:val="20"/>
        </w:rPr>
        <w:t xml:space="preserve">Función de distribución del ángulo de inclinación mecánica </w:t>
      </w:r>
      <w:r w:rsidR="003B4944" w:rsidRPr="00EB53B0">
        <w:rPr>
          <w:b/>
          <w:bCs/>
          <w:sz w:val="20"/>
        </w:rPr>
        <w:t>notificado</w:t>
      </w:r>
      <w:r w:rsidR="00287BD4" w:rsidRPr="00EB53B0">
        <w:rPr>
          <w:b/>
          <w:bCs/>
          <w:sz w:val="20"/>
        </w:rPr>
        <w:t xml:space="preserve"> </w:t>
      </w:r>
      <w:r w:rsidRPr="00EB53B0">
        <w:rPr>
          <w:b/>
          <w:bCs/>
          <w:sz w:val="20"/>
        </w:rPr>
        <w:t>con respecto al horizonte (en grados)</w:t>
      </w:r>
    </w:p>
    <w:p w14:paraId="73D4E217" w14:textId="77777777" w:rsidR="003E71AC" w:rsidRPr="00EB53B0" w:rsidRDefault="003E71AC" w:rsidP="00E22083">
      <w:pPr>
        <w:pStyle w:val="Figure"/>
        <w:rPr>
          <w:lang w:eastAsia="es-ES_tradnl"/>
        </w:rPr>
      </w:pPr>
      <w:r w:rsidRPr="00EB53B0">
        <w:rPr>
          <w:lang w:eastAsia="es-ES_tradnl"/>
        </w:rPr>
        <w:drawing>
          <wp:inline distT="0" distB="0" distL="0" distR="0" wp14:anchorId="631A71EC" wp14:editId="089163D0">
            <wp:extent cx="5029200" cy="2819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9200" cy="2819400"/>
                    </a:xfrm>
                    <a:prstGeom prst="rect">
                      <a:avLst/>
                    </a:prstGeom>
                  </pic:spPr>
                </pic:pic>
              </a:graphicData>
            </a:graphic>
          </wp:inline>
        </w:drawing>
      </w:r>
    </w:p>
    <w:p w14:paraId="48F27841" w14:textId="77777777" w:rsidR="003E71AC" w:rsidRPr="00EB53B0" w:rsidRDefault="003E71AC" w:rsidP="002F5A14">
      <w:pPr>
        <w:pStyle w:val="Figurelegend"/>
      </w:pPr>
      <w:r w:rsidRPr="00EB53B0">
        <w:rPr>
          <w:b/>
          <w:bCs/>
        </w:rPr>
        <w:t>Leyenda</w:t>
      </w:r>
      <w:r w:rsidRPr="00EB53B0">
        <w:t xml:space="preserve"> – vertical: Función de distribución (en %)  //  horizontal: Ángulo de elevación (en grados)</w:t>
      </w:r>
    </w:p>
    <w:p w14:paraId="18FC1EAC" w14:textId="77777777" w:rsidR="003E71AC" w:rsidRPr="00EB53B0" w:rsidRDefault="003E71AC" w:rsidP="00287BD4">
      <w:pPr>
        <w:keepNext/>
        <w:keepLines/>
        <w:rPr>
          <w:szCs w:val="24"/>
        </w:rPr>
      </w:pPr>
      <w:r w:rsidRPr="00EB53B0">
        <w:rPr>
          <w:szCs w:val="24"/>
        </w:rPr>
        <w:t>De lo anterior se desprende que:</w:t>
      </w:r>
    </w:p>
    <w:p w14:paraId="1B3163C9" w14:textId="0F00AC31" w:rsidR="003E71AC" w:rsidRPr="00EB53B0" w:rsidRDefault="00287BD4" w:rsidP="00287BD4">
      <w:pPr>
        <w:pStyle w:val="enumlev1"/>
      </w:pPr>
      <w:r w:rsidRPr="00EB53B0">
        <w:t>•</w:t>
      </w:r>
      <w:r w:rsidR="003E71AC" w:rsidRPr="00EB53B0">
        <w:tab/>
        <w:t xml:space="preserve">El número de estaciones base </w:t>
      </w:r>
      <w:r w:rsidR="003B4944" w:rsidRPr="00EB53B0">
        <w:t xml:space="preserve">notificadas </w:t>
      </w:r>
      <w:r w:rsidR="003E71AC" w:rsidRPr="00EB53B0">
        <w:t xml:space="preserve">con p.i.r.e. </w:t>
      </w:r>
      <w:r w:rsidR="003B4944" w:rsidRPr="00EB53B0">
        <w:t xml:space="preserve">máxima </w:t>
      </w:r>
      <w:r w:rsidR="003E71AC" w:rsidRPr="00EB53B0">
        <w:t xml:space="preserve">de 48 </w:t>
      </w:r>
      <w:bookmarkStart w:id="8" w:name="_Hlk21006740"/>
      <w:r w:rsidR="003E71AC" w:rsidRPr="00EB53B0">
        <w:t xml:space="preserve">dBm/200 MHz </w:t>
      </w:r>
      <w:bookmarkEnd w:id="8"/>
      <w:r w:rsidR="003E71AC" w:rsidRPr="00EB53B0">
        <w:t xml:space="preserve">es inferior al 10% del número total, y está previsto que al menos el 50% de las estaciones base se utilicen con una p.i.r.e. </w:t>
      </w:r>
      <w:r w:rsidR="003B4944" w:rsidRPr="00EB53B0">
        <w:t xml:space="preserve">máxima </w:t>
      </w:r>
      <w:r w:rsidR="003E71AC" w:rsidRPr="00EB53B0">
        <w:t>mayor de 67 dBm/200 MHz; en algunos casos, este valor puede llegar a 80 dBm/200 MHz.</w:t>
      </w:r>
    </w:p>
    <w:p w14:paraId="50CDCB71" w14:textId="3B574212" w:rsidR="003E71AC" w:rsidRPr="00EB53B0" w:rsidRDefault="00287BD4" w:rsidP="00E22083">
      <w:pPr>
        <w:pStyle w:val="enumlev1"/>
        <w:keepNext/>
        <w:keepLines/>
      </w:pPr>
      <w:r w:rsidRPr="00EB53B0">
        <w:lastRenderedPageBreak/>
        <w:t>•</w:t>
      </w:r>
      <w:r w:rsidR="003E71AC" w:rsidRPr="00EB53B0">
        <w:tab/>
        <w:t xml:space="preserve">La altura de </w:t>
      </w:r>
      <w:r w:rsidR="003B4944" w:rsidRPr="00EB53B0">
        <w:t xml:space="preserve">antena notificada de la </w:t>
      </w:r>
      <w:r w:rsidR="003E71AC" w:rsidRPr="00EB53B0">
        <w:t>estación base es mayor que 25 m en más del 50% de los casos, por lo que el modelo de atenuación de obstáculos (Recomendación UIT-R P.2109) no resulta adecuado. Al excluir la atenuación de obstáculos de los estudios de compatibilidad en curso se podría provocar un aumento importante del nivel de interferencia causado en el hemisferio norte a las estaciones espaciales receptoras de los servicios de satélite existentes.</w:t>
      </w:r>
    </w:p>
    <w:p w14:paraId="02029B73" w14:textId="77777777" w:rsidR="003E71AC" w:rsidRPr="00EB53B0" w:rsidRDefault="003E71AC" w:rsidP="00287BD4">
      <w:pPr>
        <w:pStyle w:val="Heading1"/>
      </w:pPr>
      <w:r w:rsidRPr="00EB53B0">
        <w:t>2</w:t>
      </w:r>
      <w:r w:rsidRPr="00EB53B0">
        <w:tab/>
        <w:t>Resultados de las pruebas prácticas de las estaciones IMT-2020</w:t>
      </w:r>
    </w:p>
    <w:p w14:paraId="391245BF" w14:textId="4D3EAA78" w:rsidR="003E71AC" w:rsidRPr="00EB53B0" w:rsidRDefault="003E71AC" w:rsidP="00287BD4">
      <w:r w:rsidRPr="00EB53B0">
        <w:t xml:space="preserve">Las pruebas prácticas se realizaron en una cámara anecoica utilizando una estación base 5G NR </w:t>
      </w:r>
      <w:r w:rsidR="003B4944" w:rsidRPr="00EB53B0">
        <w:t xml:space="preserve">dedicada </w:t>
      </w:r>
      <w:r w:rsidRPr="00EB53B0">
        <w:t>con las características que se indican en el cuadro siguiente:</w:t>
      </w:r>
    </w:p>
    <w:p w14:paraId="0D0A885C" w14:textId="77777777" w:rsidR="003E71AC" w:rsidRPr="00EB53B0" w:rsidRDefault="003E71AC" w:rsidP="00287BD4">
      <w:pPr>
        <w:pStyle w:val="TableNo"/>
      </w:pPr>
      <w:r w:rsidRPr="00EB53B0">
        <w:t>CUADRO 1</w:t>
      </w:r>
    </w:p>
    <w:p w14:paraId="681DDEFA" w14:textId="77777777" w:rsidR="003E71AC" w:rsidRPr="00EB53B0" w:rsidRDefault="003E71AC" w:rsidP="00287BD4">
      <w:pPr>
        <w:pStyle w:val="Tabletitle"/>
      </w:pPr>
      <w:r w:rsidRPr="00EB53B0">
        <w:t>Características principales de la estación base en la que se realizaron las mediciones</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2801"/>
      </w:tblGrid>
      <w:tr w:rsidR="003E71AC" w:rsidRPr="00EB53B0" w14:paraId="269BA413" w14:textId="77777777" w:rsidTr="00536FAA">
        <w:tc>
          <w:tcPr>
            <w:tcW w:w="7054" w:type="dxa"/>
          </w:tcPr>
          <w:p w14:paraId="5D000771" w14:textId="77777777" w:rsidR="003E71AC" w:rsidRPr="00EB53B0" w:rsidRDefault="003E71AC" w:rsidP="00287BD4">
            <w:pPr>
              <w:pStyle w:val="Tabletext"/>
            </w:pPr>
            <w:r w:rsidRPr="00EB53B0">
              <w:t>Gama de frecuencias de funcionamiento (GHz)</w:t>
            </w:r>
          </w:p>
        </w:tc>
        <w:tc>
          <w:tcPr>
            <w:tcW w:w="2801" w:type="dxa"/>
          </w:tcPr>
          <w:p w14:paraId="652A6618" w14:textId="77777777" w:rsidR="003E71AC" w:rsidRPr="00EB53B0" w:rsidRDefault="003E71AC" w:rsidP="00287BD4">
            <w:pPr>
              <w:pStyle w:val="Tabletext"/>
            </w:pPr>
            <w:r w:rsidRPr="00EB53B0">
              <w:t>26,5-29,5 GHz</w:t>
            </w:r>
          </w:p>
        </w:tc>
      </w:tr>
      <w:tr w:rsidR="003E71AC" w:rsidRPr="00EB53B0" w14:paraId="58CFF681" w14:textId="77777777" w:rsidTr="00536FAA">
        <w:tc>
          <w:tcPr>
            <w:tcW w:w="7054" w:type="dxa"/>
          </w:tcPr>
          <w:p w14:paraId="3BF24252" w14:textId="77777777" w:rsidR="003E71AC" w:rsidRPr="00EB53B0" w:rsidRDefault="003E71AC" w:rsidP="00287BD4">
            <w:pPr>
              <w:pStyle w:val="Tabletext"/>
            </w:pPr>
            <w:r w:rsidRPr="00EB53B0">
              <w:t>Configuración del sistema de antenas</w:t>
            </w:r>
          </w:p>
        </w:tc>
        <w:tc>
          <w:tcPr>
            <w:tcW w:w="2801" w:type="dxa"/>
          </w:tcPr>
          <w:p w14:paraId="57E72053" w14:textId="77777777" w:rsidR="003E71AC" w:rsidRPr="00EB53B0" w:rsidRDefault="003E71AC" w:rsidP="00287BD4">
            <w:pPr>
              <w:pStyle w:val="Tabletext"/>
            </w:pPr>
            <w:r w:rsidRPr="00EB53B0">
              <w:t>16 × 12, 4 sistemas</w:t>
            </w:r>
          </w:p>
        </w:tc>
      </w:tr>
      <w:tr w:rsidR="003E71AC" w:rsidRPr="00EB53B0" w14:paraId="6C2D8F6C" w14:textId="77777777" w:rsidTr="00536FAA">
        <w:tc>
          <w:tcPr>
            <w:tcW w:w="7054" w:type="dxa"/>
          </w:tcPr>
          <w:p w14:paraId="3D309159" w14:textId="77777777" w:rsidR="003E71AC" w:rsidRPr="00EB53B0" w:rsidRDefault="003E71AC" w:rsidP="00287BD4">
            <w:pPr>
              <w:pStyle w:val="Tabletext"/>
            </w:pPr>
            <w:r w:rsidRPr="00EB53B0">
              <w:t>Ganancia máxima de antena comunicada (dBi)</w:t>
            </w:r>
          </w:p>
        </w:tc>
        <w:tc>
          <w:tcPr>
            <w:tcW w:w="2801" w:type="dxa"/>
          </w:tcPr>
          <w:p w14:paraId="0B44DF0C" w14:textId="77777777" w:rsidR="003E71AC" w:rsidRPr="00EB53B0" w:rsidRDefault="003E71AC" w:rsidP="00287BD4">
            <w:pPr>
              <w:pStyle w:val="Tabletext"/>
            </w:pPr>
            <w:r w:rsidRPr="00EB53B0">
              <w:t>32,5</w:t>
            </w:r>
          </w:p>
        </w:tc>
      </w:tr>
      <w:tr w:rsidR="003E71AC" w:rsidRPr="00EB53B0" w14:paraId="09C45B97" w14:textId="77777777" w:rsidTr="00536FAA">
        <w:tc>
          <w:tcPr>
            <w:tcW w:w="7054" w:type="dxa"/>
          </w:tcPr>
          <w:p w14:paraId="2AE407B0" w14:textId="77777777" w:rsidR="003E71AC" w:rsidRPr="00EB53B0" w:rsidRDefault="003E71AC" w:rsidP="00287BD4">
            <w:pPr>
              <w:pStyle w:val="Tabletext"/>
            </w:pPr>
            <w:r w:rsidRPr="00EB53B0">
              <w:t>Frecuencia de funcionamiento (GHz)</w:t>
            </w:r>
          </w:p>
        </w:tc>
        <w:tc>
          <w:tcPr>
            <w:tcW w:w="2801" w:type="dxa"/>
          </w:tcPr>
          <w:p w14:paraId="0907C2AF" w14:textId="77777777" w:rsidR="003E71AC" w:rsidRPr="00EB53B0" w:rsidRDefault="003E71AC" w:rsidP="00287BD4">
            <w:pPr>
              <w:pStyle w:val="Tabletext"/>
            </w:pPr>
            <w:r w:rsidRPr="00EB53B0">
              <w:t>26,9 GHz</w:t>
            </w:r>
          </w:p>
        </w:tc>
      </w:tr>
      <w:tr w:rsidR="003E71AC" w:rsidRPr="00EB53B0" w14:paraId="0AA077D6" w14:textId="77777777" w:rsidTr="00536FAA">
        <w:tc>
          <w:tcPr>
            <w:tcW w:w="7054" w:type="dxa"/>
          </w:tcPr>
          <w:p w14:paraId="4CFA632E" w14:textId="77777777" w:rsidR="003E71AC" w:rsidRPr="00EB53B0" w:rsidRDefault="003E71AC" w:rsidP="00287BD4">
            <w:pPr>
              <w:pStyle w:val="Tabletext"/>
            </w:pPr>
            <w:r w:rsidRPr="00EB53B0">
              <w:t>Ancho de banda de emisión</w:t>
            </w:r>
          </w:p>
        </w:tc>
        <w:tc>
          <w:tcPr>
            <w:tcW w:w="2801" w:type="dxa"/>
          </w:tcPr>
          <w:p w14:paraId="3CBBC5CF" w14:textId="77777777" w:rsidR="003E71AC" w:rsidRPr="00EB53B0" w:rsidRDefault="003E71AC" w:rsidP="00287BD4">
            <w:pPr>
              <w:pStyle w:val="Tabletext"/>
            </w:pPr>
            <w:r w:rsidRPr="00EB53B0">
              <w:t>200 MHz</w:t>
            </w:r>
          </w:p>
        </w:tc>
      </w:tr>
      <w:tr w:rsidR="003E71AC" w:rsidRPr="00EB53B0" w14:paraId="0A15D0E3" w14:textId="77777777" w:rsidTr="00536FAA">
        <w:tc>
          <w:tcPr>
            <w:tcW w:w="7054" w:type="dxa"/>
          </w:tcPr>
          <w:p w14:paraId="4921F3DB" w14:textId="77777777" w:rsidR="003E71AC" w:rsidRPr="00EB53B0" w:rsidRDefault="003E71AC" w:rsidP="00287BD4">
            <w:pPr>
              <w:pStyle w:val="Tabletext"/>
            </w:pPr>
            <w:r w:rsidRPr="00EB53B0">
              <w:t>Alcance operativo de los ángulos de exploración en el plano horizontal</w:t>
            </w:r>
          </w:p>
        </w:tc>
        <w:tc>
          <w:tcPr>
            <w:tcW w:w="2801" w:type="dxa"/>
          </w:tcPr>
          <w:p w14:paraId="3694EB5B" w14:textId="77777777" w:rsidR="003E71AC" w:rsidRPr="00EB53B0" w:rsidRDefault="003E71AC" w:rsidP="00287BD4">
            <w:pPr>
              <w:pStyle w:val="Tabletext"/>
            </w:pPr>
            <w:r w:rsidRPr="00EB53B0">
              <w:t>±60 grados</w:t>
            </w:r>
          </w:p>
        </w:tc>
      </w:tr>
      <w:tr w:rsidR="003E71AC" w:rsidRPr="00EB53B0" w14:paraId="3E26294A" w14:textId="77777777" w:rsidTr="00536FAA">
        <w:tc>
          <w:tcPr>
            <w:tcW w:w="7054" w:type="dxa"/>
          </w:tcPr>
          <w:p w14:paraId="01FB4B3E" w14:textId="77777777" w:rsidR="003E71AC" w:rsidRPr="00EB53B0" w:rsidRDefault="003E71AC" w:rsidP="00287BD4">
            <w:pPr>
              <w:pStyle w:val="Tabletext"/>
            </w:pPr>
            <w:r w:rsidRPr="00EB53B0">
              <w:t>Alcance operativo de los ángulos de exploración en el plano vertical</w:t>
            </w:r>
          </w:p>
        </w:tc>
        <w:tc>
          <w:tcPr>
            <w:tcW w:w="2801" w:type="dxa"/>
          </w:tcPr>
          <w:p w14:paraId="20823489" w14:textId="77777777" w:rsidR="003E71AC" w:rsidRPr="00EB53B0" w:rsidRDefault="003E71AC" w:rsidP="00287BD4">
            <w:pPr>
              <w:pStyle w:val="Tabletext"/>
            </w:pPr>
            <w:r w:rsidRPr="00EB53B0">
              <w:t>±15 grados</w:t>
            </w:r>
          </w:p>
        </w:tc>
      </w:tr>
    </w:tbl>
    <w:p w14:paraId="590ACB3B" w14:textId="77777777" w:rsidR="003E71AC" w:rsidRPr="00EB53B0" w:rsidRDefault="003E71AC" w:rsidP="00287BD4">
      <w:pPr>
        <w:spacing w:before="0"/>
        <w:jc w:val="both"/>
        <w:rPr>
          <w:szCs w:val="24"/>
        </w:rPr>
      </w:pPr>
    </w:p>
    <w:p w14:paraId="0E237DFD" w14:textId="77777777" w:rsidR="003E71AC" w:rsidRPr="00EB53B0" w:rsidRDefault="003E71AC" w:rsidP="00287BD4">
      <w:r w:rsidRPr="00EB53B0">
        <w:t>Propósito de las mediciones:</w:t>
      </w:r>
    </w:p>
    <w:p w14:paraId="02A50770" w14:textId="4D9AB7F5" w:rsidR="003E71AC" w:rsidRPr="00EB53B0" w:rsidRDefault="00287BD4" w:rsidP="00287BD4">
      <w:pPr>
        <w:pStyle w:val="enumlev1"/>
      </w:pPr>
      <w:r w:rsidRPr="00EB53B0">
        <w:t>•</w:t>
      </w:r>
      <w:r w:rsidR="003E71AC" w:rsidRPr="00EB53B0">
        <w:tab/>
        <w:t>Establecer el nivel máximo de la p.i.r.e. de la estación base en 200 MHz.</w:t>
      </w:r>
    </w:p>
    <w:p w14:paraId="101B13D4" w14:textId="0EBD08D6" w:rsidR="003E71AC" w:rsidRPr="00EB53B0" w:rsidRDefault="00287BD4" w:rsidP="00287BD4">
      <w:pPr>
        <w:tabs>
          <w:tab w:val="clear" w:pos="2268"/>
          <w:tab w:val="left" w:pos="2608"/>
          <w:tab w:val="left" w:pos="3345"/>
        </w:tabs>
        <w:spacing w:before="80"/>
        <w:ind w:left="1134" w:hanging="1134"/>
      </w:pPr>
      <w:r w:rsidRPr="00EB53B0">
        <w:t>•</w:t>
      </w:r>
      <w:r w:rsidR="003E71AC" w:rsidRPr="00EB53B0">
        <w:tab/>
        <w:t>Definir los niveles de emisiones no deseadas en la banda 23,6-24 GHz.</w:t>
      </w:r>
    </w:p>
    <w:p w14:paraId="79D47213" w14:textId="22028B7A" w:rsidR="003E71AC" w:rsidRPr="00EB53B0" w:rsidRDefault="00287BD4" w:rsidP="00287BD4">
      <w:pPr>
        <w:tabs>
          <w:tab w:val="clear" w:pos="2268"/>
          <w:tab w:val="left" w:pos="2608"/>
          <w:tab w:val="left" w:pos="3345"/>
        </w:tabs>
        <w:spacing w:before="80"/>
        <w:ind w:left="1134" w:hanging="1134"/>
      </w:pPr>
      <w:r w:rsidRPr="00EB53B0">
        <w:t>•</w:t>
      </w:r>
      <w:r w:rsidR="003E71AC" w:rsidRPr="00EB53B0">
        <w:tab/>
        <w:t>Determinar las ganancias del diagrama de radiación de las antenas de la estación base en diferentes direcciones, de acuerdo con el posicionamiento de los haces principales de la estación base.</w:t>
      </w:r>
    </w:p>
    <w:p w14:paraId="66292D60" w14:textId="77777777" w:rsidR="003E71AC" w:rsidRPr="00EB53B0" w:rsidRDefault="003E71AC" w:rsidP="00287BD4">
      <w:r w:rsidRPr="00EB53B0">
        <w:t>Los resultados de estas mediciones se presentan más abajo.</w:t>
      </w:r>
    </w:p>
    <w:p w14:paraId="54BE9A0F" w14:textId="6FCCC767" w:rsidR="003E71AC" w:rsidRPr="00EB53B0" w:rsidRDefault="003E71AC" w:rsidP="00287BD4">
      <w:r w:rsidRPr="00EB53B0">
        <w:t xml:space="preserve">La estación base </w:t>
      </w:r>
      <w:r w:rsidR="003B4944" w:rsidRPr="00EB53B0">
        <w:t xml:space="preserve">dedicada </w:t>
      </w:r>
      <w:r w:rsidRPr="00EB53B0">
        <w:t>que se utilizó para los estudios funcionaba en modalidad de formación de diagrama de antena de haces múltiples (formación de cuatro haces como máximo en una misma banda de frecuencias, donde la p.i.r.e. de cada haz no es mayor que 60,5 dBm/200 MHz).</w:t>
      </w:r>
    </w:p>
    <w:p w14:paraId="2F2917A7" w14:textId="77777777" w:rsidR="003E71AC" w:rsidRPr="00EB53B0" w:rsidRDefault="003E71AC" w:rsidP="00287BD4">
      <w:r w:rsidRPr="00EB53B0">
        <w:t>En las Figs. 2.1 y 2.2 se muestra, respectivamente, el espectro de la señal y el nivel relativo de emisiones no deseadas de uno de los haces de la estación base para un valor máximo de p.i.r.e. de 60,5 dBm.</w:t>
      </w:r>
    </w:p>
    <w:p w14:paraId="567D3237" w14:textId="77777777" w:rsidR="003E71AC" w:rsidRPr="00EB53B0" w:rsidRDefault="003E71AC" w:rsidP="00287BD4">
      <w:pPr>
        <w:pStyle w:val="FigureNo"/>
        <w:rPr>
          <w:lang w:eastAsia="en-GB"/>
        </w:rPr>
      </w:pPr>
      <w:r w:rsidRPr="00EB53B0">
        <w:rPr>
          <w:lang w:eastAsia="en-GB"/>
        </w:rPr>
        <w:lastRenderedPageBreak/>
        <w:t>FigurA 2.1</w:t>
      </w:r>
    </w:p>
    <w:p w14:paraId="1BFC4BF0" w14:textId="77777777" w:rsidR="003E71AC" w:rsidRPr="00EB53B0" w:rsidRDefault="003E71AC" w:rsidP="00131DF6">
      <w:pPr>
        <w:pStyle w:val="Figuretitle"/>
        <w:keepNext/>
        <w:keepLines/>
        <w:spacing w:after="240"/>
        <w:jc w:val="center"/>
        <w:rPr>
          <w:b/>
          <w:bCs/>
          <w:sz w:val="20"/>
        </w:rPr>
      </w:pPr>
      <w:r w:rsidRPr="00EB53B0">
        <w:rPr>
          <w:b/>
          <w:bCs/>
          <w:sz w:val="20"/>
        </w:rPr>
        <w:t>Espectro de la señal en el haz de la estación base</w:t>
      </w:r>
    </w:p>
    <w:p w14:paraId="38F9F581" w14:textId="77777777" w:rsidR="003E71AC" w:rsidRPr="00EB53B0" w:rsidRDefault="003E71AC" w:rsidP="00131DF6">
      <w:pPr>
        <w:pStyle w:val="Figure"/>
        <w:rPr>
          <w:lang w:eastAsia="en-GB"/>
        </w:rPr>
      </w:pPr>
      <w:r w:rsidRPr="00EB53B0">
        <w:rPr>
          <w:lang w:eastAsia="es-ES_tradnl"/>
        </w:rPr>
        <w:drawing>
          <wp:inline distT="0" distB="0" distL="0" distR="0" wp14:anchorId="4CAEDB22" wp14:editId="6B198682">
            <wp:extent cx="3328670" cy="263398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8670" cy="2633980"/>
                    </a:xfrm>
                    <a:prstGeom prst="rect">
                      <a:avLst/>
                    </a:prstGeom>
                    <a:noFill/>
                  </pic:spPr>
                </pic:pic>
              </a:graphicData>
            </a:graphic>
          </wp:inline>
        </w:drawing>
      </w:r>
    </w:p>
    <w:p w14:paraId="684C1BFE" w14:textId="77777777" w:rsidR="003E71AC" w:rsidRPr="00EB53B0" w:rsidRDefault="003E71AC" w:rsidP="00CD0AC1">
      <w:pPr>
        <w:pStyle w:val="Figurelegend"/>
      </w:pPr>
      <w:r w:rsidRPr="00EB53B0">
        <w:rPr>
          <w:b/>
          <w:bCs/>
        </w:rPr>
        <w:t>Leyenda</w:t>
      </w:r>
      <w:r w:rsidRPr="00EB53B0">
        <w:t xml:space="preserve"> – vertical: Nivel (en dB(mW</w:t>
      </w:r>
      <w:bookmarkStart w:id="9" w:name="_GoBack"/>
      <w:bookmarkEnd w:id="9"/>
      <w:r w:rsidRPr="00EB53B0">
        <w:t>)) // horizontal: Frecuencia (en GHz)</w:t>
      </w:r>
    </w:p>
    <w:p w14:paraId="4ADAE013" w14:textId="77777777" w:rsidR="003E71AC" w:rsidRPr="00EB53B0" w:rsidRDefault="003E71AC" w:rsidP="00287BD4">
      <w:pPr>
        <w:pStyle w:val="FigureNo"/>
      </w:pPr>
      <w:r w:rsidRPr="00EB53B0">
        <w:t>FigurA 2.2</w:t>
      </w:r>
    </w:p>
    <w:p w14:paraId="49D31BF5" w14:textId="77777777" w:rsidR="003E71AC" w:rsidRPr="00EB53B0" w:rsidRDefault="003E71AC" w:rsidP="00131DF6">
      <w:pPr>
        <w:pStyle w:val="Figuretitle"/>
        <w:keepNext/>
        <w:keepLines/>
        <w:spacing w:after="240"/>
        <w:jc w:val="center"/>
        <w:rPr>
          <w:b/>
          <w:bCs/>
          <w:sz w:val="20"/>
        </w:rPr>
      </w:pPr>
      <w:r w:rsidRPr="00EB53B0">
        <w:rPr>
          <w:b/>
          <w:bCs/>
          <w:sz w:val="20"/>
        </w:rPr>
        <w:t>Niveles relativos de las emisiones no deseadas procedentes de un haz</w:t>
      </w:r>
      <w:r w:rsidRPr="00EB53B0">
        <w:rPr>
          <w:b/>
          <w:bCs/>
          <w:sz w:val="20"/>
        </w:rPr>
        <w:br/>
        <w:t>de la estación base en la gama de frecuencias 1-40 GHz</w:t>
      </w:r>
    </w:p>
    <w:p w14:paraId="42E464CA" w14:textId="77777777" w:rsidR="003E71AC" w:rsidRPr="00EB53B0" w:rsidRDefault="003E71AC" w:rsidP="00131DF6">
      <w:pPr>
        <w:pStyle w:val="Figure"/>
        <w:rPr>
          <w:lang w:eastAsia="es-ES_tradnl"/>
        </w:rPr>
      </w:pPr>
      <w:r w:rsidRPr="00EB53B0">
        <w:rPr>
          <w:lang w:eastAsia="es-ES_tradnl"/>
        </w:rPr>
        <w:drawing>
          <wp:inline distT="0" distB="0" distL="0" distR="0" wp14:anchorId="4D4A1D4A" wp14:editId="2F5287A9">
            <wp:extent cx="4050053" cy="3040795"/>
            <wp:effectExtent l="0" t="0" r="0" b="0"/>
            <wp:docPr id="117" name="image16.png" descr="C:\Users\user\Desktop\Протоколы\Huawei 5G\Внеполосные\Отнормированная ДН 26900.jpg"/>
            <wp:cNvGraphicFramePr/>
            <a:graphic xmlns:a="http://schemas.openxmlformats.org/drawingml/2006/main">
              <a:graphicData uri="http://schemas.openxmlformats.org/drawingml/2006/picture">
                <pic:pic xmlns:pic="http://schemas.openxmlformats.org/drawingml/2006/picture">
                  <pic:nvPicPr>
                    <pic:cNvPr id="0" name="image16.png" descr="C:\Users\user\Desktop\Протоколы\Huawei 5G\Внеполосные\Отнормированная ДН 26900.jpg"/>
                    <pic:cNvPicPr preferRelativeResize="0"/>
                  </pic:nvPicPr>
                  <pic:blipFill>
                    <a:blip r:embed="rId17"/>
                    <a:srcRect/>
                    <a:stretch>
                      <a:fillRect/>
                    </a:stretch>
                  </pic:blipFill>
                  <pic:spPr>
                    <a:xfrm>
                      <a:off x="0" y="0"/>
                      <a:ext cx="4050053" cy="3040795"/>
                    </a:xfrm>
                    <a:prstGeom prst="rect">
                      <a:avLst/>
                    </a:prstGeom>
                    <a:ln/>
                  </pic:spPr>
                </pic:pic>
              </a:graphicData>
            </a:graphic>
          </wp:inline>
        </w:drawing>
      </w:r>
    </w:p>
    <w:p w14:paraId="4EFB6A9B" w14:textId="77777777" w:rsidR="003E71AC" w:rsidRPr="00EB53B0" w:rsidRDefault="003E71AC" w:rsidP="00131DF6">
      <w:pPr>
        <w:pStyle w:val="Figurelegend"/>
      </w:pPr>
      <w:r w:rsidRPr="00EB53B0">
        <w:rPr>
          <w:b/>
          <w:bCs/>
        </w:rPr>
        <w:t>Leyenda</w:t>
      </w:r>
      <w:r w:rsidRPr="00EB53B0">
        <w:t xml:space="preserve"> – vertical: Nivel relativo (en dB) // horizontal: Frecuencia (en GHz)</w:t>
      </w:r>
    </w:p>
    <w:p w14:paraId="1E359241" w14:textId="77777777" w:rsidR="003E71AC" w:rsidRPr="00EB53B0" w:rsidRDefault="003E71AC" w:rsidP="00287BD4">
      <w:r w:rsidRPr="00EB53B0">
        <w:t>En consecuencia, el nivel relativo de las emisiones no deseadas en la banda 23,6-24,0 GHz no supera el valor–53(±2) dB. Con un límite de 31 dBm para el punto de referencia para la transmisión de la estación base, esto se corresponde con un nivel límite de emisiones no deseadas de</w:t>
      </w:r>
      <w:r w:rsidRPr="00EB53B0">
        <w:br/>
        <w:t>–52 dB(W/200 MHz) (±2) dB.</w:t>
      </w:r>
    </w:p>
    <w:p w14:paraId="08388835" w14:textId="77777777" w:rsidR="003E71AC" w:rsidRPr="00EB53B0" w:rsidRDefault="003E71AC" w:rsidP="00287BD4">
      <w:r w:rsidRPr="00EB53B0">
        <w:t>En las Figs. 2.3 a 2.5 siguientes se muestran los resultados de las mediciones del diagrama de radiación de la antena de haces múltiples en un sistema de coordenadas cartesianas con una orientación del lóbulo próxima al valor normal en relación con el plano de la antena de cortina.</w:t>
      </w:r>
    </w:p>
    <w:p w14:paraId="7BCDFC64" w14:textId="77777777" w:rsidR="003E71AC" w:rsidRPr="00EB53B0" w:rsidRDefault="003E71AC" w:rsidP="00287BD4">
      <w:pPr>
        <w:pStyle w:val="FigureNo"/>
      </w:pPr>
      <w:r w:rsidRPr="00EB53B0">
        <w:lastRenderedPageBreak/>
        <w:t>FigurA 2.3</w:t>
      </w:r>
    </w:p>
    <w:p w14:paraId="28588FCD" w14:textId="77777777" w:rsidR="003E71AC" w:rsidRPr="00EB53B0" w:rsidRDefault="003E71AC" w:rsidP="002F5A14">
      <w:pPr>
        <w:pStyle w:val="Figuretitle"/>
        <w:keepNext/>
        <w:keepLines/>
        <w:spacing w:after="240"/>
        <w:jc w:val="center"/>
        <w:rPr>
          <w:b/>
          <w:bCs/>
          <w:sz w:val="20"/>
        </w:rPr>
      </w:pPr>
      <w:r w:rsidRPr="00EB53B0">
        <w:rPr>
          <w:b/>
          <w:bCs/>
          <w:sz w:val="20"/>
        </w:rPr>
        <w:t>Diagrama de radiación en un sistema de coordenadas cartesianas (RAKURS 1)</w:t>
      </w:r>
    </w:p>
    <w:p w14:paraId="68916E88" w14:textId="77777777" w:rsidR="003E71AC" w:rsidRPr="00EB53B0" w:rsidRDefault="003E71AC" w:rsidP="002F5A14">
      <w:pPr>
        <w:pStyle w:val="Figure"/>
      </w:pPr>
      <w:r w:rsidRPr="00EB53B0">
        <w:rPr>
          <w:lang w:eastAsia="es-ES_tradnl"/>
        </w:rPr>
        <w:drawing>
          <wp:inline distT="0" distB="0" distL="0" distR="0" wp14:anchorId="0C2B27D4" wp14:editId="6EA3A3CA">
            <wp:extent cx="5280378" cy="3249463"/>
            <wp:effectExtent l="0" t="0" r="0" b="0"/>
            <wp:docPr id="1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280378" cy="3249463"/>
                    </a:xfrm>
                    <a:prstGeom prst="rect">
                      <a:avLst/>
                    </a:prstGeom>
                    <a:ln/>
                  </pic:spPr>
                </pic:pic>
              </a:graphicData>
            </a:graphic>
          </wp:inline>
        </w:drawing>
      </w:r>
    </w:p>
    <w:p w14:paraId="2E4A470D" w14:textId="77777777" w:rsidR="003E71AC" w:rsidRPr="00EB53B0" w:rsidRDefault="003E71AC" w:rsidP="002F5A14">
      <w:pPr>
        <w:pStyle w:val="Figurelegend"/>
      </w:pPr>
      <w:r w:rsidRPr="00EB53B0">
        <w:rPr>
          <w:b/>
          <w:bCs/>
        </w:rPr>
        <w:t>Leyenda</w:t>
      </w:r>
      <w:r w:rsidRPr="00EB53B0">
        <w:t xml:space="preserve"> – izquierda: Ángulo de elevación (en grados) / abajo: Acimut (en grados) / derecha: Nivel (en dB)</w:t>
      </w:r>
    </w:p>
    <w:p w14:paraId="729489EC" w14:textId="77777777" w:rsidR="003E71AC" w:rsidRPr="00EB53B0" w:rsidRDefault="003E71AC" w:rsidP="00287BD4">
      <w:pPr>
        <w:pStyle w:val="FigureNo"/>
      </w:pPr>
      <w:r w:rsidRPr="00EB53B0">
        <w:t>figurA 2.4</w:t>
      </w:r>
    </w:p>
    <w:p w14:paraId="477C1886" w14:textId="77777777" w:rsidR="003E71AC" w:rsidRPr="00EB53B0" w:rsidRDefault="003E71AC" w:rsidP="002F5A14">
      <w:pPr>
        <w:pStyle w:val="Figuretitle"/>
        <w:keepNext/>
        <w:keepLines/>
        <w:spacing w:after="240"/>
        <w:jc w:val="center"/>
        <w:rPr>
          <w:b/>
          <w:bCs/>
          <w:sz w:val="20"/>
        </w:rPr>
      </w:pPr>
      <w:r w:rsidRPr="00EB53B0">
        <w:rPr>
          <w:b/>
          <w:bCs/>
          <w:sz w:val="20"/>
        </w:rPr>
        <w:t>Diagrama de radiación en un sistema de coordenadas cartesianas (RAKURS 2)</w:t>
      </w:r>
    </w:p>
    <w:p w14:paraId="7EC594D5" w14:textId="77777777" w:rsidR="003E71AC" w:rsidRPr="00EB53B0" w:rsidRDefault="003E71AC" w:rsidP="002F5A14">
      <w:pPr>
        <w:pStyle w:val="Figure"/>
        <w:rPr>
          <w:lang w:eastAsia="es-ES_tradnl"/>
        </w:rPr>
      </w:pPr>
      <w:r w:rsidRPr="00EB53B0">
        <w:rPr>
          <w:lang w:eastAsia="es-ES_tradnl"/>
        </w:rPr>
        <w:drawing>
          <wp:inline distT="0" distB="0" distL="0" distR="0" wp14:anchorId="16CF69EE" wp14:editId="2E1F9884">
            <wp:extent cx="5305764" cy="3723343"/>
            <wp:effectExtent l="0" t="0" r="0" b="0"/>
            <wp:docPr id="1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305764" cy="3723343"/>
                    </a:xfrm>
                    <a:prstGeom prst="rect">
                      <a:avLst/>
                    </a:prstGeom>
                    <a:ln/>
                  </pic:spPr>
                </pic:pic>
              </a:graphicData>
            </a:graphic>
          </wp:inline>
        </w:drawing>
      </w:r>
    </w:p>
    <w:p w14:paraId="7CEBAC81" w14:textId="77777777" w:rsidR="003E71AC" w:rsidRPr="00EB53B0" w:rsidRDefault="003E71AC" w:rsidP="002F5A14">
      <w:pPr>
        <w:pStyle w:val="Figurelegend"/>
      </w:pPr>
      <w:r w:rsidRPr="00EB53B0">
        <w:rPr>
          <w:b/>
          <w:bCs/>
        </w:rPr>
        <w:t>Leyenda</w:t>
      </w:r>
      <w:r w:rsidRPr="00EB53B0">
        <w:t xml:space="preserve"> – izquierda: Nivel (en dB) / abajo izquierda: Acimut (en grados) / abajo derecha: Ángulo de elevación (en grados) / derecha: Nivel (en dB)</w:t>
      </w:r>
    </w:p>
    <w:p w14:paraId="7845DE40" w14:textId="77777777" w:rsidR="003E71AC" w:rsidRPr="00EB53B0" w:rsidRDefault="003E71AC" w:rsidP="00287BD4">
      <w:pPr>
        <w:pStyle w:val="FigureNo"/>
      </w:pPr>
      <w:r w:rsidRPr="00EB53B0">
        <w:lastRenderedPageBreak/>
        <w:t>FigurA 2.5</w:t>
      </w:r>
    </w:p>
    <w:p w14:paraId="2B6C342A" w14:textId="77777777" w:rsidR="003E71AC" w:rsidRPr="00EB53B0" w:rsidRDefault="003E71AC" w:rsidP="00740944">
      <w:pPr>
        <w:pStyle w:val="Figuretitle"/>
        <w:keepNext/>
        <w:keepLines/>
        <w:spacing w:after="240"/>
        <w:jc w:val="center"/>
        <w:rPr>
          <w:b/>
          <w:bCs/>
          <w:sz w:val="20"/>
        </w:rPr>
      </w:pPr>
      <w:bookmarkStart w:id="10" w:name="_Hlk21073507"/>
      <w:r w:rsidRPr="00EB53B0">
        <w:rPr>
          <w:b/>
          <w:bCs/>
          <w:sz w:val="20"/>
        </w:rPr>
        <w:t xml:space="preserve">Diagrama de radiación en un sistema de coordenadas cartesianas </w:t>
      </w:r>
      <w:bookmarkEnd w:id="10"/>
      <w:r w:rsidRPr="00EB53B0">
        <w:rPr>
          <w:b/>
          <w:bCs/>
          <w:sz w:val="20"/>
        </w:rPr>
        <w:t>(RAKURS 3)</w:t>
      </w:r>
    </w:p>
    <w:p w14:paraId="7119ECEC" w14:textId="77777777" w:rsidR="003E71AC" w:rsidRPr="00EB53B0" w:rsidRDefault="003E71AC" w:rsidP="00740944">
      <w:pPr>
        <w:pStyle w:val="Figure"/>
        <w:rPr>
          <w:lang w:eastAsia="es-ES_tradnl"/>
        </w:rPr>
      </w:pPr>
      <w:r w:rsidRPr="00EB53B0">
        <w:rPr>
          <w:lang w:eastAsia="es-ES_tradnl"/>
        </w:rPr>
        <w:drawing>
          <wp:inline distT="0" distB="0" distL="0" distR="0" wp14:anchorId="0D2ADD9E" wp14:editId="4084ABD3">
            <wp:extent cx="5349960" cy="3704697"/>
            <wp:effectExtent l="0" t="0" r="0" b="0"/>
            <wp:docPr id="1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5349960" cy="3704697"/>
                    </a:xfrm>
                    <a:prstGeom prst="rect">
                      <a:avLst/>
                    </a:prstGeom>
                    <a:ln/>
                  </pic:spPr>
                </pic:pic>
              </a:graphicData>
            </a:graphic>
          </wp:inline>
        </w:drawing>
      </w:r>
    </w:p>
    <w:p w14:paraId="0AA30662" w14:textId="77777777" w:rsidR="003E71AC" w:rsidRPr="00EB53B0" w:rsidRDefault="003E71AC" w:rsidP="00740944">
      <w:pPr>
        <w:pStyle w:val="Figurelegend"/>
      </w:pPr>
      <w:bookmarkStart w:id="11" w:name="_Hlk21073539"/>
      <w:r w:rsidRPr="00EB53B0">
        <w:rPr>
          <w:b/>
          <w:bCs/>
        </w:rPr>
        <w:t>Leyenda</w:t>
      </w:r>
      <w:r w:rsidRPr="00EB53B0">
        <w:t xml:space="preserve"> – izquierda: Nivel (en dB) / abajo: Ángulo de elevación (en grados) / derecha: Nivel (en dB</w:t>
      </w:r>
      <w:bookmarkEnd w:id="11"/>
      <w:r w:rsidRPr="00EB53B0">
        <w:t>)</w:t>
      </w:r>
    </w:p>
    <w:p w14:paraId="2B389FC4" w14:textId="77777777" w:rsidR="003E71AC" w:rsidRPr="00EB53B0" w:rsidRDefault="003E71AC" w:rsidP="00287BD4">
      <w:r w:rsidRPr="00EB53B0">
        <w:t>En las Figs. 2.6 a 2.8 siguientes se muestran los resultados de las mediciones del diagrama de radiación de la antena de haces múltiples en un sistema de coordenadas cartesianas con inclinación máxima de los lóbulos principales con respecto al valor normal en el plano vertical (inclinación electrónica descendente del haz de 15 grados respecto de la vertical, sin inclinación respecto del eje horizontal).</w:t>
      </w:r>
    </w:p>
    <w:p w14:paraId="3655E497" w14:textId="77777777" w:rsidR="003E71AC" w:rsidRPr="00EB53B0" w:rsidRDefault="003E71AC" w:rsidP="00BC4697">
      <w:pPr>
        <w:pStyle w:val="FigureNo"/>
      </w:pPr>
      <w:r w:rsidRPr="00EB53B0">
        <w:lastRenderedPageBreak/>
        <w:t>FigurA 2.6</w:t>
      </w:r>
    </w:p>
    <w:p w14:paraId="182F4C26" w14:textId="77777777" w:rsidR="003E71AC" w:rsidRPr="00EB53B0" w:rsidRDefault="003E71AC" w:rsidP="00277838">
      <w:pPr>
        <w:pStyle w:val="Figuretitle"/>
        <w:keepNext/>
        <w:keepLines/>
        <w:spacing w:after="240"/>
        <w:jc w:val="center"/>
        <w:rPr>
          <w:b/>
          <w:bCs/>
          <w:sz w:val="20"/>
        </w:rPr>
      </w:pPr>
      <w:r w:rsidRPr="00EB53B0">
        <w:rPr>
          <w:b/>
          <w:bCs/>
          <w:sz w:val="20"/>
        </w:rPr>
        <w:t>Diagrama de radiación en un sistema de coordenadas cartesianas (RAKURS 1)</w:t>
      </w:r>
    </w:p>
    <w:p w14:paraId="698918BB" w14:textId="77777777" w:rsidR="003E71AC" w:rsidRPr="00EB53B0" w:rsidRDefault="003E71AC" w:rsidP="00277838">
      <w:pPr>
        <w:pStyle w:val="Figure"/>
        <w:rPr>
          <w:lang w:eastAsia="es-ES_tradnl"/>
        </w:rPr>
      </w:pPr>
      <w:r w:rsidRPr="00EB53B0">
        <w:rPr>
          <w:lang w:eastAsia="es-ES_tradnl"/>
        </w:rPr>
        <w:drawing>
          <wp:inline distT="0" distB="0" distL="0" distR="0" wp14:anchorId="3CC084AF" wp14:editId="40AF0EE8">
            <wp:extent cx="5169009" cy="3438036"/>
            <wp:effectExtent l="0" t="0" r="0" b="0"/>
            <wp:docPr id="1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169009" cy="3438036"/>
                    </a:xfrm>
                    <a:prstGeom prst="rect">
                      <a:avLst/>
                    </a:prstGeom>
                    <a:ln/>
                  </pic:spPr>
                </pic:pic>
              </a:graphicData>
            </a:graphic>
          </wp:inline>
        </w:drawing>
      </w:r>
    </w:p>
    <w:p w14:paraId="4B86B059" w14:textId="77777777" w:rsidR="003E71AC" w:rsidRPr="00EB53B0" w:rsidRDefault="003E71AC" w:rsidP="00277838">
      <w:pPr>
        <w:pStyle w:val="Figurelegend"/>
      </w:pPr>
      <w:r w:rsidRPr="00EB53B0">
        <w:rPr>
          <w:b/>
          <w:bCs/>
        </w:rPr>
        <w:t>Leyenda</w:t>
      </w:r>
      <w:r w:rsidRPr="00EB53B0">
        <w:t xml:space="preserve"> – izquierda: Ángulo de elevación (grados) / abajo: Acimut (en grados) / derecha: Nivel (en dB)</w:t>
      </w:r>
    </w:p>
    <w:p w14:paraId="09282E30" w14:textId="77777777" w:rsidR="003E71AC" w:rsidRPr="00EB53B0" w:rsidRDefault="003E71AC" w:rsidP="00BC4697">
      <w:pPr>
        <w:pStyle w:val="FigureNo"/>
      </w:pPr>
      <w:r w:rsidRPr="00EB53B0">
        <w:t>FigurA 2.7</w:t>
      </w:r>
    </w:p>
    <w:p w14:paraId="65809178" w14:textId="77777777" w:rsidR="003E71AC" w:rsidRPr="00EB53B0" w:rsidRDefault="003E71AC" w:rsidP="00277838">
      <w:pPr>
        <w:pStyle w:val="Figuretitle"/>
        <w:keepNext/>
        <w:keepLines/>
        <w:spacing w:after="240"/>
        <w:jc w:val="center"/>
        <w:rPr>
          <w:b/>
          <w:bCs/>
          <w:sz w:val="20"/>
        </w:rPr>
      </w:pPr>
      <w:r w:rsidRPr="00EB53B0">
        <w:rPr>
          <w:b/>
          <w:bCs/>
          <w:sz w:val="20"/>
        </w:rPr>
        <w:t>Diagrama de radiación en un sistema de coordenadas cartesianas (RAKURS 2)</w:t>
      </w:r>
    </w:p>
    <w:p w14:paraId="1059A4FA" w14:textId="77777777" w:rsidR="003E71AC" w:rsidRPr="00EB53B0" w:rsidRDefault="003E71AC" w:rsidP="00277838">
      <w:pPr>
        <w:pStyle w:val="Figure"/>
        <w:rPr>
          <w:lang w:eastAsia="es-ES_tradnl"/>
        </w:rPr>
      </w:pPr>
      <w:r w:rsidRPr="00EB53B0">
        <w:rPr>
          <w:lang w:eastAsia="es-ES_tradnl"/>
        </w:rPr>
        <w:drawing>
          <wp:inline distT="0" distB="0" distL="0" distR="0" wp14:anchorId="16DBB240" wp14:editId="0551FE2C">
            <wp:extent cx="5255471" cy="3467100"/>
            <wp:effectExtent l="0" t="0" r="0" b="0"/>
            <wp:docPr id="1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255471" cy="3467100"/>
                    </a:xfrm>
                    <a:prstGeom prst="rect">
                      <a:avLst/>
                    </a:prstGeom>
                    <a:ln/>
                  </pic:spPr>
                </pic:pic>
              </a:graphicData>
            </a:graphic>
          </wp:inline>
        </w:drawing>
      </w:r>
    </w:p>
    <w:p w14:paraId="5A1AD260" w14:textId="77777777" w:rsidR="003E71AC" w:rsidRPr="00EB53B0" w:rsidRDefault="003E71AC" w:rsidP="00277838">
      <w:pPr>
        <w:pStyle w:val="Figurelegend"/>
      </w:pPr>
      <w:r w:rsidRPr="00EB53B0">
        <w:rPr>
          <w:b/>
          <w:bCs/>
        </w:rPr>
        <w:t>Leyenda</w:t>
      </w:r>
      <w:r w:rsidRPr="00EB53B0">
        <w:t xml:space="preserve"> – izquierda: Nivel (en dB) / abajo izquierda: Acimut (en grados) / abajo derecha: Ángulo de elevación (en grados) / derecha: Nivel (en dB)</w:t>
      </w:r>
    </w:p>
    <w:p w14:paraId="5205989F" w14:textId="77777777" w:rsidR="003E71AC" w:rsidRPr="00EB53B0" w:rsidRDefault="003E71AC" w:rsidP="00BC4697">
      <w:pPr>
        <w:pStyle w:val="FigureNo"/>
      </w:pPr>
      <w:r w:rsidRPr="00EB53B0">
        <w:lastRenderedPageBreak/>
        <w:t>FigurA 2.8</w:t>
      </w:r>
    </w:p>
    <w:p w14:paraId="3BBCED3E" w14:textId="77777777" w:rsidR="003E71AC" w:rsidRPr="00EB53B0" w:rsidRDefault="003E71AC" w:rsidP="004228CF">
      <w:pPr>
        <w:pStyle w:val="Figuretitle"/>
        <w:keepNext/>
        <w:keepLines/>
        <w:spacing w:after="240"/>
        <w:jc w:val="center"/>
        <w:rPr>
          <w:b/>
          <w:bCs/>
          <w:sz w:val="20"/>
        </w:rPr>
      </w:pPr>
      <w:r w:rsidRPr="00EB53B0">
        <w:rPr>
          <w:b/>
          <w:bCs/>
          <w:sz w:val="20"/>
        </w:rPr>
        <w:t>Diagrama de radiación de antena en un sistema de coordenadas cartesianas (RAKURS 3)</w:t>
      </w:r>
    </w:p>
    <w:p w14:paraId="77A7CC0A" w14:textId="77777777" w:rsidR="007543CD" w:rsidRPr="00EB53B0" w:rsidRDefault="003E71AC" w:rsidP="007543CD">
      <w:pPr>
        <w:pStyle w:val="Figure"/>
        <w:rPr>
          <w:sz w:val="18"/>
        </w:rPr>
      </w:pPr>
      <w:r w:rsidRPr="00EB53B0">
        <w:drawing>
          <wp:inline distT="0" distB="0" distL="0" distR="0" wp14:anchorId="359084F3" wp14:editId="0A545C32">
            <wp:extent cx="5435672" cy="4028501"/>
            <wp:effectExtent l="0" t="0" r="0" b="0"/>
            <wp:docPr id="1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5435672" cy="4028501"/>
                    </a:xfrm>
                    <a:prstGeom prst="rect">
                      <a:avLst/>
                    </a:prstGeom>
                    <a:ln/>
                  </pic:spPr>
                </pic:pic>
              </a:graphicData>
            </a:graphic>
          </wp:inline>
        </w:drawing>
      </w:r>
    </w:p>
    <w:p w14:paraId="729BB5A2" w14:textId="7B4B8C19" w:rsidR="003E71AC" w:rsidRPr="00EB53B0" w:rsidRDefault="003E71AC" w:rsidP="007543CD">
      <w:pPr>
        <w:pStyle w:val="Figurelegend"/>
      </w:pPr>
      <w:r w:rsidRPr="00EB53B0">
        <w:rPr>
          <w:b/>
          <w:bCs/>
        </w:rPr>
        <w:t>Leyenda</w:t>
      </w:r>
      <w:r w:rsidRPr="00EB53B0">
        <w:t xml:space="preserve"> – izquierda: Nivel (en dB) / abajo: Ángulo de elevación (en grados) / derecha: Nivel (en dB)</w:t>
      </w:r>
    </w:p>
    <w:p w14:paraId="5A93FC4A" w14:textId="77777777" w:rsidR="003E71AC" w:rsidRPr="00EB53B0" w:rsidRDefault="003E71AC" w:rsidP="00287BD4">
      <w:r w:rsidRPr="00EB53B0">
        <w:t>En las Figs. 2.9 a 2.12 siguientes se muestran los resultados de las mediciones del diagrama de radiación de la antena de haces múltiples en un sistema de coordenadas cartesianas con desviación máxima de los lóbulos principales con respecto al valor normal en el plano horizontal (inclinación electrónica descendente del haz de 5 grados respecto de la vertical, e inclinación de 60 grados a la derecha respecto del eje horizontal).</w:t>
      </w:r>
    </w:p>
    <w:p w14:paraId="7A428735" w14:textId="77777777" w:rsidR="003E71AC" w:rsidRPr="00EB53B0" w:rsidRDefault="003E71AC" w:rsidP="00BC4697">
      <w:pPr>
        <w:pStyle w:val="FigureNo"/>
      </w:pPr>
      <w:r w:rsidRPr="00EB53B0">
        <w:lastRenderedPageBreak/>
        <w:t>FigurA 2.9</w:t>
      </w:r>
    </w:p>
    <w:p w14:paraId="654A04C5" w14:textId="77777777" w:rsidR="003E71AC" w:rsidRPr="00EB53B0" w:rsidRDefault="003E71AC" w:rsidP="007543CD">
      <w:pPr>
        <w:pStyle w:val="Figuretitle"/>
        <w:keepNext/>
        <w:keepLines/>
        <w:spacing w:after="240"/>
        <w:jc w:val="center"/>
        <w:rPr>
          <w:b/>
          <w:bCs/>
          <w:sz w:val="20"/>
        </w:rPr>
      </w:pPr>
      <w:r w:rsidRPr="00EB53B0">
        <w:rPr>
          <w:b/>
          <w:bCs/>
          <w:sz w:val="20"/>
        </w:rPr>
        <w:t>Diagrama de radiación de antena en un sistema de coordenadas cartesianas (RAKURS 1)</w:t>
      </w:r>
    </w:p>
    <w:p w14:paraId="63A5F7F8" w14:textId="77777777" w:rsidR="003E71AC" w:rsidRPr="00EB53B0" w:rsidRDefault="003E71AC" w:rsidP="007543CD">
      <w:pPr>
        <w:pStyle w:val="Figure"/>
        <w:rPr>
          <w:lang w:eastAsia="es-ES_tradnl"/>
        </w:rPr>
      </w:pPr>
      <w:r w:rsidRPr="00EB53B0">
        <w:rPr>
          <w:lang w:eastAsia="es-ES_tradnl"/>
        </w:rPr>
        <w:drawing>
          <wp:inline distT="0" distB="0" distL="0" distR="0" wp14:anchorId="04D5CCC9" wp14:editId="191DF10C">
            <wp:extent cx="5045202" cy="3304704"/>
            <wp:effectExtent l="0" t="0" r="0" b="0"/>
            <wp:docPr id="1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045202" cy="3304704"/>
                    </a:xfrm>
                    <a:prstGeom prst="rect">
                      <a:avLst/>
                    </a:prstGeom>
                    <a:ln/>
                  </pic:spPr>
                </pic:pic>
              </a:graphicData>
            </a:graphic>
          </wp:inline>
        </w:drawing>
      </w:r>
    </w:p>
    <w:p w14:paraId="7126CF57" w14:textId="77777777" w:rsidR="003E71AC" w:rsidRPr="00EB53B0" w:rsidRDefault="003E71AC" w:rsidP="00497B01">
      <w:pPr>
        <w:pStyle w:val="Figurelegend"/>
      </w:pPr>
      <w:r w:rsidRPr="00EB53B0">
        <w:rPr>
          <w:b/>
          <w:bCs/>
        </w:rPr>
        <w:t>Leyenda</w:t>
      </w:r>
      <w:r w:rsidRPr="00EB53B0">
        <w:t xml:space="preserve"> – izquierda: Ángulo de elevación (en grados) / abajo: Acimut (en grados) / derecha: Nivel (en dB)</w:t>
      </w:r>
    </w:p>
    <w:p w14:paraId="78ED2C2C" w14:textId="77777777" w:rsidR="003E71AC" w:rsidRPr="00EB53B0" w:rsidRDefault="003E71AC" w:rsidP="00BC4697">
      <w:pPr>
        <w:pStyle w:val="FigureNo"/>
      </w:pPr>
      <w:r w:rsidRPr="00EB53B0">
        <w:t>FigurA 2.10</w:t>
      </w:r>
    </w:p>
    <w:p w14:paraId="3DC47FA8" w14:textId="77777777" w:rsidR="003E71AC" w:rsidRPr="00EB53B0" w:rsidRDefault="003E71AC" w:rsidP="00497B01">
      <w:pPr>
        <w:pStyle w:val="Figuretitle"/>
        <w:keepNext/>
        <w:keepLines/>
        <w:spacing w:after="240"/>
        <w:jc w:val="center"/>
        <w:rPr>
          <w:b/>
          <w:bCs/>
          <w:sz w:val="20"/>
        </w:rPr>
      </w:pPr>
      <w:r w:rsidRPr="00EB53B0">
        <w:rPr>
          <w:b/>
          <w:bCs/>
          <w:sz w:val="20"/>
        </w:rPr>
        <w:t>Diagrama de radiación de antena en un sistema de coordenadas cartesianas (RAKURS 2)</w:t>
      </w:r>
    </w:p>
    <w:p w14:paraId="36622A9F" w14:textId="77777777" w:rsidR="003E71AC" w:rsidRPr="00EB53B0" w:rsidRDefault="003E71AC" w:rsidP="00497B01">
      <w:pPr>
        <w:pStyle w:val="Figure"/>
        <w:rPr>
          <w:lang w:eastAsia="es-ES_tradnl"/>
        </w:rPr>
      </w:pPr>
      <w:r w:rsidRPr="00EB53B0">
        <w:rPr>
          <w:lang w:eastAsia="es-ES_tradnl"/>
        </w:rPr>
        <w:drawing>
          <wp:inline distT="0" distB="0" distL="0" distR="0" wp14:anchorId="2CB50B6A" wp14:editId="3883A1DF">
            <wp:extent cx="5207104" cy="3285656"/>
            <wp:effectExtent l="0" t="0" r="0" b="0"/>
            <wp:docPr id="1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207104" cy="3285656"/>
                    </a:xfrm>
                    <a:prstGeom prst="rect">
                      <a:avLst/>
                    </a:prstGeom>
                    <a:ln/>
                  </pic:spPr>
                </pic:pic>
              </a:graphicData>
            </a:graphic>
          </wp:inline>
        </w:drawing>
      </w:r>
    </w:p>
    <w:p w14:paraId="6F09E063" w14:textId="77777777" w:rsidR="003E71AC" w:rsidRPr="00EB53B0" w:rsidRDefault="003E71AC" w:rsidP="00497B01">
      <w:pPr>
        <w:pStyle w:val="Figurelegend"/>
      </w:pPr>
      <w:r w:rsidRPr="00EB53B0">
        <w:rPr>
          <w:b/>
          <w:bCs/>
        </w:rPr>
        <w:t>Leyenda</w:t>
      </w:r>
      <w:r w:rsidRPr="00EB53B0">
        <w:t xml:space="preserve"> – izquierda: Nivel (en dB) / abajo izquierda: Acimut (en grados) / abajo derecha: Ángulo de elevación (en grados) / derecha: Nivel (en dB)</w:t>
      </w:r>
    </w:p>
    <w:p w14:paraId="68F232DE" w14:textId="77777777" w:rsidR="003E71AC" w:rsidRPr="00EB53B0" w:rsidRDefault="003E71AC" w:rsidP="00287BD4">
      <w:pPr>
        <w:tabs>
          <w:tab w:val="clear" w:pos="1134"/>
          <w:tab w:val="clear" w:pos="1871"/>
          <w:tab w:val="clear" w:pos="2268"/>
        </w:tabs>
        <w:overflowPunct/>
        <w:autoSpaceDE/>
        <w:autoSpaceDN/>
        <w:adjustRightInd/>
        <w:spacing w:before="0"/>
        <w:textAlignment w:val="auto"/>
      </w:pPr>
      <w:r w:rsidRPr="00EB53B0">
        <w:br w:type="page"/>
      </w:r>
    </w:p>
    <w:p w14:paraId="2E96670F" w14:textId="77777777" w:rsidR="003E71AC" w:rsidRPr="00EB53B0" w:rsidRDefault="003E71AC" w:rsidP="00BC4697">
      <w:pPr>
        <w:pStyle w:val="FigureNo"/>
      </w:pPr>
      <w:r w:rsidRPr="00EB53B0">
        <w:lastRenderedPageBreak/>
        <w:t>FigurA 2.11</w:t>
      </w:r>
    </w:p>
    <w:p w14:paraId="5AFC8051" w14:textId="77777777" w:rsidR="003E71AC" w:rsidRPr="00EB53B0" w:rsidRDefault="003E71AC" w:rsidP="000D5E16">
      <w:pPr>
        <w:pStyle w:val="Figuretitle"/>
        <w:keepNext/>
        <w:keepLines/>
        <w:spacing w:after="240"/>
        <w:jc w:val="center"/>
        <w:rPr>
          <w:b/>
          <w:bCs/>
          <w:sz w:val="20"/>
        </w:rPr>
      </w:pPr>
      <w:bookmarkStart w:id="12" w:name="_Hlk21074657"/>
      <w:r w:rsidRPr="00EB53B0">
        <w:rPr>
          <w:b/>
          <w:bCs/>
          <w:sz w:val="20"/>
        </w:rPr>
        <w:t xml:space="preserve">Diagrama de radiación de antena en un sistema de coordenadas cartesianas </w:t>
      </w:r>
      <w:bookmarkEnd w:id="12"/>
      <w:r w:rsidRPr="00EB53B0">
        <w:rPr>
          <w:b/>
          <w:bCs/>
          <w:sz w:val="20"/>
        </w:rPr>
        <w:t>(RAKURS 3)</w:t>
      </w:r>
    </w:p>
    <w:p w14:paraId="23D38369" w14:textId="77777777" w:rsidR="003E71AC" w:rsidRPr="00EB53B0" w:rsidRDefault="003E71AC" w:rsidP="000D5E16">
      <w:pPr>
        <w:pStyle w:val="Figure"/>
        <w:rPr>
          <w:lang w:eastAsia="es-ES_tradnl"/>
        </w:rPr>
      </w:pPr>
      <w:r w:rsidRPr="00EB53B0">
        <w:rPr>
          <w:lang w:eastAsia="es-ES_tradnl"/>
        </w:rPr>
        <w:drawing>
          <wp:inline distT="0" distB="0" distL="0" distR="0" wp14:anchorId="2CE5C2FA" wp14:editId="5531BC38">
            <wp:extent cx="5005449" cy="3265715"/>
            <wp:effectExtent l="0" t="0" r="5080" b="0"/>
            <wp:docPr id="1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009778" cy="3268539"/>
                    </a:xfrm>
                    <a:prstGeom prst="rect">
                      <a:avLst/>
                    </a:prstGeom>
                    <a:ln/>
                  </pic:spPr>
                </pic:pic>
              </a:graphicData>
            </a:graphic>
          </wp:inline>
        </w:drawing>
      </w:r>
    </w:p>
    <w:p w14:paraId="046520C6" w14:textId="77777777" w:rsidR="003E71AC" w:rsidRPr="00EB53B0" w:rsidRDefault="003E71AC" w:rsidP="000D5E16">
      <w:pPr>
        <w:pStyle w:val="Figurelegend"/>
      </w:pPr>
      <w:r w:rsidRPr="00EB53B0">
        <w:rPr>
          <w:b/>
          <w:bCs/>
        </w:rPr>
        <w:t>Leyenda</w:t>
      </w:r>
      <w:r w:rsidRPr="00EB53B0">
        <w:t xml:space="preserve"> – izquierda: Nivel (en dB) / abajo: Ángulo de elevación (en grados) / derecha: Nivel (en dB)</w:t>
      </w:r>
    </w:p>
    <w:p w14:paraId="40A97E8E" w14:textId="77777777" w:rsidR="003E71AC" w:rsidRPr="00EB53B0" w:rsidRDefault="003E71AC" w:rsidP="000D5E16">
      <w:pPr>
        <w:pStyle w:val="FigureNo"/>
      </w:pPr>
      <w:r w:rsidRPr="00EB53B0">
        <w:t>FigurA 2.12</w:t>
      </w:r>
    </w:p>
    <w:p w14:paraId="4168EB79" w14:textId="77777777" w:rsidR="003E71AC" w:rsidRPr="00EB53B0" w:rsidRDefault="003E71AC" w:rsidP="000D5E16">
      <w:pPr>
        <w:pStyle w:val="Figuretitle"/>
        <w:keepNext/>
        <w:keepLines/>
        <w:spacing w:after="240"/>
        <w:jc w:val="center"/>
        <w:rPr>
          <w:b/>
          <w:bCs/>
          <w:sz w:val="20"/>
        </w:rPr>
      </w:pPr>
      <w:r w:rsidRPr="00EB53B0">
        <w:rPr>
          <w:b/>
          <w:bCs/>
          <w:sz w:val="20"/>
        </w:rPr>
        <w:t>Diagrama de radiación de antena en un sistema de coordenadas cartesianas (RAKURS 4)</w:t>
      </w:r>
    </w:p>
    <w:p w14:paraId="711E4B49" w14:textId="77777777" w:rsidR="003E71AC" w:rsidRPr="00EB53B0" w:rsidRDefault="003E71AC" w:rsidP="000D5E16">
      <w:pPr>
        <w:pStyle w:val="Figure"/>
        <w:rPr>
          <w:lang w:eastAsia="es-ES_tradnl"/>
        </w:rPr>
      </w:pPr>
      <w:r w:rsidRPr="00EB53B0">
        <w:rPr>
          <w:lang w:eastAsia="es-ES_tradnl"/>
        </w:rPr>
        <w:drawing>
          <wp:inline distT="0" distB="0" distL="0" distR="0" wp14:anchorId="101DE767" wp14:editId="048D6BB0">
            <wp:extent cx="5076701" cy="3509158"/>
            <wp:effectExtent l="0" t="0" r="0" b="0"/>
            <wp:docPr id="1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082987" cy="3513503"/>
                    </a:xfrm>
                    <a:prstGeom prst="rect">
                      <a:avLst/>
                    </a:prstGeom>
                    <a:ln/>
                  </pic:spPr>
                </pic:pic>
              </a:graphicData>
            </a:graphic>
          </wp:inline>
        </w:drawing>
      </w:r>
    </w:p>
    <w:p w14:paraId="323B108E" w14:textId="77777777" w:rsidR="003E71AC" w:rsidRPr="00EB53B0" w:rsidRDefault="003E71AC" w:rsidP="000D5E16">
      <w:pPr>
        <w:pStyle w:val="Figurelegend"/>
      </w:pPr>
      <w:r w:rsidRPr="00EB53B0">
        <w:rPr>
          <w:b/>
          <w:bCs/>
        </w:rPr>
        <w:t>Leyenda</w:t>
      </w:r>
      <w:r w:rsidRPr="00EB53B0">
        <w:t xml:space="preserve"> – izquierda: Nivel (en dB) / abajo: Acimut (en grados) / derecha: Nivel (en dB)</w:t>
      </w:r>
    </w:p>
    <w:p w14:paraId="1EF6D3C1" w14:textId="77777777" w:rsidR="003E71AC" w:rsidRPr="00EB53B0" w:rsidRDefault="003E71AC" w:rsidP="000D5E16">
      <w:pPr>
        <w:keepNext/>
        <w:keepLines/>
      </w:pPr>
      <w:r w:rsidRPr="00EB53B0">
        <w:lastRenderedPageBreak/>
        <w:t>En las Figs. 2.13 a 2.15 se muestra una comparación del modelo analítico para describir los patrones de radiación de las estaciones IMT</w:t>
      </w:r>
      <w:r w:rsidRPr="00EB53B0">
        <w:noBreakHyphen/>
        <w:t>2020 que establece la Recomendación UIT-R M.2101 y las mediciones del diagrama de radiación de antena, para tres configuraciones diferentes de orientación del lóbulo principal del diagrama de radiación de las antenas de la estación base:</w:t>
      </w:r>
    </w:p>
    <w:p w14:paraId="7E26677B" w14:textId="77777777" w:rsidR="003E71AC" w:rsidRPr="00EB53B0" w:rsidRDefault="003E71AC" w:rsidP="000D5E16">
      <w:pPr>
        <w:pStyle w:val="enumlev1"/>
      </w:pPr>
      <w:r w:rsidRPr="00EB53B0">
        <w:t>1)</w:t>
      </w:r>
      <w:r w:rsidRPr="00EB53B0">
        <w:tab/>
        <w:t>con inclinación cero respecto del valor normal;</w:t>
      </w:r>
    </w:p>
    <w:p w14:paraId="225CC7C1" w14:textId="77777777" w:rsidR="003E71AC" w:rsidRPr="00EB53B0" w:rsidRDefault="003E71AC" w:rsidP="000D5E16">
      <w:pPr>
        <w:pStyle w:val="enumlev1"/>
      </w:pPr>
      <w:r w:rsidRPr="00EB53B0">
        <w:t>2)</w:t>
      </w:r>
      <w:r w:rsidRPr="00EB53B0">
        <w:tab/>
        <w:t>con inclinación vertical de –15 grados e inclinación horizontal cero;</w:t>
      </w:r>
    </w:p>
    <w:p w14:paraId="5C680A82" w14:textId="77777777" w:rsidR="003E71AC" w:rsidRPr="00EB53B0" w:rsidRDefault="003E71AC" w:rsidP="000D5E16">
      <w:pPr>
        <w:pStyle w:val="enumlev1"/>
      </w:pPr>
      <w:r w:rsidRPr="00EB53B0">
        <w:t>3)</w:t>
      </w:r>
      <w:r w:rsidRPr="00EB53B0">
        <w:tab/>
        <w:t xml:space="preserve">con inclinación vertical de –5 </w:t>
      </w:r>
      <w:bookmarkStart w:id="13" w:name="_Hlk21080485"/>
      <w:r w:rsidRPr="00EB53B0">
        <w:t>grados e inclinación horizontal de 60 grados a la derecha</w:t>
      </w:r>
      <w:bookmarkEnd w:id="13"/>
      <w:r w:rsidRPr="00EB53B0">
        <w:t>.</w:t>
      </w:r>
    </w:p>
    <w:p w14:paraId="1E67FD70" w14:textId="77777777" w:rsidR="003E71AC" w:rsidRPr="00EB53B0" w:rsidRDefault="003E71AC" w:rsidP="009C7051">
      <w:pPr>
        <w:pStyle w:val="FigureNo"/>
        <w:keepNext w:val="0"/>
        <w:keepLines w:val="0"/>
      </w:pPr>
      <w:r w:rsidRPr="00EB53B0">
        <w:t>FigurA 2.13</w:t>
      </w:r>
    </w:p>
    <w:p w14:paraId="16726DDC" w14:textId="77777777" w:rsidR="003E71AC" w:rsidRPr="00EB53B0" w:rsidRDefault="003E71AC" w:rsidP="009C7051">
      <w:pPr>
        <w:pStyle w:val="Figuretitle"/>
        <w:spacing w:after="240"/>
        <w:jc w:val="center"/>
        <w:rPr>
          <w:b/>
          <w:bCs/>
          <w:sz w:val="20"/>
        </w:rPr>
      </w:pPr>
      <w:r w:rsidRPr="00EB53B0">
        <w:rPr>
          <w:b/>
          <w:bCs/>
          <w:sz w:val="20"/>
        </w:rPr>
        <w:t>Comparación del diagrama de radiación en el plano de elevación para una orientación de los</w:t>
      </w:r>
      <w:r w:rsidRPr="00EB53B0">
        <w:rPr>
          <w:b/>
          <w:bCs/>
          <w:sz w:val="20"/>
        </w:rPr>
        <w:br/>
        <w:t>lóbulos principales próxima al valor normal respecto del plano de la cortina de antena</w:t>
      </w:r>
    </w:p>
    <w:p w14:paraId="3EED3EEE" w14:textId="77777777" w:rsidR="003E71AC" w:rsidRPr="00EB53B0" w:rsidRDefault="003E71AC" w:rsidP="009C7051">
      <w:pPr>
        <w:pStyle w:val="Figure"/>
        <w:keepNext w:val="0"/>
        <w:keepLines w:val="0"/>
      </w:pPr>
      <w:r w:rsidRPr="00EB53B0">
        <w:rPr>
          <w:lang w:eastAsia="es-ES_tradnl"/>
        </w:rPr>
        <w:drawing>
          <wp:inline distT="0" distB="0" distL="0" distR="0" wp14:anchorId="3492E636" wp14:editId="02966F6D">
            <wp:extent cx="5040000" cy="3240000"/>
            <wp:effectExtent l="0" t="0" r="1905" b="0"/>
            <wp:docPr id="1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040000" cy="3240000"/>
                    </a:xfrm>
                    <a:prstGeom prst="rect">
                      <a:avLst/>
                    </a:prstGeom>
                    <a:ln/>
                  </pic:spPr>
                </pic:pic>
              </a:graphicData>
            </a:graphic>
          </wp:inline>
        </w:drawing>
      </w:r>
    </w:p>
    <w:p w14:paraId="2E93F82B" w14:textId="77777777" w:rsidR="003E71AC" w:rsidRPr="00EB53B0" w:rsidRDefault="003E71AC" w:rsidP="009C7051">
      <w:pPr>
        <w:pStyle w:val="Figurelegend"/>
        <w:keepNext w:val="0"/>
        <w:keepLines w:val="0"/>
      </w:pPr>
      <w:r w:rsidRPr="00EB53B0">
        <w:rPr>
          <w:b/>
          <w:bCs/>
        </w:rPr>
        <w:t>Leyenda</w:t>
      </w:r>
      <w:r w:rsidRPr="00EB53B0">
        <w:t xml:space="preserve"> – izquierda: Nivel (en dB) / abajo: Ángulo de elevación (en grados) / derecha: Nivel (en dB)</w:t>
      </w:r>
    </w:p>
    <w:p w14:paraId="7DA45CF0" w14:textId="77777777" w:rsidR="003E71AC" w:rsidRPr="00EB53B0" w:rsidRDefault="003E71AC" w:rsidP="00BC4697">
      <w:pPr>
        <w:pStyle w:val="FigureNo"/>
      </w:pPr>
      <w:bookmarkStart w:id="14" w:name="_17dp8vu" w:colFirst="0" w:colLast="0"/>
      <w:bookmarkEnd w:id="14"/>
      <w:r w:rsidRPr="00EB53B0">
        <w:lastRenderedPageBreak/>
        <w:t>FigurA 2.14</w:t>
      </w:r>
    </w:p>
    <w:p w14:paraId="258E62CB" w14:textId="56534642" w:rsidR="003E71AC" w:rsidRPr="00EB53B0" w:rsidRDefault="003E71AC" w:rsidP="001A59E7">
      <w:pPr>
        <w:pStyle w:val="Figuretitle"/>
        <w:keepNext/>
        <w:keepLines/>
        <w:spacing w:after="240"/>
        <w:jc w:val="center"/>
        <w:rPr>
          <w:b/>
          <w:bCs/>
          <w:sz w:val="20"/>
        </w:rPr>
      </w:pPr>
      <w:r w:rsidRPr="00EB53B0">
        <w:rPr>
          <w:b/>
          <w:bCs/>
          <w:sz w:val="20"/>
        </w:rPr>
        <w:t>Comparación del diagrama de radiación en el plano acimutal para una inclinación electrónica</w:t>
      </w:r>
      <w:r w:rsidRPr="00EB53B0">
        <w:rPr>
          <w:b/>
          <w:bCs/>
          <w:sz w:val="20"/>
        </w:rPr>
        <w:br/>
        <w:t xml:space="preserve">del haz de </w:t>
      </w:r>
      <w:r w:rsidR="009C7051" w:rsidRPr="00EB53B0">
        <w:rPr>
          <w:b/>
          <w:bCs/>
          <w:sz w:val="20"/>
        </w:rPr>
        <w:t>–</w:t>
      </w:r>
      <w:r w:rsidRPr="00EB53B0">
        <w:rPr>
          <w:b/>
          <w:bCs/>
          <w:sz w:val="20"/>
        </w:rPr>
        <w:t>15 grados respecto del eje vertical y sin inclinación respecto del eje horizontal</w:t>
      </w:r>
    </w:p>
    <w:p w14:paraId="6270C61C" w14:textId="77777777" w:rsidR="003E71AC" w:rsidRPr="00EB53B0" w:rsidRDefault="003E71AC" w:rsidP="009C7051">
      <w:pPr>
        <w:pStyle w:val="Figure"/>
        <w:keepNext w:val="0"/>
        <w:keepLines w:val="0"/>
        <w:rPr>
          <w:lang w:eastAsia="es-ES_tradnl"/>
        </w:rPr>
      </w:pPr>
      <w:r w:rsidRPr="00EB53B0">
        <w:rPr>
          <w:lang w:eastAsia="es-ES_tradnl"/>
        </w:rPr>
        <w:drawing>
          <wp:inline distT="0" distB="0" distL="0" distR="0" wp14:anchorId="603D58DA" wp14:editId="2C867C24">
            <wp:extent cx="4248150" cy="3222583"/>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4-наложение.jpg"/>
                    <pic:cNvPicPr/>
                  </pic:nvPicPr>
                  <pic:blipFill>
                    <a:blip r:embed="rId29">
                      <a:extLst>
                        <a:ext uri="{28A0092B-C50C-407E-A947-70E740481C1C}">
                          <a14:useLocalDpi xmlns:a14="http://schemas.microsoft.com/office/drawing/2010/main" val="0"/>
                        </a:ext>
                      </a:extLst>
                    </a:blip>
                    <a:stretch>
                      <a:fillRect/>
                    </a:stretch>
                  </pic:blipFill>
                  <pic:spPr>
                    <a:xfrm>
                      <a:off x="0" y="0"/>
                      <a:ext cx="4287636" cy="3252537"/>
                    </a:xfrm>
                    <a:prstGeom prst="rect">
                      <a:avLst/>
                    </a:prstGeom>
                  </pic:spPr>
                </pic:pic>
              </a:graphicData>
            </a:graphic>
          </wp:inline>
        </w:drawing>
      </w:r>
    </w:p>
    <w:p w14:paraId="1B6CFB23" w14:textId="77777777" w:rsidR="003E71AC" w:rsidRPr="00EB53B0" w:rsidRDefault="003E71AC" w:rsidP="009C7051">
      <w:pPr>
        <w:pStyle w:val="Figurelegend"/>
        <w:keepNext w:val="0"/>
        <w:keepLines w:val="0"/>
      </w:pPr>
      <w:r w:rsidRPr="00EB53B0">
        <w:rPr>
          <w:b/>
          <w:bCs/>
        </w:rPr>
        <w:t>Leyenda</w:t>
      </w:r>
      <w:r w:rsidRPr="00EB53B0">
        <w:t xml:space="preserve"> – izquierda: Nivel (en dB) / abajo: Ángulo de elevación (en grados) / derecha: Nivel (en dB)</w:t>
      </w:r>
    </w:p>
    <w:p w14:paraId="3EEB34D2" w14:textId="77777777" w:rsidR="003E71AC" w:rsidRPr="00EB53B0" w:rsidRDefault="003E71AC" w:rsidP="00BC4697">
      <w:pPr>
        <w:pStyle w:val="FigureNo"/>
      </w:pPr>
      <w:r w:rsidRPr="00EB53B0">
        <w:t>FigurA 2.15</w:t>
      </w:r>
    </w:p>
    <w:p w14:paraId="60564496" w14:textId="7FDD5075" w:rsidR="003E71AC" w:rsidRPr="00EB53B0" w:rsidRDefault="003E71AC" w:rsidP="009C7051">
      <w:pPr>
        <w:pStyle w:val="Figuretitle"/>
        <w:keepNext/>
        <w:keepLines/>
        <w:spacing w:after="240"/>
        <w:jc w:val="center"/>
        <w:rPr>
          <w:b/>
          <w:bCs/>
          <w:sz w:val="20"/>
        </w:rPr>
      </w:pPr>
      <w:r w:rsidRPr="00EB53B0">
        <w:rPr>
          <w:b/>
          <w:bCs/>
          <w:sz w:val="20"/>
        </w:rPr>
        <w:t>Comparación del diagrama de radiación en el plano de elevación para una inclinación electrónica descendente</w:t>
      </w:r>
      <w:r w:rsidR="00BC4697" w:rsidRPr="00EB53B0">
        <w:rPr>
          <w:b/>
          <w:bCs/>
          <w:sz w:val="20"/>
        </w:rPr>
        <w:t xml:space="preserve"> </w:t>
      </w:r>
      <w:r w:rsidR="009C7051" w:rsidRPr="00EB53B0">
        <w:rPr>
          <w:b/>
          <w:bCs/>
          <w:sz w:val="20"/>
        </w:rPr>
        <w:br/>
      </w:r>
      <w:r w:rsidRPr="00EB53B0">
        <w:rPr>
          <w:b/>
          <w:bCs/>
          <w:sz w:val="20"/>
        </w:rPr>
        <w:t>de –5 grados respecto del eje vertical y una inclinación de 60 grados a la derecha respecto del eje horizontal</w:t>
      </w:r>
    </w:p>
    <w:p w14:paraId="689228B3" w14:textId="77777777" w:rsidR="003E71AC" w:rsidRPr="00EB53B0" w:rsidRDefault="003E71AC" w:rsidP="009C7051">
      <w:pPr>
        <w:pStyle w:val="Figure"/>
        <w:keepNext w:val="0"/>
        <w:keepLines w:val="0"/>
        <w:rPr>
          <w:lang w:eastAsia="es-ES_tradnl"/>
        </w:rPr>
      </w:pPr>
      <w:r w:rsidRPr="00EB53B0">
        <w:rPr>
          <w:lang w:eastAsia="es-ES_tradnl"/>
        </w:rPr>
        <w:drawing>
          <wp:inline distT="0" distB="0" distL="0" distR="0" wp14:anchorId="3E552C7F" wp14:editId="6498DF8C">
            <wp:extent cx="5040000" cy="3240000"/>
            <wp:effectExtent l="0" t="0" r="1905" b="0"/>
            <wp:docPr id="10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5040000" cy="3240000"/>
                    </a:xfrm>
                    <a:prstGeom prst="rect">
                      <a:avLst/>
                    </a:prstGeom>
                    <a:ln/>
                  </pic:spPr>
                </pic:pic>
              </a:graphicData>
            </a:graphic>
          </wp:inline>
        </w:drawing>
      </w:r>
    </w:p>
    <w:p w14:paraId="4A303EAF" w14:textId="77777777" w:rsidR="003E71AC" w:rsidRPr="00EB53B0" w:rsidRDefault="003E71AC" w:rsidP="009C7051">
      <w:pPr>
        <w:pStyle w:val="Figurelegend"/>
        <w:keepNext w:val="0"/>
        <w:keepLines w:val="0"/>
      </w:pPr>
      <w:r w:rsidRPr="00EB53B0">
        <w:rPr>
          <w:b/>
          <w:bCs/>
        </w:rPr>
        <w:t>Leyenda</w:t>
      </w:r>
      <w:r w:rsidRPr="00EB53B0">
        <w:t xml:space="preserve"> – izquierda: Nivel (en dB) / abajo: Acimut (en grados) / derecha: Nivel (en dB)</w:t>
      </w:r>
    </w:p>
    <w:p w14:paraId="37E18961" w14:textId="4B194144" w:rsidR="003E71AC" w:rsidRPr="00EB53B0" w:rsidRDefault="003E71AC" w:rsidP="009C7051">
      <w:pPr>
        <w:keepNext/>
        <w:keepLines/>
      </w:pPr>
      <w:r w:rsidRPr="00EB53B0">
        <w:lastRenderedPageBreak/>
        <w:t xml:space="preserve">Como se observa en las figuras anteriores, por regla general el nivel de los lóbulos laterales en el diagrama de radiación de la estación base </w:t>
      </w:r>
      <w:r w:rsidR="003B4944" w:rsidRPr="00EB53B0">
        <w:t xml:space="preserve">dedicada </w:t>
      </w:r>
      <w:r w:rsidRPr="00EB53B0">
        <w:t xml:space="preserve">objeto de medición supera los niveles obtenidos a partir de la descripción analítica presentada en la Recomendación UIT-R M.2101. En particular, en el hemisferio norte los niveles de los lóbulos laterales del diagrama de radiación de la antena pueden superar los valores teóricos del diagrama de radiación de la antena en una cifra del orden de 10 dB, lo que </w:t>
      </w:r>
      <w:r w:rsidR="003B4944" w:rsidRPr="00EB53B0">
        <w:t xml:space="preserve">podría </w:t>
      </w:r>
      <w:r w:rsidRPr="00EB53B0">
        <w:t>deriva</w:t>
      </w:r>
      <w:r w:rsidR="003B4944" w:rsidRPr="00EB53B0">
        <w:t>r</w:t>
      </w:r>
      <w:r w:rsidRPr="00EB53B0">
        <w:t xml:space="preserve"> en la subestimación del nivel de interferencia causada a las estaciones de los servicios de radiocomunicaciones por satélite afectados.</w:t>
      </w:r>
    </w:p>
    <w:p w14:paraId="626024DB" w14:textId="77777777" w:rsidR="003E71AC" w:rsidRPr="00EB53B0" w:rsidRDefault="003E71AC" w:rsidP="00287BD4">
      <w:pPr>
        <w:pStyle w:val="Headingb"/>
      </w:pPr>
      <w:r w:rsidRPr="00EB53B0">
        <w:t>Conclusiones</w:t>
      </w:r>
    </w:p>
    <w:p w14:paraId="1D72BE80" w14:textId="49FA394F" w:rsidR="003E71AC" w:rsidRPr="00EB53B0" w:rsidRDefault="003E71AC" w:rsidP="00287BD4">
      <w:r w:rsidRPr="00EB53B0">
        <w:t xml:space="preserve">Los resultados de las </w:t>
      </w:r>
      <w:r w:rsidR="003B4944" w:rsidRPr="00EB53B0">
        <w:t xml:space="preserve">mediciones de estaciones base IMT-2020 dedicadas </w:t>
      </w:r>
      <w:r w:rsidRPr="00EB53B0">
        <w:t xml:space="preserve">que se han expuesto en el presente documento, así como la información sobre las características </w:t>
      </w:r>
      <w:r w:rsidR="003B4944" w:rsidRPr="00EB53B0">
        <w:t xml:space="preserve">notificadas </w:t>
      </w:r>
      <w:r w:rsidRPr="00EB53B0">
        <w:t xml:space="preserve">de </w:t>
      </w:r>
      <w:r w:rsidR="003B4944" w:rsidRPr="00EB53B0">
        <w:t>las zonas piloto</w:t>
      </w:r>
      <w:r w:rsidRPr="00EB53B0">
        <w:t xml:space="preserve">, muestran divergencias importantes </w:t>
      </w:r>
      <w:r w:rsidR="003B4944" w:rsidRPr="00EB53B0">
        <w:t xml:space="preserve">en </w:t>
      </w:r>
      <w:r w:rsidR="0064714F" w:rsidRPr="00EB53B0">
        <w:t>lo que se refiere a</w:t>
      </w:r>
      <w:r w:rsidR="003B4944" w:rsidRPr="00EB53B0">
        <w:t xml:space="preserve"> los escenarios de despliegue </w:t>
      </w:r>
      <w:r w:rsidRPr="00EB53B0">
        <w:t>y las características de las estaciones IMT</w:t>
      </w:r>
      <w:r w:rsidRPr="00EB53B0">
        <w:noBreakHyphen/>
        <w:t>2020 de las que hace uso el GTE 5/1 en sus estudios de compatibilidad con arreglo al punto 1.13 del orden del día.</w:t>
      </w:r>
    </w:p>
    <w:p w14:paraId="5602FF47" w14:textId="1F7561B8" w:rsidR="003E71AC" w:rsidRPr="00EB53B0" w:rsidRDefault="003E71AC" w:rsidP="00287BD4">
      <w:r w:rsidRPr="00EB53B0">
        <w:t xml:space="preserve">Los resultados han mostrado que la interferencia de redes IMT-2020 reales </w:t>
      </w:r>
      <w:r w:rsidR="003B4944" w:rsidRPr="00EB53B0">
        <w:t xml:space="preserve">podría </w:t>
      </w:r>
      <w:r w:rsidRPr="00EB53B0">
        <w:t>ser mucho mayor que la interferencia calculada a partir de las redes IMT-2020 de referencia utilizadas en los estudios del UIT</w:t>
      </w:r>
      <w:r w:rsidRPr="00EB53B0">
        <w:noBreakHyphen/>
        <w:t>R.</w:t>
      </w:r>
    </w:p>
    <w:p w14:paraId="4C082B45" w14:textId="77777777" w:rsidR="003E71AC" w:rsidRPr="00EB53B0" w:rsidRDefault="003E71AC" w:rsidP="00287BD4">
      <w:r w:rsidRPr="00EB53B0">
        <w:t>Los resultados obtenidos confirman la necesidad de adoptar condiciones y limitaciones más estrictas para el uso de estaciones IMT-2020 en la banda 24,25-27,5 GHz, a fin de garantizar la compatibilidad entre los sistemas IMT</w:t>
      </w:r>
      <w:r w:rsidRPr="00EB53B0">
        <w:noBreakHyphen/>
        <w:t>2020 y los servicios de radiocomunicaciones existentes, en particular los servicios espaciales (SFS, SES y SETS).</w:t>
      </w:r>
    </w:p>
    <w:p w14:paraId="7070E628" w14:textId="77777777" w:rsidR="003E71AC" w:rsidRPr="00EB53B0" w:rsidRDefault="003E71AC" w:rsidP="00287BD4">
      <w:r w:rsidRPr="00EB53B0">
        <w:t>Como ejemplo de estas condiciones, se propone restringir las emisiones de las estaciones base IMT</w:t>
      </w:r>
      <w:r w:rsidRPr="00EB53B0">
        <w:noBreakHyphen/>
        <w:t>2020 en el hemisferio norte de una de las maneras siguientes:</w:t>
      </w:r>
    </w:p>
    <w:p w14:paraId="363A828B" w14:textId="77777777" w:rsidR="003E71AC" w:rsidRPr="00EB53B0" w:rsidRDefault="003E71AC" w:rsidP="00BC4697">
      <w:pPr>
        <w:pStyle w:val="enumlev1"/>
      </w:pPr>
      <w:r w:rsidRPr="00EB53B0">
        <w:t>–</w:t>
      </w:r>
      <w:r w:rsidRPr="00EB53B0">
        <w:tab/>
        <w:t>aplicando una máscara p.i.r.e. en el hemisferio norte (en línea con la Condición A2e, Opción 7, del Informe de la RPC); o</w:t>
      </w:r>
    </w:p>
    <w:p w14:paraId="7DAEEBA1" w14:textId="77777777" w:rsidR="003E71AC" w:rsidRPr="00EB53B0" w:rsidRDefault="003E71AC" w:rsidP="00BC4697">
      <w:pPr>
        <w:pStyle w:val="enumlev1"/>
      </w:pPr>
      <w:r w:rsidRPr="00EB53B0">
        <w:t>–</w:t>
      </w:r>
      <w:r w:rsidRPr="00EB53B0">
        <w:tab/>
        <w:t>limitando la potencia radiada total máxima, a excepción de los ángulos de orientación del lóbulo principal del diagrama de radiación de las antenas de la estación base en el hemisferio norte, y garantizando la conformidad de las antenas de las estaciones base IMT con la Recomendación UIT-R M.2101 (en línea con la Condición A2e, Opción 1, del Informe de la RPC).</w:t>
      </w:r>
    </w:p>
    <w:p w14:paraId="1FF4A9BD" w14:textId="1059DC2E" w:rsidR="003E71AC" w:rsidRPr="00EB53B0" w:rsidRDefault="003E71AC" w:rsidP="00287BD4">
      <w:r w:rsidRPr="00EB53B0">
        <w:t>Con miras a garantizar la compatibilidad entre los sistemas IMT y SETS (pasivo) en la banda 23,6</w:t>
      </w:r>
      <w:r w:rsidRPr="00EB53B0">
        <w:noBreakHyphen/>
        <w:t xml:space="preserve">24 GHz, se propone incluir en la Resolución </w:t>
      </w:r>
      <w:r w:rsidRPr="00EB53B0">
        <w:rPr>
          <w:b/>
        </w:rPr>
        <w:t>750 (Rev. CMR-15)</w:t>
      </w:r>
      <w:r w:rsidRPr="00EB53B0">
        <w:t xml:space="preserve"> una limitación de las emisiones no deseadas de estaciones base no superior a –49 dB(W/200 MHz), que resulta factible en la práctica.</w:t>
      </w:r>
    </w:p>
    <w:p w14:paraId="6260841D" w14:textId="77777777" w:rsidR="00A702FF" w:rsidRPr="00EB53B0" w:rsidRDefault="00A702FF" w:rsidP="00287BD4"/>
    <w:p w14:paraId="08207DF2" w14:textId="77777777" w:rsidR="003E71AC" w:rsidRPr="00EB53B0" w:rsidRDefault="003E71AC" w:rsidP="00287BD4">
      <w:pPr>
        <w:jc w:val="center"/>
      </w:pPr>
      <w:r w:rsidRPr="00EB53B0">
        <w:t>______________</w:t>
      </w:r>
    </w:p>
    <w:sectPr w:rsidR="003E71AC" w:rsidRPr="00EB53B0">
      <w:headerReference w:type="default" r:id="rId31"/>
      <w:footerReference w:type="even" r:id="rId32"/>
      <w:footerReference w:type="default" r:id="rId33"/>
      <w:footerReference w:type="first" r:id="rId34"/>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6B159" w14:textId="77777777" w:rsidR="003C0613" w:rsidRDefault="003C0613">
      <w:r>
        <w:separator/>
      </w:r>
    </w:p>
  </w:endnote>
  <w:endnote w:type="continuationSeparator" w:id="0">
    <w:p w14:paraId="0464D8D0" w14:textId="77777777" w:rsidR="003C0613" w:rsidRDefault="003C0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3940D" w14:textId="77777777" w:rsidR="0077084A" w:rsidRDefault="007708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03A1A5" w14:textId="1BF327D4" w:rsidR="0077084A" w:rsidRDefault="0077084A">
    <w:pPr>
      <w:ind w:right="360"/>
      <w:rPr>
        <w:lang w:val="en-US"/>
      </w:rPr>
    </w:pPr>
    <w:r>
      <w:fldChar w:fldCharType="begin"/>
    </w:r>
    <w:r>
      <w:rPr>
        <w:lang w:val="en-US"/>
      </w:rPr>
      <w:instrText xml:space="preserve"> FILENAME \p  \* MERGEFORMAT </w:instrText>
    </w:r>
    <w:r>
      <w:fldChar w:fldCharType="separate"/>
    </w:r>
    <w:r w:rsidR="0090121B">
      <w:rPr>
        <w:noProof/>
        <w:lang w:val="en-US"/>
      </w:rPr>
      <w:t>Document2</w:t>
    </w:r>
    <w:r>
      <w:fldChar w:fldCharType="end"/>
    </w:r>
    <w:r>
      <w:rPr>
        <w:lang w:val="en-US"/>
      </w:rPr>
      <w:tab/>
    </w:r>
    <w:r>
      <w:fldChar w:fldCharType="begin"/>
    </w:r>
    <w:r>
      <w:instrText xml:space="preserve"> SAVEDATE \@ DD.MM.YY </w:instrText>
    </w:r>
    <w:r>
      <w:fldChar w:fldCharType="separate"/>
    </w:r>
    <w:r w:rsidR="000A234D">
      <w:rPr>
        <w:noProof/>
      </w:rPr>
      <w:t>25.10.19</w:t>
    </w:r>
    <w:r>
      <w:fldChar w:fldCharType="end"/>
    </w:r>
    <w:r>
      <w:rPr>
        <w:lang w:val="en-US"/>
      </w:rPr>
      <w:tab/>
    </w:r>
    <w:r>
      <w:fldChar w:fldCharType="begin"/>
    </w:r>
    <w:r>
      <w:instrText xml:space="preserve"> PRINTDATE \@ DD.MM.YY </w:instrText>
    </w:r>
    <w:r>
      <w:fldChar w:fldCharType="separate"/>
    </w:r>
    <w:r w:rsidR="0090121B">
      <w:rPr>
        <w:noProof/>
      </w:rPr>
      <w:t>19.02.03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2C1F" w14:textId="77777777" w:rsidR="000A234D" w:rsidRPr="00273764" w:rsidRDefault="000A234D" w:rsidP="000A234D">
    <w:pPr>
      <w:pStyle w:val="Footer"/>
      <w:rPr>
        <w:lang w:val="en-US"/>
      </w:rPr>
    </w:pPr>
    <w:r>
      <w:fldChar w:fldCharType="begin"/>
    </w:r>
    <w:r w:rsidRPr="00273764">
      <w:rPr>
        <w:lang w:val="en-US"/>
      </w:rPr>
      <w:instrText xml:space="preserve"> FILENAME \p  \* MERGEFORMAT </w:instrText>
    </w:r>
    <w:r>
      <w:fldChar w:fldCharType="separate"/>
    </w:r>
    <w:r>
      <w:rPr>
        <w:lang w:val="en-US"/>
      </w:rPr>
      <w:t>P:\ESP\ITU-R\CONF-R\CMR19\000\032REV1S.docx</w:t>
    </w:r>
    <w:r>
      <w:fldChar w:fldCharType="end"/>
    </w:r>
    <w:r w:rsidRPr="00273764">
      <w:rPr>
        <w:lang w:val="en-US"/>
      </w:rPr>
      <w:t xml:space="preserve"> (463067)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36499" w14:textId="7581DEA7" w:rsidR="0077084A" w:rsidRPr="00273764" w:rsidRDefault="00273764" w:rsidP="00273764">
    <w:pPr>
      <w:pStyle w:val="Footer"/>
      <w:rPr>
        <w:lang w:val="en-US"/>
      </w:rPr>
    </w:pPr>
    <w:r>
      <w:fldChar w:fldCharType="begin"/>
    </w:r>
    <w:r w:rsidRPr="00273764">
      <w:rPr>
        <w:lang w:val="en-US"/>
      </w:rPr>
      <w:instrText xml:space="preserve"> FILENAME \p  \* MERGEFORMAT </w:instrText>
    </w:r>
    <w:r>
      <w:fldChar w:fldCharType="separate"/>
    </w:r>
    <w:r w:rsidR="000A234D">
      <w:rPr>
        <w:lang w:val="en-US"/>
      </w:rPr>
      <w:t>P:\ESP\ITU-R\CONF-R\CMR19\000\032REV1S.docx</w:t>
    </w:r>
    <w:r>
      <w:fldChar w:fldCharType="end"/>
    </w:r>
    <w:r w:rsidRPr="00273764">
      <w:rPr>
        <w:lang w:val="en-US"/>
      </w:rPr>
      <w:t xml:space="preserve"> (463067)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79072" w14:textId="77777777" w:rsidR="003C0613" w:rsidRDefault="003C0613">
      <w:r>
        <w:rPr>
          <w:b/>
        </w:rPr>
        <w:t>_______________</w:t>
      </w:r>
    </w:p>
  </w:footnote>
  <w:footnote w:type="continuationSeparator" w:id="0">
    <w:p w14:paraId="74117B98" w14:textId="77777777" w:rsidR="003C0613" w:rsidRDefault="003C0613">
      <w:r>
        <w:continuationSeparator/>
      </w:r>
    </w:p>
  </w:footnote>
  <w:footnote w:id="1">
    <w:p w14:paraId="57C4EEC6" w14:textId="77777777" w:rsidR="003E71AC" w:rsidRPr="00B933B1" w:rsidRDefault="003E71AC" w:rsidP="003E71AC">
      <w:pPr>
        <w:pStyle w:val="FootnoteText"/>
        <w:rPr>
          <w:lang w:val="es-ES"/>
        </w:rPr>
      </w:pPr>
      <w:r>
        <w:rPr>
          <w:rStyle w:val="FootnoteReference"/>
        </w:rPr>
        <w:footnoteRef/>
      </w:r>
      <w:r w:rsidRPr="00B933B1">
        <w:rPr>
          <w:lang w:val="es-ES"/>
        </w:rPr>
        <w:tab/>
        <w:t xml:space="preserve">De conformidad con las condiciones de la </w:t>
      </w:r>
      <w:hyperlink r:id="rId1" w:history="1">
        <w:r>
          <w:rPr>
            <w:rStyle w:val="Hyperlink"/>
            <w:lang w:val="es-ES"/>
          </w:rPr>
          <w:t>decisión 18-47-03/5 de la CEFR</w:t>
        </w:r>
      </w:hyperlink>
      <w:r w:rsidRPr="00B933B1">
        <w:rPr>
          <w:lang w:val="es-ES"/>
        </w:rPr>
        <w:t xml:space="preserve"> </w:t>
      </w:r>
      <w:r>
        <w:rPr>
          <w:lang w:val="es-ES"/>
        </w:rPr>
        <w:t xml:space="preserve">de </w:t>
      </w:r>
      <w:r w:rsidRPr="00B933B1">
        <w:rPr>
          <w:lang w:val="es-ES"/>
        </w:rPr>
        <w:t>30</w:t>
      </w:r>
      <w:r>
        <w:rPr>
          <w:lang w:val="es-ES"/>
        </w:rPr>
        <w:t xml:space="preserve"> de noviembre de </w:t>
      </w:r>
      <w:r w:rsidRPr="00B933B1">
        <w:rPr>
          <w:lang w:val="es-ES"/>
        </w:rPr>
        <w:t>2018 [</w:t>
      </w:r>
      <w:r>
        <w:rPr>
          <w:lang w:val="es-ES"/>
        </w:rPr>
        <w:t>en ruso</w:t>
      </w:r>
      <w:r w:rsidRPr="00B933B1">
        <w:rPr>
          <w:lang w:val="es-ES"/>
        </w:rPr>
        <w:t>]</w:t>
      </w:r>
      <w:r>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3A1A6" w14:textId="0F6ADB76" w:rsidR="0077084A" w:rsidRDefault="0077084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BC4697">
      <w:rPr>
        <w:rStyle w:val="PageNumber"/>
        <w:noProof/>
      </w:rPr>
      <w:t>15</w:t>
    </w:r>
    <w:r>
      <w:rPr>
        <w:rStyle w:val="PageNumber"/>
      </w:rPr>
      <w:fldChar w:fldCharType="end"/>
    </w:r>
  </w:p>
  <w:p w14:paraId="7CBD05C3" w14:textId="77777777" w:rsidR="0077084A" w:rsidRDefault="008750A8" w:rsidP="00C44E9E">
    <w:pPr>
      <w:pStyle w:val="Header"/>
      <w:rPr>
        <w:lang w:val="en-US"/>
      </w:rPr>
    </w:pPr>
    <w:r>
      <w:rPr>
        <w:lang w:val="en-US"/>
      </w:rPr>
      <w:t>CMR1</w:t>
    </w:r>
    <w:r w:rsidR="00C44E9E">
      <w:rPr>
        <w:lang w:val="en-US"/>
      </w:rPr>
      <w:t>9</w:t>
    </w:r>
    <w:r>
      <w:rPr>
        <w:lang w:val="en-US"/>
      </w:rPr>
      <w:t>/</w:t>
    </w:r>
    <w:r w:rsidR="00702F3D">
      <w:t>32(Rev.1)-</w:t>
    </w:r>
    <w:r w:rsidR="003248A9" w:rsidRPr="003248A9">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E66C6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70E9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1EE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6A9A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E4AF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6290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2400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7E80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2CD5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4F0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I2NDOyNDA0NbAwMDRQ0lEKTi0uzszPAykwqgUAxvHv/ywAAAA="/>
  </w:docVars>
  <w:rsids>
    <w:rsidRoot w:val="0090121B"/>
    <w:rsid w:val="0002785D"/>
    <w:rsid w:val="00082470"/>
    <w:rsid w:val="00087AE8"/>
    <w:rsid w:val="00095232"/>
    <w:rsid w:val="000A234D"/>
    <w:rsid w:val="000A5B9A"/>
    <w:rsid w:val="000B3ECC"/>
    <w:rsid w:val="000D5E16"/>
    <w:rsid w:val="000E5BF9"/>
    <w:rsid w:val="000F0E6D"/>
    <w:rsid w:val="00121170"/>
    <w:rsid w:val="00123CC5"/>
    <w:rsid w:val="00131DF6"/>
    <w:rsid w:val="0015142D"/>
    <w:rsid w:val="001616DC"/>
    <w:rsid w:val="00163962"/>
    <w:rsid w:val="00191A97"/>
    <w:rsid w:val="0019729C"/>
    <w:rsid w:val="001A083F"/>
    <w:rsid w:val="001A59E7"/>
    <w:rsid w:val="001C41FA"/>
    <w:rsid w:val="001E2B52"/>
    <w:rsid w:val="001E3F27"/>
    <w:rsid w:val="001E7D42"/>
    <w:rsid w:val="0023659C"/>
    <w:rsid w:val="00236D2A"/>
    <w:rsid w:val="0024569E"/>
    <w:rsid w:val="00255F12"/>
    <w:rsid w:val="00262C09"/>
    <w:rsid w:val="002715AF"/>
    <w:rsid w:val="00273764"/>
    <w:rsid w:val="00277838"/>
    <w:rsid w:val="00287BD4"/>
    <w:rsid w:val="002A791F"/>
    <w:rsid w:val="002C1A52"/>
    <w:rsid w:val="002C1B26"/>
    <w:rsid w:val="002C5D6C"/>
    <w:rsid w:val="002E701F"/>
    <w:rsid w:val="002F5A14"/>
    <w:rsid w:val="003248A9"/>
    <w:rsid w:val="00324FFA"/>
    <w:rsid w:val="0032680B"/>
    <w:rsid w:val="00363A65"/>
    <w:rsid w:val="003B1E8C"/>
    <w:rsid w:val="003B4944"/>
    <w:rsid w:val="003C0613"/>
    <w:rsid w:val="003C2508"/>
    <w:rsid w:val="003D0AA3"/>
    <w:rsid w:val="003E2086"/>
    <w:rsid w:val="003E71AC"/>
    <w:rsid w:val="003F7F66"/>
    <w:rsid w:val="004228CF"/>
    <w:rsid w:val="00440B3A"/>
    <w:rsid w:val="0044375A"/>
    <w:rsid w:val="0045384C"/>
    <w:rsid w:val="00454553"/>
    <w:rsid w:val="00472A86"/>
    <w:rsid w:val="00497B01"/>
    <w:rsid w:val="004B124A"/>
    <w:rsid w:val="004B3095"/>
    <w:rsid w:val="004D2C7C"/>
    <w:rsid w:val="005133B5"/>
    <w:rsid w:val="00524392"/>
    <w:rsid w:val="00532097"/>
    <w:rsid w:val="0058350F"/>
    <w:rsid w:val="00583C7E"/>
    <w:rsid w:val="0059098E"/>
    <w:rsid w:val="005D46FB"/>
    <w:rsid w:val="005F2605"/>
    <w:rsid w:val="005F3B0E"/>
    <w:rsid w:val="005F3DB8"/>
    <w:rsid w:val="005F559C"/>
    <w:rsid w:val="00602857"/>
    <w:rsid w:val="006124AD"/>
    <w:rsid w:val="00624009"/>
    <w:rsid w:val="0064714F"/>
    <w:rsid w:val="00662BA0"/>
    <w:rsid w:val="0067344B"/>
    <w:rsid w:val="00684A94"/>
    <w:rsid w:val="00692AAE"/>
    <w:rsid w:val="006C0E38"/>
    <w:rsid w:val="006D6E67"/>
    <w:rsid w:val="006E1A13"/>
    <w:rsid w:val="006E43E8"/>
    <w:rsid w:val="00701C20"/>
    <w:rsid w:val="00702F3D"/>
    <w:rsid w:val="0070518E"/>
    <w:rsid w:val="007354E9"/>
    <w:rsid w:val="00740944"/>
    <w:rsid w:val="007424E8"/>
    <w:rsid w:val="0074579D"/>
    <w:rsid w:val="007543CD"/>
    <w:rsid w:val="00765578"/>
    <w:rsid w:val="00766333"/>
    <w:rsid w:val="0077084A"/>
    <w:rsid w:val="007952C7"/>
    <w:rsid w:val="007C0B95"/>
    <w:rsid w:val="007C2317"/>
    <w:rsid w:val="007D330A"/>
    <w:rsid w:val="00866AE6"/>
    <w:rsid w:val="008750A8"/>
    <w:rsid w:val="008C5583"/>
    <w:rsid w:val="008D3316"/>
    <w:rsid w:val="008E5AF2"/>
    <w:rsid w:val="0090121B"/>
    <w:rsid w:val="009144C9"/>
    <w:rsid w:val="0094091F"/>
    <w:rsid w:val="0094332E"/>
    <w:rsid w:val="00962171"/>
    <w:rsid w:val="00973754"/>
    <w:rsid w:val="00977721"/>
    <w:rsid w:val="009C0BED"/>
    <w:rsid w:val="009C7051"/>
    <w:rsid w:val="009E11EC"/>
    <w:rsid w:val="00A021CC"/>
    <w:rsid w:val="00A118DB"/>
    <w:rsid w:val="00A4450C"/>
    <w:rsid w:val="00A62855"/>
    <w:rsid w:val="00A654E1"/>
    <w:rsid w:val="00A702FF"/>
    <w:rsid w:val="00AA5E6C"/>
    <w:rsid w:val="00AE5677"/>
    <w:rsid w:val="00AE658F"/>
    <w:rsid w:val="00AF2F78"/>
    <w:rsid w:val="00B239FA"/>
    <w:rsid w:val="00B372AB"/>
    <w:rsid w:val="00B47331"/>
    <w:rsid w:val="00B52D55"/>
    <w:rsid w:val="00B8288C"/>
    <w:rsid w:val="00B86034"/>
    <w:rsid w:val="00BC4697"/>
    <w:rsid w:val="00BE2E80"/>
    <w:rsid w:val="00BE5EDD"/>
    <w:rsid w:val="00BE6A1F"/>
    <w:rsid w:val="00C126C4"/>
    <w:rsid w:val="00C44E9E"/>
    <w:rsid w:val="00C63EB5"/>
    <w:rsid w:val="00C87DA7"/>
    <w:rsid w:val="00CB3007"/>
    <w:rsid w:val="00CC01E0"/>
    <w:rsid w:val="00CD0AC1"/>
    <w:rsid w:val="00CD5FEE"/>
    <w:rsid w:val="00CE60D2"/>
    <w:rsid w:val="00CE7431"/>
    <w:rsid w:val="00D00CA8"/>
    <w:rsid w:val="00D0288A"/>
    <w:rsid w:val="00D72A5D"/>
    <w:rsid w:val="00DA71A3"/>
    <w:rsid w:val="00DC629B"/>
    <w:rsid w:val="00DE1C31"/>
    <w:rsid w:val="00E05BFF"/>
    <w:rsid w:val="00E22083"/>
    <w:rsid w:val="00E262F1"/>
    <w:rsid w:val="00E3176A"/>
    <w:rsid w:val="00E36CE4"/>
    <w:rsid w:val="00E54754"/>
    <w:rsid w:val="00E56BD3"/>
    <w:rsid w:val="00E71D14"/>
    <w:rsid w:val="00EA77F0"/>
    <w:rsid w:val="00EB53B0"/>
    <w:rsid w:val="00EB57DD"/>
    <w:rsid w:val="00F32316"/>
    <w:rsid w:val="00F66597"/>
    <w:rsid w:val="00F675D0"/>
    <w:rsid w:val="00F8150C"/>
    <w:rsid w:val="00FC7389"/>
    <w:rsid w:val="00FD03C4"/>
    <w:rsid w:val="00FE45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D1E85D0"/>
  <w15:docId w15:val="{F24AB253-8331-4FF1-9D65-8FFFE0BF6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3F27"/>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pPr>
      <w:keepNext/>
      <w:keepLines/>
      <w:spacing w:before="480" w:after="80"/>
      <w:jc w:val="center"/>
    </w:pPr>
    <w:rPr>
      <w:caps/>
      <w:sz w:val="28"/>
    </w:rPr>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aftertitl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aftertitle"/>
  </w:style>
  <w:style w:type="paragraph" w:customStyle="1" w:styleId="Artheading">
    <w:name w:val="Art_heading"/>
    <w:basedOn w:val="Normal"/>
    <w:next w:val="Normalaftertitle"/>
    <w:pPr>
      <w:spacing w:before="480"/>
      <w:jc w:val="center"/>
    </w:pPr>
    <w:rPr>
      <w:rFonts w:ascii="Times New Roman Bold" w:hAnsi="Times New Roman Bold"/>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pPr>
      <w:keepNext/>
      <w:keepLines/>
      <w:spacing w:before="160"/>
      <w:ind w:left="1134"/>
    </w:pPr>
    <w:rPr>
      <w:i/>
    </w:rPr>
  </w:style>
  <w:style w:type="paragraph" w:customStyle="1" w:styleId="ChapNo">
    <w:name w:val="Chap_No"/>
    <w:basedOn w:val="ArtNo"/>
    <w:next w:val="Chaptitle"/>
    <w:rPr>
      <w:rFonts w:ascii="Times New Roman Bold" w:hAnsi="Times New Roman Bold"/>
      <w:b/>
    </w:rPr>
  </w:style>
  <w:style w:type="paragraph" w:customStyle="1" w:styleId="Chaptitle">
    <w:name w:val="Chap_title"/>
    <w:basedOn w:val="Arttitle"/>
    <w:next w:val="Normalaftertitle"/>
  </w:style>
  <w:style w:type="paragraph" w:customStyle="1" w:styleId="ddate">
    <w:name w:val="ddate"/>
    <w:basedOn w:val="Normal"/>
    <w:pPr>
      <w:framePr w:hSpace="181" w:wrap="around" w:vAnchor="page" w:hAnchor="margin" w:y="852"/>
      <w:shd w:val="solid" w:color="FFFFFF" w:fill="FFFFFF"/>
      <w:spacing w:before="0"/>
    </w:pPr>
    <w:rPr>
      <w:b/>
      <w:bCs/>
    </w:rPr>
  </w:style>
  <w:style w:type="paragraph" w:customStyle="1" w:styleId="dnum">
    <w:name w:val="dnum"/>
    <w:basedOn w:val="Normal"/>
    <w:pPr>
      <w:framePr w:hSpace="181" w:wrap="around" w:vAnchor="page" w:hAnchor="margin" w:y="852"/>
      <w:shd w:val="solid" w:color="FFFFFF" w:fill="FFFFFF"/>
    </w:pPr>
    <w:rPr>
      <w:b/>
      <w:bCs/>
    </w:rPr>
  </w:style>
  <w:style w:type="paragraph" w:customStyle="1" w:styleId="dorlang">
    <w:name w:val="dorlang"/>
    <w:basedOn w:val="Normal"/>
    <w:pPr>
      <w:framePr w:hSpace="181" w:wrap="around" w:vAnchor="page" w:hAnchor="margin" w:y="852"/>
      <w:shd w:val="solid" w:color="FFFFFF" w:fill="FFFFFF"/>
      <w:spacing w:before="0"/>
    </w:pPr>
    <w:rPr>
      <w:b/>
      <w:bCs/>
    </w:rPr>
  </w:style>
  <w:style w:type="character" w:styleId="EndnoteReference">
    <w:name w:val="endnote reference"/>
    <w:basedOn w:val="DefaultParagraphFont"/>
    <w:semiHidden/>
    <w:rPr>
      <w:vertAlign w:val="superscript"/>
    </w:rPr>
  </w:style>
  <w:style w:type="paragraph" w:customStyle="1" w:styleId="enumlev1">
    <w:name w:val="enumlev1"/>
    <w:basedOn w:val="Normal"/>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styleId="NormalIndent">
    <w:name w:val="Normal Indent"/>
    <w:basedOn w:val="Normal"/>
    <w:pPr>
      <w:ind w:left="1134"/>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pPr>
      <w:keepNext/>
      <w:keepLines/>
      <w:spacing w:before="480" w:after="120"/>
      <w:jc w:val="center"/>
    </w:pPr>
    <w:rPr>
      <w:caps/>
      <w:sz w:val="20"/>
    </w:rPr>
  </w:style>
  <w:style w:type="paragraph" w:customStyle="1" w:styleId="Figuretitle">
    <w:name w:val="Figure_title"/>
    <w:basedOn w:val="Normal"/>
    <w:next w:val="Normal"/>
    <w:rsid w:val="002E701F"/>
    <w:pPr>
      <w:spacing w:after="480"/>
    </w:pPr>
  </w:style>
  <w:style w:type="paragraph" w:customStyle="1" w:styleId="Figurewithouttitle">
    <w:name w:val="Figure_without_title"/>
    <w:basedOn w:val="FigureNo"/>
    <w:next w:val="Normal"/>
    <w:pPr>
      <w:keepNext w:val="0"/>
    </w:pPr>
  </w:style>
  <w:style w:type="paragraph" w:styleId="Footer">
    <w:name w:val="footer"/>
    <w:basedOn w:val="Normal"/>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pPr>
  </w:style>
  <w:style w:type="paragraph" w:styleId="Header">
    <w:name w:val="header"/>
    <w:basedOn w:val="Normal"/>
    <w:pPr>
      <w:spacing w:before="0"/>
      <w:jc w:val="center"/>
    </w:pPr>
    <w:rPr>
      <w:sz w:val="18"/>
    </w:rPr>
  </w:style>
  <w:style w:type="paragraph" w:customStyle="1" w:styleId="Headingb">
    <w:name w:val="Heading_b"/>
    <w:basedOn w:val="Normal"/>
    <w:next w:val="Normal"/>
    <w:pPr>
      <w:keepNext/>
      <w:spacing w:before="160"/>
    </w:pPr>
    <w:rPr>
      <w:rFonts w:ascii="Times" w:hAnsi="Times"/>
      <w:b/>
    </w:rPr>
  </w:style>
  <w:style w:type="paragraph" w:customStyle="1" w:styleId="Headingi">
    <w:name w:val="Heading_i"/>
    <w:basedOn w:val="Normal"/>
    <w:next w:val="Normal"/>
    <w:pPr>
      <w:keepNext/>
      <w:spacing w:before="160"/>
    </w:pPr>
    <w:rPr>
      <w:rFonts w:ascii="Times" w:hAnsi="Times"/>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4">
    <w:name w:val="index 4"/>
    <w:basedOn w:val="Normal"/>
    <w:next w:val="Normal"/>
    <w:semiHidden/>
    <w:pPr>
      <w:ind w:left="849"/>
    </w:pPr>
  </w:style>
  <w:style w:type="paragraph" w:styleId="Index5">
    <w:name w:val="index 5"/>
    <w:basedOn w:val="Normal"/>
    <w:next w:val="Normal"/>
    <w:semiHidden/>
    <w:pPr>
      <w:ind w:left="1132"/>
    </w:pPr>
  </w:style>
  <w:style w:type="paragraph" w:styleId="Index6">
    <w:name w:val="index 6"/>
    <w:basedOn w:val="Normal"/>
    <w:next w:val="Normal"/>
    <w:semiHidden/>
    <w:pPr>
      <w:ind w:left="1415"/>
    </w:pPr>
  </w:style>
  <w:style w:type="paragraph" w:styleId="Index7">
    <w:name w:val="index 7"/>
    <w:basedOn w:val="Normal"/>
    <w:next w:val="Normal"/>
    <w:semiHidden/>
    <w:pPr>
      <w:ind w:left="1698"/>
    </w:pPr>
  </w:style>
  <w:style w:type="paragraph" w:styleId="IndexHeading">
    <w:name w:val="index heading"/>
    <w:basedOn w:val="Normal"/>
    <w:next w:val="Index1"/>
    <w:semiHidden/>
  </w:style>
  <w:style w:type="character" w:styleId="LineNumber">
    <w:name w:val="line number"/>
    <w:basedOn w:val="DefaultParagraphFont"/>
  </w:style>
  <w:style w:type="paragraph" w:customStyle="1" w:styleId="Normalaftertitle">
    <w:name w:val="Normal after title"/>
    <w:basedOn w:val="Normal"/>
    <w:next w:val="Normal"/>
    <w:pPr>
      <w:spacing w:before="280"/>
    </w:pPr>
  </w:style>
  <w:style w:type="paragraph" w:customStyle="1" w:styleId="Note">
    <w:name w:val="Note"/>
    <w:basedOn w:val="Normal"/>
    <w:pPr>
      <w:tabs>
        <w:tab w:val="left" w:pos="284"/>
      </w:tabs>
      <w:spacing w:before="80"/>
    </w:pPr>
  </w:style>
  <w:style w:type="paragraph" w:customStyle="1" w:styleId="PartNo">
    <w:name w:val="Part_No"/>
    <w:basedOn w:val="AnnexNo"/>
    <w:next w:val="Normal"/>
  </w:style>
  <w:style w:type="paragraph" w:customStyle="1" w:styleId="Parttitle">
    <w:name w:val="Part_title"/>
    <w:basedOn w:val="Annextitle"/>
    <w:next w:val="Normalaftertitle"/>
  </w:style>
  <w:style w:type="paragraph" w:customStyle="1" w:styleId="RecNo">
    <w:name w:val="Rec_No"/>
    <w:basedOn w:val="Normal"/>
    <w:next w:val="Rectitle"/>
    <w:pPr>
      <w:keepNext/>
      <w:keepLines/>
      <w:spacing w:before="480"/>
      <w:jc w:val="center"/>
    </w:pPr>
    <w:rPr>
      <w:caps/>
      <w:sz w:val="28"/>
    </w:rPr>
  </w:style>
  <w:style w:type="paragraph" w:customStyle="1" w:styleId="Rectitle">
    <w:name w:val="Rec_title"/>
    <w:basedOn w:val="RecNo"/>
    <w:next w:val="Recref"/>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Recref"/>
    <w:next w:val="Normalaftertitle"/>
    <w:pPr>
      <w:jc w:val="right"/>
    </w:pPr>
    <w:rPr>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Questiontitle">
    <w:name w:val="Question_title"/>
    <w:basedOn w:val="Rectitle"/>
    <w:next w:val="Normal"/>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styleId="PageNumber">
    <w:name w:val="page number"/>
    <w:basedOn w:val="DefaultParagraphFont"/>
  </w:style>
  <w:style w:type="paragraph" w:customStyle="1" w:styleId="Reasons">
    <w:name w:val="Reasons"/>
    <w:basedOn w:val="Normal"/>
    <w:pPr>
      <w:tabs>
        <w:tab w:val="clear" w:pos="1871"/>
        <w:tab w:val="clear" w:pos="2268"/>
        <w:tab w:val="left" w:pos="1588"/>
        <w:tab w:val="left" w:pos="1985"/>
      </w:tabs>
    </w:pPr>
  </w:style>
  <w:style w:type="paragraph" w:customStyle="1" w:styleId="Border">
    <w:name w:val="Border"/>
    <w:basedOn w:val="Normal"/>
    <w:rsid w:val="002E701F"/>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character" w:styleId="CommentReference">
    <w:name w:val="annotation reference"/>
    <w:basedOn w:val="DefaultParagraphFont"/>
    <w:semiHidden/>
    <w:rPr>
      <w:sz w:val="16"/>
      <w:szCs w:val="16"/>
    </w:rPr>
  </w:style>
  <w:style w:type="paragraph" w:customStyle="1" w:styleId="Proposal">
    <w:name w:val="Proposal"/>
    <w:basedOn w:val="Normal"/>
    <w:next w:val="Normal"/>
    <w:rsid w:val="005F3B0E"/>
    <w:pPr>
      <w:keepNext/>
      <w:spacing w:before="240"/>
    </w:pPr>
    <w:rPr>
      <w:rFonts w:hAnsi="Times New Roman Bold"/>
      <w:b/>
    </w:rPr>
  </w:style>
  <w:style w:type="paragraph" w:styleId="CommentText">
    <w:name w:val="annotation text"/>
    <w:basedOn w:val="Normal"/>
    <w:semiHidden/>
    <w:rPr>
      <w:sz w:val="20"/>
    </w:rPr>
  </w:style>
  <w:style w:type="paragraph" w:customStyle="1" w:styleId="Figure">
    <w:name w:val="Figure"/>
    <w:basedOn w:val="Normal"/>
    <w:next w:val="Figuretitle"/>
    <w:pPr>
      <w:keepNext/>
      <w:keepLines/>
      <w:jc w:val="center"/>
    </w:pPr>
  </w:style>
  <w:style w:type="paragraph" w:customStyle="1" w:styleId="Agendaitem">
    <w:name w:val="Agenda_item"/>
    <w:basedOn w:val="Normal"/>
    <w:next w:val="Normalaftertitle"/>
    <w:qFormat/>
    <w:rsid w:val="002E701F"/>
    <w:pPr>
      <w:overflowPunct/>
      <w:autoSpaceDE/>
      <w:autoSpaceDN/>
      <w:adjustRightInd/>
      <w:spacing w:before="240"/>
      <w:jc w:val="center"/>
      <w:textAlignment w:val="auto"/>
    </w:pPr>
    <w:rPr>
      <w:sz w:val="28"/>
    </w:rPr>
  </w:style>
  <w:style w:type="paragraph" w:customStyle="1" w:styleId="Part1">
    <w:name w:val="Part_1"/>
    <w:basedOn w:val="Normal"/>
    <w:qFormat/>
    <w:rsid w:val="002E701F"/>
    <w:pPr>
      <w:tabs>
        <w:tab w:val="clear" w:pos="1134"/>
        <w:tab w:val="clear" w:pos="1871"/>
        <w:tab w:val="clear" w:pos="2268"/>
        <w:tab w:val="center" w:pos="4820"/>
      </w:tabs>
      <w:spacing w:before="360"/>
      <w:jc w:val="center"/>
    </w:pPr>
    <w:rPr>
      <w:b/>
    </w:rPr>
  </w:style>
  <w:style w:type="paragraph" w:customStyle="1" w:styleId="Normalend">
    <w:name w:val="Normal_end"/>
    <w:basedOn w:val="Normal"/>
    <w:qFormat/>
    <w:rsid w:val="007C2317"/>
  </w:style>
  <w:style w:type="paragraph" w:customStyle="1" w:styleId="ApptoAnnex">
    <w:name w:val="App_to_Annex"/>
    <w:basedOn w:val="AppendixNo"/>
    <w:qFormat/>
    <w:rsid w:val="007C2317"/>
  </w:style>
  <w:style w:type="character" w:customStyle="1" w:styleId="Tablefreq">
    <w:name w:val="Table_freq"/>
    <w:basedOn w:val="DefaultParagraphFont"/>
    <w:rsid w:val="00973754"/>
    <w:rPr>
      <w:b/>
      <w:color w:val="auto"/>
      <w:sz w:val="20"/>
    </w:rPr>
  </w:style>
  <w:style w:type="paragraph" w:customStyle="1" w:styleId="Tabletext">
    <w:name w:val="Table_text"/>
    <w:basedOn w:val="Normal"/>
    <w:rsid w:val="0097375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rsid w:val="00973754"/>
    <w:pPr>
      <w:keepNext/>
      <w:spacing w:before="80" w:after="80"/>
      <w:jc w:val="center"/>
    </w:pPr>
    <w:rPr>
      <w:b/>
    </w:rPr>
  </w:style>
  <w:style w:type="paragraph" w:customStyle="1" w:styleId="Tablelegend">
    <w:name w:val="Table_legend"/>
    <w:basedOn w:val="Tabletext"/>
    <w:rsid w:val="00973754"/>
    <w:pPr>
      <w:tabs>
        <w:tab w:val="clear" w:pos="284"/>
      </w:tabs>
      <w:spacing w:before="120"/>
    </w:pPr>
  </w:style>
  <w:style w:type="paragraph" w:customStyle="1" w:styleId="TableNo">
    <w:name w:val="Table_No"/>
    <w:basedOn w:val="Normal"/>
    <w:next w:val="Normal"/>
    <w:rsid w:val="00973754"/>
    <w:pPr>
      <w:keepNext/>
      <w:spacing w:before="560" w:after="120"/>
      <w:jc w:val="center"/>
    </w:pPr>
    <w:rPr>
      <w:caps/>
      <w:sz w:val="20"/>
    </w:rPr>
  </w:style>
  <w:style w:type="paragraph" w:customStyle="1" w:styleId="Tableref">
    <w:name w:val="Table_ref"/>
    <w:basedOn w:val="Normal"/>
    <w:next w:val="Normal"/>
    <w:rsid w:val="00973754"/>
    <w:pPr>
      <w:keepNext/>
      <w:spacing w:before="560"/>
      <w:jc w:val="center"/>
    </w:pPr>
    <w:rPr>
      <w:sz w:val="20"/>
    </w:rPr>
  </w:style>
  <w:style w:type="paragraph" w:customStyle="1" w:styleId="TableTextS5">
    <w:name w:val="Table_TextS5"/>
    <w:basedOn w:val="Normal"/>
    <w:rsid w:val="00766333"/>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title">
    <w:name w:val="Table_title"/>
    <w:basedOn w:val="Normal"/>
    <w:next w:val="Tabletext"/>
    <w:rsid w:val="00973754"/>
    <w:pPr>
      <w:keepNext/>
      <w:keepLines/>
      <w:spacing w:before="0" w:after="120"/>
      <w:jc w:val="center"/>
    </w:pPr>
    <w:rPr>
      <w:rFonts w:ascii="Times New Roman Bold" w:hAnsi="Times New Roman Bold"/>
      <w:b/>
      <w:sz w:val="20"/>
    </w:rPr>
  </w:style>
  <w:style w:type="paragraph" w:customStyle="1" w:styleId="Section1">
    <w:name w:val="Section_1"/>
    <w:basedOn w:val="Normal"/>
    <w:rsid w:val="004B124A"/>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4B124A"/>
    <w:rPr>
      <w:b w:val="0"/>
      <w:i/>
    </w:rPr>
  </w:style>
  <w:style w:type="paragraph" w:customStyle="1" w:styleId="Section3">
    <w:name w:val="Section_3"/>
    <w:basedOn w:val="Section1"/>
    <w:rsid w:val="004B124A"/>
    <w:rPr>
      <w:b w:val="0"/>
    </w:rPr>
  </w:style>
  <w:style w:type="paragraph" w:customStyle="1" w:styleId="SectionNo">
    <w:name w:val="Section_No"/>
    <w:basedOn w:val="AnnexNo"/>
    <w:next w:val="Normal"/>
    <w:rsid w:val="004B124A"/>
  </w:style>
  <w:style w:type="paragraph" w:customStyle="1" w:styleId="Sectiontitle">
    <w:name w:val="Section_title"/>
    <w:basedOn w:val="Annextitle"/>
    <w:next w:val="Normalaftertitle"/>
    <w:rsid w:val="004B124A"/>
  </w:style>
  <w:style w:type="paragraph" w:customStyle="1" w:styleId="Source">
    <w:name w:val="Source"/>
    <w:basedOn w:val="Normal"/>
    <w:next w:val="Normal"/>
    <w:rsid w:val="004B124A"/>
    <w:pPr>
      <w:spacing w:before="840"/>
      <w:jc w:val="center"/>
    </w:pPr>
    <w:rPr>
      <w:b/>
      <w:sz w:val="28"/>
    </w:rPr>
  </w:style>
  <w:style w:type="paragraph" w:customStyle="1" w:styleId="Title1">
    <w:name w:val="Title 1"/>
    <w:basedOn w:val="Source"/>
    <w:next w:val="Normal"/>
    <w:rsid w:val="00E262F1"/>
    <w:pPr>
      <w:tabs>
        <w:tab w:val="left" w:pos="567"/>
        <w:tab w:val="left" w:pos="1701"/>
        <w:tab w:val="left" w:pos="2835"/>
      </w:tabs>
      <w:spacing w:before="240"/>
    </w:pPr>
    <w:rPr>
      <w:b w:val="0"/>
      <w:caps/>
    </w:rPr>
  </w:style>
  <w:style w:type="paragraph" w:customStyle="1" w:styleId="Title2">
    <w:name w:val="Title 2"/>
    <w:basedOn w:val="Source"/>
    <w:next w:val="Normal"/>
    <w:rsid w:val="00E262F1"/>
    <w:pPr>
      <w:overflowPunct/>
      <w:autoSpaceDE/>
      <w:autoSpaceDN/>
      <w:adjustRightInd/>
      <w:spacing w:before="480"/>
      <w:textAlignment w:val="auto"/>
    </w:pPr>
    <w:rPr>
      <w:b w:val="0"/>
      <w:caps/>
    </w:rPr>
  </w:style>
  <w:style w:type="paragraph" w:customStyle="1" w:styleId="Title3">
    <w:name w:val="Title 3"/>
    <w:basedOn w:val="Title2"/>
    <w:next w:val="Normal"/>
    <w:rsid w:val="00E262F1"/>
    <w:pPr>
      <w:spacing w:before="240"/>
    </w:pPr>
    <w:rPr>
      <w:caps w:val="0"/>
    </w:rPr>
  </w:style>
  <w:style w:type="paragraph" w:customStyle="1" w:styleId="Title4">
    <w:name w:val="Title 4"/>
    <w:basedOn w:val="Title3"/>
    <w:next w:val="Heading1"/>
    <w:rsid w:val="00E262F1"/>
    <w:rPr>
      <w:b/>
    </w:rPr>
  </w:style>
  <w:style w:type="paragraph" w:customStyle="1" w:styleId="toc0">
    <w:name w:val="toc 0"/>
    <w:basedOn w:val="Normal"/>
    <w:next w:val="TOC1"/>
    <w:rsid w:val="00F8150C"/>
    <w:pPr>
      <w:tabs>
        <w:tab w:val="clear" w:pos="1134"/>
        <w:tab w:val="clear" w:pos="1871"/>
        <w:tab w:val="clear" w:pos="2268"/>
        <w:tab w:val="right" w:pos="9781"/>
      </w:tabs>
    </w:pPr>
    <w:rPr>
      <w:b/>
    </w:rPr>
  </w:style>
  <w:style w:type="paragraph" w:styleId="TOC1">
    <w:name w:val="toc 1"/>
    <w:basedOn w:val="Normal"/>
    <w:rsid w:val="00F8150C"/>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F8150C"/>
    <w:pPr>
      <w:spacing w:before="120"/>
    </w:pPr>
  </w:style>
  <w:style w:type="paragraph" w:styleId="TOC3">
    <w:name w:val="toc 3"/>
    <w:basedOn w:val="TOC2"/>
    <w:rsid w:val="00F8150C"/>
  </w:style>
  <w:style w:type="paragraph" w:styleId="TOC4">
    <w:name w:val="toc 4"/>
    <w:basedOn w:val="TOC3"/>
    <w:rsid w:val="00F8150C"/>
  </w:style>
  <w:style w:type="paragraph" w:styleId="TOC5">
    <w:name w:val="toc 5"/>
    <w:basedOn w:val="TOC4"/>
    <w:rsid w:val="00F8150C"/>
  </w:style>
  <w:style w:type="paragraph" w:styleId="TOC6">
    <w:name w:val="toc 6"/>
    <w:basedOn w:val="TOC4"/>
    <w:rsid w:val="00F8150C"/>
  </w:style>
  <w:style w:type="paragraph" w:styleId="TOC7">
    <w:name w:val="toc 7"/>
    <w:basedOn w:val="TOC4"/>
    <w:rsid w:val="00F8150C"/>
  </w:style>
  <w:style w:type="paragraph" w:styleId="TOC8">
    <w:name w:val="toc 8"/>
    <w:basedOn w:val="TOC4"/>
    <w:rsid w:val="00F8150C"/>
  </w:style>
  <w:style w:type="paragraph" w:customStyle="1" w:styleId="Partref">
    <w:name w:val="Part_ref"/>
    <w:basedOn w:val="Annexref"/>
    <w:next w:val="Parttitle"/>
    <w:rsid w:val="0032680B"/>
  </w:style>
  <w:style w:type="paragraph" w:customStyle="1" w:styleId="Questionref">
    <w:name w:val="Question_ref"/>
    <w:basedOn w:val="Recref"/>
    <w:next w:val="Questiondate"/>
    <w:rsid w:val="006D6E67"/>
  </w:style>
  <w:style w:type="paragraph" w:customStyle="1" w:styleId="Restitle">
    <w:name w:val="Res_title"/>
    <w:basedOn w:val="Rectitle"/>
    <w:next w:val="Resref"/>
    <w:rsid w:val="009E11EC"/>
  </w:style>
  <w:style w:type="paragraph" w:customStyle="1" w:styleId="SpecialFooter">
    <w:name w:val="Special Footer"/>
    <w:basedOn w:val="Footer"/>
    <w:rsid w:val="00262C09"/>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262C09"/>
  </w:style>
  <w:style w:type="paragraph" w:customStyle="1" w:styleId="AppArttitle">
    <w:name w:val="App_Art_title"/>
    <w:basedOn w:val="Arttitle"/>
    <w:next w:val="Normalaftertitle"/>
    <w:qFormat/>
    <w:rsid w:val="00163962"/>
  </w:style>
  <w:style w:type="paragraph" w:customStyle="1" w:styleId="AppArtNo">
    <w:name w:val="App_Art_No"/>
    <w:basedOn w:val="ArtNo"/>
    <w:next w:val="AppArttitle"/>
    <w:qFormat/>
    <w:rsid w:val="00163962"/>
  </w:style>
  <w:style w:type="paragraph" w:customStyle="1" w:styleId="Volumetitle">
    <w:name w:val="Volume_title"/>
    <w:basedOn w:val="ArtNo"/>
    <w:qFormat/>
    <w:rsid w:val="009144C9"/>
  </w:style>
  <w:style w:type="paragraph" w:customStyle="1" w:styleId="Committee">
    <w:name w:val="Committee"/>
    <w:basedOn w:val="Normal"/>
    <w:qFormat/>
    <w:rsid w:val="00624009"/>
    <w:pPr>
      <w:framePr w:hSpace="180" w:wrap="around" w:hAnchor="margin" w:y="-675"/>
      <w:tabs>
        <w:tab w:val="left" w:pos="851"/>
      </w:tabs>
      <w:spacing w:before="0" w:line="240" w:lineRule="atLeast"/>
    </w:pPr>
    <w:rPr>
      <w:rFonts w:ascii="Verdana" w:hAnsi="Verdana" w:cstheme="minorHAnsi"/>
      <w:b/>
      <w:sz w:val="20"/>
      <w:szCs w:val="24"/>
      <w:lang w:val="en-GB"/>
    </w:rPr>
  </w:style>
  <w:style w:type="paragraph" w:customStyle="1" w:styleId="Headingsplit">
    <w:name w:val="Heading_split"/>
    <w:basedOn w:val="Headingi"/>
    <w:next w:val="Normal"/>
    <w:qFormat/>
    <w:rsid w:val="004D2C7C"/>
    <w:rPr>
      <w:color w:val="000000"/>
    </w:rPr>
  </w:style>
  <w:style w:type="character" w:customStyle="1" w:styleId="Provsplit">
    <w:name w:val="Prov_split"/>
    <w:basedOn w:val="DefaultParagraphFont"/>
    <w:uiPriority w:val="1"/>
    <w:qFormat/>
    <w:rsid w:val="004D2C7C"/>
  </w:style>
  <w:style w:type="paragraph" w:customStyle="1" w:styleId="MethodHeadingb">
    <w:name w:val="Method_Headingb"/>
    <w:basedOn w:val="Headingb"/>
    <w:qFormat/>
    <w:rsid w:val="0019729C"/>
  </w:style>
  <w:style w:type="paragraph" w:customStyle="1" w:styleId="Methodheading1">
    <w:name w:val="Method_heading1"/>
    <w:basedOn w:val="Heading1"/>
    <w:next w:val="Normal"/>
    <w:qFormat/>
    <w:rsid w:val="002C1A52"/>
  </w:style>
  <w:style w:type="paragraph" w:customStyle="1" w:styleId="Methodheading2">
    <w:name w:val="Method_heading2"/>
    <w:basedOn w:val="Heading2"/>
    <w:next w:val="Normal"/>
    <w:qFormat/>
    <w:rsid w:val="002C1A52"/>
  </w:style>
  <w:style w:type="paragraph" w:customStyle="1" w:styleId="Methodheading3">
    <w:name w:val="Method_heading3"/>
    <w:basedOn w:val="Heading3"/>
    <w:next w:val="Normal"/>
    <w:qFormat/>
    <w:rsid w:val="002C1A52"/>
  </w:style>
  <w:style w:type="paragraph" w:customStyle="1" w:styleId="Methodheading4">
    <w:name w:val="Method_heading4"/>
    <w:basedOn w:val="Heading4"/>
    <w:next w:val="Normal"/>
    <w:qFormat/>
    <w:rsid w:val="002C1A52"/>
  </w:style>
  <w:style w:type="paragraph" w:styleId="BalloonText">
    <w:name w:val="Balloon Text"/>
    <w:basedOn w:val="Normal"/>
    <w:link w:val="BalloonTextChar"/>
    <w:semiHidden/>
    <w:unhideWhenUsed/>
    <w:rsid w:val="003E71AC"/>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E71AC"/>
    <w:rPr>
      <w:rFonts w:ascii="Segoe UI" w:hAnsi="Segoe UI" w:cs="Segoe UI"/>
      <w:sz w:val="18"/>
      <w:szCs w:val="18"/>
      <w:lang w:val="es-ES_tradnl" w:eastAsia="en-US"/>
    </w:rPr>
  </w:style>
  <w:style w:type="character" w:customStyle="1" w:styleId="FootnoteTextChar">
    <w:name w:val="Footnote Text Char"/>
    <w:basedOn w:val="DefaultParagraphFont"/>
    <w:link w:val="FootnoteText"/>
    <w:rsid w:val="003E71AC"/>
    <w:rPr>
      <w:rFonts w:ascii="Times New Roman" w:hAnsi="Times New Roman"/>
      <w:sz w:val="24"/>
      <w:lang w:val="es-ES_tradnl" w:eastAsia="en-US"/>
    </w:rPr>
  </w:style>
  <w:style w:type="character" w:styleId="Hyperlink">
    <w:name w:val="Hyperlink"/>
    <w:basedOn w:val="DefaultParagraphFont"/>
    <w:uiPriority w:val="99"/>
    <w:unhideWhenUsed/>
    <w:rsid w:val="003E71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digital.gov.ru/uploaded/files/prilozhenie--5-k-resheniyu-gkrch-18-47-0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R16-WRC19-C-0032!R1!MSW-S</DPM_x0020_File_x0020_name>
    <DPM_x0020_Author xmlns="32a1a8c5-2265-4ebc-b7a0-2071e2c5c9bb" xsi:nil="false">DPM</DPM_x0020_Author>
    <DPM_x0020_Version xmlns="32a1a8c5-2265-4ebc-b7a0-2071e2c5c9bb" xsi:nil="false">DPM_2019.10.01.01</DPM_x0020_Version>
    <_dlc_DocId xmlns="996b2e75-67fd-4955-a3b0-5ab9934cb50b">CJDSJNEQ73FR-44-26</_dlc_DocId>
    <_dlc_DocIdUrl xmlns="996b2e75-67fd-4955-a3b0-5ab9934cb50b">
      <Url>http://spdev11/en/gmpcs/_layouts/DocIdRedir.aspx?ID=CJDSJNEQ73FR-44-26</Url>
      <Description>CJDSJNEQ73FR-44-26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9F540-050B-4387-8A2E-DBF26751F1D9}">
  <ds:schemaRef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996b2e75-67fd-4955-a3b0-5ab9934cb50b"/>
    <ds:schemaRef ds:uri="32a1a8c5-2265-4ebc-b7a0-2071e2c5c9bb"/>
    <ds:schemaRef ds:uri="http://www.w3.org/XML/1998/namespace"/>
    <ds:schemaRef ds:uri="http://purl.org/dc/dcmitype/"/>
  </ds:schemaRefs>
</ds:datastoreItem>
</file>

<file path=customXml/itemProps2.xml><?xml version="1.0" encoding="utf-8"?>
<ds:datastoreItem xmlns:ds="http://schemas.openxmlformats.org/officeDocument/2006/customXml" ds:itemID="{2CF8841C-4C99-4FED-9DC5-CE991ED13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3CCF23-B591-4E25-9518-21E7CFF65DFA}">
  <ds:schemaRefs>
    <ds:schemaRef ds:uri="http://schemas.microsoft.com/sharepoint/events"/>
  </ds:schemaRefs>
</ds:datastoreItem>
</file>

<file path=customXml/itemProps4.xml><?xml version="1.0" encoding="utf-8"?>
<ds:datastoreItem xmlns:ds="http://schemas.openxmlformats.org/officeDocument/2006/customXml" ds:itemID="{0CE3EA1A-22A9-424A-B4DD-24279B59DDAA}">
  <ds:schemaRefs>
    <ds:schemaRef ds:uri="http://schemas.microsoft.com/sharepoint/v3/contenttype/forms"/>
  </ds:schemaRefs>
</ds:datastoreItem>
</file>

<file path=customXml/itemProps5.xml><?xml version="1.0" encoding="utf-8"?>
<ds:datastoreItem xmlns:ds="http://schemas.openxmlformats.org/officeDocument/2006/customXml" ds:itemID="{EE919EB6-8517-41EE-AB21-8E123B17F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14</Pages>
  <Words>2362</Words>
  <Characters>12397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R16-WRC19-C-0032!R1!MSW-S</vt:lpstr>
    </vt:vector>
  </TitlesOfParts>
  <Manager>Secretaría General - Pool</Manager>
  <Company>Unión Internacional de Telecomunicaciones (UIT)</Company>
  <LinksUpToDate>false</LinksUpToDate>
  <CharactersWithSpaces>14730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R16-WRC19-C-0032!R1!MSW-S</dc:title>
  <dc:subject>Conferencia Mundial de Radiocomunicaciones - 2019</dc:subject>
  <dc:creator>Documents Proposals Manager (DPM)</dc:creator>
  <cp:keywords>DPM_v2019.10.15.2_prod</cp:keywords>
  <dc:description/>
  <cp:lastModifiedBy>Spanish2</cp:lastModifiedBy>
  <cp:revision>27</cp:revision>
  <cp:lastPrinted>2003-02-19T20:20:00Z</cp:lastPrinted>
  <dcterms:created xsi:type="dcterms:W3CDTF">2019-10-24T11:42:00Z</dcterms:created>
  <dcterms:modified xsi:type="dcterms:W3CDTF">2019-10-25T00:08:00Z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add7aa17-fa7e-465d-ac10-95cdab21913b</vt:lpwstr>
  </property>
</Properties>
</file>