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0BCDB9AE" w14:textId="77777777" w:rsidTr="00DD20B1">
        <w:trPr>
          <w:cantSplit/>
        </w:trPr>
        <w:tc>
          <w:tcPr>
            <w:tcW w:w="6911" w:type="dxa"/>
          </w:tcPr>
          <w:p w14:paraId="46B9A586"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5B0FE4EA"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36F1537C" wp14:editId="631C946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68320FCB" w14:textId="77777777" w:rsidTr="00DD20B1">
        <w:trPr>
          <w:cantSplit/>
        </w:trPr>
        <w:tc>
          <w:tcPr>
            <w:tcW w:w="10031" w:type="dxa"/>
            <w:gridSpan w:val="2"/>
            <w:tcBorders>
              <w:bottom w:val="single" w:sz="12" w:space="0" w:color="auto"/>
            </w:tcBorders>
          </w:tcPr>
          <w:p w14:paraId="6E59056D"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2FEAF75B" w14:textId="77777777" w:rsidTr="00DD20B1">
        <w:trPr>
          <w:cantSplit/>
        </w:trPr>
        <w:tc>
          <w:tcPr>
            <w:tcW w:w="6911" w:type="dxa"/>
            <w:tcBorders>
              <w:top w:val="single" w:sz="12" w:space="0" w:color="auto"/>
            </w:tcBorders>
          </w:tcPr>
          <w:p w14:paraId="6394DFD8"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615C6065" w14:textId="77777777" w:rsidR="00C8286D" w:rsidRPr="00C324A8" w:rsidRDefault="00C8286D" w:rsidP="00C8286D">
            <w:pPr>
              <w:spacing w:before="0" w:line="240" w:lineRule="atLeast"/>
              <w:rPr>
                <w:rFonts w:ascii="Verdana" w:hAnsi="Verdana"/>
                <w:sz w:val="20"/>
              </w:rPr>
            </w:pPr>
          </w:p>
        </w:tc>
      </w:tr>
      <w:tr w:rsidR="00C8286D" w:rsidRPr="00C324A8" w14:paraId="02DDF2DA" w14:textId="77777777" w:rsidTr="00DD20B1">
        <w:trPr>
          <w:cantSplit/>
          <w:trHeight w:val="23"/>
        </w:trPr>
        <w:tc>
          <w:tcPr>
            <w:tcW w:w="6911" w:type="dxa"/>
            <w:vMerge w:val="restart"/>
          </w:tcPr>
          <w:p w14:paraId="642030C7" w14:textId="77777777" w:rsidR="00C8286D" w:rsidRPr="00C8286D" w:rsidRDefault="00C8286D"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3120" w:type="dxa"/>
          </w:tcPr>
          <w:p w14:paraId="41FC3083" w14:textId="436BF44D"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441F7E">
              <w:rPr>
                <w:rFonts w:ascii="Verdana" w:hAnsi="Verdana"/>
                <w:b/>
                <w:sz w:val="20"/>
              </w:rPr>
              <w:t>34</w:t>
            </w:r>
            <w:r>
              <w:rPr>
                <w:rFonts w:ascii="Verdana" w:hAnsi="Verdana"/>
                <w:b/>
                <w:sz w:val="20"/>
              </w:rPr>
              <w:t>-S</w:t>
            </w:r>
          </w:p>
        </w:tc>
      </w:tr>
      <w:tr w:rsidR="00C8286D" w:rsidRPr="00C324A8" w14:paraId="3E9DDFD3" w14:textId="77777777" w:rsidTr="00DD20B1">
        <w:trPr>
          <w:cantSplit/>
          <w:trHeight w:val="23"/>
        </w:trPr>
        <w:tc>
          <w:tcPr>
            <w:tcW w:w="6911" w:type="dxa"/>
            <w:vMerge/>
          </w:tcPr>
          <w:p w14:paraId="17BA3FD5" w14:textId="77777777" w:rsidR="00C8286D" w:rsidRPr="00C324A8" w:rsidRDefault="00C8286D" w:rsidP="00DD20B1">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5F2F8F6B" w14:textId="537099CA" w:rsidR="00C8286D" w:rsidRPr="00C8286D" w:rsidRDefault="00441F7E" w:rsidP="00C8286D">
            <w:pPr>
              <w:tabs>
                <w:tab w:val="left" w:pos="993"/>
              </w:tabs>
              <w:spacing w:before="0"/>
              <w:rPr>
                <w:rFonts w:ascii="Verdana" w:hAnsi="Verdana"/>
                <w:sz w:val="20"/>
              </w:rPr>
            </w:pPr>
            <w:r>
              <w:rPr>
                <w:rFonts w:ascii="Verdana" w:hAnsi="Verdana"/>
                <w:b/>
                <w:sz w:val="20"/>
              </w:rPr>
              <w:t>1</w:t>
            </w:r>
            <w:r w:rsidR="00C8286D">
              <w:rPr>
                <w:rFonts w:ascii="Verdana" w:hAnsi="Verdana"/>
                <w:b/>
                <w:sz w:val="20"/>
              </w:rPr>
              <w:t xml:space="preserve"> de </w:t>
            </w:r>
            <w:r>
              <w:rPr>
                <w:rFonts w:ascii="Verdana" w:hAnsi="Verdana"/>
                <w:b/>
                <w:sz w:val="20"/>
              </w:rPr>
              <w:t>octubre</w:t>
            </w:r>
            <w:r w:rsidR="00C8286D">
              <w:rPr>
                <w:rFonts w:ascii="Verdana" w:hAnsi="Verdana"/>
                <w:b/>
                <w:sz w:val="20"/>
              </w:rPr>
              <w:t xml:space="preserve"> de </w:t>
            </w:r>
            <w:r w:rsidR="00C8286D" w:rsidRPr="00E05783">
              <w:rPr>
                <w:rFonts w:ascii="Verdana" w:hAnsi="Verdana"/>
                <w:b/>
                <w:sz w:val="20"/>
              </w:rPr>
              <w:t>201</w:t>
            </w:r>
            <w:r w:rsidR="00573C96" w:rsidRPr="00E05783">
              <w:rPr>
                <w:rFonts w:ascii="Verdana" w:hAnsi="Verdana"/>
                <w:b/>
                <w:sz w:val="20"/>
              </w:rPr>
              <w:t>8</w:t>
            </w:r>
          </w:p>
        </w:tc>
      </w:tr>
      <w:tr w:rsidR="00C8286D" w:rsidRPr="00C324A8" w14:paraId="4878E387" w14:textId="77777777" w:rsidTr="00DD20B1">
        <w:trPr>
          <w:cantSplit/>
          <w:trHeight w:val="23"/>
        </w:trPr>
        <w:tc>
          <w:tcPr>
            <w:tcW w:w="6911" w:type="dxa"/>
            <w:vMerge/>
          </w:tcPr>
          <w:p w14:paraId="49A08754" w14:textId="77777777" w:rsidR="00C8286D" w:rsidRPr="00C324A8" w:rsidRDefault="00C8286D" w:rsidP="00DD20B1">
            <w:pPr>
              <w:tabs>
                <w:tab w:val="left" w:pos="851"/>
              </w:tabs>
              <w:spacing w:line="240" w:lineRule="atLeast"/>
              <w:rPr>
                <w:rFonts w:ascii="Verdana" w:hAnsi="Verdana"/>
                <w:b/>
                <w:sz w:val="20"/>
              </w:rPr>
            </w:pPr>
            <w:bookmarkStart w:id="5" w:name="dorlang" w:colFirst="1" w:colLast="1"/>
            <w:bookmarkEnd w:id="4"/>
          </w:p>
        </w:tc>
        <w:tc>
          <w:tcPr>
            <w:tcW w:w="3120" w:type="dxa"/>
          </w:tcPr>
          <w:p w14:paraId="2E748E03"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rsidRPr="00560A7D" w14:paraId="640DBEDD" w14:textId="77777777" w:rsidTr="00DD20B1">
        <w:trPr>
          <w:cantSplit/>
        </w:trPr>
        <w:tc>
          <w:tcPr>
            <w:tcW w:w="10031" w:type="dxa"/>
            <w:gridSpan w:val="2"/>
          </w:tcPr>
          <w:p w14:paraId="60BD9519" w14:textId="5D214F0A" w:rsidR="00C8286D" w:rsidRPr="00560A7D" w:rsidRDefault="00560A7D" w:rsidP="00DD20B1">
            <w:pPr>
              <w:pStyle w:val="Source"/>
              <w:rPr>
                <w:lang w:val="en-GB"/>
              </w:rPr>
            </w:pPr>
            <w:bookmarkStart w:id="6" w:name="dsource" w:colFirst="0" w:colLast="0"/>
            <w:bookmarkEnd w:id="5"/>
            <w:r w:rsidRPr="00560A7D">
              <w:rPr>
                <w:lang w:val="en-GB"/>
              </w:rPr>
              <w:t>Nota del Secretario General</w:t>
            </w:r>
          </w:p>
        </w:tc>
      </w:tr>
      <w:tr w:rsidR="00C8286D" w:rsidRPr="0019616A" w14:paraId="481A0FF4" w14:textId="77777777" w:rsidTr="00DD20B1">
        <w:trPr>
          <w:cantSplit/>
        </w:trPr>
        <w:tc>
          <w:tcPr>
            <w:tcW w:w="10031" w:type="dxa"/>
            <w:gridSpan w:val="2"/>
          </w:tcPr>
          <w:p w14:paraId="7E601BDE" w14:textId="3CC2E5B4" w:rsidR="00C8286D" w:rsidRPr="0019616A" w:rsidRDefault="0019616A" w:rsidP="00DD20B1">
            <w:pPr>
              <w:pStyle w:val="Title1"/>
              <w:rPr>
                <w:lang w:val="es-ES"/>
              </w:rPr>
            </w:pPr>
            <w:bookmarkStart w:id="7" w:name="dtitle1" w:colFirst="0" w:colLast="0"/>
            <w:bookmarkEnd w:id="6"/>
            <w:r w:rsidRPr="0019616A">
              <w:rPr>
                <w:lang w:val="es-ES"/>
              </w:rPr>
              <w:t xml:space="preserve">POSICIÓN DE LA OMM </w:t>
            </w:r>
            <w:r w:rsidR="00065EE8">
              <w:rPr>
                <w:lang w:val="es-ES"/>
              </w:rPr>
              <w:t>respecto de</w:t>
            </w:r>
            <w:r w:rsidRPr="0019616A">
              <w:rPr>
                <w:lang w:val="es-ES"/>
              </w:rPr>
              <w:t xml:space="preserve"> L</w:t>
            </w:r>
            <w:r>
              <w:rPr>
                <w:lang w:val="es-ES"/>
              </w:rPr>
              <w:t xml:space="preserve">A </w:t>
            </w:r>
            <w:r w:rsidR="004D1424">
              <w:rPr>
                <w:lang w:val="es-ES"/>
              </w:rPr>
              <w:t>CONFERENCIA</w:t>
            </w:r>
          </w:p>
        </w:tc>
      </w:tr>
      <w:tr w:rsidR="00C8286D" w:rsidRPr="0019616A" w14:paraId="5E517298" w14:textId="77777777" w:rsidTr="00DD20B1">
        <w:trPr>
          <w:cantSplit/>
        </w:trPr>
        <w:tc>
          <w:tcPr>
            <w:tcW w:w="10031" w:type="dxa"/>
            <w:gridSpan w:val="2"/>
          </w:tcPr>
          <w:p w14:paraId="2AE2EAAB" w14:textId="77777777" w:rsidR="00C8286D" w:rsidRPr="0019616A" w:rsidRDefault="00C8286D" w:rsidP="00DD20B1">
            <w:pPr>
              <w:pStyle w:val="Title2"/>
              <w:rPr>
                <w:lang w:val="es-ES"/>
              </w:rPr>
            </w:pPr>
            <w:bookmarkStart w:id="8" w:name="dtitle2" w:colFirst="0" w:colLast="0"/>
            <w:bookmarkEnd w:id="7"/>
          </w:p>
        </w:tc>
      </w:tr>
      <w:tr w:rsidR="00C8286D" w:rsidRPr="0019616A" w14:paraId="7E7BCAB0" w14:textId="77777777" w:rsidTr="00DD20B1">
        <w:trPr>
          <w:cantSplit/>
        </w:trPr>
        <w:tc>
          <w:tcPr>
            <w:tcW w:w="10031" w:type="dxa"/>
            <w:gridSpan w:val="2"/>
          </w:tcPr>
          <w:p w14:paraId="75A60E34" w14:textId="77777777" w:rsidR="00C8286D" w:rsidRPr="0019616A" w:rsidRDefault="00C8286D" w:rsidP="00DD20B1">
            <w:pPr>
              <w:pStyle w:val="Title3"/>
              <w:rPr>
                <w:lang w:val="es-ES"/>
              </w:rPr>
            </w:pPr>
            <w:bookmarkStart w:id="9" w:name="dtitle3" w:colFirst="0" w:colLast="0"/>
            <w:bookmarkEnd w:id="8"/>
          </w:p>
        </w:tc>
      </w:tr>
    </w:tbl>
    <w:bookmarkEnd w:id="9"/>
    <w:p w14:paraId="6E1BAE0E" w14:textId="6DD3F03A" w:rsidR="000E45E1" w:rsidRPr="00560A7D" w:rsidRDefault="00560A7D" w:rsidP="00E05783">
      <w:pPr>
        <w:pStyle w:val="Normalaftertitle"/>
        <w:rPr>
          <w:lang w:val="es-ES"/>
        </w:rPr>
      </w:pPr>
      <w:r w:rsidRPr="00560A7D">
        <w:rPr>
          <w:lang w:val="es-ES"/>
        </w:rPr>
        <w:t>A petición de la Organización Meteorológica Mundial (OMM), me complace poner en conocimiento de la Conferencia el documento informativo anexo.</w:t>
      </w:r>
    </w:p>
    <w:p w14:paraId="3C2D468E" w14:textId="7B365575" w:rsidR="00560A7D" w:rsidRDefault="00FB264D" w:rsidP="00FB264D">
      <w:pPr>
        <w:tabs>
          <w:tab w:val="clear" w:pos="1134"/>
          <w:tab w:val="clear" w:pos="1871"/>
          <w:tab w:val="clear" w:pos="2268"/>
          <w:tab w:val="center" w:pos="6237"/>
        </w:tabs>
        <w:spacing w:before="2880"/>
        <w:rPr>
          <w:lang w:val="en-GB"/>
        </w:rPr>
      </w:pPr>
      <w:r>
        <w:rPr>
          <w:lang w:val="en-GB"/>
        </w:rPr>
        <w:tab/>
      </w:r>
      <w:r w:rsidR="00560A7D" w:rsidRPr="00560A7D">
        <w:rPr>
          <w:lang w:val="en-GB"/>
        </w:rPr>
        <w:t>Houlin ZHAO</w:t>
      </w:r>
      <w:r>
        <w:rPr>
          <w:lang w:val="en-GB"/>
        </w:rPr>
        <w:br/>
      </w:r>
      <w:r>
        <w:rPr>
          <w:lang w:val="en-GB"/>
        </w:rPr>
        <w:tab/>
      </w:r>
      <w:proofErr w:type="spellStart"/>
      <w:r w:rsidR="00560A7D" w:rsidRPr="00560A7D">
        <w:rPr>
          <w:lang w:val="en-GB"/>
        </w:rPr>
        <w:t>Secretario</w:t>
      </w:r>
      <w:proofErr w:type="spellEnd"/>
      <w:r w:rsidR="00560A7D" w:rsidRPr="00560A7D">
        <w:rPr>
          <w:lang w:val="en-GB"/>
        </w:rPr>
        <w:t xml:space="preserve"> General</w:t>
      </w:r>
    </w:p>
    <w:p w14:paraId="65348F65" w14:textId="2C6DFF91" w:rsidR="008F33C4" w:rsidRDefault="008F33C4">
      <w:pPr>
        <w:tabs>
          <w:tab w:val="clear" w:pos="1134"/>
          <w:tab w:val="clear" w:pos="1871"/>
          <w:tab w:val="clear" w:pos="2268"/>
        </w:tabs>
        <w:overflowPunct/>
        <w:autoSpaceDE/>
        <w:autoSpaceDN/>
        <w:adjustRightInd/>
        <w:spacing w:before="0"/>
        <w:textAlignment w:val="auto"/>
        <w:rPr>
          <w:lang w:val="en-GB"/>
        </w:rPr>
      </w:pPr>
      <w:r>
        <w:rPr>
          <w:lang w:val="en-GB"/>
        </w:rPr>
        <w:br w:type="page"/>
      </w:r>
    </w:p>
    <w:tbl>
      <w:tblPr>
        <w:tblW w:w="9389" w:type="dxa"/>
        <w:tblInd w:w="-106" w:type="dxa"/>
        <w:tblBorders>
          <w:bottom w:val="single" w:sz="4" w:space="0" w:color="auto"/>
        </w:tblBorders>
        <w:tblLook w:val="0000" w:firstRow="0" w:lastRow="0" w:firstColumn="0" w:lastColumn="0" w:noHBand="0" w:noVBand="0"/>
      </w:tblPr>
      <w:tblGrid>
        <w:gridCol w:w="6912"/>
        <w:gridCol w:w="2477"/>
      </w:tblGrid>
      <w:tr w:rsidR="008D15C6" w:rsidRPr="004D1424" w14:paraId="47B3E680" w14:textId="77777777" w:rsidTr="00DD20B1">
        <w:trPr>
          <w:cantSplit/>
          <w:trHeight w:val="282"/>
        </w:trPr>
        <w:tc>
          <w:tcPr>
            <w:tcW w:w="6912" w:type="dxa"/>
            <w:vMerge w:val="restart"/>
          </w:tcPr>
          <w:p w14:paraId="3759D069" w14:textId="0F40DD3E" w:rsidR="008D15C6" w:rsidRPr="004D1424" w:rsidRDefault="008D15C6" w:rsidP="00DD20B1">
            <w:pPr>
              <w:tabs>
                <w:tab w:val="left" w:pos="6946"/>
              </w:tabs>
              <w:suppressAutoHyphens/>
              <w:spacing w:after="120" w:line="252" w:lineRule="auto"/>
              <w:ind w:left="1134"/>
              <w:rPr>
                <w:b/>
                <w:bCs/>
                <w:color w:val="365F91"/>
                <w:lang w:val="es-ES"/>
              </w:rPr>
            </w:pPr>
            <w:r w:rsidRPr="00876FC2">
              <w:rPr>
                <w:noProof/>
                <w:lang w:val="en-US" w:eastAsia="zh-CN"/>
              </w:rPr>
              <w:lastRenderedPageBreak/>
              <w:drawing>
                <wp:anchor distT="0" distB="0" distL="114300" distR="114300" simplePos="0" relativeHeight="251659264" behindDoc="1" locked="1" layoutInCell="1" allowOverlap="1" wp14:anchorId="6A784A3B" wp14:editId="23C49AD8">
                  <wp:simplePos x="0" y="0"/>
                  <wp:positionH relativeFrom="page">
                    <wp:posOffset>8255</wp:posOffset>
                  </wp:positionH>
                  <wp:positionV relativeFrom="page">
                    <wp:posOffset>-13970</wp:posOffset>
                  </wp:positionV>
                  <wp:extent cx="613410" cy="6731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004D1424" w:rsidRPr="004D1424">
              <w:rPr>
                <w:b/>
                <w:bCs/>
                <w:color w:val="365F91"/>
                <w:lang w:val="es-ES"/>
              </w:rPr>
              <w:t>Organización Meteorológica Mundial</w:t>
            </w:r>
          </w:p>
          <w:p w14:paraId="0B9D2AC8" w14:textId="0D87D4B9" w:rsidR="008D15C6" w:rsidRPr="004D1424" w:rsidRDefault="004D1424" w:rsidP="00DD20B1">
            <w:pPr>
              <w:tabs>
                <w:tab w:val="left" w:pos="6946"/>
              </w:tabs>
              <w:suppressAutoHyphens/>
              <w:spacing w:after="120" w:line="252" w:lineRule="auto"/>
              <w:ind w:left="1134"/>
              <w:rPr>
                <w:b/>
                <w:bCs/>
                <w:color w:val="365F91"/>
                <w:spacing w:val="-2"/>
                <w:lang w:val="es-ES"/>
              </w:rPr>
            </w:pPr>
            <w:r w:rsidRPr="004D1424">
              <w:rPr>
                <w:b/>
                <w:bCs/>
                <w:color w:val="365F91"/>
                <w:spacing w:val="-2"/>
                <w:lang w:val="es-ES"/>
              </w:rPr>
              <w:t>COMISIÓN DE SIS</w:t>
            </w:r>
            <w:r>
              <w:rPr>
                <w:b/>
                <w:bCs/>
                <w:color w:val="365F91"/>
                <w:spacing w:val="-2"/>
                <w:lang w:val="es-ES"/>
              </w:rPr>
              <w:t>T</w:t>
            </w:r>
            <w:r w:rsidRPr="004D1424">
              <w:rPr>
                <w:b/>
                <w:bCs/>
                <w:color w:val="365F91"/>
                <w:spacing w:val="-2"/>
                <w:lang w:val="es-ES"/>
              </w:rPr>
              <w:t>EMAS BÁSICOS</w:t>
            </w:r>
          </w:p>
          <w:p w14:paraId="277EFDF2" w14:textId="55EE61B7" w:rsidR="008D15C6" w:rsidRPr="004D1424" w:rsidRDefault="004D1424" w:rsidP="00DD20B1">
            <w:pPr>
              <w:tabs>
                <w:tab w:val="left" w:pos="6946"/>
              </w:tabs>
              <w:suppressAutoHyphens/>
              <w:spacing w:after="120" w:line="252" w:lineRule="auto"/>
              <w:ind w:left="1134"/>
              <w:rPr>
                <w:b/>
                <w:bCs/>
                <w:snapToGrid w:val="0"/>
                <w:color w:val="365F91"/>
                <w:lang w:val="es-ES"/>
              </w:rPr>
            </w:pPr>
            <w:r w:rsidRPr="004D1424">
              <w:rPr>
                <w:b/>
                <w:bCs/>
                <w:snapToGrid w:val="0"/>
                <w:color w:val="365F91"/>
                <w:lang w:val="es-ES"/>
              </w:rPr>
              <w:t xml:space="preserve">Grupo director sobre la coordinación </w:t>
            </w:r>
            <w:r w:rsidR="00A43CAF">
              <w:rPr>
                <w:b/>
                <w:bCs/>
                <w:snapToGrid w:val="0"/>
                <w:color w:val="365F91"/>
                <w:lang w:val="es-ES"/>
              </w:rPr>
              <w:br/>
            </w:r>
            <w:r w:rsidRPr="004D1424">
              <w:rPr>
                <w:b/>
                <w:bCs/>
                <w:snapToGrid w:val="0"/>
                <w:color w:val="365F91"/>
                <w:lang w:val="es-ES"/>
              </w:rPr>
              <w:t>de las frecuencias radioeléctricas</w:t>
            </w:r>
          </w:p>
        </w:tc>
        <w:tc>
          <w:tcPr>
            <w:tcW w:w="2477" w:type="dxa"/>
          </w:tcPr>
          <w:p w14:paraId="4DE0E4BC" w14:textId="77777777" w:rsidR="008D15C6" w:rsidRPr="004D1424" w:rsidRDefault="008D15C6" w:rsidP="00DD20B1">
            <w:pPr>
              <w:spacing w:after="60"/>
              <w:ind w:right="136"/>
              <w:jc w:val="right"/>
              <w:rPr>
                <w:b/>
                <w:bCs/>
                <w:color w:val="365F91"/>
                <w:lang w:val="es-ES"/>
              </w:rPr>
            </w:pPr>
          </w:p>
        </w:tc>
      </w:tr>
      <w:tr w:rsidR="008D15C6" w:rsidRPr="004D1424" w14:paraId="4E2487BD" w14:textId="77777777" w:rsidTr="00DD20B1">
        <w:trPr>
          <w:cantSplit/>
          <w:trHeight w:val="730"/>
        </w:trPr>
        <w:tc>
          <w:tcPr>
            <w:tcW w:w="6912" w:type="dxa"/>
            <w:vMerge/>
          </w:tcPr>
          <w:p w14:paraId="5B9E8D0C" w14:textId="77777777" w:rsidR="008D15C6" w:rsidRPr="004D1424" w:rsidRDefault="008D15C6" w:rsidP="00DD20B1">
            <w:pPr>
              <w:tabs>
                <w:tab w:val="left" w:pos="6946"/>
              </w:tabs>
              <w:suppressAutoHyphens/>
              <w:spacing w:after="120" w:line="252" w:lineRule="auto"/>
              <w:ind w:left="1134"/>
              <w:rPr>
                <w:rFonts w:ascii="Arial" w:hAnsi="Arial" w:cs="Arial"/>
                <w:noProof/>
                <w:color w:val="365F91"/>
                <w:lang w:val="es-ES" w:eastAsia="zh-CN"/>
              </w:rPr>
            </w:pPr>
          </w:p>
        </w:tc>
        <w:tc>
          <w:tcPr>
            <w:tcW w:w="2477" w:type="dxa"/>
          </w:tcPr>
          <w:p w14:paraId="6C95E950" w14:textId="77777777" w:rsidR="008D15C6" w:rsidRPr="004D1424" w:rsidRDefault="008D15C6" w:rsidP="00DD20B1">
            <w:pPr>
              <w:spacing w:after="60"/>
              <w:ind w:right="-108"/>
              <w:jc w:val="right"/>
              <w:rPr>
                <w:rFonts w:ascii="Tahoma" w:hAnsi="Tahoma" w:cs="Tahoma"/>
                <w:b/>
                <w:bCs/>
                <w:color w:val="365F91"/>
                <w:lang w:val="es-ES"/>
              </w:rPr>
            </w:pPr>
          </w:p>
        </w:tc>
      </w:tr>
    </w:tbl>
    <w:p w14:paraId="12F22A68" w14:textId="2DECB8E3" w:rsidR="008F33C4" w:rsidRDefault="00F06D1B" w:rsidP="00A43CAF">
      <w:pPr>
        <w:pStyle w:val="Annextitle"/>
        <w:rPr>
          <w:lang w:val="es-ES"/>
        </w:rPr>
      </w:pPr>
      <w:r w:rsidRPr="006B3C3B">
        <w:rPr>
          <w:lang w:val="es-ES"/>
        </w:rPr>
        <w:t xml:space="preserve">Posición de la OMM respecto </w:t>
      </w:r>
      <w:r>
        <w:rPr>
          <w:lang w:val="es-ES"/>
        </w:rPr>
        <w:br/>
      </w:r>
      <w:r w:rsidR="00242BA4" w:rsidRPr="006B3C3B">
        <w:rPr>
          <w:lang w:val="es-ES"/>
        </w:rPr>
        <w:t xml:space="preserve">del orden del día de la </w:t>
      </w:r>
      <w:r w:rsidRPr="006B3C3B">
        <w:rPr>
          <w:lang w:val="es-ES"/>
        </w:rPr>
        <w:t>CMR-19</w:t>
      </w:r>
    </w:p>
    <w:p w14:paraId="74DFEBE0" w14:textId="77777777" w:rsidR="002C4609" w:rsidRPr="002C4609" w:rsidRDefault="002C4609" w:rsidP="00A43CAF">
      <w:pPr>
        <w:pStyle w:val="Heading1"/>
        <w:rPr>
          <w:lang w:val="es-ES"/>
        </w:rPr>
      </w:pPr>
      <w:r w:rsidRPr="002C4609">
        <w:rPr>
          <w:lang w:val="es-ES"/>
        </w:rPr>
        <w:t>1</w:t>
      </w:r>
      <w:r w:rsidRPr="002C4609">
        <w:rPr>
          <w:lang w:val="es-ES"/>
        </w:rPr>
        <w:tab/>
        <w:t>Introducción</w:t>
      </w:r>
    </w:p>
    <w:p w14:paraId="081CD232" w14:textId="25393B11" w:rsidR="00EE429E" w:rsidRDefault="002C4609" w:rsidP="00627916">
      <w:r w:rsidRPr="002C4609">
        <w:t>Al adoptar la Agenda 2030 para el Desarrollo Sostenible, los líderes mundiales convinieron en la necesidad de contar con un marco mundial de indicadores para avanzar hacia el logro de los</w:t>
      </w:r>
      <w:r>
        <w:t> </w:t>
      </w:r>
      <w:r w:rsidRPr="002C4609">
        <w:t>17</w:t>
      </w:r>
      <w:r>
        <w:t> </w:t>
      </w:r>
      <w:r w:rsidRPr="002C4609">
        <w:t>Objetivos de Desarrollo Sostenible (ODS) y sus 169 metas asociadas.</w:t>
      </w:r>
      <w:r w:rsidR="00EE429E" w:rsidRPr="00EE429E">
        <w:t xml:space="preserve"> </w:t>
      </w:r>
      <w:r w:rsidR="00943AAD">
        <w:t>Los servicios meteorológicos</w:t>
      </w:r>
      <w:r w:rsidR="00EE429E" w:rsidRPr="00EE429E">
        <w:t xml:space="preserve"> desempeña</w:t>
      </w:r>
      <w:r w:rsidR="00943AAD">
        <w:t>n</w:t>
      </w:r>
      <w:r w:rsidR="00EE429E" w:rsidRPr="00EE429E">
        <w:t xml:space="preserve"> una función </w:t>
      </w:r>
      <w:r w:rsidR="00943AAD">
        <w:t>primordial en relación con la</w:t>
      </w:r>
      <w:r w:rsidR="00EE429E" w:rsidRPr="00EE429E">
        <w:t xml:space="preserve"> mayoría de los ODS,</w:t>
      </w:r>
      <w:r w:rsidR="00EE429E">
        <w:t xml:space="preserve"> </w:t>
      </w:r>
      <w:r w:rsidR="00EE429E" w:rsidRPr="00EE429E">
        <w:t>por ejemplo, Hambre cero, Vida de ecosistemas</w:t>
      </w:r>
      <w:r w:rsidR="00EE429E">
        <w:t xml:space="preserve"> </w:t>
      </w:r>
      <w:r w:rsidR="00EE429E" w:rsidRPr="00EE429E">
        <w:t>terrestres y Ciudades y comunidades sostenibles. La</w:t>
      </w:r>
      <w:r w:rsidR="00EE429E">
        <w:t xml:space="preserve"> </w:t>
      </w:r>
      <w:r w:rsidR="00943AAD">
        <w:t>predicción numérica del tiempo, basada en los servicios meteorológicos, constituye</w:t>
      </w:r>
      <w:r w:rsidR="00EE429E" w:rsidRPr="00EE429E">
        <w:t xml:space="preserve"> uno de los </w:t>
      </w:r>
      <w:r w:rsidR="00943AAD">
        <w:t>medios</w:t>
      </w:r>
      <w:r w:rsidR="00EE429E" w:rsidRPr="00EE429E">
        <w:t xml:space="preserve"> fundamentales </w:t>
      </w:r>
      <w:r w:rsidR="00943AAD">
        <w:t xml:space="preserve">para reducir sustancialmente </w:t>
      </w:r>
      <w:r w:rsidR="00EE429E" w:rsidRPr="00EE429E">
        <w:t xml:space="preserve">el riesgo de </w:t>
      </w:r>
      <w:r w:rsidR="00943AAD">
        <w:t>catástrofes</w:t>
      </w:r>
      <w:r w:rsidR="00EE429E" w:rsidRPr="00EE429E">
        <w:t xml:space="preserve"> y </w:t>
      </w:r>
      <w:r w:rsidR="00943AAD">
        <w:t xml:space="preserve">las </w:t>
      </w:r>
      <w:r w:rsidR="00EE429E" w:rsidRPr="00EE429E">
        <w:t xml:space="preserve">pérdidas ocasionadas por </w:t>
      </w:r>
      <w:r w:rsidR="00943AAD">
        <w:t>estas en materia de v</w:t>
      </w:r>
      <w:r w:rsidR="00EE429E" w:rsidRPr="00EE429E">
        <w:t>idas</w:t>
      </w:r>
      <w:r w:rsidR="00943AAD">
        <w:t xml:space="preserve"> humanas</w:t>
      </w:r>
      <w:r w:rsidR="00EE429E" w:rsidRPr="00EE429E">
        <w:t>, medios de subsistencia y salud</w:t>
      </w:r>
      <w:r w:rsidR="00943AAD">
        <w:t>, así como de</w:t>
      </w:r>
      <w:r w:rsidR="00EE429E" w:rsidRPr="00EE429E">
        <w:t xml:space="preserve"> bienes económicos, físicos, sociales, culturales</w:t>
      </w:r>
      <w:r w:rsidR="00EE429E">
        <w:t xml:space="preserve"> </w:t>
      </w:r>
      <w:r w:rsidR="00EE429E" w:rsidRPr="00EE429E">
        <w:t xml:space="preserve">y </w:t>
      </w:r>
      <w:r w:rsidR="00943AAD">
        <w:t>medio</w:t>
      </w:r>
      <w:r w:rsidR="00EE429E" w:rsidRPr="00EE429E">
        <w:t xml:space="preserve">ambientales de personas, empresas, comunidades y países, </w:t>
      </w:r>
      <w:r w:rsidR="00943AAD">
        <w:t>a tenor de lo establecido</w:t>
      </w:r>
      <w:r w:rsidR="00EE429E" w:rsidRPr="00EE429E">
        <w:t xml:space="preserve"> en el</w:t>
      </w:r>
      <w:r w:rsidR="00EE429E">
        <w:t xml:space="preserve"> </w:t>
      </w:r>
      <w:r w:rsidR="00EE429E" w:rsidRPr="00EE429E">
        <w:t>Marco de Send</w:t>
      </w:r>
      <w:r w:rsidR="00943AAD">
        <w:t>a</w:t>
      </w:r>
      <w:r w:rsidR="00EE429E" w:rsidRPr="00EE429E">
        <w:t xml:space="preserve">i </w:t>
      </w:r>
      <w:r w:rsidR="00943AAD" w:rsidRPr="00EE429E">
        <w:t xml:space="preserve">de las Naciones Unidas </w:t>
      </w:r>
      <w:r w:rsidR="00EE429E" w:rsidRPr="00EE429E">
        <w:t xml:space="preserve">para la </w:t>
      </w:r>
      <w:r w:rsidR="00943AAD">
        <w:t>r</w:t>
      </w:r>
      <w:r w:rsidR="00EE429E" w:rsidRPr="00EE429E">
        <w:t xml:space="preserve">educción del </w:t>
      </w:r>
      <w:r w:rsidR="00943AAD">
        <w:t>r</w:t>
      </w:r>
      <w:r w:rsidR="00EE429E" w:rsidRPr="00EE429E">
        <w:t>iesgo de</w:t>
      </w:r>
      <w:r w:rsidR="00EE429E">
        <w:t xml:space="preserve"> </w:t>
      </w:r>
      <w:r w:rsidR="00943AAD">
        <w:t>catástrofes</w:t>
      </w:r>
      <w:r w:rsidR="00EE429E">
        <w:t>.</w:t>
      </w:r>
    </w:p>
    <w:p w14:paraId="4D68F90B" w14:textId="04379E17" w:rsidR="002C4609" w:rsidRPr="002C4609" w:rsidRDefault="002C4609" w:rsidP="00A43CAF">
      <w:pPr>
        <w:rPr>
          <w:lang w:val="es-ES"/>
        </w:rPr>
      </w:pPr>
      <w:r w:rsidRPr="002C4609">
        <w:rPr>
          <w:lang w:val="es-ES"/>
        </w:rPr>
        <w:t>La alerta oportuna de catástrofes naturales y medioambientales inminentes, la predicción exacta del clima y la comprensión detallada del estado de los recursos hídricos globales son cuestiones diarias de importancia capital para la comunidad mundial. En todo el mundo, los servicios meteorológicos e hidrológicos nacionales son responsables de proporcionar esta información, que se necesita para la protección del medio ambiente, el desarrollo económico (transporte, energía, agricultura</w:t>
      </w:r>
      <w:r w:rsidR="00627916">
        <w:rPr>
          <w:lang w:val="es-ES"/>
        </w:rPr>
        <w:t>, etc.</w:t>
      </w:r>
      <w:r w:rsidRPr="002C4609">
        <w:rPr>
          <w:lang w:val="es-ES"/>
        </w:rPr>
        <w:t>) y la seguridad de la vida y la propiedad.</w:t>
      </w:r>
    </w:p>
    <w:p w14:paraId="4F2700D3" w14:textId="77777777" w:rsidR="002C4609" w:rsidRPr="002C4609" w:rsidRDefault="002C4609" w:rsidP="00A43CAF">
      <w:pPr>
        <w:rPr>
          <w:lang w:val="es-ES"/>
        </w:rPr>
      </w:pPr>
      <w:r w:rsidRPr="002C4609">
        <w:rPr>
          <w:lang w:val="es-ES"/>
        </w:rPr>
        <w:t>Las radiofrecuencias son recursos esenciales y escasos que utilizan los servicios meteorológicos e hidrológicos nacionales para medir y recopilar datos de observaciones en los que se basan o procesan los análisis y predicciones, incluidas las alertas, y para divulgar esa información a los gobiernos, las instancias normativas, las organizaciones encargadas de la gestión de catástrofes, las empresas comerciales y el público en general.</w:t>
      </w:r>
    </w:p>
    <w:p w14:paraId="265772B9" w14:textId="77777777" w:rsidR="002C4609" w:rsidRPr="002C4609" w:rsidRDefault="002C4609" w:rsidP="00A43CAF">
      <w:pPr>
        <w:rPr>
          <w:lang w:val="es-ES"/>
        </w:rPr>
      </w:pPr>
      <w:r w:rsidRPr="002C4609">
        <w:rPr>
          <w:lang w:val="es-ES"/>
        </w:rPr>
        <w:t>Actualmente, la teledetección radioeléctrica (activa y pasiva) es la principal herramienta para la vigilancia del clima y el medioambiente, la predicción de catástrofes y la detección y mitigación de los efectos negativos de las mismas. Los sensores de telemedida obtienen datos medioambientales mediante la medición del nivel y de los parámetros de las ondas radioeléctricas naturales y artificiales que de forma natural contienen información del medioambiente con el que han estado en contacto. El eje del sistema mundial integrado de observación de la Organización Meteorológica Mundial (OMM) está formado por sensores de telemedida terrestres y espaciales (WIGOS).</w:t>
      </w:r>
    </w:p>
    <w:p w14:paraId="03D8F568" w14:textId="714D1A17" w:rsidR="002C4609" w:rsidRPr="002C4609" w:rsidRDefault="002C4609" w:rsidP="00187A72">
      <w:pPr>
        <w:rPr>
          <w:bCs/>
          <w:lang w:val="es-ES"/>
        </w:rPr>
      </w:pPr>
      <w:r w:rsidRPr="002C4609">
        <w:rPr>
          <w:lang w:val="es-ES"/>
        </w:rPr>
        <w:t>Los sistemas de información de la OMM también hacen un uso muy importante de sistemas de radiocomunicaciones y del espectro radioeléctrico y aunque también recurren a servicios ofrecidos comercialmente, tales como satélites de comunicaciones para la distribución de datos, los sistemas de radiocomunicaciones para la meteorología con un componente fundamental e indispensable del conjunto de datos críticos y de los sistemas de distribución de información de la OMM (por ejemplo, las transmisiones Tierra</w:t>
      </w:r>
      <w:r w:rsidR="000B3A68">
        <w:rPr>
          <w:lang w:val="es-ES"/>
        </w:rPr>
        <w:t>-</w:t>
      </w:r>
      <w:r w:rsidRPr="002C4609">
        <w:rPr>
          <w:lang w:val="es-ES"/>
        </w:rPr>
        <w:t xml:space="preserve">espacio y espacio-Tierra). Los Miembros de la OMM de zonas aisladas y distantes son especialmente dependientes de dichos servicios especiales y se beneficiarán </w:t>
      </w:r>
      <w:r w:rsidRPr="002C4609">
        <w:rPr>
          <w:lang w:val="es-ES"/>
        </w:rPr>
        <w:lastRenderedPageBreak/>
        <w:t>de muchas de las nuevas iniciativas, como la banda ancha inalámbrica, que hacen especial énfasis en la demanda de anchura de banda radioeléctrica.</w:t>
      </w:r>
    </w:p>
    <w:p w14:paraId="354B5439" w14:textId="4DE6FE9F" w:rsidR="002C4609" w:rsidRPr="002C4609" w:rsidRDefault="002C4609" w:rsidP="00A43CAF">
      <w:pPr>
        <w:rPr>
          <w:lang w:val="es-ES"/>
        </w:rPr>
      </w:pPr>
      <w:r w:rsidRPr="002C4609">
        <w:rPr>
          <w:lang w:val="es-ES"/>
        </w:rPr>
        <w:t xml:space="preserve">El Informe del Sector de Radiocomunicaciones de la Unión Internacional de Telecomunicaciones (UIT-R) RS.2178, mencionado en la Resolución </w:t>
      </w:r>
      <w:r w:rsidRPr="002C4609">
        <w:rPr>
          <w:b/>
          <w:bCs/>
          <w:lang w:val="es-ES"/>
        </w:rPr>
        <w:t>673</w:t>
      </w:r>
      <w:r w:rsidR="009C048A" w:rsidRPr="008F2802">
        <w:rPr>
          <w:b/>
          <w:bCs/>
          <w:lang w:val="es-ES"/>
        </w:rPr>
        <w:t xml:space="preserve"> (Rev.CMR</w:t>
      </w:r>
      <w:r w:rsidR="009C048A" w:rsidRPr="008F2802">
        <w:rPr>
          <w:b/>
          <w:bCs/>
          <w:lang w:val="es-ES"/>
        </w:rPr>
        <w:noBreakHyphen/>
        <w:t>12)</w:t>
      </w:r>
      <w:r w:rsidRPr="002C4609">
        <w:rPr>
          <w:lang w:val="es-ES"/>
        </w:rPr>
        <w:t>, relativa a la «Importancia de las aplicaciones de radiocomunicaciones para la observación de la Tierra», concluye en particular que:</w:t>
      </w:r>
    </w:p>
    <w:p w14:paraId="25EAE673" w14:textId="442766B2" w:rsidR="002C4609" w:rsidRPr="002C4609" w:rsidRDefault="002C4609" w:rsidP="00A43CAF">
      <w:pPr>
        <w:rPr>
          <w:bCs/>
          <w:lang w:val="es-ES"/>
        </w:rPr>
      </w:pPr>
      <w:r w:rsidRPr="002C4609">
        <w:rPr>
          <w:lang w:val="es-ES"/>
        </w:rPr>
        <w:t xml:space="preserve">«La mayor parte del valor para la sociedad es inconmensurable en términos financieros, puesto que se trata de evitar grandes pérdidas de vidas o amenazas a la estabilidad y la seguridad sociopolíticas. </w:t>
      </w:r>
      <w:r w:rsidR="00A33265">
        <w:rPr>
          <w:lang w:val="es-ES"/>
        </w:rPr>
        <w:t>E</w:t>
      </w:r>
      <w:r w:rsidRPr="002C4609">
        <w:rPr>
          <w:lang w:val="es-ES"/>
        </w:rPr>
        <w:t>l uso científico del espectro también tiene un efecto directo en muchos ámbitos económicos y en la generación de subproductos tecnológicos y desarrollos económicos en energía, transportes, agricultura, comunicaciones, medicina, etc.»</w:t>
      </w:r>
      <w:r w:rsidR="001675CE">
        <w:rPr>
          <w:lang w:val="es-ES"/>
        </w:rPr>
        <w:t>.</w:t>
      </w:r>
    </w:p>
    <w:p w14:paraId="3F979827" w14:textId="77777777" w:rsidR="002C4609" w:rsidRPr="002C4609" w:rsidRDefault="002C4609" w:rsidP="00A43CAF">
      <w:pPr>
        <w:rPr>
          <w:lang w:val="es-ES"/>
        </w:rPr>
      </w:pPr>
      <w:r w:rsidRPr="002C4609">
        <w:rPr>
          <w:lang w:val="es-ES"/>
        </w:rPr>
        <w:t>La creación de nuevas aplicaciones radioeléctricas y de tecnologías inalámbricas, con un valor añadido y destinadas a un mercado masivo, aumenta la presión sobre las bandas de frecuencias utilizadas para fines meteorológicos. Ello entraña el riesgo de que las aplicaciones meteorológicas puedan verse limitadas en el futuro.</w:t>
      </w:r>
    </w:p>
    <w:p w14:paraId="35B4E9DC" w14:textId="3054E7A2" w:rsidR="002C4609" w:rsidRPr="002C4609" w:rsidRDefault="002C4609" w:rsidP="000B3A68">
      <w:pPr>
        <w:rPr>
          <w:lang w:val="es-ES"/>
        </w:rPr>
      </w:pPr>
      <w:r w:rsidRPr="002C4609">
        <w:rPr>
          <w:lang w:val="es-ES"/>
        </w:rPr>
        <w:t xml:space="preserve">A título más general también cabe destacar la enorme importancia de las radiofrecuencias para todas las actividades de observación de la Tierra, La OMM, por su papel en la coordinación de observaciones, en particular en lo relativo al cambio climático y el calentamiento de la Tierra, es también una organización participante </w:t>
      </w:r>
      <w:r w:rsidR="001675CE">
        <w:rPr>
          <w:lang w:val="es-ES"/>
        </w:rPr>
        <w:t xml:space="preserve">del </w:t>
      </w:r>
      <w:r w:rsidRPr="002C4609">
        <w:rPr>
          <w:lang w:val="es-ES"/>
        </w:rPr>
        <w:t>Grupo Intergubernamental de observación de la Tierra (GEO)</w:t>
      </w:r>
      <w:r w:rsidRPr="002C4609">
        <w:rPr>
          <w:position w:val="6"/>
          <w:sz w:val="18"/>
          <w:lang w:val="es-ES"/>
        </w:rPr>
        <w:footnoteReference w:id="1"/>
      </w:r>
      <w:r w:rsidRPr="002C4609">
        <w:rPr>
          <w:lang w:val="es-ES"/>
        </w:rPr>
        <w:t>.</w:t>
      </w:r>
    </w:p>
    <w:p w14:paraId="787C60A7" w14:textId="77777777" w:rsidR="002C4609" w:rsidRPr="002C4609" w:rsidRDefault="002C4609" w:rsidP="00187A72">
      <w:pPr>
        <w:rPr>
          <w:lang w:val="es-ES"/>
        </w:rPr>
      </w:pPr>
      <w:r w:rsidRPr="002C4609">
        <w:rPr>
          <w:lang w:val="es-ES"/>
        </w:rPr>
        <w:t xml:space="preserve">En el presente documento se deja constancia de la posición preliminar de la OMM respecto del orden del día de la Conferencia Mundial de Radiocomunicaciones 2019 (CMR-19), tal como figura en la Resolución </w:t>
      </w:r>
      <w:r w:rsidRPr="002C4609">
        <w:rPr>
          <w:b/>
          <w:bCs/>
          <w:lang w:val="es-ES"/>
        </w:rPr>
        <w:t>809 (CMR-15)</w:t>
      </w:r>
      <w:r w:rsidRPr="002C4609">
        <w:rPr>
          <w:lang w:val="es-ES"/>
        </w:rPr>
        <w:t xml:space="preserve">, «Orden del día de la Conferencia Mundial de Radiocomunicaciones de 2019», ulteriormente aprobado por el Consejo de la UIT de 2016 mediante su Resolución </w:t>
      </w:r>
      <w:r w:rsidRPr="001675CE">
        <w:rPr>
          <w:lang w:val="es-ES"/>
        </w:rPr>
        <w:t>1380</w:t>
      </w:r>
      <w:r w:rsidRPr="002C4609">
        <w:rPr>
          <w:lang w:val="es-ES"/>
        </w:rPr>
        <w:t>.</w:t>
      </w:r>
    </w:p>
    <w:p w14:paraId="5694EEA9" w14:textId="7B588BBA" w:rsidR="002C4609" w:rsidRPr="008F2802" w:rsidRDefault="002C4609" w:rsidP="00187A72">
      <w:pPr>
        <w:pStyle w:val="Heading1"/>
      </w:pPr>
      <w:r w:rsidRPr="008F2802">
        <w:t>2</w:t>
      </w:r>
      <w:r w:rsidRPr="008F2802">
        <w:tab/>
        <w:t>Comentarios generales</w:t>
      </w:r>
    </w:p>
    <w:p w14:paraId="2A94BD4F" w14:textId="77777777" w:rsidR="002C4609" w:rsidRPr="002C4609" w:rsidRDefault="002C4609" w:rsidP="00187A72">
      <w:pPr>
        <w:rPr>
          <w:lang w:val="es-ES"/>
        </w:rPr>
      </w:pPr>
      <w:r w:rsidRPr="002C4609">
        <w:rPr>
          <w:lang w:val="es-ES"/>
        </w:rPr>
        <w:t>WIGOS consta de componentes que utilizan un gran número de diferentes aplicaciones y servicios de radiocomunicaciones, algunos de los cuales podrían verse afectados por las decisiones de la CMR-19.</w:t>
      </w:r>
    </w:p>
    <w:p w14:paraId="272F5977" w14:textId="77777777" w:rsidR="002C4609" w:rsidRPr="002C4609" w:rsidRDefault="002C4609" w:rsidP="00187A72">
      <w:pPr>
        <w:rPr>
          <w:lang w:val="es-ES"/>
        </w:rPr>
      </w:pPr>
      <w:r w:rsidRPr="002C4609">
        <w:rPr>
          <w:lang w:val="es-ES"/>
        </w:rPr>
        <w:t>La detección a bordo de un vehículo espacial de la atmósfera y la superficie de la Tierra reviste una importancia esencial y cada vez mayor para la meteorología de investigación y operativa, en particular para mitigar los efectos de los desastres meteorológicos y relacionados con el clima, así como para la comprensión científica, la supervisión y predicción del cambio climático y sus efectos.</w:t>
      </w:r>
    </w:p>
    <w:p w14:paraId="5E87F4EF" w14:textId="77777777" w:rsidR="002C4609" w:rsidRPr="002C4609" w:rsidRDefault="002C4609" w:rsidP="00187A72">
      <w:pPr>
        <w:rPr>
          <w:lang w:val="es-ES"/>
        </w:rPr>
      </w:pPr>
      <w:r w:rsidRPr="002C4609">
        <w:rPr>
          <w:lang w:val="es-ES"/>
        </w:rPr>
        <w:lastRenderedPageBreak/>
        <w:t>Los enormes progresos realizados en los últimos años en lo que se refiere al análisis y la predicción de las condiciones meteorológicas y el clima, con inclusión de avisos sobre fenómenos meteorológicos peligrosos (fuertes lluvias, tormentas, ciclones), que afectan a todas las poblaciones y economías, pueden atribuirse en gran medida a las observaciones desde el espacio y su asimilación en modelos numéricos.</w:t>
      </w:r>
    </w:p>
    <w:p w14:paraId="20CC5256" w14:textId="00FAF8EC" w:rsidR="002C4609" w:rsidRPr="002C4609" w:rsidRDefault="002C4609" w:rsidP="00A43CAF">
      <w:pPr>
        <w:rPr>
          <w:lang w:val="es-ES"/>
        </w:rPr>
      </w:pPr>
      <w:r w:rsidRPr="002C4609">
        <w:rPr>
          <w:lang w:val="es-ES"/>
        </w:rPr>
        <w:t xml:space="preserve">La detección pasiva a bordo de un vehículo espacial para aplicaciones meteorológicas se efectúa en las bandas atribuidas a los servicios de exploración de la Tierra por satélite (pasiva) y meteorológico por satélite. La teledetección pasiva exige la medición de la </w:t>
      </w:r>
      <w:r w:rsidR="00A33265" w:rsidRPr="002C4609">
        <w:rPr>
          <w:lang w:val="es-ES"/>
        </w:rPr>
        <w:t>radiación</w:t>
      </w:r>
      <w:r w:rsidRPr="002C4609">
        <w:rPr>
          <w:lang w:val="es-ES"/>
        </w:rPr>
        <w:t xml:space="preserve"> que ocurre naturalmente, a menudo con niveles de potencia muy bajos, y que contiene información esencial sobre el proceso físico que se investiga.</w:t>
      </w:r>
    </w:p>
    <w:p w14:paraId="597F7B17" w14:textId="35B3B1A8" w:rsidR="002C4609" w:rsidRPr="002C4609" w:rsidRDefault="002C4609" w:rsidP="00A43CAF">
      <w:pPr>
        <w:rPr>
          <w:lang w:val="es-ES"/>
        </w:rPr>
      </w:pPr>
      <w:r w:rsidRPr="002C4609">
        <w:rPr>
          <w:lang w:val="es-ES"/>
        </w:rPr>
        <w:t xml:space="preserve">Las bandas de frecuencias pertinentes se determinan por las propiedades físicas fijas (resonancia molecular) que no pueden modificarse ni ignorarse; dichas propiedades físicas no pueden duplicarse en otras bandas. Por consiguiente, esas bandas de frecuencias son un recurso natural importante. Unos niveles de interferencia, incluso bajos, recibidos por un sensor pasivo, pueden degradar esos datos. Además, en la mayoría de los casos los sensores no son capaces de distinguir entre la </w:t>
      </w:r>
      <w:r w:rsidR="00FE6A63" w:rsidRPr="002C4609">
        <w:rPr>
          <w:lang w:val="es-ES"/>
        </w:rPr>
        <w:t>radiación</w:t>
      </w:r>
      <w:r w:rsidRPr="002C4609">
        <w:rPr>
          <w:lang w:val="es-ES"/>
        </w:rPr>
        <w:t xml:space="preserve"> natural y la producida por el hombre.</w:t>
      </w:r>
    </w:p>
    <w:p w14:paraId="0AA216FF" w14:textId="49B35020" w:rsidR="002C4609" w:rsidRPr="002C4609" w:rsidRDefault="002C4609" w:rsidP="00A43CAF">
      <w:pPr>
        <w:rPr>
          <w:lang w:val="es-ES"/>
        </w:rPr>
      </w:pPr>
      <w:r w:rsidRPr="002C4609">
        <w:rPr>
          <w:lang w:val="es-ES"/>
        </w:rPr>
        <w:t xml:space="preserve">En el caso de las bandas de detección pasiva compartidas con servicios activos, la situación </w:t>
      </w:r>
      <w:r w:rsidR="00FE6A63">
        <w:rPr>
          <w:lang w:val="es-ES"/>
        </w:rPr>
        <w:t>es</w:t>
      </w:r>
      <w:r w:rsidRPr="002C4609">
        <w:rPr>
          <w:lang w:val="es-ES"/>
        </w:rPr>
        <w:t xml:space="preserve"> cada vez más crítica con el aumento de la densidad de los dispositivos terrenales activos, y se ha informado de casos de interferencia grave.</w:t>
      </w:r>
    </w:p>
    <w:p w14:paraId="0758EEDC" w14:textId="69295A5C" w:rsidR="002C4609" w:rsidRPr="002C4609" w:rsidRDefault="002C4609" w:rsidP="00A43CAF">
      <w:pPr>
        <w:rPr>
          <w:lang w:val="es-ES"/>
        </w:rPr>
      </w:pPr>
      <w:r w:rsidRPr="002C4609">
        <w:rPr>
          <w:lang w:val="es-ES"/>
        </w:rPr>
        <w:t xml:space="preserve">En lo que respecta a las bandas de frecuencias de detección pasiva más importantes, puesto que en el número </w:t>
      </w:r>
      <w:r w:rsidRPr="002C4609">
        <w:rPr>
          <w:b/>
          <w:bCs/>
          <w:lang w:val="es-ES"/>
        </w:rPr>
        <w:t>5.340</w:t>
      </w:r>
      <w:r w:rsidRPr="002C4609">
        <w:rPr>
          <w:position w:val="6"/>
          <w:sz w:val="18"/>
          <w:lang w:val="es-ES"/>
        </w:rPr>
        <w:footnoteReference w:customMarkFollows="1" w:id="2"/>
        <w:t>2</w:t>
      </w:r>
      <w:r w:rsidRPr="002C4609">
        <w:rPr>
          <w:lang w:val="es-ES"/>
        </w:rPr>
        <w:t xml:space="preserve"> del RR se indica que «están prohibidas todas las emisiones», se autoriza en principio el despliegue de servicios pasivos y el funcionamiento de sus sistemas con la mayor fiabilidad. No obstante, en algunos casos esa protección resulta </w:t>
      </w:r>
      <w:r w:rsidRPr="005220ED">
        <w:rPr>
          <w:lang w:val="es-ES"/>
        </w:rPr>
        <w:t>insuficiente, debido a que dichas bandas se autoriza</w:t>
      </w:r>
      <w:r w:rsidR="005220ED" w:rsidRPr="005220ED">
        <w:rPr>
          <w:lang w:val="es-ES"/>
        </w:rPr>
        <w:t>n</w:t>
      </w:r>
      <w:r w:rsidRPr="005220ED">
        <w:rPr>
          <w:lang w:val="es-ES"/>
        </w:rPr>
        <w:t xml:space="preserve"> a nivel nacional el funcionamiento de dispositivos de corto alcance sin reglamentación y posiblemente a escala masiva, o bien se produc</w:t>
      </w:r>
      <w:r w:rsidRPr="002C4609">
        <w:rPr>
          <w:lang w:val="es-ES"/>
        </w:rPr>
        <w:t>en emisiones no deseadas desde bandas adyacentes no reguladas correctamente. Como ejemplo puede citarse la considerable interferencia en la banda pasiva de 1</w:t>
      </w:r>
      <w:r w:rsidR="00E9311A">
        <w:rPr>
          <w:lang w:val="es-ES"/>
        </w:rPr>
        <w:t> </w:t>
      </w:r>
      <w:r w:rsidRPr="002C4609">
        <w:rPr>
          <w:lang w:val="es-ES"/>
        </w:rPr>
        <w:t>400-1</w:t>
      </w:r>
      <w:r w:rsidR="00E9311A">
        <w:rPr>
          <w:lang w:val="es-ES"/>
        </w:rPr>
        <w:t> </w:t>
      </w:r>
      <w:r w:rsidRPr="002C4609">
        <w:rPr>
          <w:lang w:val="es-ES"/>
        </w:rPr>
        <w:t>427 MHz observada a escala mundial por los radiómetros en los satélites SMOS y Aquarius.</w:t>
      </w:r>
    </w:p>
    <w:p w14:paraId="79D02691" w14:textId="1B34867D" w:rsidR="002C4609" w:rsidRPr="002C4609" w:rsidRDefault="002C4609" w:rsidP="00A43CAF">
      <w:pPr>
        <w:rPr>
          <w:lang w:val="es-ES"/>
        </w:rPr>
      </w:pPr>
      <w:r w:rsidRPr="002C4609">
        <w:rPr>
          <w:lang w:val="es-ES"/>
        </w:rPr>
        <w:t xml:space="preserve">Varios parámetros geofísicos contribuyen, a diversos niveles, a las emisiones naturales, y </w:t>
      </w:r>
      <w:r w:rsidR="000602C1">
        <w:rPr>
          <w:lang w:val="es-ES"/>
        </w:rPr>
        <w:t>e</w:t>
      </w:r>
      <w:r w:rsidRPr="002C4609">
        <w:rPr>
          <w:lang w:val="es-ES"/>
        </w:rPr>
        <w:t>stos pueden observarse a una frecuencia dada que presenta propiedades únicas. Por tanto, deben efectuarse simultáneamente mediciones a varias frecuencias en el espectro de microondas para aislar y recuperar cada una de las contribuciones individuales y para extraer los parámetros de interés del conjunto de mediciones.</w:t>
      </w:r>
    </w:p>
    <w:p w14:paraId="41646ECE" w14:textId="77777777" w:rsidR="002C4609" w:rsidRPr="002C4609" w:rsidRDefault="002C4609" w:rsidP="00187A72">
      <w:pPr>
        <w:rPr>
          <w:lang w:val="es-ES"/>
        </w:rPr>
      </w:pPr>
      <w:r w:rsidRPr="002C4609">
        <w:rPr>
          <w:lang w:val="es-ES"/>
        </w:rPr>
        <w:t>Como consecuencia de ello, una interferencia que afecte a una banda de frecuencias «pasiva» dada, podría tener un efecto en la medición general de un determinado componente atmosférico.</w:t>
      </w:r>
    </w:p>
    <w:p w14:paraId="44FB9E7E" w14:textId="77777777" w:rsidR="002C4609" w:rsidRPr="002C4609" w:rsidRDefault="002C4609" w:rsidP="00187A72">
      <w:pPr>
        <w:rPr>
          <w:lang w:val="es-ES"/>
        </w:rPr>
      </w:pPr>
      <w:r w:rsidRPr="002C4609">
        <w:rPr>
          <w:lang w:val="es-ES"/>
        </w:rPr>
        <w:t>De ahí que no pueda considerarse a cada banda de frecuencias pasiva por sí misma, sino como un componente complementario de un sistema completo de detección pasiva a bordo de un vehículo espacial. Las cargas útiles actuales de los satélites científicos y meteorológicos no se dedican a una banda determinada, sino que incluyen numerosos instrumentos diferentes que efectúan mediciones en todo el conjunto de bandas pasivas.</w:t>
      </w:r>
    </w:p>
    <w:p w14:paraId="03FC1075" w14:textId="77777777" w:rsidR="002C4609" w:rsidRPr="002C4609" w:rsidRDefault="002C4609" w:rsidP="00187A72">
      <w:pPr>
        <w:rPr>
          <w:lang w:val="es-ES"/>
        </w:rPr>
      </w:pPr>
      <w:r w:rsidRPr="002C4609">
        <w:rPr>
          <w:lang w:val="es-ES"/>
        </w:rPr>
        <w:t>Cabe señalar asimismo que la cobertura total de datos mundiales es de suma importancia para la mayoría de los servicios y aplicaciones meteorológicos, hídricos y climáticos.</w:t>
      </w:r>
    </w:p>
    <w:p w14:paraId="78101352" w14:textId="77777777" w:rsidR="002C4609" w:rsidRPr="002C4609" w:rsidRDefault="002C4609" w:rsidP="00187A72">
      <w:pPr>
        <w:rPr>
          <w:lang w:val="es-ES"/>
        </w:rPr>
      </w:pPr>
      <w:r w:rsidRPr="002C4609">
        <w:rPr>
          <w:lang w:val="es-ES"/>
        </w:rPr>
        <w:lastRenderedPageBreak/>
        <w:t>La detección activa a bordo de un vehículo espacial, realizada en particular con altímetros, radares de lluvia y nubes, dispersímetros y radares de apertura sintética</w:t>
      </w:r>
      <w:r w:rsidRPr="002C4609">
        <w:rPr>
          <w:position w:val="6"/>
          <w:sz w:val="18"/>
          <w:lang w:val="es-ES"/>
        </w:rPr>
        <w:footnoteReference w:customMarkFollows="1" w:id="3"/>
        <w:t>3</w:t>
      </w:r>
      <w:r w:rsidRPr="002C4609">
        <w:rPr>
          <w:lang w:val="es-ES"/>
        </w:rPr>
        <w:t xml:space="preserve"> es una actividad meteorológica y climatológica que genera importante información sobre el estado de las superficies oceánicas y terrestres y los fenómenos atmosféricos.</w:t>
      </w:r>
    </w:p>
    <w:p w14:paraId="1BC2212F" w14:textId="77777777" w:rsidR="002C4609" w:rsidRPr="002C4609" w:rsidRDefault="002C4609" w:rsidP="00187A72">
      <w:pPr>
        <w:rPr>
          <w:lang w:val="es-ES"/>
        </w:rPr>
      </w:pPr>
      <w:r w:rsidRPr="002C4609">
        <w:rPr>
          <w:lang w:val="es-ES"/>
        </w:rPr>
        <w:t>Además, los radares meteorológicos y los radares perfiladores de viento son importantes instrumentos de superficie para los procesos de observación meteorológica. Los datos de radar constituyen insumos para la predicción inmediata («nowcasting»), así como para los modelos de predicción numérica del tiempo con miras a la predicción a corto y mediano plazo. Actualmente hay aproximadamente cien radares perfiladores de viento y varios cientos de radares meteorológicos en todo el mundo que realizan mediciones de las precipitaciones y del viento y desempeñan una función primordial en los procesos de alerta meteorológica e hidrológica inmediata. Las redes de radares meteorológicos representan la última línea de defensa en una estrategia de aviso de desastres contra la pérdida de la vida y la propiedad cuando se producen crecidas repentinas o tormentas violentas, como se ha podido comprobar en varios casos dramáticos ocurridos recientemente.</w:t>
      </w:r>
    </w:p>
    <w:p w14:paraId="017FCD3D" w14:textId="77777777" w:rsidR="002C4609" w:rsidRPr="002C4609" w:rsidRDefault="002C4609" w:rsidP="0047574E">
      <w:pPr>
        <w:rPr>
          <w:lang w:val="es-ES"/>
        </w:rPr>
      </w:pPr>
      <w:r w:rsidRPr="002C4609">
        <w:rPr>
          <w:lang w:val="es-ES"/>
        </w:rPr>
        <w:t xml:space="preserve">Las ayudas a la meteorología, principalmente las radiosondas, son la principal fuente de mediciones atmosféricas </w:t>
      </w:r>
      <w:r w:rsidRPr="002C4609">
        <w:rPr>
          <w:i/>
          <w:iCs/>
          <w:lang w:val="es-ES"/>
        </w:rPr>
        <w:t>in situ</w:t>
      </w:r>
      <w:r w:rsidRPr="002C4609">
        <w:rPr>
          <w:lang w:val="es-ES"/>
        </w:rPr>
        <w:t xml:space="preserve"> con gran resolución vertical (temperatura, humedad relativa y velocidad del viento) para proporcionar perfiles atmosféricos verticales en tiempo real que son y seguirán siendo esenciales para la meteorología operativa, con inclusión de los avisos y la predicción y los análisis meteorológicos, así como para la vigilancia del clima. Además, esas mediciones </w:t>
      </w:r>
      <w:r w:rsidRPr="00EB5686">
        <w:rPr>
          <w:i/>
          <w:iCs/>
          <w:lang w:val="es-ES"/>
        </w:rPr>
        <w:t>in situ</w:t>
      </w:r>
      <w:r w:rsidRPr="002C4609">
        <w:rPr>
          <w:lang w:val="es-ES"/>
        </w:rPr>
        <w:t xml:space="preserve"> son esenciales para calibrar la teledetección a bordo de un vehículo espacial, en particular la pasiva.</w:t>
      </w:r>
    </w:p>
    <w:p w14:paraId="6BC95FF2" w14:textId="77777777" w:rsidR="00E9311A" w:rsidRDefault="002C4609" w:rsidP="00187A72">
      <w:pPr>
        <w:rPr>
          <w:lang w:val="es-ES"/>
        </w:rPr>
      </w:pPr>
      <w:r w:rsidRPr="002C4609">
        <w:rPr>
          <w:lang w:val="es-ES"/>
        </w:rPr>
        <w:t>También es muy importante disponer de un espectro de frecuencias suficiente y bien protegido para servicios meteorológicos y de exploración de la Tierra con fines de telemetría y telemando, así como para el enlace descendente del satélite de los datos compilados.</w:t>
      </w:r>
    </w:p>
    <w:p w14:paraId="28B285C8" w14:textId="72A0BF1D" w:rsidR="002C4609" w:rsidRPr="002C4609" w:rsidRDefault="002C4609" w:rsidP="00187A72">
      <w:pPr>
        <w:rPr>
          <w:lang w:val="es-ES"/>
        </w:rPr>
      </w:pPr>
      <w:r w:rsidRPr="002C4609">
        <w:rPr>
          <w:lang w:val="es-ES"/>
        </w:rPr>
        <w:t xml:space="preserve">En el </w:t>
      </w:r>
      <w:r w:rsidR="00956E3C">
        <w:rPr>
          <w:lang w:val="es-ES"/>
        </w:rPr>
        <w:t>d</w:t>
      </w:r>
      <w:r w:rsidRPr="002C4609">
        <w:rPr>
          <w:lang w:val="es-ES"/>
        </w:rPr>
        <w:t>ecimoséptimo Congreso Meteorológico Mundial (Ginebra, junio de 2015), al que asistieron 167</w:t>
      </w:r>
      <w:r w:rsidR="00E9311A">
        <w:rPr>
          <w:lang w:val="es-ES"/>
        </w:rPr>
        <w:t> </w:t>
      </w:r>
      <w:r w:rsidRPr="002C4609">
        <w:rPr>
          <w:lang w:val="es-ES"/>
        </w:rPr>
        <w:t xml:space="preserve">países Miembros, se manifestaron graves inquietudes por la continua amenaza a las bandas de frecuencias atribuidas a los sistemas meteorológicos y medioambientales conexos y se adoptó la </w:t>
      </w:r>
      <w:r w:rsidRPr="00A71E83">
        <w:rPr>
          <w:lang w:val="es-ES"/>
        </w:rPr>
        <w:t xml:space="preserve">Resolución 29 (Cg-XVII) </w:t>
      </w:r>
      <w:r w:rsidRPr="002C4609">
        <w:rPr>
          <w:lang w:val="es-ES"/>
        </w:rPr>
        <w:t>–</w:t>
      </w:r>
      <w:r w:rsidRPr="002C4609">
        <w:rPr>
          <w:i/>
          <w:iCs/>
          <w:lang w:val="es-ES"/>
        </w:rPr>
        <w:t>Frecuencias radioeléctricas para las actividades meteorológicas y medioambientales conexas</w:t>
      </w:r>
      <w:r w:rsidRPr="002C4609">
        <w:rPr>
          <w:lang w:val="es-ES"/>
        </w:rPr>
        <w:t>– en la cual se insta a los países Miembros de la OMM a hacer todo lo posible para asegurar la disponibilidad y protección de las bandas de frecuencias radioeléctricas adecuadas para las operaciones y la investigación meteorológicas y medioambientales conexas.</w:t>
      </w:r>
    </w:p>
    <w:p w14:paraId="63C308B5" w14:textId="5EA9EBAB" w:rsidR="002C4609" w:rsidRPr="002C4609" w:rsidRDefault="002C4609" w:rsidP="00187A72">
      <w:pPr>
        <w:rPr>
          <w:lang w:val="es-ES"/>
        </w:rPr>
      </w:pPr>
      <w:r w:rsidRPr="002C4609">
        <w:rPr>
          <w:lang w:val="es-ES"/>
        </w:rPr>
        <w:t xml:space="preserve">El </w:t>
      </w:r>
      <w:r w:rsidR="00956E3C">
        <w:rPr>
          <w:lang w:val="es-ES"/>
        </w:rPr>
        <w:t>d</w:t>
      </w:r>
      <w:r w:rsidRPr="002C4609">
        <w:rPr>
          <w:lang w:val="es-ES"/>
        </w:rPr>
        <w:t>ecimoséptimo Congreso Meteorológico Mundial (Ginebra, junio de 2015) expresó «su profunda preocupación ante la continua amenaza que plantea el desarrollo de otros servicios de radiocomunicaciones a varias bandas de frecuencias asignadas a los servicios de ayuda meteorológica, de satélite meteorológico, de satélite de exploración de la Tierra y de radiolocalización (radares meteorológicos y perfiladores de viento)». Además, instó «a hacer todo lo posible, de manera organizada, para asegurar la disponibilidad y protección de las bandas de frecuencias radioeléctricas adecuadas para las operaciones y la investigación meteorológicas y medioambientales conexas»</w:t>
      </w:r>
      <w:r w:rsidR="00A71E83">
        <w:rPr>
          <w:lang w:val="es-ES"/>
        </w:rPr>
        <w:t>.</w:t>
      </w:r>
    </w:p>
    <w:p w14:paraId="4C31EF0B" w14:textId="2E04BE58" w:rsidR="002C4609" w:rsidRPr="002C4609" w:rsidRDefault="002C4609" w:rsidP="00A43CAF">
      <w:pPr>
        <w:rPr>
          <w:lang w:val="es-ES"/>
        </w:rPr>
      </w:pPr>
      <w:r w:rsidRPr="002C4609">
        <w:rPr>
          <w:lang w:val="es-ES"/>
        </w:rPr>
        <w:t xml:space="preserve">La dependencia de los sistemas de observación de la gestión de frecuencias radioeléctricas tiene profundas ramificaciones en la sostenibilidad y usabilidad de variables climáticas esenciales y de otras observaciones meteorológicas, hídricas y climáticas conexas que contribuyen a la base de observaciones y vigilancia del Marco Mundial para los Servicios Climáticos (MMSC), tal como se ha identificado en el </w:t>
      </w:r>
      <w:r w:rsidR="00956E3C">
        <w:rPr>
          <w:lang w:val="es-ES"/>
        </w:rPr>
        <w:t>d</w:t>
      </w:r>
      <w:r w:rsidRPr="002C4609">
        <w:rPr>
          <w:lang w:val="es-ES"/>
        </w:rPr>
        <w:t>ecimoséptimo Congreso Meteorológico Mundial (Ginebra, junio de 2015).</w:t>
      </w:r>
    </w:p>
    <w:p w14:paraId="32AC4EB7" w14:textId="77777777" w:rsidR="002C4609" w:rsidRPr="002C4609" w:rsidRDefault="002C4609" w:rsidP="0047574E">
      <w:pPr>
        <w:pStyle w:val="Heading1"/>
        <w:rPr>
          <w:lang w:val="es-ES"/>
        </w:rPr>
      </w:pPr>
      <w:r w:rsidRPr="002C4609">
        <w:rPr>
          <w:lang w:val="es-ES"/>
        </w:rPr>
        <w:lastRenderedPageBreak/>
        <w:t>3</w:t>
      </w:r>
      <w:r w:rsidRPr="002C4609">
        <w:rPr>
          <w:lang w:val="es-ES"/>
        </w:rPr>
        <w:tab/>
        <w:t>Posición preliminar de la OMM respecto del orden del día de la CMR</w:t>
      </w:r>
      <w:r w:rsidRPr="002C4609">
        <w:rPr>
          <w:lang w:val="es-ES"/>
        </w:rPr>
        <w:noBreakHyphen/>
        <w:t>19</w:t>
      </w:r>
    </w:p>
    <w:p w14:paraId="17549488" w14:textId="34DA96E5" w:rsidR="002C4609" w:rsidRPr="002C4609" w:rsidRDefault="0001744D" w:rsidP="00187A72">
      <w:pPr>
        <w:rPr>
          <w:lang w:val="es-ES"/>
        </w:rPr>
      </w:pPr>
      <w:r>
        <w:rPr>
          <w:lang w:val="es-ES"/>
        </w:rPr>
        <w:t>Catorce</w:t>
      </w:r>
      <w:r w:rsidR="002C4609" w:rsidRPr="002C4609">
        <w:rPr>
          <w:lang w:val="es-ES"/>
        </w:rPr>
        <w:t xml:space="preserve"> puntos del orden del día de la CMR-19 están relacionados con bandas de frecuencias o cuestiones de sumo interés para la meteorología y campos conexos.</w:t>
      </w:r>
    </w:p>
    <w:p w14:paraId="22D2D4EA" w14:textId="5ABC2B5A" w:rsidR="002C4609" w:rsidRPr="002C4609" w:rsidRDefault="002C4609" w:rsidP="009677B8">
      <w:pPr>
        <w:tabs>
          <w:tab w:val="left" w:pos="3544"/>
        </w:tabs>
        <w:rPr>
          <w:lang w:val="es-ES"/>
        </w:rPr>
      </w:pPr>
      <w:r w:rsidRPr="002C4609">
        <w:rPr>
          <w:lang w:val="es-ES"/>
        </w:rPr>
        <w:t>Punto 1.1 del orden del día:</w:t>
      </w:r>
      <w:r w:rsidRPr="002C4609">
        <w:rPr>
          <w:lang w:val="es-ES"/>
        </w:rPr>
        <w:tab/>
        <w:t>Servicio de aficionados en la banda de frecuencias 50-54 MHz</w:t>
      </w:r>
    </w:p>
    <w:p w14:paraId="0D3ECEA2" w14:textId="40DB9B8B" w:rsidR="002C4609" w:rsidRPr="002C4609" w:rsidRDefault="002C4609" w:rsidP="009677B8">
      <w:pPr>
        <w:tabs>
          <w:tab w:val="left" w:pos="3544"/>
        </w:tabs>
        <w:rPr>
          <w:lang w:val="es-ES"/>
        </w:rPr>
      </w:pPr>
      <w:r w:rsidRPr="002C4609">
        <w:rPr>
          <w:lang w:val="es-ES"/>
        </w:rPr>
        <w:t>Punto 1.2 del orden del día:</w:t>
      </w:r>
      <w:r w:rsidRPr="002C4609">
        <w:rPr>
          <w:lang w:val="es-ES"/>
        </w:rPr>
        <w:tab/>
        <w:t>Límites de potencia de satélite a 400 MHz</w:t>
      </w:r>
    </w:p>
    <w:p w14:paraId="3D89C41D" w14:textId="7FD80C02" w:rsidR="002C4609" w:rsidRPr="002C4609" w:rsidRDefault="002C4609" w:rsidP="00187A72">
      <w:pPr>
        <w:ind w:left="3544" w:hanging="3544"/>
        <w:rPr>
          <w:lang w:val="es-ES"/>
        </w:rPr>
      </w:pPr>
      <w:r w:rsidRPr="002C4609">
        <w:rPr>
          <w:lang w:val="es-ES"/>
        </w:rPr>
        <w:t>Punto 1.3 del orden del día:</w:t>
      </w:r>
      <w:r w:rsidRPr="002C4609">
        <w:rPr>
          <w:lang w:val="es-ES"/>
        </w:rPr>
        <w:tab/>
        <w:t>Servicio de meteorología por satélite (MetSat) y servicio de exploración de la Tierra por satélite (SETS) a 460-470 MHz</w:t>
      </w:r>
    </w:p>
    <w:p w14:paraId="69356D44" w14:textId="1E51B3A5" w:rsidR="002C4609" w:rsidRPr="002C4609" w:rsidRDefault="002C4609" w:rsidP="00187A72">
      <w:pPr>
        <w:ind w:left="3544" w:hanging="3544"/>
        <w:rPr>
          <w:lang w:val="es-ES"/>
        </w:rPr>
      </w:pPr>
      <w:r w:rsidRPr="002C4609">
        <w:rPr>
          <w:lang w:val="es-ES"/>
        </w:rPr>
        <w:t>Punto 1.6 del orden del día:</w:t>
      </w:r>
      <w:r w:rsidRPr="002C4609">
        <w:rPr>
          <w:lang w:val="es-ES"/>
        </w:rPr>
        <w:tab/>
        <w:t>Órbita de satélites no OSG del servicio fijo por satélite (SFS) a 37,5</w:t>
      </w:r>
      <w:r w:rsidRPr="002C4609">
        <w:rPr>
          <w:lang w:val="es-ES"/>
        </w:rPr>
        <w:noBreakHyphen/>
        <w:t>51,4 GHz</w:t>
      </w:r>
    </w:p>
    <w:p w14:paraId="41ADB6A6" w14:textId="4C24A172" w:rsidR="002C4609" w:rsidRDefault="002C4609" w:rsidP="00187A72">
      <w:pPr>
        <w:tabs>
          <w:tab w:val="clear" w:pos="2268"/>
          <w:tab w:val="left" w:pos="3544"/>
        </w:tabs>
        <w:rPr>
          <w:lang w:val="es-ES"/>
        </w:rPr>
      </w:pPr>
      <w:r w:rsidRPr="002C4609">
        <w:rPr>
          <w:lang w:val="es-ES"/>
        </w:rPr>
        <w:t>Punto 1.7 del orden del día:</w:t>
      </w:r>
      <w:r w:rsidRPr="002C4609">
        <w:rPr>
          <w:lang w:val="es-ES"/>
        </w:rPr>
        <w:tab/>
        <w:t>Satélites no OSG con misiones de corta duración</w:t>
      </w:r>
    </w:p>
    <w:p w14:paraId="1B6EC753" w14:textId="3075F691" w:rsidR="0001744D" w:rsidRPr="00FE6A63" w:rsidRDefault="00DD38BB" w:rsidP="00187A72">
      <w:pPr>
        <w:tabs>
          <w:tab w:val="left" w:pos="3544"/>
        </w:tabs>
        <w:ind w:left="3544" w:hanging="3544"/>
        <w:rPr>
          <w:lang w:val="es-ES"/>
        </w:rPr>
      </w:pPr>
      <w:r w:rsidRPr="00FE6A63">
        <w:rPr>
          <w:lang w:val="es-ES"/>
        </w:rPr>
        <w:t>Punto</w:t>
      </w:r>
      <w:r w:rsidR="0001744D" w:rsidRPr="00FE6A63">
        <w:rPr>
          <w:lang w:val="es-ES"/>
        </w:rPr>
        <w:t xml:space="preserve"> 1.11</w:t>
      </w:r>
      <w:r w:rsidRPr="00FE6A63">
        <w:rPr>
          <w:lang w:val="es-ES"/>
        </w:rPr>
        <w:t xml:space="preserve"> del orden del día</w:t>
      </w:r>
      <w:r w:rsidR="0001744D" w:rsidRPr="00FE6A63">
        <w:rPr>
          <w:lang w:val="es-ES"/>
        </w:rPr>
        <w:t>:</w:t>
      </w:r>
      <w:r w:rsidR="0001744D" w:rsidRPr="00FE6A63">
        <w:rPr>
          <w:lang w:val="es-ES"/>
        </w:rPr>
        <w:tab/>
      </w:r>
      <w:r w:rsidR="00FE6A63" w:rsidRPr="00FE6A63">
        <w:rPr>
          <w:lang w:val="es-ES"/>
        </w:rPr>
        <w:t>Armonización de bandas de frecuencias para sistemas de radiocomunicaciones ferroviarias</w:t>
      </w:r>
    </w:p>
    <w:p w14:paraId="4044DC31" w14:textId="20E1CB44" w:rsidR="002C4609" w:rsidRPr="002C4609" w:rsidRDefault="002C4609" w:rsidP="009677B8">
      <w:pPr>
        <w:tabs>
          <w:tab w:val="left" w:pos="3544"/>
        </w:tabs>
        <w:ind w:left="3600" w:hanging="3600"/>
        <w:rPr>
          <w:lang w:val="es-ES"/>
        </w:rPr>
      </w:pPr>
      <w:r w:rsidRPr="002C4609">
        <w:rPr>
          <w:lang w:val="es-ES"/>
        </w:rPr>
        <w:t>Punto 1.13 del orden del día:</w:t>
      </w:r>
      <w:r w:rsidRPr="002C4609">
        <w:rPr>
          <w:lang w:val="es-ES"/>
        </w:rPr>
        <w:tab/>
        <w:t>Telecomunicaciones Móviles Internacionales 2020 (IMT</w:t>
      </w:r>
      <w:r w:rsidR="0047574E">
        <w:rPr>
          <w:lang w:val="es-ES"/>
        </w:rPr>
        <w:noBreakHyphen/>
      </w:r>
      <w:r w:rsidRPr="002C4609">
        <w:rPr>
          <w:lang w:val="es-ES"/>
        </w:rPr>
        <w:t>2020)</w:t>
      </w:r>
    </w:p>
    <w:p w14:paraId="2CC00E22" w14:textId="3696CBD9" w:rsidR="002C4609" w:rsidRPr="002C4609" w:rsidRDefault="002C4609" w:rsidP="009677B8">
      <w:pPr>
        <w:tabs>
          <w:tab w:val="left" w:pos="3544"/>
        </w:tabs>
        <w:rPr>
          <w:lang w:val="es-ES"/>
        </w:rPr>
      </w:pPr>
      <w:r w:rsidRPr="002C4609">
        <w:rPr>
          <w:lang w:val="es-ES"/>
        </w:rPr>
        <w:t>Punto 1.14 del orden del día:</w:t>
      </w:r>
      <w:r w:rsidRPr="002C4609">
        <w:rPr>
          <w:lang w:val="es-ES"/>
        </w:rPr>
        <w:tab/>
        <w:t>Plataformas a gran altitud (HAPS)</w:t>
      </w:r>
    </w:p>
    <w:p w14:paraId="5EEAE905" w14:textId="52171906" w:rsidR="002C4609" w:rsidRPr="002C4609" w:rsidRDefault="002C4609" w:rsidP="00187A72">
      <w:pPr>
        <w:ind w:left="3544" w:hanging="3544"/>
        <w:rPr>
          <w:lang w:val="es-ES"/>
        </w:rPr>
      </w:pPr>
      <w:r w:rsidRPr="002C4609">
        <w:rPr>
          <w:lang w:val="es-ES"/>
        </w:rPr>
        <w:t>Punto 1.15 del orden del día:</w:t>
      </w:r>
      <w:r w:rsidRPr="002C4609">
        <w:rPr>
          <w:lang w:val="es-ES"/>
        </w:rPr>
        <w:tab/>
        <w:t>Servicio fijo terrestre (SF) y servicio móvil terrestre (SMT) por encima de 275 GHz</w:t>
      </w:r>
    </w:p>
    <w:p w14:paraId="74FA4745" w14:textId="5B27E92C" w:rsidR="002C4609" w:rsidRDefault="002C4609" w:rsidP="00187A72">
      <w:pPr>
        <w:tabs>
          <w:tab w:val="left" w:pos="3544"/>
        </w:tabs>
        <w:rPr>
          <w:lang w:val="es-ES"/>
        </w:rPr>
      </w:pPr>
      <w:r w:rsidRPr="002C4609">
        <w:rPr>
          <w:lang w:val="es-ES"/>
        </w:rPr>
        <w:t>Punto 1.16 del orden del día:</w:t>
      </w:r>
      <w:r w:rsidRPr="002C4609">
        <w:rPr>
          <w:lang w:val="es-ES"/>
        </w:rPr>
        <w:tab/>
        <w:t>Redes radioeléctricas de área local (RLAN) 5 GHz</w:t>
      </w:r>
    </w:p>
    <w:p w14:paraId="3C7610A8" w14:textId="10EA6B6A" w:rsidR="00DD38BB" w:rsidRPr="00876FC2" w:rsidRDefault="00DD38BB" w:rsidP="00187A72">
      <w:pPr>
        <w:tabs>
          <w:tab w:val="left" w:pos="3544"/>
        </w:tabs>
      </w:pPr>
      <w:r>
        <w:t>Punto</w:t>
      </w:r>
      <w:r w:rsidRPr="00876FC2">
        <w:t xml:space="preserve"> 7</w:t>
      </w:r>
      <w:r>
        <w:t xml:space="preserve"> del orden del día</w:t>
      </w:r>
      <w:r w:rsidRPr="00876FC2">
        <w:t>:</w:t>
      </w:r>
      <w:r w:rsidRPr="00876FC2">
        <w:tab/>
      </w:r>
      <w:r w:rsidR="00FE6A63">
        <w:t>P</w:t>
      </w:r>
      <w:r w:rsidR="00FE6A63" w:rsidRPr="00FE6A63">
        <w:t xml:space="preserve">rocedimientos reglamentarios </w:t>
      </w:r>
      <w:r w:rsidR="00FE6A63">
        <w:t>sobre</w:t>
      </w:r>
      <w:r w:rsidR="00FE6A63" w:rsidRPr="00FE6A63">
        <w:t xml:space="preserve"> satélites</w:t>
      </w:r>
    </w:p>
    <w:p w14:paraId="408D15D5" w14:textId="298CB7D6" w:rsidR="002C4609" w:rsidRPr="002C4609" w:rsidRDefault="002C4609" w:rsidP="009677B8">
      <w:pPr>
        <w:tabs>
          <w:tab w:val="left" w:pos="3544"/>
        </w:tabs>
        <w:ind w:left="3544" w:hanging="3544"/>
        <w:rPr>
          <w:lang w:val="es-ES"/>
        </w:rPr>
      </w:pPr>
      <w:r w:rsidRPr="002C4609">
        <w:rPr>
          <w:lang w:val="es-ES"/>
        </w:rPr>
        <w:t>Punto 9.1</w:t>
      </w:r>
      <w:r w:rsidR="00F37EC3">
        <w:rPr>
          <w:lang w:val="es-ES"/>
        </w:rPr>
        <w:t>.5</w:t>
      </w:r>
      <w:r w:rsidRPr="002C4609">
        <w:rPr>
          <w:lang w:val="es-ES"/>
        </w:rPr>
        <w:t xml:space="preserve"> del orden del día:</w:t>
      </w:r>
      <w:r w:rsidRPr="002C4609">
        <w:rPr>
          <w:lang w:val="es-ES"/>
        </w:rPr>
        <w:tab/>
        <w:t>RLAN 5 GHz y referencia a las Recomendaciones del UIT-R sobre radares</w:t>
      </w:r>
    </w:p>
    <w:p w14:paraId="7F8B5847" w14:textId="309417D0" w:rsidR="002C4609" w:rsidRPr="002C4609" w:rsidRDefault="002C4609" w:rsidP="009677B8">
      <w:pPr>
        <w:ind w:left="3544" w:hanging="3544"/>
        <w:rPr>
          <w:lang w:val="es-ES"/>
        </w:rPr>
      </w:pPr>
      <w:r w:rsidRPr="002C4609">
        <w:rPr>
          <w:lang w:val="es-ES"/>
        </w:rPr>
        <w:t>Punto 9.1</w:t>
      </w:r>
      <w:r w:rsidR="00F37EC3">
        <w:rPr>
          <w:lang w:val="es-ES"/>
        </w:rPr>
        <w:t>.9</w:t>
      </w:r>
      <w:r w:rsidRPr="002C4609">
        <w:rPr>
          <w:lang w:val="es-ES"/>
        </w:rPr>
        <w:t xml:space="preserve"> del orden del día:</w:t>
      </w:r>
      <w:r w:rsidRPr="002C4609">
        <w:rPr>
          <w:lang w:val="es-ES"/>
        </w:rPr>
        <w:tab/>
        <w:t>SFS a 51,4-52,4 GHz</w:t>
      </w:r>
    </w:p>
    <w:p w14:paraId="1FC69C13" w14:textId="11261335" w:rsidR="002C4609" w:rsidRPr="002C4609" w:rsidRDefault="002C4609" w:rsidP="009677B8">
      <w:pPr>
        <w:ind w:left="3544" w:hanging="3544"/>
        <w:rPr>
          <w:lang w:val="es-ES"/>
        </w:rPr>
      </w:pPr>
      <w:r w:rsidRPr="002C4609">
        <w:rPr>
          <w:lang w:val="es-ES"/>
        </w:rPr>
        <w:t>Punto 10 del orden del día:</w:t>
      </w:r>
      <w:r w:rsidRPr="002C4609">
        <w:rPr>
          <w:lang w:val="es-ES"/>
        </w:rPr>
        <w:tab/>
        <w:t>Orden del día de la próxima CMR</w:t>
      </w:r>
    </w:p>
    <w:p w14:paraId="2966CFC9" w14:textId="2BCB3280" w:rsidR="002C4609" w:rsidRPr="002C4609" w:rsidRDefault="002C4609" w:rsidP="0047574E">
      <w:pPr>
        <w:pStyle w:val="Heading2"/>
        <w:rPr>
          <w:lang w:val="es-ES"/>
        </w:rPr>
      </w:pPr>
      <w:r w:rsidRPr="002C4609">
        <w:rPr>
          <w:lang w:val="es-ES"/>
        </w:rPr>
        <w:t>3.1</w:t>
      </w:r>
      <w:r w:rsidRPr="002C4609">
        <w:rPr>
          <w:lang w:val="es-ES"/>
        </w:rPr>
        <w:tab/>
        <w:t>Punto</w:t>
      </w:r>
      <w:r w:rsidR="00A71E83">
        <w:rPr>
          <w:lang w:val="es-ES"/>
        </w:rPr>
        <w:t xml:space="preserve"> </w:t>
      </w:r>
      <w:r w:rsidRPr="002C4609">
        <w:rPr>
          <w:lang w:val="es-ES"/>
        </w:rPr>
        <w:t>1.1 del orden del día</w:t>
      </w:r>
    </w:p>
    <w:p w14:paraId="683E1A40" w14:textId="60C2E372" w:rsidR="002C4609" w:rsidRPr="002C4609" w:rsidRDefault="002C4609" w:rsidP="00187A72">
      <w:pPr>
        <w:rPr>
          <w:i/>
          <w:lang w:val="es-ES"/>
        </w:rPr>
      </w:pPr>
      <w:r w:rsidRPr="002C4609">
        <w:rPr>
          <w:i/>
          <w:lang w:val="es-ES"/>
        </w:rPr>
        <w:t xml:space="preserve">«considerar la posibilidad de efectuar una atribución al servicio de aficionados en la banda de frecuencias 50-54 MHz en la Región 1, de conformidad con la Resolución </w:t>
      </w:r>
      <w:r w:rsidRPr="002C4609">
        <w:rPr>
          <w:b/>
          <w:bCs/>
          <w:i/>
          <w:lang w:val="es-ES"/>
        </w:rPr>
        <w:t>658 (CMR 15)</w:t>
      </w:r>
      <w:r w:rsidR="00B3168F">
        <w:rPr>
          <w:i/>
          <w:lang w:val="es-ES"/>
        </w:rPr>
        <w:t>.</w:t>
      </w:r>
      <w:r w:rsidRPr="002C4609">
        <w:rPr>
          <w:i/>
          <w:lang w:val="es-ES"/>
        </w:rPr>
        <w:t>»</w:t>
      </w:r>
    </w:p>
    <w:p w14:paraId="3181E6FD" w14:textId="77777777" w:rsidR="002C4609" w:rsidRPr="002C4609" w:rsidRDefault="002C4609" w:rsidP="00187A72">
      <w:pPr>
        <w:rPr>
          <w:lang w:val="es-ES"/>
        </w:rPr>
      </w:pPr>
      <w:r w:rsidRPr="002C4609">
        <w:rPr>
          <w:lang w:val="es-ES"/>
        </w:rPr>
        <w:t>En la nota del número </w:t>
      </w:r>
      <w:r w:rsidRPr="002C4609">
        <w:rPr>
          <w:b/>
          <w:bCs/>
          <w:lang w:val="es-ES"/>
        </w:rPr>
        <w:t>5.162A</w:t>
      </w:r>
      <w:r w:rsidRPr="002C4609">
        <w:rPr>
          <w:lang w:val="es-ES"/>
        </w:rPr>
        <w:t xml:space="preserve"> del Reglamento de Radiocomunicaciones (RR) se prevé una atribución adicional al servicio de radiolocalización a título secundario en la banda de frecuencias 46-68 MHz en varios países, exclusivamente para la explotación de radares de perfil del viento (WPR) de acuerdo con la Resolución </w:t>
      </w:r>
      <w:r w:rsidRPr="002C4609">
        <w:rPr>
          <w:b/>
          <w:bCs/>
          <w:lang w:val="es-ES"/>
        </w:rPr>
        <w:t>217 (CMR</w:t>
      </w:r>
      <w:r w:rsidRPr="002C4609">
        <w:rPr>
          <w:b/>
          <w:bCs/>
          <w:lang w:val="es-ES"/>
        </w:rPr>
        <w:noBreakHyphen/>
        <w:t>97)</w:t>
      </w:r>
      <w:r w:rsidRPr="002C4609">
        <w:rPr>
          <w:lang w:val="es-ES"/>
        </w:rPr>
        <w:t>.</w:t>
      </w:r>
    </w:p>
    <w:p w14:paraId="5F87344D" w14:textId="0B2F70F9" w:rsidR="002C4609" w:rsidRPr="002C4609" w:rsidRDefault="002C4609" w:rsidP="00187A72">
      <w:pPr>
        <w:rPr>
          <w:lang w:val="es-ES"/>
        </w:rPr>
      </w:pPr>
      <w:r w:rsidRPr="002C4609">
        <w:rPr>
          <w:lang w:val="es-ES"/>
        </w:rPr>
        <w:t>Ese título secundario previsto para los radares de perfil de viento podría generar dificultades si la nueva atribución al servicio de aficionados fuese a título primario. Los estudios del UIT-R muestran que se necesita una gran distancia (de 29 a 300 km) para garantizar la protección de los WPR.</w:t>
      </w:r>
    </w:p>
    <w:p w14:paraId="785B075E" w14:textId="4063028E" w:rsidR="002C4609" w:rsidRDefault="002C4609" w:rsidP="00187A72">
      <w:pPr>
        <w:spacing w:after="120"/>
        <w:rPr>
          <w:lang w:val="es-ES"/>
        </w:rPr>
      </w:pPr>
      <w:r w:rsidRPr="002C4609">
        <w:rPr>
          <w:lang w:val="es-ES"/>
        </w:rPr>
        <w:t xml:space="preserve">Además, </w:t>
      </w:r>
      <w:r w:rsidR="00FE6A63">
        <w:rPr>
          <w:lang w:val="es-ES"/>
        </w:rPr>
        <w:t xml:space="preserve">pese a que </w:t>
      </w:r>
      <w:r w:rsidRPr="002C4609">
        <w:rPr>
          <w:lang w:val="es-ES"/>
        </w:rPr>
        <w:t>no se excluye una nueva atribución al servicio de aficionados por satélite en el orden del día</w:t>
      </w:r>
      <w:r w:rsidR="00FE6A63">
        <w:rPr>
          <w:lang w:val="es-ES"/>
        </w:rPr>
        <w:t>, no se ha llevado a cabo ningún estudio. Puesto que dicho servicio de aficionados</w:t>
      </w:r>
      <w:r w:rsidRPr="002C4609">
        <w:rPr>
          <w:lang w:val="es-ES"/>
        </w:rPr>
        <w:t xml:space="preserve"> podría generar interferencia perjudicial en el haz principal de los WPR</w:t>
      </w:r>
      <w:r w:rsidR="00690827">
        <w:rPr>
          <w:lang w:val="es-ES"/>
        </w:rPr>
        <w:t xml:space="preserve">, </w:t>
      </w:r>
      <w:r w:rsidR="00690827" w:rsidRPr="002C4609">
        <w:rPr>
          <w:lang w:val="es-ES"/>
        </w:rPr>
        <w:t xml:space="preserve">la </w:t>
      </w:r>
      <w:r w:rsidRPr="002C4609">
        <w:rPr>
          <w:lang w:val="es-ES"/>
        </w:rPr>
        <w:t>OMM se opone a cualquier nueva atribución al servicio de aficionados por satélite en esa banda de frecuencias.</w:t>
      </w:r>
    </w:p>
    <w:tbl>
      <w:tblPr>
        <w:tblStyle w:val="TableGrid"/>
        <w:tblW w:w="0" w:type="auto"/>
        <w:tblLook w:val="04A0" w:firstRow="1" w:lastRow="0" w:firstColumn="1" w:lastColumn="0" w:noHBand="0" w:noVBand="1"/>
      </w:tblPr>
      <w:tblGrid>
        <w:gridCol w:w="9629"/>
      </w:tblGrid>
      <w:tr w:rsidR="00007E19" w:rsidRPr="007B4E95" w14:paraId="0B2E03CF" w14:textId="77777777" w:rsidTr="00007E19">
        <w:tc>
          <w:tcPr>
            <w:tcW w:w="9629" w:type="dxa"/>
          </w:tcPr>
          <w:p w14:paraId="6552BAF3" w14:textId="22090B9B" w:rsidR="00007E19" w:rsidRPr="005D12EF" w:rsidRDefault="00A2007F" w:rsidP="00187A72">
            <w:pPr>
              <w:pStyle w:val="Headingb"/>
              <w:rPr>
                <w:lang w:val="es-ES"/>
              </w:rPr>
            </w:pPr>
            <w:r w:rsidRPr="005D12EF">
              <w:rPr>
                <w:lang w:val="es-ES"/>
              </w:rPr>
              <w:lastRenderedPageBreak/>
              <w:t>Posición de la OMM respecto del punto 1.1 del orden del día de la CMR-19</w:t>
            </w:r>
          </w:p>
          <w:p w14:paraId="31DAEA59" w14:textId="61695A39" w:rsidR="00007E19" w:rsidRPr="009F2089" w:rsidRDefault="00A2007F" w:rsidP="00187A72">
            <w:pPr>
              <w:rPr>
                <w:lang w:val="es-ES"/>
              </w:rPr>
            </w:pPr>
            <w:r w:rsidRPr="009F2089">
              <w:rPr>
                <w:lang w:val="es-ES"/>
              </w:rPr>
              <w:t>La OMM no se opone a una atribución al servicio de aficionados en la banda 50-54 MHz siempre que:</w:t>
            </w:r>
          </w:p>
          <w:p w14:paraId="365D2BA7" w14:textId="3F769A52" w:rsidR="00007E19" w:rsidRPr="009F2089" w:rsidRDefault="00007E19" w:rsidP="00187A72">
            <w:pPr>
              <w:pStyle w:val="enumlev1"/>
              <w:rPr>
                <w:lang w:val="es-ES"/>
              </w:rPr>
            </w:pPr>
            <w:r w:rsidRPr="009F2089">
              <w:rPr>
                <w:lang w:val="es-ES"/>
              </w:rPr>
              <w:t>–</w:t>
            </w:r>
            <w:r w:rsidRPr="009F2089">
              <w:rPr>
                <w:lang w:val="es-ES"/>
              </w:rPr>
              <w:tab/>
            </w:r>
            <w:r w:rsidR="00A2007F" w:rsidRPr="009F2089">
              <w:rPr>
                <w:lang w:val="es-ES"/>
              </w:rPr>
              <w:t xml:space="preserve">se garantice una protección adecuada del servicio de radiolocalización atribuido en el número </w:t>
            </w:r>
            <w:r w:rsidR="00A2007F" w:rsidRPr="009F2089">
              <w:rPr>
                <w:b/>
                <w:lang w:val="es-ES"/>
              </w:rPr>
              <w:t>5.162A</w:t>
            </w:r>
            <w:r w:rsidR="00A2007F" w:rsidRPr="009F2089">
              <w:rPr>
                <w:lang w:val="es-ES"/>
              </w:rPr>
              <w:t xml:space="preserve"> del RR caso por caso; y</w:t>
            </w:r>
          </w:p>
          <w:p w14:paraId="261A3A3B" w14:textId="77777777" w:rsidR="00A2007F" w:rsidRDefault="00007E19" w:rsidP="00187A72">
            <w:pPr>
              <w:pStyle w:val="enumlev1"/>
              <w:rPr>
                <w:lang w:val="es-ES"/>
              </w:rPr>
            </w:pPr>
            <w:r w:rsidRPr="009F2089">
              <w:rPr>
                <w:lang w:val="es-ES"/>
              </w:rPr>
              <w:t>–</w:t>
            </w:r>
            <w:r w:rsidRPr="009F2089">
              <w:rPr>
                <w:lang w:val="es-ES"/>
              </w:rPr>
              <w:tab/>
            </w:r>
            <w:r w:rsidR="00A2007F" w:rsidRPr="009F2089">
              <w:rPr>
                <w:lang w:val="es-ES"/>
              </w:rPr>
              <w:t>el título de la nueva atribución al servicio de aficionados proporcione al servicio de radiolocalización igualdad o preferencia frente al servicio de aficionados.</w:t>
            </w:r>
          </w:p>
          <w:p w14:paraId="50313794" w14:textId="50853896" w:rsidR="00007E19" w:rsidRPr="007B4E95" w:rsidRDefault="007B4E95" w:rsidP="00C70128">
            <w:pPr>
              <w:spacing w:after="120"/>
              <w:rPr>
                <w:lang w:val="es-ES"/>
              </w:rPr>
            </w:pPr>
            <w:r>
              <w:rPr>
                <w:lang w:val="es-ES"/>
              </w:rPr>
              <w:t>De decidirse</w:t>
            </w:r>
            <w:r w:rsidRPr="007B4E95">
              <w:rPr>
                <w:lang w:val="es-ES"/>
              </w:rPr>
              <w:t xml:space="preserve"> una atribución al servicio de aficionados en la banda 50-54 MHz, la OMM </w:t>
            </w:r>
            <w:r>
              <w:rPr>
                <w:lang w:val="es-ES"/>
              </w:rPr>
              <w:t>aboga por</w:t>
            </w:r>
            <w:r w:rsidRPr="007B4E95">
              <w:rPr>
                <w:lang w:val="es-ES"/>
              </w:rPr>
              <w:t xml:space="preserve"> una atribución </w:t>
            </w:r>
            <w:r>
              <w:rPr>
                <w:lang w:val="es-ES"/>
              </w:rPr>
              <w:t xml:space="preserve">a título </w:t>
            </w:r>
            <w:r w:rsidRPr="007B4E95">
              <w:rPr>
                <w:lang w:val="es-ES"/>
              </w:rPr>
              <w:t>secundari</w:t>
            </w:r>
            <w:r>
              <w:rPr>
                <w:lang w:val="es-ES"/>
              </w:rPr>
              <w:t>o</w:t>
            </w:r>
            <w:r w:rsidRPr="007B4E95">
              <w:rPr>
                <w:lang w:val="es-ES"/>
              </w:rPr>
              <w:t xml:space="preserve"> (</w:t>
            </w:r>
            <w:r w:rsidR="00A71E83" w:rsidRPr="007B4E95">
              <w:rPr>
                <w:lang w:val="es-ES"/>
              </w:rPr>
              <w:t xml:space="preserve">Método </w:t>
            </w:r>
            <w:r w:rsidRPr="007B4E95">
              <w:rPr>
                <w:lang w:val="es-ES"/>
              </w:rPr>
              <w:t>B1 o</w:t>
            </w:r>
            <w:r>
              <w:rPr>
                <w:lang w:val="es-ES"/>
              </w:rPr>
              <w:t xml:space="preserve"> </w:t>
            </w:r>
            <w:r w:rsidR="00A71E83" w:rsidRPr="007B4E95">
              <w:rPr>
                <w:lang w:val="es-ES"/>
              </w:rPr>
              <w:t xml:space="preserve">Método </w:t>
            </w:r>
            <w:r w:rsidRPr="007B4E95">
              <w:rPr>
                <w:lang w:val="es-ES"/>
              </w:rPr>
              <w:t xml:space="preserve">B2) </w:t>
            </w:r>
            <w:r>
              <w:rPr>
                <w:lang w:val="es-ES"/>
              </w:rPr>
              <w:t>relativa al</w:t>
            </w:r>
            <w:r w:rsidRPr="007B4E95">
              <w:rPr>
                <w:lang w:val="es-ES"/>
              </w:rPr>
              <w:t xml:space="preserve"> Informe de la RPC. La OMM se opone a </w:t>
            </w:r>
            <w:r>
              <w:rPr>
                <w:lang w:val="es-ES"/>
              </w:rPr>
              <w:t>una</w:t>
            </w:r>
            <w:r w:rsidRPr="007B4E95">
              <w:rPr>
                <w:lang w:val="es-ES"/>
              </w:rPr>
              <w:t xml:space="preserve"> atribución </w:t>
            </w:r>
            <w:r>
              <w:rPr>
                <w:lang w:val="es-ES"/>
              </w:rPr>
              <w:t>a título primario</w:t>
            </w:r>
            <w:r w:rsidRPr="007B4E95">
              <w:rPr>
                <w:lang w:val="es-ES"/>
              </w:rPr>
              <w:t xml:space="preserve"> al servicio de aficionados en toda la banda 50-54 MHz</w:t>
            </w:r>
            <w:r>
              <w:rPr>
                <w:lang w:val="es-ES"/>
              </w:rPr>
              <w:t>, o en partes de la misma</w:t>
            </w:r>
            <w:r w:rsidRPr="007B4E95">
              <w:rPr>
                <w:lang w:val="es-ES"/>
              </w:rPr>
              <w:t xml:space="preserve"> (</w:t>
            </w:r>
            <w:r w:rsidR="00A71E83" w:rsidRPr="007B4E95">
              <w:rPr>
                <w:lang w:val="es-ES"/>
              </w:rPr>
              <w:t xml:space="preserve">Métodos </w:t>
            </w:r>
            <w:r w:rsidRPr="007B4E95">
              <w:rPr>
                <w:lang w:val="es-ES"/>
              </w:rPr>
              <w:t>A o C), a menos que se aplique una disposición específica para la protección del servicio de radiolocalización</w:t>
            </w:r>
            <w:r w:rsidR="00007E19" w:rsidRPr="007B4E95">
              <w:rPr>
                <w:lang w:val="es-ES"/>
              </w:rPr>
              <w:t>.</w:t>
            </w:r>
          </w:p>
        </w:tc>
      </w:tr>
    </w:tbl>
    <w:p w14:paraId="57368B3F" w14:textId="77777777" w:rsidR="002C4609" w:rsidRPr="002C4609" w:rsidRDefault="002C4609" w:rsidP="00003EB0">
      <w:pPr>
        <w:pStyle w:val="Heading2"/>
        <w:rPr>
          <w:lang w:val="es-ES"/>
        </w:rPr>
      </w:pPr>
      <w:r w:rsidRPr="002C4609">
        <w:rPr>
          <w:lang w:val="es-ES"/>
        </w:rPr>
        <w:t>3.2</w:t>
      </w:r>
      <w:r w:rsidRPr="002C4609">
        <w:rPr>
          <w:lang w:val="es-ES"/>
        </w:rPr>
        <w:tab/>
        <w:t>Punto 1.2 del orden del día</w:t>
      </w:r>
    </w:p>
    <w:p w14:paraId="6288D184" w14:textId="6A312D55" w:rsidR="002C4609" w:rsidRPr="002C4609" w:rsidRDefault="002C4609" w:rsidP="00A43CAF">
      <w:pPr>
        <w:rPr>
          <w:i/>
          <w:lang w:val="es-ES"/>
        </w:rPr>
      </w:pPr>
      <w:r w:rsidRPr="002C4609">
        <w:rPr>
          <w:i/>
          <w:lang w:val="es-ES"/>
        </w:rPr>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00003EB0">
        <w:rPr>
          <w:i/>
          <w:lang w:val="es-ES"/>
        </w:rPr>
        <w:t>-</w:t>
      </w:r>
      <w:r w:rsidRPr="002C4609">
        <w:rPr>
          <w:i/>
          <w:lang w:val="es-ES"/>
        </w:rPr>
        <w:t xml:space="preserve">403 MHz y 399,9-400,05 MHz, de conformidad con la Resolución </w:t>
      </w:r>
      <w:r w:rsidRPr="002C4609">
        <w:rPr>
          <w:b/>
          <w:bCs/>
          <w:i/>
          <w:lang w:val="es-ES"/>
        </w:rPr>
        <w:t>765 (CMR-15)</w:t>
      </w:r>
      <w:r w:rsidR="002F3370">
        <w:rPr>
          <w:i/>
          <w:lang w:val="es-ES"/>
        </w:rPr>
        <w:t>.</w:t>
      </w:r>
      <w:r w:rsidRPr="002C4609">
        <w:rPr>
          <w:i/>
          <w:lang w:val="es-ES"/>
        </w:rPr>
        <w:t>»</w:t>
      </w:r>
    </w:p>
    <w:p w14:paraId="7B24491C" w14:textId="1ABC9581" w:rsidR="002F3370" w:rsidRPr="007B4E95" w:rsidRDefault="007B4E95" w:rsidP="00187A72">
      <w:pPr>
        <w:rPr>
          <w:lang w:val="es-ES"/>
        </w:rPr>
      </w:pPr>
      <w:r w:rsidRPr="007B4E95">
        <w:rPr>
          <w:lang w:val="es-ES"/>
        </w:rPr>
        <w:t xml:space="preserve">La OMM </w:t>
      </w:r>
      <w:r w:rsidR="00AC20B1">
        <w:rPr>
          <w:lang w:val="es-ES"/>
        </w:rPr>
        <w:t>pone de manifiesto</w:t>
      </w:r>
      <w:r w:rsidRPr="007B4E95">
        <w:rPr>
          <w:lang w:val="es-ES"/>
        </w:rPr>
        <w:t xml:space="preserve"> que </w:t>
      </w:r>
      <w:r w:rsidR="001549FC">
        <w:rPr>
          <w:lang w:val="es-ES"/>
        </w:rPr>
        <w:t xml:space="preserve">en </w:t>
      </w:r>
      <w:r w:rsidRPr="007B4E95">
        <w:rPr>
          <w:lang w:val="es-ES"/>
        </w:rPr>
        <w:t xml:space="preserve">algunos sistemas DCS no OSG </w:t>
      </w:r>
      <w:r w:rsidR="001549FC">
        <w:rPr>
          <w:lang w:val="es-ES"/>
        </w:rPr>
        <w:t xml:space="preserve">se </w:t>
      </w:r>
      <w:r w:rsidRPr="007B4E95">
        <w:rPr>
          <w:lang w:val="es-ES"/>
        </w:rPr>
        <w:t>utiliza la banda de frecuencias 399,9</w:t>
      </w:r>
      <w:r w:rsidR="00AC20B1">
        <w:rPr>
          <w:lang w:val="es-ES"/>
        </w:rPr>
        <w:t>-</w:t>
      </w:r>
      <w:r w:rsidRPr="007B4E95">
        <w:rPr>
          <w:lang w:val="es-ES"/>
        </w:rPr>
        <w:t xml:space="preserve">400,05 MHz para aplicaciones meteorológicas. Sin embargo, la </w:t>
      </w:r>
      <w:r w:rsidR="00AC20B1">
        <w:rPr>
          <w:lang w:val="es-ES"/>
        </w:rPr>
        <w:t>posición</w:t>
      </w:r>
      <w:r w:rsidRPr="007B4E95">
        <w:rPr>
          <w:lang w:val="es-ES"/>
        </w:rPr>
        <w:t xml:space="preserve"> de la OMM </w:t>
      </w:r>
      <w:r w:rsidR="00AC20B1">
        <w:rPr>
          <w:lang w:val="es-ES"/>
        </w:rPr>
        <w:t>guarda relación con</w:t>
      </w:r>
      <w:r w:rsidRPr="007B4E95">
        <w:rPr>
          <w:lang w:val="es-ES"/>
        </w:rPr>
        <w:t xml:space="preserve"> la banda de frecuencias 401</w:t>
      </w:r>
      <w:r w:rsidR="00AC20B1">
        <w:rPr>
          <w:lang w:val="es-ES"/>
        </w:rPr>
        <w:t>-</w:t>
      </w:r>
      <w:r w:rsidRPr="007B4E95">
        <w:rPr>
          <w:lang w:val="es-ES"/>
        </w:rPr>
        <w:t>403 MH</w:t>
      </w:r>
      <w:r>
        <w:rPr>
          <w:lang w:val="es-ES"/>
        </w:rPr>
        <w:t>z</w:t>
      </w:r>
      <w:r w:rsidR="002F3370" w:rsidRPr="007B4E95">
        <w:rPr>
          <w:lang w:val="es-ES"/>
        </w:rPr>
        <w:t>.</w:t>
      </w:r>
    </w:p>
    <w:p w14:paraId="35DAA8CB" w14:textId="0E33FAAC" w:rsidR="002C4609" w:rsidRPr="002C4609" w:rsidRDefault="002C4609" w:rsidP="00187A72">
      <w:pPr>
        <w:rPr>
          <w:lang w:val="es-ES"/>
        </w:rPr>
      </w:pPr>
      <w:r w:rsidRPr="002C4609">
        <w:rPr>
          <w:lang w:val="es-ES"/>
        </w:rPr>
        <w:t>En el mundo hay decenas de miles de estaciones con sistemas de recogida de datos (DCS) operando en la banda de frecuencias 401</w:t>
      </w:r>
      <w:r w:rsidRPr="002C4609">
        <w:rPr>
          <w:lang w:val="es-ES"/>
        </w:rPr>
        <w:noBreakHyphen/>
        <w:t>403 MHz y comunicándose con receptores sensibles en satélites de órbita geoestacionaria (OSG) y no geoestacionaria para recopilar datos fundamentales del clima y el tiempo. Esas estaciones operan a baja potencia. El uso de estaciones terrenas con potencia isótropa radiada equivalente (p.i.r.e.) superior a las de aquellas relacionadas con esos DCS, en particular para enlaces de telemando (Tierra-espacio), afectaría negativamente a la operación de esos sistemas.</w:t>
      </w:r>
    </w:p>
    <w:p w14:paraId="208A468B" w14:textId="7BA4F8EE" w:rsidR="002C4609" w:rsidRPr="002C4609" w:rsidRDefault="00AC20B1" w:rsidP="00187A72">
      <w:pPr>
        <w:rPr>
          <w:lang w:val="es-ES"/>
        </w:rPr>
      </w:pPr>
      <w:r>
        <w:rPr>
          <w:lang w:val="es-ES"/>
        </w:rPr>
        <w:t>Es</w:t>
      </w:r>
      <w:r w:rsidRPr="002C4609">
        <w:rPr>
          <w:lang w:val="es-ES"/>
        </w:rPr>
        <w:t xml:space="preserve"> </w:t>
      </w:r>
      <w:r w:rsidR="002C4609" w:rsidRPr="002C4609">
        <w:rPr>
          <w:lang w:val="es-ES"/>
        </w:rPr>
        <w:t>necesario configurar una serie de límites p.i.r.e. dentro de banda (Tierra-espacio) para que los DCS de órbita geoestacionaria y no geoestacionaria puedan operar. Los últimos estudios del UIT-R muestran que debería aplicarse un límite p.i.r.e. de 22 dBW en la banda de frecuencias 401</w:t>
      </w:r>
      <w:r w:rsidR="002C4609" w:rsidRPr="002C4609">
        <w:rPr>
          <w:lang w:val="es-ES"/>
        </w:rPr>
        <w:noBreakHyphen/>
        <w:t>403 MHz a los sistemas de órbita geoestacionaria/de órbita muy elíptica (HEO), y un límite p.i.r.e. de 7 dBW para los sistemas de órbita no geoestacionaria (órbita terrestre media, MEO, y órbita terrestre baja, LEO).</w:t>
      </w:r>
    </w:p>
    <w:p w14:paraId="7B722D67" w14:textId="150A186F" w:rsidR="00B96293" w:rsidRPr="00AC20B1" w:rsidRDefault="00AC20B1" w:rsidP="00187A72">
      <w:pPr>
        <w:rPr>
          <w:lang w:val="es-ES"/>
        </w:rPr>
      </w:pPr>
      <w:r w:rsidRPr="00AC20B1">
        <w:rPr>
          <w:lang w:val="es-ES"/>
        </w:rPr>
        <w:t xml:space="preserve">Las propuestas </w:t>
      </w:r>
      <w:r>
        <w:rPr>
          <w:lang w:val="es-ES"/>
        </w:rPr>
        <w:t>de exención de cumplimiento del requisito en materia de</w:t>
      </w:r>
      <w:r w:rsidRPr="00AC20B1">
        <w:rPr>
          <w:lang w:val="es-ES"/>
        </w:rPr>
        <w:t xml:space="preserve"> p.i.r.e. </w:t>
      </w:r>
      <w:r>
        <w:rPr>
          <w:lang w:val="es-ES"/>
        </w:rPr>
        <w:t>de</w:t>
      </w:r>
      <w:r w:rsidRPr="00AC20B1">
        <w:rPr>
          <w:lang w:val="es-ES"/>
        </w:rPr>
        <w:t xml:space="preserve"> algunos sistemas de satélite </w:t>
      </w:r>
      <w:r w:rsidR="00D33F2E">
        <w:rPr>
          <w:lang w:val="es-ES"/>
        </w:rPr>
        <w:t xml:space="preserve">después de </w:t>
      </w:r>
      <w:r>
        <w:rPr>
          <w:lang w:val="es-ES"/>
        </w:rPr>
        <w:t>un</w:t>
      </w:r>
      <w:r w:rsidRPr="00AC20B1">
        <w:rPr>
          <w:lang w:val="es-ES"/>
        </w:rPr>
        <w:t xml:space="preserve"> per</w:t>
      </w:r>
      <w:r w:rsidR="00504627">
        <w:rPr>
          <w:lang w:val="es-ES"/>
        </w:rPr>
        <w:t>i</w:t>
      </w:r>
      <w:r w:rsidRPr="00AC20B1">
        <w:rPr>
          <w:lang w:val="es-ES"/>
        </w:rPr>
        <w:t>odo de transición</w:t>
      </w:r>
      <w:r>
        <w:rPr>
          <w:lang w:val="es-ES"/>
        </w:rPr>
        <w:t xml:space="preserve"> determinado</w:t>
      </w:r>
      <w:r w:rsidRPr="00AC20B1">
        <w:rPr>
          <w:lang w:val="es-ES"/>
        </w:rPr>
        <w:t xml:space="preserve"> (</w:t>
      </w:r>
      <w:r>
        <w:rPr>
          <w:lang w:val="es-ES"/>
        </w:rPr>
        <w:t xml:space="preserve">de </w:t>
      </w:r>
      <w:r w:rsidR="000602C1">
        <w:rPr>
          <w:lang w:val="es-ES"/>
        </w:rPr>
        <w:t>cinco</w:t>
      </w:r>
      <w:r w:rsidRPr="00AC20B1">
        <w:rPr>
          <w:lang w:val="es-ES"/>
        </w:rPr>
        <w:t xml:space="preserve"> a </w:t>
      </w:r>
      <w:r w:rsidR="000602C1">
        <w:rPr>
          <w:lang w:val="es-ES"/>
        </w:rPr>
        <w:t>diez</w:t>
      </w:r>
      <w:r w:rsidRPr="00AC20B1">
        <w:rPr>
          <w:lang w:val="es-ES"/>
        </w:rPr>
        <w:t xml:space="preserve"> años</w:t>
      </w:r>
      <w:r>
        <w:rPr>
          <w:lang w:val="es-ES"/>
        </w:rPr>
        <w:t>, según la propuesta que figura</w:t>
      </w:r>
      <w:r w:rsidRPr="00AC20B1">
        <w:rPr>
          <w:lang w:val="es-ES"/>
        </w:rPr>
        <w:t xml:space="preserve"> en el </w:t>
      </w:r>
      <w:r w:rsidR="00003EB0" w:rsidRPr="00AC20B1">
        <w:rPr>
          <w:lang w:val="es-ES"/>
        </w:rPr>
        <w:t xml:space="preserve">Informe </w:t>
      </w:r>
      <w:r w:rsidRPr="00AC20B1">
        <w:rPr>
          <w:lang w:val="es-ES"/>
        </w:rPr>
        <w:t xml:space="preserve">de la RPC), </w:t>
      </w:r>
      <w:r w:rsidR="00D33F2E">
        <w:rPr>
          <w:lang w:val="es-ES"/>
        </w:rPr>
        <w:t>o</w:t>
      </w:r>
      <w:r w:rsidRPr="00AC20B1">
        <w:rPr>
          <w:lang w:val="es-ES"/>
        </w:rPr>
        <w:t xml:space="preserve"> de forma indefinida, </w:t>
      </w:r>
      <w:r w:rsidR="00D33F2E">
        <w:rPr>
          <w:lang w:val="es-ES"/>
        </w:rPr>
        <w:t>darán lugar a</w:t>
      </w:r>
      <w:r w:rsidRPr="00AC20B1">
        <w:rPr>
          <w:lang w:val="es-ES"/>
        </w:rPr>
        <w:t xml:space="preserve"> desequilibrio</w:t>
      </w:r>
      <w:r w:rsidR="00D33F2E">
        <w:rPr>
          <w:lang w:val="es-ES"/>
        </w:rPr>
        <w:t>s</w:t>
      </w:r>
      <w:r w:rsidRPr="00AC20B1">
        <w:rPr>
          <w:lang w:val="es-ES"/>
        </w:rPr>
        <w:t xml:space="preserve"> </w:t>
      </w:r>
      <w:r w:rsidR="00D33F2E">
        <w:rPr>
          <w:lang w:val="es-ES"/>
        </w:rPr>
        <w:t>e impedirán la utilización del</w:t>
      </w:r>
      <w:r w:rsidRPr="00AC20B1">
        <w:rPr>
          <w:lang w:val="es-ES"/>
        </w:rPr>
        <w:t xml:space="preserve"> espectro </w:t>
      </w:r>
      <w:r w:rsidR="00D33F2E">
        <w:rPr>
          <w:lang w:val="es-ES"/>
        </w:rPr>
        <w:t>por</w:t>
      </w:r>
      <w:r w:rsidRPr="00AC20B1">
        <w:rPr>
          <w:lang w:val="es-ES"/>
        </w:rPr>
        <w:t xml:space="preserve"> los sistemas DCS</w:t>
      </w:r>
      <w:r w:rsidR="00D33F2E">
        <w:rPr>
          <w:lang w:val="es-ES"/>
        </w:rPr>
        <w:t>, a raíz de los límites establecidos para los mismos</w:t>
      </w:r>
      <w:r w:rsidR="00B96293" w:rsidRPr="00AC20B1">
        <w:rPr>
          <w:lang w:val="es-ES"/>
        </w:rPr>
        <w:t>.</w:t>
      </w:r>
    </w:p>
    <w:p w14:paraId="73C11151" w14:textId="6D1092DE" w:rsidR="002C4609" w:rsidRPr="002C4609" w:rsidRDefault="002C4609" w:rsidP="00A43CAF">
      <w:pPr>
        <w:spacing w:after="120"/>
        <w:rPr>
          <w:lang w:val="es-ES"/>
        </w:rPr>
      </w:pPr>
      <w:r w:rsidRPr="002C4609">
        <w:rPr>
          <w:lang w:val="es-ES"/>
        </w:rPr>
        <w:t>Para utilizar la banda 401</w:t>
      </w:r>
      <w:r w:rsidRPr="002C4609">
        <w:rPr>
          <w:lang w:val="es-ES"/>
        </w:rPr>
        <w:noBreakHyphen/>
        <w:t>403 MHz con los límites propuestos deberá tenerse en cuenta el marco establecido en la partición de banda de frecuencias que figura en la Recomendación UIT</w:t>
      </w:r>
      <w:r w:rsidRPr="002C4609">
        <w:rPr>
          <w:lang w:val="es-ES"/>
        </w:rPr>
        <w:noBreakHyphen/>
        <w:t>R</w:t>
      </w:r>
      <w:r w:rsidR="003423F6">
        <w:rPr>
          <w:lang w:val="es-ES"/>
        </w:rPr>
        <w:t> </w:t>
      </w:r>
      <w:r w:rsidRPr="002C4609">
        <w:rPr>
          <w:lang w:val="es-ES"/>
        </w:rPr>
        <w:t>SA.2045.</w:t>
      </w:r>
    </w:p>
    <w:tbl>
      <w:tblPr>
        <w:tblStyle w:val="TableGrid"/>
        <w:tblW w:w="0" w:type="auto"/>
        <w:tblLook w:val="04A0" w:firstRow="1" w:lastRow="0" w:firstColumn="1" w:lastColumn="0" w:noHBand="0" w:noVBand="1"/>
      </w:tblPr>
      <w:tblGrid>
        <w:gridCol w:w="9629"/>
      </w:tblGrid>
      <w:tr w:rsidR="00C17B95" w:rsidRPr="000A0599" w14:paraId="5404E8D7" w14:textId="77777777" w:rsidTr="00C17B95">
        <w:tc>
          <w:tcPr>
            <w:tcW w:w="9629" w:type="dxa"/>
          </w:tcPr>
          <w:p w14:paraId="0C2179B4" w14:textId="13374BC8" w:rsidR="00C17B95" w:rsidRPr="00907B54" w:rsidRDefault="00C17B95" w:rsidP="00187A72">
            <w:pPr>
              <w:pStyle w:val="Headingb"/>
              <w:rPr>
                <w:lang w:val="es-ES"/>
              </w:rPr>
            </w:pPr>
            <w:r w:rsidRPr="00907B54">
              <w:rPr>
                <w:lang w:val="es-ES"/>
              </w:rPr>
              <w:lastRenderedPageBreak/>
              <w:t>Posición de la OMM respecto del punto 1.2 del orden del día de la CMR-19</w:t>
            </w:r>
          </w:p>
          <w:p w14:paraId="6BBE8F4B" w14:textId="7F3EB4E1" w:rsidR="00C17B95" w:rsidRDefault="00C17B95" w:rsidP="00187A72">
            <w:pPr>
              <w:rPr>
                <w:lang w:val="es-ES"/>
              </w:rPr>
            </w:pPr>
            <w:r w:rsidRPr="002C4609">
              <w:rPr>
                <w:lang w:val="es-ES"/>
              </w:rPr>
              <w:t>La OMM apoya</w:t>
            </w:r>
            <w:r>
              <w:rPr>
                <w:lang w:val="es-ES"/>
              </w:rPr>
              <w:t>:</w:t>
            </w:r>
          </w:p>
          <w:p w14:paraId="7B46AB9B" w14:textId="111A750F" w:rsidR="00C17B95" w:rsidRPr="002C4609" w:rsidRDefault="00C17B95" w:rsidP="00187A72">
            <w:pPr>
              <w:pStyle w:val="enumlev1"/>
              <w:rPr>
                <w:lang w:val="es-ES"/>
              </w:rPr>
            </w:pPr>
            <w:r w:rsidRPr="00C17B95">
              <w:rPr>
                <w:lang w:val="es-ES"/>
              </w:rPr>
              <w:t>–</w:t>
            </w:r>
            <w:r>
              <w:rPr>
                <w:lang w:val="es-ES"/>
              </w:rPr>
              <w:tab/>
            </w:r>
            <w:r w:rsidRPr="002C4609">
              <w:rPr>
                <w:lang w:val="es-ES"/>
              </w:rPr>
              <w:t xml:space="preserve">el establecimiento de una serie adecuada de límites p.i.r.e. dentro de banda para </w:t>
            </w:r>
            <w:r w:rsidR="00260B25">
              <w:rPr>
                <w:lang w:val="es-ES"/>
              </w:rPr>
              <w:t>todas las estaciones terrenas</w:t>
            </w:r>
            <w:r w:rsidRPr="002C4609">
              <w:rPr>
                <w:lang w:val="es-ES"/>
              </w:rPr>
              <w:t xml:space="preserve"> </w:t>
            </w:r>
            <w:r w:rsidR="00260B25">
              <w:rPr>
                <w:lang w:val="es-ES"/>
              </w:rPr>
              <w:t>a fin de</w:t>
            </w:r>
            <w:r w:rsidRPr="002C4609">
              <w:rPr>
                <w:lang w:val="es-ES"/>
              </w:rPr>
              <w:t xml:space="preserve"> proteger </w:t>
            </w:r>
            <w:r w:rsidR="00260B25">
              <w:rPr>
                <w:lang w:val="es-ES"/>
              </w:rPr>
              <w:t>la utilización</w:t>
            </w:r>
            <w:r w:rsidRPr="002C4609">
              <w:rPr>
                <w:lang w:val="es-ES"/>
              </w:rPr>
              <w:t xml:space="preserve"> actual y futur</w:t>
            </w:r>
            <w:r w:rsidR="00260B25">
              <w:rPr>
                <w:lang w:val="es-ES"/>
              </w:rPr>
              <w:t>a</w:t>
            </w:r>
            <w:r w:rsidRPr="002C4609">
              <w:rPr>
                <w:lang w:val="es-ES"/>
              </w:rPr>
              <w:t xml:space="preserve"> de las operaciones meteorológicas </w:t>
            </w:r>
            <w:r w:rsidR="00260B25">
              <w:rPr>
                <w:lang w:val="es-ES"/>
              </w:rPr>
              <w:t xml:space="preserve">de los DCS </w:t>
            </w:r>
            <w:r w:rsidRPr="002C4609">
              <w:rPr>
                <w:lang w:val="es-ES"/>
              </w:rPr>
              <w:t>en la banda de frecuencias 401-403 MHz</w:t>
            </w:r>
            <w:r w:rsidR="00260B25">
              <w:rPr>
                <w:lang w:val="es-ES"/>
              </w:rPr>
              <w:t xml:space="preserve"> (Método E)</w:t>
            </w:r>
            <w:r w:rsidR="00AF104A">
              <w:rPr>
                <w:lang w:val="es-ES"/>
              </w:rPr>
              <w:t>;</w:t>
            </w:r>
          </w:p>
          <w:p w14:paraId="40C710D8" w14:textId="6C1AF574" w:rsidR="00C17B95" w:rsidRDefault="00663B49" w:rsidP="00187A72">
            <w:pPr>
              <w:pStyle w:val="enumlev1"/>
              <w:rPr>
                <w:lang w:val="es-ES"/>
              </w:rPr>
            </w:pPr>
            <w:r w:rsidRPr="00663B49">
              <w:rPr>
                <w:lang w:val="es-ES"/>
              </w:rPr>
              <w:t>–</w:t>
            </w:r>
            <w:r>
              <w:rPr>
                <w:lang w:val="es-ES"/>
              </w:rPr>
              <w:tab/>
            </w:r>
            <w:r w:rsidR="00C17B95" w:rsidRPr="002C4609">
              <w:rPr>
                <w:lang w:val="es-ES"/>
              </w:rPr>
              <w:t>que esos límites se apliquen a las nuevas notificaciones de sistemas de satélites con efecto a partir del último día de la CMR-19</w:t>
            </w:r>
            <w:r w:rsidR="00AF104A">
              <w:rPr>
                <w:lang w:val="es-ES"/>
              </w:rPr>
              <w:t>;</w:t>
            </w:r>
          </w:p>
          <w:p w14:paraId="073A34BA" w14:textId="073FC8BD" w:rsidR="00663B49" w:rsidRPr="00187A72" w:rsidRDefault="00663B49" w:rsidP="00187A72">
            <w:pPr>
              <w:pStyle w:val="enumlev1"/>
              <w:rPr>
                <w:lang w:val="es-ES"/>
              </w:rPr>
            </w:pPr>
            <w:r w:rsidRPr="00187A72">
              <w:rPr>
                <w:lang w:val="es-ES"/>
              </w:rPr>
              <w:t>–</w:t>
            </w:r>
            <w:r w:rsidRPr="00187A72">
              <w:rPr>
                <w:lang w:val="es-ES"/>
              </w:rPr>
              <w:tab/>
            </w:r>
            <w:r w:rsidR="00260B25">
              <w:rPr>
                <w:lang w:val="es-ES"/>
              </w:rPr>
              <w:t xml:space="preserve">la aplicación de </w:t>
            </w:r>
            <w:r w:rsidR="00260B25" w:rsidRPr="00187A72">
              <w:rPr>
                <w:lang w:val="es-ES"/>
              </w:rPr>
              <w:t xml:space="preserve">un </w:t>
            </w:r>
            <w:r w:rsidR="00260B25">
              <w:rPr>
                <w:lang w:val="es-ES"/>
              </w:rPr>
              <w:t>per</w:t>
            </w:r>
            <w:r w:rsidR="00504627">
              <w:rPr>
                <w:lang w:val="es-ES"/>
              </w:rPr>
              <w:t>i</w:t>
            </w:r>
            <w:r w:rsidR="00260B25">
              <w:rPr>
                <w:lang w:val="es-ES"/>
              </w:rPr>
              <w:t>odo</w:t>
            </w:r>
            <w:r w:rsidR="00260B25" w:rsidRPr="00187A72">
              <w:rPr>
                <w:lang w:val="es-ES"/>
              </w:rPr>
              <w:t xml:space="preserve"> máximo de transición de </w:t>
            </w:r>
            <w:r w:rsidR="00AF104A">
              <w:rPr>
                <w:lang w:val="es-ES"/>
              </w:rPr>
              <w:t>cinco</w:t>
            </w:r>
            <w:r w:rsidR="00260B25" w:rsidRPr="00187A72">
              <w:rPr>
                <w:lang w:val="es-ES"/>
              </w:rPr>
              <w:t xml:space="preserve"> años</w:t>
            </w:r>
            <w:r w:rsidR="000A0599">
              <w:rPr>
                <w:lang w:val="es-ES"/>
              </w:rPr>
              <w:t>,</w:t>
            </w:r>
            <w:r w:rsidR="00260B25" w:rsidRPr="00187A72">
              <w:rPr>
                <w:lang w:val="es-ES"/>
              </w:rPr>
              <w:t xml:space="preserve"> a partir del último día de la CMR-19</w:t>
            </w:r>
            <w:r w:rsidR="000A0599">
              <w:rPr>
                <w:lang w:val="es-ES"/>
              </w:rPr>
              <w:t>,</w:t>
            </w:r>
            <w:r w:rsidR="00260B25" w:rsidRPr="00187A72">
              <w:rPr>
                <w:lang w:val="es-ES"/>
              </w:rPr>
              <w:t xml:space="preserve"> </w:t>
            </w:r>
            <w:r w:rsidR="000A0599">
              <w:rPr>
                <w:lang w:val="es-ES"/>
              </w:rPr>
              <w:t>a</w:t>
            </w:r>
            <w:r w:rsidR="00260B25" w:rsidRPr="00187A72">
              <w:rPr>
                <w:lang w:val="es-ES"/>
              </w:rPr>
              <w:t xml:space="preserve"> todos los sistemas de satélite</w:t>
            </w:r>
            <w:r w:rsidR="00AF104A">
              <w:rPr>
                <w:lang w:val="es-ES"/>
              </w:rPr>
              <w:t>s</w:t>
            </w:r>
            <w:r w:rsidR="00260B25" w:rsidRPr="00187A72">
              <w:rPr>
                <w:lang w:val="es-ES"/>
              </w:rPr>
              <w:t xml:space="preserve"> </w:t>
            </w:r>
            <w:r w:rsidR="000A0599">
              <w:rPr>
                <w:lang w:val="es-ES"/>
              </w:rPr>
              <w:t>puestos</w:t>
            </w:r>
            <w:r w:rsidR="00260B25" w:rsidRPr="00187A72">
              <w:rPr>
                <w:lang w:val="es-ES"/>
              </w:rPr>
              <w:t xml:space="preserve"> en servicio antes del 22 de noviembre de 2019</w:t>
            </w:r>
            <w:r w:rsidRPr="00187A72">
              <w:rPr>
                <w:lang w:val="es-ES"/>
              </w:rPr>
              <w:t>.</w:t>
            </w:r>
          </w:p>
          <w:p w14:paraId="7C9D20BF" w14:textId="2667A850" w:rsidR="00663B49" w:rsidRPr="00260B25" w:rsidRDefault="00260B25" w:rsidP="00187A72">
            <w:pPr>
              <w:rPr>
                <w:lang w:val="es-ES"/>
              </w:rPr>
            </w:pPr>
            <w:r>
              <w:rPr>
                <w:lang w:val="es-ES"/>
              </w:rPr>
              <w:t>La</w:t>
            </w:r>
            <w:r w:rsidRPr="00260B25">
              <w:rPr>
                <w:lang w:val="es-ES"/>
              </w:rPr>
              <w:t xml:space="preserve"> OMM se opone a</w:t>
            </w:r>
            <w:r w:rsidR="00663B49" w:rsidRPr="00260B25">
              <w:rPr>
                <w:lang w:val="es-ES"/>
              </w:rPr>
              <w:t>:</w:t>
            </w:r>
          </w:p>
          <w:p w14:paraId="4D8013C0" w14:textId="06E3E4F3" w:rsidR="000A0599" w:rsidRPr="00187A72" w:rsidRDefault="00663B49" w:rsidP="00187A72">
            <w:pPr>
              <w:pStyle w:val="enumlev1"/>
              <w:rPr>
                <w:lang w:val="es-ES"/>
              </w:rPr>
            </w:pPr>
            <w:r w:rsidRPr="00187A72">
              <w:rPr>
                <w:lang w:val="es-ES"/>
              </w:rPr>
              <w:t>–</w:t>
            </w:r>
            <w:r w:rsidRPr="00187A72">
              <w:rPr>
                <w:lang w:val="es-ES"/>
              </w:rPr>
              <w:tab/>
            </w:r>
            <w:r w:rsidR="000A0599">
              <w:rPr>
                <w:lang w:val="es-ES"/>
              </w:rPr>
              <w:t>toda</w:t>
            </w:r>
            <w:r w:rsidR="000A0599" w:rsidRPr="00187A72">
              <w:rPr>
                <w:lang w:val="es-ES"/>
              </w:rPr>
              <w:t xml:space="preserve"> utilización de la parte de la banda 401-403 MHz </w:t>
            </w:r>
            <w:r w:rsidR="000A0599">
              <w:rPr>
                <w:lang w:val="es-ES"/>
              </w:rPr>
              <w:t>destinada al</w:t>
            </w:r>
            <w:r w:rsidR="000A0599" w:rsidRPr="00187A72">
              <w:rPr>
                <w:lang w:val="es-ES"/>
              </w:rPr>
              <w:t xml:space="preserve"> funcionamiento </w:t>
            </w:r>
            <w:r w:rsidR="000A0599">
              <w:rPr>
                <w:lang w:val="es-ES"/>
              </w:rPr>
              <w:t>de DCS</w:t>
            </w:r>
            <w:r w:rsidR="000A0599" w:rsidRPr="00187A72">
              <w:rPr>
                <w:lang w:val="es-ES"/>
              </w:rPr>
              <w:t xml:space="preserve"> OSG (Recomendación UIT-R SA.2045) por enlaces ascendentes de telemando no OSG (</w:t>
            </w:r>
            <w:r w:rsidR="00095455" w:rsidRPr="00187A72">
              <w:rPr>
                <w:lang w:val="es-ES"/>
              </w:rPr>
              <w:t xml:space="preserve">Método </w:t>
            </w:r>
            <w:r w:rsidR="000A0599" w:rsidRPr="00187A72">
              <w:rPr>
                <w:lang w:val="es-ES"/>
              </w:rPr>
              <w:t>F)</w:t>
            </w:r>
            <w:r w:rsidR="00AF104A">
              <w:rPr>
                <w:lang w:val="es-ES"/>
              </w:rPr>
              <w:t>;</w:t>
            </w:r>
          </w:p>
          <w:p w14:paraId="45828AA3" w14:textId="0A0A30DE" w:rsidR="000A0599" w:rsidRPr="00187A72" w:rsidRDefault="00095455" w:rsidP="00187A72">
            <w:pPr>
              <w:pStyle w:val="enumlev1"/>
              <w:rPr>
                <w:lang w:val="es-ES"/>
              </w:rPr>
            </w:pPr>
            <w:r>
              <w:rPr>
                <w:lang w:val="es-ES"/>
              </w:rPr>
              <w:t>–</w:t>
            </w:r>
            <w:r>
              <w:rPr>
                <w:lang w:val="es-ES"/>
              </w:rPr>
              <w:tab/>
            </w:r>
            <w:r w:rsidR="000A0599">
              <w:rPr>
                <w:lang w:val="es-ES"/>
              </w:rPr>
              <w:t>todo</w:t>
            </w:r>
            <w:r w:rsidR="000A0599" w:rsidRPr="00187A72">
              <w:rPr>
                <w:lang w:val="es-ES"/>
              </w:rPr>
              <w:t xml:space="preserve"> límite expresado en términos de densidad de p.i.r.e. por Hz (</w:t>
            </w:r>
            <w:r w:rsidRPr="00187A72">
              <w:rPr>
                <w:lang w:val="es-ES"/>
              </w:rPr>
              <w:t xml:space="preserve">Método </w:t>
            </w:r>
            <w:r w:rsidR="000A0599" w:rsidRPr="00187A72">
              <w:rPr>
                <w:lang w:val="es-ES"/>
              </w:rPr>
              <w:t xml:space="preserve">F), </w:t>
            </w:r>
            <w:r w:rsidR="000A0599">
              <w:rPr>
                <w:lang w:val="es-ES"/>
              </w:rPr>
              <w:t>puesto que no se</w:t>
            </w:r>
            <w:r w:rsidR="000A0599" w:rsidRPr="00187A72">
              <w:rPr>
                <w:lang w:val="es-ES"/>
              </w:rPr>
              <w:t xml:space="preserve"> puede proporcionar protección adecuada a DCS y </w:t>
            </w:r>
            <w:r w:rsidR="000A0599">
              <w:rPr>
                <w:lang w:val="es-ES"/>
              </w:rPr>
              <w:t>propiciaría</w:t>
            </w:r>
            <w:r w:rsidR="000A0599" w:rsidRPr="00187A72">
              <w:rPr>
                <w:lang w:val="es-ES"/>
              </w:rPr>
              <w:t xml:space="preserve"> </w:t>
            </w:r>
            <w:r w:rsidR="00F113BB">
              <w:rPr>
                <w:lang w:val="es-ES"/>
              </w:rPr>
              <w:t xml:space="preserve">la existencia de </w:t>
            </w:r>
            <w:r w:rsidR="00591184">
              <w:rPr>
                <w:lang w:val="es-ES"/>
              </w:rPr>
              <w:t>varios</w:t>
            </w:r>
            <w:r w:rsidR="000A0599" w:rsidRPr="00187A72">
              <w:rPr>
                <w:lang w:val="es-ES"/>
              </w:rPr>
              <w:t xml:space="preserve"> operadores de telemando</w:t>
            </w:r>
            <w:r w:rsidR="00AF104A">
              <w:rPr>
                <w:lang w:val="es-ES"/>
              </w:rPr>
              <w:t>;</w:t>
            </w:r>
          </w:p>
          <w:p w14:paraId="3A290DD8" w14:textId="70F09F40" w:rsidR="00663B49" w:rsidRPr="00187A72" w:rsidRDefault="00095455" w:rsidP="00095455">
            <w:pPr>
              <w:pStyle w:val="enumlev1"/>
              <w:spacing w:after="80"/>
              <w:rPr>
                <w:lang w:val="es-ES"/>
              </w:rPr>
            </w:pPr>
            <w:r>
              <w:rPr>
                <w:lang w:val="es-ES"/>
              </w:rPr>
              <w:t>–</w:t>
            </w:r>
            <w:r>
              <w:rPr>
                <w:lang w:val="es-ES"/>
              </w:rPr>
              <w:tab/>
            </w:r>
            <w:r w:rsidR="00591184">
              <w:rPr>
                <w:lang w:val="es-ES"/>
              </w:rPr>
              <w:t>toda</w:t>
            </w:r>
            <w:r w:rsidR="000A0599" w:rsidRPr="00187A72">
              <w:rPr>
                <w:lang w:val="es-ES"/>
              </w:rPr>
              <w:t xml:space="preserve"> solución que permita</w:t>
            </w:r>
            <w:r w:rsidR="00591184">
              <w:rPr>
                <w:lang w:val="es-ES"/>
              </w:rPr>
              <w:t>, por un periodo de</w:t>
            </w:r>
            <w:r w:rsidR="000A0599" w:rsidRPr="00187A72">
              <w:rPr>
                <w:lang w:val="es-ES"/>
              </w:rPr>
              <w:t xml:space="preserve"> tiempo ilimitado</w:t>
            </w:r>
            <w:r w:rsidR="00591184">
              <w:rPr>
                <w:lang w:val="es-ES"/>
              </w:rPr>
              <w:t>,</w:t>
            </w:r>
            <w:r w:rsidR="000A0599" w:rsidRPr="00187A72">
              <w:rPr>
                <w:lang w:val="es-ES"/>
              </w:rPr>
              <w:t xml:space="preserve"> la utilización de la banda 401-403 MHz por sistemas </w:t>
            </w:r>
            <w:r w:rsidR="00591184">
              <w:rPr>
                <w:lang w:val="es-ES"/>
              </w:rPr>
              <w:t>cuyo funcionamiento supere</w:t>
            </w:r>
            <w:r w:rsidR="000A0599" w:rsidRPr="00187A72">
              <w:rPr>
                <w:lang w:val="es-ES"/>
              </w:rPr>
              <w:t xml:space="preserve"> los límites de p.i.r.e. </w:t>
            </w:r>
            <w:r w:rsidR="00591184">
              <w:rPr>
                <w:lang w:val="es-ES"/>
              </w:rPr>
              <w:t>fijados</w:t>
            </w:r>
            <w:r w:rsidR="000A0599" w:rsidRPr="00187A72">
              <w:rPr>
                <w:lang w:val="es-ES"/>
              </w:rPr>
              <w:t xml:space="preserve"> (</w:t>
            </w:r>
            <w:r w:rsidRPr="00187A72">
              <w:rPr>
                <w:lang w:val="es-ES"/>
              </w:rPr>
              <w:t xml:space="preserve">Método </w:t>
            </w:r>
            <w:r w:rsidR="000A0599" w:rsidRPr="00187A72">
              <w:rPr>
                <w:lang w:val="es-ES"/>
              </w:rPr>
              <w:t>G</w:t>
            </w:r>
            <w:r w:rsidR="00663B49" w:rsidRPr="00187A72">
              <w:rPr>
                <w:lang w:val="es-ES"/>
              </w:rPr>
              <w:t>).</w:t>
            </w:r>
          </w:p>
        </w:tc>
      </w:tr>
    </w:tbl>
    <w:p w14:paraId="390DC98F" w14:textId="77777777" w:rsidR="002C4609" w:rsidRPr="002C4609" w:rsidRDefault="002C4609" w:rsidP="00095455">
      <w:pPr>
        <w:pStyle w:val="Heading2"/>
        <w:rPr>
          <w:lang w:val="es-ES"/>
        </w:rPr>
      </w:pPr>
      <w:r w:rsidRPr="002C4609">
        <w:rPr>
          <w:lang w:val="es-ES"/>
        </w:rPr>
        <w:t>3.3</w:t>
      </w:r>
      <w:r w:rsidRPr="002C4609">
        <w:rPr>
          <w:lang w:val="es-ES"/>
        </w:rPr>
        <w:tab/>
        <w:t>Punto 1.3 del orden del día</w:t>
      </w:r>
    </w:p>
    <w:p w14:paraId="60FA3DA7" w14:textId="01DB75BD" w:rsidR="002C4609" w:rsidRPr="002C4609" w:rsidRDefault="002C4609" w:rsidP="00A43CAF">
      <w:pPr>
        <w:rPr>
          <w:b/>
          <w:bCs/>
          <w:i/>
          <w:lang w:val="es-ES"/>
        </w:rPr>
      </w:pPr>
      <w:r w:rsidRPr="002C4609">
        <w:rPr>
          <w:i/>
          <w:lang w:val="es-ES"/>
        </w:rPr>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00C70128">
        <w:rPr>
          <w:i/>
          <w:lang w:val="es-ES"/>
        </w:rPr>
        <w:t>-</w:t>
      </w:r>
      <w:r w:rsidRPr="002C4609">
        <w:rPr>
          <w:i/>
          <w:lang w:val="es-ES"/>
        </w:rPr>
        <w:t>470</w:t>
      </w:r>
      <w:r w:rsidR="00C70128">
        <w:rPr>
          <w:i/>
          <w:lang w:val="es-ES"/>
        </w:rPr>
        <w:t xml:space="preserve"> </w:t>
      </w:r>
      <w:r w:rsidRPr="002C4609">
        <w:rPr>
          <w:i/>
          <w:lang w:val="es-ES"/>
        </w:rPr>
        <w:t xml:space="preserve">MHz, de conformidad con la Resolución </w:t>
      </w:r>
      <w:r w:rsidRPr="002C4609">
        <w:rPr>
          <w:b/>
          <w:bCs/>
          <w:i/>
          <w:lang w:val="es-ES"/>
        </w:rPr>
        <w:t>766 (CMR 15)</w:t>
      </w:r>
      <w:r w:rsidR="004D4E1D">
        <w:rPr>
          <w:i/>
          <w:lang w:val="es-ES"/>
        </w:rPr>
        <w:t>.</w:t>
      </w:r>
      <w:r w:rsidRPr="002C4609">
        <w:rPr>
          <w:i/>
          <w:lang w:val="es-ES"/>
        </w:rPr>
        <w:t>»</w:t>
      </w:r>
    </w:p>
    <w:p w14:paraId="7B1C0D2D" w14:textId="279C3543" w:rsidR="002C4609" w:rsidRPr="002C4609" w:rsidRDefault="002C4609" w:rsidP="00187A72">
      <w:pPr>
        <w:rPr>
          <w:lang w:val="es-ES"/>
        </w:rPr>
      </w:pPr>
      <w:r w:rsidRPr="002C4609">
        <w:rPr>
          <w:lang w:val="es-ES"/>
        </w:rPr>
        <w:t xml:space="preserve">Los sistemas de adquisición de datos (DCS) funcionan en sistemas del servicio MetSat y del SETS (Tierra-espacio) en las bandas de frecuencias 401-403 MHz (Tierra-espacio) y 460-470 MHz (espacio-Tierra). Los DCS desempeñan un papel esencial en la supervisión y predicción del cambio climático, la supervisión de los océanos y de los recursos hídricos, las previsiones meteorológicas y la asistencia en la protección de la biodiversidad y la mejora de la seguridad marítima. La banda 460-470 MHz se utiliza para el componente </w:t>
      </w:r>
      <w:r w:rsidR="00591184">
        <w:rPr>
          <w:lang w:val="es-ES"/>
        </w:rPr>
        <w:t xml:space="preserve">esencial </w:t>
      </w:r>
      <w:r w:rsidRPr="002C4609">
        <w:rPr>
          <w:lang w:val="es-ES"/>
        </w:rPr>
        <w:t>de</w:t>
      </w:r>
      <w:r w:rsidR="00591184">
        <w:rPr>
          <w:lang w:val="es-ES"/>
        </w:rPr>
        <w:t>l</w:t>
      </w:r>
      <w:r w:rsidRPr="002C4609">
        <w:rPr>
          <w:lang w:val="es-ES"/>
        </w:rPr>
        <w:t xml:space="preserve"> enlace descendente de DCS para el comando e interrogación de estaciones DCS.</w:t>
      </w:r>
    </w:p>
    <w:p w14:paraId="7E326B8F" w14:textId="5D2A3481" w:rsidR="002C4609" w:rsidRPr="002C4609" w:rsidRDefault="002C4609" w:rsidP="00187A72">
      <w:pPr>
        <w:rPr>
          <w:lang w:val="es-ES"/>
        </w:rPr>
      </w:pPr>
      <w:r w:rsidRPr="002C4609">
        <w:rPr>
          <w:lang w:val="es-ES"/>
        </w:rPr>
        <w:t xml:space="preserve">Según el número </w:t>
      </w:r>
      <w:r w:rsidRPr="002C4609">
        <w:rPr>
          <w:b/>
          <w:lang w:val="es-ES"/>
        </w:rPr>
        <w:t>5.289</w:t>
      </w:r>
      <w:r w:rsidRPr="002C4609">
        <w:rPr>
          <w:lang w:val="es-ES"/>
        </w:rPr>
        <w:t xml:space="preserve"> del </w:t>
      </w:r>
      <w:r w:rsidR="002E57E2">
        <w:rPr>
          <w:lang w:val="es-ES"/>
        </w:rPr>
        <w:t>RR</w:t>
      </w:r>
      <w:r w:rsidRPr="002C4609">
        <w:rPr>
          <w:lang w:val="es-ES"/>
        </w:rPr>
        <w:t>, las aplicaciones del servicio de exploración de la Tierra también pueden utilizarse en la banda 460-470 MHz para las transmisiones espacio-Tierra siempre que se protejan adecuadamente los servicios primarios establecidos y siempre que esas operaciones sean secundarias a las operaciones de MetSat.</w:t>
      </w:r>
    </w:p>
    <w:p w14:paraId="6F5542A9" w14:textId="2EF0E137" w:rsidR="002C4609" w:rsidRDefault="002C4609" w:rsidP="00187A72">
      <w:pPr>
        <w:rPr>
          <w:lang w:val="es-ES"/>
        </w:rPr>
      </w:pPr>
      <w:r w:rsidRPr="002C4609">
        <w:rPr>
          <w:lang w:val="es-ES"/>
        </w:rPr>
        <w:t>Una atribución a título primario al servicio MetSat</w:t>
      </w:r>
      <w:r w:rsidR="00F06D1B">
        <w:rPr>
          <w:lang w:val="es-ES"/>
        </w:rPr>
        <w:t xml:space="preserve"> </w:t>
      </w:r>
      <w:r w:rsidR="00F06D1B" w:rsidRPr="00F06D1B">
        <w:rPr>
          <w:lang w:val="es-ES"/>
        </w:rPr>
        <w:t>(espacio-Tierra)</w:t>
      </w:r>
      <w:r w:rsidRPr="002C4609">
        <w:rPr>
          <w:lang w:val="es-ES"/>
        </w:rPr>
        <w:t xml:space="preserve"> y al SETS </w:t>
      </w:r>
      <w:r w:rsidR="00C70128">
        <w:rPr>
          <w:lang w:val="es-ES"/>
        </w:rPr>
        <w:t>(</w:t>
      </w:r>
      <w:r w:rsidR="00C70128" w:rsidRPr="00F06D1B">
        <w:rPr>
          <w:lang w:val="es-ES"/>
        </w:rPr>
        <w:t>espacio-Tierra</w:t>
      </w:r>
      <w:r w:rsidR="00C70128">
        <w:rPr>
          <w:lang w:val="es-ES"/>
        </w:rPr>
        <w:t>)</w:t>
      </w:r>
      <w:r w:rsidR="00C70128" w:rsidRPr="002C4609">
        <w:rPr>
          <w:lang w:val="es-ES"/>
        </w:rPr>
        <w:t xml:space="preserve"> </w:t>
      </w:r>
      <w:r w:rsidRPr="002C4609">
        <w:rPr>
          <w:lang w:val="es-ES"/>
        </w:rPr>
        <w:t>en la banda de frecuencias 460</w:t>
      </w:r>
      <w:r w:rsidRPr="002C4609">
        <w:rPr>
          <w:lang w:val="es-ES"/>
        </w:rPr>
        <w:noBreakHyphen/>
        <w:t>470 MHz ofrecería una estabilidad normativa a las agencias espaciales y meteorológicas que trabajan intensamente con programas de recopilación de datos por satélite y a los sectores públicos que financian el desarrollo y la operación de esos sistemas.</w:t>
      </w:r>
    </w:p>
    <w:p w14:paraId="0E211F7A" w14:textId="6B1B3537" w:rsidR="00CC11E8" w:rsidRDefault="00591184" w:rsidP="00187A72">
      <w:pPr>
        <w:rPr>
          <w:rFonts w:eastAsia="Calibri"/>
          <w:lang w:val="es-ES"/>
        </w:rPr>
      </w:pPr>
      <w:r>
        <w:rPr>
          <w:rFonts w:eastAsia="Calibri"/>
          <w:lang w:val="es-ES"/>
        </w:rPr>
        <w:t>En varios e</w:t>
      </w:r>
      <w:r w:rsidR="00BC393F" w:rsidRPr="00CC11E8">
        <w:rPr>
          <w:rFonts w:eastAsia="Calibri"/>
          <w:lang w:val="es-ES"/>
        </w:rPr>
        <w:t xml:space="preserve">studios </w:t>
      </w:r>
      <w:r w:rsidR="00CC11E8" w:rsidRPr="00CC11E8">
        <w:rPr>
          <w:rFonts w:eastAsia="Calibri"/>
          <w:lang w:val="es-ES"/>
        </w:rPr>
        <w:t xml:space="preserve">del UIT-R </w:t>
      </w:r>
      <w:r>
        <w:rPr>
          <w:rFonts w:eastAsia="Calibri"/>
          <w:lang w:val="es-ES"/>
        </w:rPr>
        <w:t xml:space="preserve">se demuestra </w:t>
      </w:r>
      <w:r w:rsidR="00CC11E8" w:rsidRPr="00CC11E8">
        <w:rPr>
          <w:rFonts w:eastAsia="Calibri"/>
          <w:lang w:val="es-ES"/>
        </w:rPr>
        <w:t>que la máscara de densidad de flujo de potencia (</w:t>
      </w:r>
      <w:r>
        <w:rPr>
          <w:rFonts w:eastAsia="Calibri"/>
          <w:lang w:val="es-ES"/>
        </w:rPr>
        <w:t>dfp</w:t>
      </w:r>
      <w:r w:rsidR="00CC11E8" w:rsidRPr="00CC11E8">
        <w:rPr>
          <w:rFonts w:eastAsia="Calibri"/>
          <w:lang w:val="es-ES"/>
        </w:rPr>
        <w:t xml:space="preserve">) aplicada a los sistemas de satélites </w:t>
      </w:r>
      <w:r>
        <w:rPr>
          <w:rFonts w:eastAsia="Calibri"/>
          <w:lang w:val="es-ES"/>
        </w:rPr>
        <w:t>no OSG</w:t>
      </w:r>
      <w:r w:rsidR="00CC11E8" w:rsidRPr="00CC11E8">
        <w:rPr>
          <w:rFonts w:eastAsia="Calibri"/>
          <w:lang w:val="es-ES"/>
        </w:rPr>
        <w:t xml:space="preserve"> </w:t>
      </w:r>
      <w:r>
        <w:rPr>
          <w:rFonts w:eastAsia="Calibri"/>
          <w:lang w:val="es-ES"/>
        </w:rPr>
        <w:t>Metsa</w:t>
      </w:r>
      <w:r w:rsidR="00EF4AC4">
        <w:rPr>
          <w:rFonts w:eastAsia="Calibri"/>
          <w:lang w:val="es-ES"/>
        </w:rPr>
        <w:t>t</w:t>
      </w:r>
      <w:r>
        <w:rPr>
          <w:rFonts w:eastAsia="Calibri"/>
          <w:lang w:val="es-ES"/>
        </w:rPr>
        <w:t xml:space="preserve"> y SETS </w:t>
      </w:r>
      <w:r w:rsidR="00CC11E8" w:rsidRPr="00CC11E8">
        <w:rPr>
          <w:rFonts w:eastAsia="Calibri"/>
          <w:lang w:val="es-ES"/>
        </w:rPr>
        <w:t xml:space="preserve">protegerá los servicios </w:t>
      </w:r>
      <w:r w:rsidR="00EF4AC4">
        <w:rPr>
          <w:rFonts w:eastAsia="Calibri"/>
          <w:lang w:val="es-ES"/>
        </w:rPr>
        <w:t>de radiocomunicaciones</w:t>
      </w:r>
      <w:r w:rsidR="00CC11E8" w:rsidRPr="00CC11E8">
        <w:rPr>
          <w:rFonts w:eastAsia="Calibri"/>
          <w:lang w:val="es-ES"/>
        </w:rPr>
        <w:t xml:space="preserve"> terrenales establecidos</w:t>
      </w:r>
      <w:r w:rsidR="00CC11E8">
        <w:rPr>
          <w:rFonts w:eastAsia="Calibri"/>
          <w:lang w:val="es-ES"/>
        </w:rPr>
        <w:t>:</w:t>
      </w:r>
    </w:p>
    <w:p w14:paraId="3D275BA0" w14:textId="43A543EB" w:rsidR="002A0477" w:rsidRDefault="00E066EE" w:rsidP="00A43CAF">
      <w:pPr>
        <w:tabs>
          <w:tab w:val="clear" w:pos="1871"/>
          <w:tab w:val="clear" w:pos="2268"/>
          <w:tab w:val="center" w:pos="4820"/>
          <w:tab w:val="right" w:pos="9639"/>
        </w:tabs>
        <w:jc w:val="center"/>
      </w:pPr>
      <w:r w:rsidRPr="00876FC2">
        <w:rPr>
          <w:position w:val="-50"/>
        </w:rPr>
        <w:object w:dxaOrig="7100" w:dyaOrig="1120" w14:anchorId="1B7E7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54.7pt" o:ole="">
            <v:imagedata r:id="rId10" o:title=""/>
          </v:shape>
          <o:OLEObject Type="Embed" ProgID="Equation.DSMT4" ShapeID="_x0000_i1025" DrawAspect="Content" ObjectID="_1632646140" r:id="rId11"/>
        </w:object>
      </w:r>
    </w:p>
    <w:p w14:paraId="78D62C2A" w14:textId="4CBF83D0" w:rsidR="002A0477" w:rsidRDefault="00EF4AC4" w:rsidP="00187A72">
      <w:pPr>
        <w:rPr>
          <w:rFonts w:eastAsia="Calibri"/>
          <w:lang w:val="es-ES"/>
        </w:rPr>
      </w:pPr>
      <w:r>
        <w:rPr>
          <w:rFonts w:eastAsia="Calibri"/>
          <w:lang w:val="es-ES"/>
        </w:rPr>
        <w:t>Por otro lado</w:t>
      </w:r>
      <w:r w:rsidR="002A0477" w:rsidRPr="00083124">
        <w:rPr>
          <w:rFonts w:eastAsia="Calibri"/>
          <w:lang w:val="es-ES"/>
        </w:rPr>
        <w:t xml:space="preserve">, </w:t>
      </w:r>
      <w:r>
        <w:rPr>
          <w:rFonts w:eastAsia="Calibri"/>
          <w:lang w:val="es-ES"/>
        </w:rPr>
        <w:t xml:space="preserve">en varios </w:t>
      </w:r>
      <w:r w:rsidR="002A0477" w:rsidRPr="00CC11E8">
        <w:rPr>
          <w:rFonts w:eastAsia="Calibri"/>
          <w:lang w:val="es-ES"/>
        </w:rPr>
        <w:t xml:space="preserve">estudios del UIT-R </w:t>
      </w:r>
      <w:r>
        <w:rPr>
          <w:rFonts w:eastAsia="Calibri"/>
          <w:lang w:val="es-ES"/>
        </w:rPr>
        <w:t>se de</w:t>
      </w:r>
      <w:r w:rsidR="002A0477" w:rsidRPr="00CC11E8">
        <w:rPr>
          <w:rFonts w:eastAsia="Calibri"/>
          <w:lang w:val="es-ES"/>
        </w:rPr>
        <w:t>muestra que la máscara de densidad de flujo de potencia (</w:t>
      </w:r>
      <w:r>
        <w:rPr>
          <w:rFonts w:eastAsia="Calibri"/>
          <w:lang w:val="es-ES"/>
        </w:rPr>
        <w:t>dfp</w:t>
      </w:r>
      <w:r w:rsidR="002A0477" w:rsidRPr="00CC11E8">
        <w:rPr>
          <w:rFonts w:eastAsia="Calibri"/>
          <w:lang w:val="es-ES"/>
        </w:rPr>
        <w:t xml:space="preserve">) </w:t>
      </w:r>
      <w:r>
        <w:rPr>
          <w:rFonts w:eastAsia="Calibri"/>
          <w:lang w:val="es-ES"/>
        </w:rPr>
        <w:t>calculada a continuación</w:t>
      </w:r>
      <w:r w:rsidR="00A0127C">
        <w:rPr>
          <w:rFonts w:eastAsia="Calibri"/>
          <w:lang w:val="es-ES"/>
        </w:rPr>
        <w:t>,</w:t>
      </w:r>
      <w:r>
        <w:rPr>
          <w:rFonts w:eastAsia="Calibri"/>
          <w:lang w:val="es-ES"/>
        </w:rPr>
        <w:t xml:space="preserve"> </w:t>
      </w:r>
      <w:r w:rsidR="002A0477" w:rsidRPr="00CC11E8">
        <w:rPr>
          <w:rFonts w:eastAsia="Calibri"/>
          <w:lang w:val="es-ES"/>
        </w:rPr>
        <w:t xml:space="preserve">aplicada a los sistemas de satélites </w:t>
      </w:r>
      <w:r>
        <w:rPr>
          <w:rFonts w:eastAsia="Calibri"/>
          <w:lang w:val="es-ES"/>
        </w:rPr>
        <w:t xml:space="preserve">OSG </w:t>
      </w:r>
      <w:proofErr w:type="spellStart"/>
      <w:r>
        <w:rPr>
          <w:rFonts w:eastAsia="Calibri"/>
          <w:lang w:val="es-ES"/>
        </w:rPr>
        <w:t>Metsat</w:t>
      </w:r>
      <w:proofErr w:type="spellEnd"/>
      <w:r>
        <w:rPr>
          <w:rFonts w:eastAsia="Calibri"/>
          <w:lang w:val="es-ES"/>
        </w:rPr>
        <w:t xml:space="preserve"> y SETS</w:t>
      </w:r>
      <w:r w:rsidR="00A0127C">
        <w:rPr>
          <w:rFonts w:eastAsia="Calibri"/>
          <w:lang w:val="es-ES"/>
        </w:rPr>
        <w:t>,</w:t>
      </w:r>
      <w:r w:rsidR="002A0477" w:rsidRPr="00CC11E8">
        <w:rPr>
          <w:rFonts w:eastAsia="Calibri"/>
          <w:lang w:val="es-ES"/>
        </w:rPr>
        <w:t xml:space="preserve"> protegerá los servicios </w:t>
      </w:r>
      <w:r>
        <w:rPr>
          <w:rFonts w:eastAsia="Calibri"/>
          <w:lang w:val="es-ES"/>
        </w:rPr>
        <w:t xml:space="preserve">de radiocomunicaciones </w:t>
      </w:r>
      <w:r w:rsidR="002A0477" w:rsidRPr="00CC11E8">
        <w:rPr>
          <w:rFonts w:eastAsia="Calibri"/>
          <w:lang w:val="es-ES"/>
        </w:rPr>
        <w:t>terrenales establecidos</w:t>
      </w:r>
      <w:r w:rsidR="002A0477">
        <w:rPr>
          <w:rFonts w:eastAsia="Calibri"/>
          <w:lang w:val="es-ES"/>
        </w:rPr>
        <w:t>:</w:t>
      </w:r>
    </w:p>
    <w:p w14:paraId="0C3F4CCE" w14:textId="1FF52D75" w:rsidR="00083124" w:rsidRPr="002C4609" w:rsidRDefault="00E066EE" w:rsidP="00187A72">
      <w:pPr>
        <w:jc w:val="center"/>
        <w:rPr>
          <w:lang w:val="es-ES"/>
        </w:rPr>
      </w:pPr>
      <w:r w:rsidRPr="00876FC2">
        <w:rPr>
          <w:position w:val="-50"/>
        </w:rPr>
        <w:object w:dxaOrig="7240" w:dyaOrig="1120" w14:anchorId="16582436">
          <v:shape id="_x0000_i1026" type="#_x0000_t75" style="width:362.3pt;height:54.7pt" o:ole="">
            <v:imagedata r:id="rId12" o:title=""/>
          </v:shape>
          <o:OLEObject Type="Embed" ProgID="Equation.DSMT4" ShapeID="_x0000_i1026" DrawAspect="Content" ObjectID="_1632646141" r:id="rId13"/>
        </w:object>
      </w:r>
    </w:p>
    <w:p w14:paraId="32D0A2BD" w14:textId="77777777" w:rsidR="002C4609" w:rsidRPr="002C4609" w:rsidRDefault="002C4609" w:rsidP="00A43CAF">
      <w:pPr>
        <w:spacing w:after="120"/>
        <w:rPr>
          <w:lang w:val="es-ES"/>
        </w:rPr>
      </w:pPr>
      <w:r w:rsidRPr="002C4609">
        <w:rPr>
          <w:lang w:val="es-ES"/>
        </w:rPr>
        <w:t xml:space="preserve">donde </w:t>
      </w:r>
      <w:r w:rsidRPr="002C4609">
        <w:rPr>
          <w:lang w:val="es-ES"/>
        </w:rPr>
        <w:sym w:font="Symbol" w:char="F061"/>
      </w:r>
      <w:r w:rsidRPr="002C4609">
        <w:rPr>
          <w:lang w:val="es-ES"/>
        </w:rPr>
        <w:t xml:space="preserve"> es el ángulo de llegada en la antena de la estación terrenal.</w:t>
      </w:r>
    </w:p>
    <w:tbl>
      <w:tblPr>
        <w:tblStyle w:val="TableGrid"/>
        <w:tblW w:w="0" w:type="auto"/>
        <w:tblLook w:val="04A0" w:firstRow="1" w:lastRow="0" w:firstColumn="1" w:lastColumn="0" w:noHBand="0" w:noVBand="1"/>
      </w:tblPr>
      <w:tblGrid>
        <w:gridCol w:w="9629"/>
      </w:tblGrid>
      <w:tr w:rsidR="00A13489" w14:paraId="14625856" w14:textId="77777777" w:rsidTr="00A13489">
        <w:tc>
          <w:tcPr>
            <w:tcW w:w="9629" w:type="dxa"/>
          </w:tcPr>
          <w:p w14:paraId="6FF76607" w14:textId="6507AED8" w:rsidR="00A13489" w:rsidRPr="00907B54" w:rsidRDefault="00A13489" w:rsidP="00187A72">
            <w:pPr>
              <w:pStyle w:val="Headingb"/>
              <w:rPr>
                <w:lang w:val="es-ES"/>
              </w:rPr>
            </w:pPr>
            <w:r w:rsidRPr="00907B54">
              <w:rPr>
                <w:lang w:val="es-ES"/>
              </w:rPr>
              <w:t>Posición de la OMM respecto del punto 1.3 del orden del día de la CMR-19</w:t>
            </w:r>
          </w:p>
          <w:p w14:paraId="0112126F" w14:textId="0334FB92" w:rsidR="00A13489" w:rsidRPr="002C4609" w:rsidRDefault="00A13489" w:rsidP="00187A72">
            <w:pPr>
              <w:rPr>
                <w:lang w:val="es-ES"/>
              </w:rPr>
            </w:pPr>
            <w:r w:rsidRPr="002C4609">
              <w:rPr>
                <w:lang w:val="es-ES"/>
              </w:rPr>
              <w:t xml:space="preserve">La OMM apoya la conversión a título primario de la atribución </w:t>
            </w:r>
            <w:r w:rsidR="00A0127C">
              <w:rPr>
                <w:lang w:val="es-ES"/>
              </w:rPr>
              <w:t>a</w:t>
            </w:r>
            <w:r w:rsidRPr="002C4609">
              <w:rPr>
                <w:lang w:val="es-ES"/>
              </w:rPr>
              <w:t xml:space="preserve"> MetSat (espacio</w:t>
            </w:r>
            <w:r w:rsidR="005F485A">
              <w:rPr>
                <w:lang w:val="es-ES"/>
              </w:rPr>
              <w:noBreakHyphen/>
            </w:r>
            <w:r w:rsidRPr="002C4609">
              <w:rPr>
                <w:lang w:val="es-ES"/>
              </w:rPr>
              <w:t xml:space="preserve">Tierra) en la banda de frecuencias 460-470 MHz, con el uso de límites </w:t>
            </w:r>
            <w:r w:rsidR="00A0127C">
              <w:rPr>
                <w:lang w:val="es-ES"/>
              </w:rPr>
              <w:t>de DFP adecuados</w:t>
            </w:r>
            <w:r w:rsidRPr="002C4609">
              <w:rPr>
                <w:lang w:val="es-ES"/>
              </w:rPr>
              <w:t xml:space="preserve"> para satélites </w:t>
            </w:r>
            <w:r w:rsidR="00A0127C">
              <w:rPr>
                <w:lang w:val="es-ES"/>
              </w:rPr>
              <w:t>de tipos OSG y no</w:t>
            </w:r>
            <w:r w:rsidR="00C70128">
              <w:rPr>
                <w:lang w:val="es-ES"/>
              </w:rPr>
              <w:t xml:space="preserve"> </w:t>
            </w:r>
            <w:r w:rsidR="00A0127C">
              <w:rPr>
                <w:lang w:val="es-ES"/>
              </w:rPr>
              <w:t>OSG</w:t>
            </w:r>
            <w:r w:rsidRPr="002C4609">
              <w:rPr>
                <w:lang w:val="es-ES"/>
              </w:rPr>
              <w:t>, con miras a proteger los servicios establecidos</w:t>
            </w:r>
            <w:r w:rsidR="00A0127C">
              <w:rPr>
                <w:lang w:val="es-ES"/>
              </w:rPr>
              <w:t xml:space="preserve"> acordados en los estudios del UIT-R</w:t>
            </w:r>
            <w:r w:rsidRPr="002C4609">
              <w:rPr>
                <w:lang w:val="es-ES"/>
              </w:rPr>
              <w:t>.</w:t>
            </w:r>
          </w:p>
          <w:p w14:paraId="711DF3BD" w14:textId="06833F5A" w:rsidR="00A13489" w:rsidRDefault="00A13489" w:rsidP="00187A72">
            <w:pPr>
              <w:keepNext/>
              <w:keepLines/>
              <w:spacing w:before="200"/>
              <w:outlineLvl w:val="1"/>
              <w:rPr>
                <w:lang w:val="es-ES"/>
              </w:rPr>
            </w:pPr>
            <w:r w:rsidRPr="002C4609">
              <w:rPr>
                <w:lang w:val="es-ES"/>
              </w:rPr>
              <w:t xml:space="preserve">La OMM también apoya una </w:t>
            </w:r>
            <w:r w:rsidR="00A0127C">
              <w:rPr>
                <w:lang w:val="es-ES"/>
              </w:rPr>
              <w:t xml:space="preserve">nueva </w:t>
            </w:r>
            <w:r w:rsidRPr="002C4609">
              <w:rPr>
                <w:lang w:val="es-ES"/>
              </w:rPr>
              <w:t>atribución a título primario al SETS (espacio-Tierra) en la banda de frecuencias 460-470 MHz con</w:t>
            </w:r>
            <w:r w:rsidR="00A0127C">
              <w:rPr>
                <w:lang w:val="es-ES"/>
              </w:rPr>
              <w:t xml:space="preserve"> arreglo a los </w:t>
            </w:r>
            <w:r w:rsidRPr="002C4609">
              <w:rPr>
                <w:lang w:val="es-ES"/>
              </w:rPr>
              <w:t xml:space="preserve">límites </w:t>
            </w:r>
            <w:r w:rsidR="00A0127C">
              <w:rPr>
                <w:lang w:val="es-ES"/>
              </w:rPr>
              <w:t>de DFP</w:t>
            </w:r>
            <w:r w:rsidRPr="002C4609">
              <w:rPr>
                <w:lang w:val="es-ES"/>
              </w:rPr>
              <w:t xml:space="preserve"> </w:t>
            </w:r>
            <w:r w:rsidR="00A0127C">
              <w:rPr>
                <w:lang w:val="es-ES"/>
              </w:rPr>
              <w:t>establecidos</w:t>
            </w:r>
            <w:r w:rsidRPr="002C4609">
              <w:rPr>
                <w:lang w:val="es-ES"/>
              </w:rPr>
              <w:t xml:space="preserve"> para </w:t>
            </w:r>
            <w:r w:rsidR="00A0127C">
              <w:rPr>
                <w:lang w:val="es-ES"/>
              </w:rPr>
              <w:t>MetSat,</w:t>
            </w:r>
            <w:r w:rsidRPr="002C4609">
              <w:rPr>
                <w:lang w:val="es-ES"/>
              </w:rPr>
              <w:t xml:space="preserve"> con miras a proteger los servicios establecidos y mantener la prioridad del servicio MetSat </w:t>
            </w:r>
            <w:r w:rsidR="00A0127C">
              <w:rPr>
                <w:lang w:val="es-ES"/>
              </w:rPr>
              <w:t>con respecto al</w:t>
            </w:r>
            <w:r w:rsidRPr="002C4609">
              <w:rPr>
                <w:lang w:val="es-ES"/>
              </w:rPr>
              <w:t xml:space="preserve"> SETS</w:t>
            </w:r>
            <w:r w:rsidR="00A0127C">
              <w:rPr>
                <w:lang w:val="es-ES"/>
              </w:rPr>
              <w:t>,</w:t>
            </w:r>
            <w:r w:rsidRPr="002C4609">
              <w:rPr>
                <w:lang w:val="es-ES"/>
              </w:rPr>
              <w:t xml:space="preserve"> como </w:t>
            </w:r>
            <w:r w:rsidR="00A0127C">
              <w:rPr>
                <w:lang w:val="es-ES"/>
              </w:rPr>
              <w:t>figura</w:t>
            </w:r>
            <w:r w:rsidRPr="002C4609">
              <w:rPr>
                <w:lang w:val="es-ES"/>
              </w:rPr>
              <w:t xml:space="preserve"> en la nota </w:t>
            </w:r>
            <w:r w:rsidR="00064BEA">
              <w:rPr>
                <w:lang w:val="es-ES"/>
              </w:rPr>
              <w:t>del</w:t>
            </w:r>
            <w:r w:rsidRPr="002C4609">
              <w:rPr>
                <w:lang w:val="es-ES"/>
              </w:rPr>
              <w:t xml:space="preserve"> número </w:t>
            </w:r>
            <w:r w:rsidRPr="002C4609">
              <w:rPr>
                <w:b/>
                <w:bCs/>
                <w:lang w:val="es-ES"/>
              </w:rPr>
              <w:t>5.289</w:t>
            </w:r>
            <w:r w:rsidRPr="002C4609">
              <w:rPr>
                <w:lang w:val="es-ES"/>
              </w:rPr>
              <w:t xml:space="preserve"> del </w:t>
            </w:r>
            <w:r w:rsidR="00A0127C">
              <w:rPr>
                <w:lang w:val="es-ES"/>
              </w:rPr>
              <w:t>RR</w:t>
            </w:r>
            <w:r w:rsidRPr="002C4609">
              <w:rPr>
                <w:lang w:val="es-ES"/>
              </w:rPr>
              <w:t>.</w:t>
            </w:r>
          </w:p>
          <w:p w14:paraId="77D3D369" w14:textId="29BCE16B" w:rsidR="00A13489" w:rsidRDefault="00064BEA" w:rsidP="00C70128">
            <w:pPr>
              <w:spacing w:after="120"/>
              <w:rPr>
                <w:lang w:val="es-ES"/>
              </w:rPr>
            </w:pPr>
            <w:r>
              <w:rPr>
                <w:lang w:val="es-ES"/>
              </w:rPr>
              <w:t>En consecuencia</w:t>
            </w:r>
            <w:r w:rsidRPr="00187A72">
              <w:rPr>
                <w:lang w:val="es-ES"/>
              </w:rPr>
              <w:t xml:space="preserve">, la OMM </w:t>
            </w:r>
            <w:r>
              <w:rPr>
                <w:lang w:val="es-ES"/>
              </w:rPr>
              <w:t>apoya</w:t>
            </w:r>
            <w:r w:rsidRPr="00187A72">
              <w:rPr>
                <w:lang w:val="es-ES"/>
              </w:rPr>
              <w:t xml:space="preserve"> el </w:t>
            </w:r>
            <w:r w:rsidR="00504627" w:rsidRPr="00187A72">
              <w:rPr>
                <w:lang w:val="es-ES"/>
              </w:rPr>
              <w:t xml:space="preserve">Método </w:t>
            </w:r>
            <w:r w:rsidRPr="00187A72">
              <w:rPr>
                <w:lang w:val="es-ES"/>
              </w:rPr>
              <w:t xml:space="preserve">C del </w:t>
            </w:r>
            <w:r w:rsidR="00504627" w:rsidRPr="00187A72">
              <w:rPr>
                <w:lang w:val="es-ES"/>
              </w:rPr>
              <w:t xml:space="preserve">Informe </w:t>
            </w:r>
            <w:r w:rsidRPr="00187A72">
              <w:rPr>
                <w:lang w:val="es-ES"/>
              </w:rPr>
              <w:t xml:space="preserve">de la RPC. </w:t>
            </w:r>
            <w:r>
              <w:rPr>
                <w:lang w:val="es-ES"/>
              </w:rPr>
              <w:t>No obstante</w:t>
            </w:r>
            <w:r w:rsidRPr="00187A72">
              <w:rPr>
                <w:lang w:val="es-ES"/>
              </w:rPr>
              <w:t xml:space="preserve">, </w:t>
            </w:r>
            <w:r>
              <w:rPr>
                <w:lang w:val="es-ES"/>
              </w:rPr>
              <w:t>manifiesta cierta inquietud</w:t>
            </w:r>
            <w:r w:rsidRPr="00187A72">
              <w:rPr>
                <w:lang w:val="es-ES"/>
              </w:rPr>
              <w:t xml:space="preserve"> en relación con el </w:t>
            </w:r>
            <w:r w:rsidRPr="00187A72">
              <w:rPr>
                <w:i/>
                <w:iCs/>
                <w:lang w:val="es-ES"/>
              </w:rPr>
              <w:t>resuelve</w:t>
            </w:r>
            <w:r w:rsidRPr="00187A72">
              <w:rPr>
                <w:lang w:val="es-ES"/>
              </w:rPr>
              <w:t xml:space="preserve"> 5 del proyecto de nueva Resolución propuesto con arreglo a ese </w:t>
            </w:r>
            <w:r w:rsidR="00504627" w:rsidRPr="00187A72">
              <w:rPr>
                <w:lang w:val="es-ES"/>
              </w:rPr>
              <w:t>Método</w:t>
            </w:r>
            <w:r w:rsidRPr="00187A72">
              <w:rPr>
                <w:lang w:val="es-ES"/>
              </w:rPr>
              <w:t xml:space="preserve">, </w:t>
            </w:r>
            <w:r>
              <w:rPr>
                <w:lang w:val="es-ES"/>
              </w:rPr>
              <w:t>al restringirse</w:t>
            </w:r>
            <w:r w:rsidRPr="00187A72">
              <w:rPr>
                <w:lang w:val="es-ES"/>
              </w:rPr>
              <w:t xml:space="preserve"> el desarrollo del servicio Metsat y del SETS en la banda de frecuencias</w:t>
            </w:r>
            <w:r w:rsidRPr="00A12862">
              <w:rPr>
                <w:lang w:val="es-ES"/>
              </w:rPr>
              <w:t xml:space="preserve"> </w:t>
            </w:r>
            <w:r>
              <w:rPr>
                <w:lang w:val="es-ES"/>
              </w:rPr>
              <w:t xml:space="preserve">en el </w:t>
            </w:r>
            <w:r w:rsidRPr="00A12862">
              <w:rPr>
                <w:lang w:val="es-ES"/>
              </w:rPr>
              <w:t>futuro</w:t>
            </w:r>
            <w:r w:rsidRPr="00187A72">
              <w:rPr>
                <w:lang w:val="es-ES"/>
              </w:rPr>
              <w:t xml:space="preserve">. La OMM propone que se suprima el </w:t>
            </w:r>
            <w:r w:rsidRPr="00187A72">
              <w:rPr>
                <w:i/>
                <w:iCs/>
                <w:lang w:val="es-ES"/>
              </w:rPr>
              <w:t>resuelve</w:t>
            </w:r>
            <w:r w:rsidRPr="00187A72">
              <w:rPr>
                <w:lang w:val="es-ES"/>
              </w:rPr>
              <w:t xml:space="preserve"> 5</w:t>
            </w:r>
            <w:r w:rsidR="00A13489" w:rsidRPr="00187A72">
              <w:rPr>
                <w:lang w:val="es-ES"/>
              </w:rPr>
              <w:t>.</w:t>
            </w:r>
          </w:p>
        </w:tc>
      </w:tr>
    </w:tbl>
    <w:p w14:paraId="6AAEF355" w14:textId="12EEAC51" w:rsidR="002C4609" w:rsidRPr="002C4609" w:rsidRDefault="002C4609" w:rsidP="003423F6">
      <w:pPr>
        <w:pStyle w:val="Heading2"/>
        <w:rPr>
          <w:lang w:val="es-ES"/>
        </w:rPr>
      </w:pPr>
      <w:r w:rsidRPr="002C4609">
        <w:rPr>
          <w:lang w:val="es-ES"/>
        </w:rPr>
        <w:t>3.4</w:t>
      </w:r>
      <w:r w:rsidRPr="002C4609">
        <w:rPr>
          <w:lang w:val="es-ES"/>
        </w:rPr>
        <w:tab/>
        <w:t>Punto 1.6 del orden del día</w:t>
      </w:r>
    </w:p>
    <w:p w14:paraId="54B9FFE2" w14:textId="1D338860" w:rsidR="002C4609" w:rsidRPr="002C4609" w:rsidRDefault="002C4609" w:rsidP="00A43CAF">
      <w:pPr>
        <w:rPr>
          <w:b/>
          <w:bCs/>
          <w:i/>
          <w:lang w:val="es-ES"/>
        </w:rPr>
      </w:pPr>
      <w:r w:rsidRPr="002C4609">
        <w:rPr>
          <w:i/>
          <w:lang w:val="es-ES"/>
        </w:rPr>
        <w:t>«considerar la posibilidad de formular un marco reglamentario para sistemas de satélite no OSG del SFS que funcionen en las bandas de frecuencias 37,5</w:t>
      </w:r>
      <w:r w:rsidR="00C70128">
        <w:rPr>
          <w:i/>
          <w:lang w:val="es-ES"/>
        </w:rPr>
        <w:t>-</w:t>
      </w:r>
      <w:r w:rsidRPr="002C4609">
        <w:rPr>
          <w:i/>
          <w:lang w:val="es-ES"/>
        </w:rPr>
        <w:t>39,5 GHz (espacio-Tierra), 39,5</w:t>
      </w:r>
      <w:r w:rsidR="00C70128">
        <w:rPr>
          <w:i/>
          <w:lang w:val="es-ES"/>
        </w:rPr>
        <w:noBreakHyphen/>
      </w:r>
      <w:r w:rsidRPr="002C4609">
        <w:rPr>
          <w:i/>
          <w:lang w:val="es-ES"/>
        </w:rPr>
        <w:t>42,5</w:t>
      </w:r>
      <w:r w:rsidR="00C70128">
        <w:rPr>
          <w:i/>
          <w:lang w:val="es-ES"/>
        </w:rPr>
        <w:t> </w:t>
      </w:r>
      <w:r w:rsidRPr="002C4609">
        <w:rPr>
          <w:i/>
          <w:lang w:val="es-ES"/>
        </w:rPr>
        <w:t>GHz (espacio-Tierra), 47,2</w:t>
      </w:r>
      <w:r w:rsidR="00C70128">
        <w:rPr>
          <w:i/>
          <w:lang w:val="es-ES"/>
        </w:rPr>
        <w:t>-</w:t>
      </w:r>
      <w:r w:rsidRPr="002C4609">
        <w:rPr>
          <w:i/>
          <w:lang w:val="es-ES"/>
        </w:rPr>
        <w:t>50,2 GHz (Tierra-espacio) y 50,4</w:t>
      </w:r>
      <w:r w:rsidR="00C70128">
        <w:rPr>
          <w:i/>
          <w:lang w:val="es-ES"/>
        </w:rPr>
        <w:t>-</w:t>
      </w:r>
      <w:r w:rsidRPr="002C4609">
        <w:rPr>
          <w:i/>
          <w:lang w:val="es-ES"/>
        </w:rPr>
        <w:t xml:space="preserve">51,4 GHz (Tierra-espacio), de conformidad con la Resolución </w:t>
      </w:r>
      <w:r w:rsidRPr="002C4609">
        <w:rPr>
          <w:b/>
          <w:bCs/>
          <w:i/>
          <w:lang w:val="es-ES"/>
        </w:rPr>
        <w:t>159 (CMR-15)</w:t>
      </w:r>
      <w:r w:rsidR="00642FE5">
        <w:rPr>
          <w:i/>
          <w:lang w:val="es-ES"/>
        </w:rPr>
        <w:t>.</w:t>
      </w:r>
      <w:r w:rsidRPr="002C4609">
        <w:rPr>
          <w:i/>
          <w:lang w:val="es-ES"/>
        </w:rPr>
        <w:t>»</w:t>
      </w:r>
    </w:p>
    <w:p w14:paraId="0629187D" w14:textId="23862478" w:rsidR="002C4609" w:rsidRDefault="002C4609" w:rsidP="00187A72">
      <w:pPr>
        <w:rPr>
          <w:lang w:val="es-ES"/>
        </w:rPr>
      </w:pPr>
      <w:r w:rsidRPr="002C4609">
        <w:rPr>
          <w:lang w:val="es-ES"/>
        </w:rPr>
        <w:t>En el marco de este punto del orden del día, los estudios indican que la Resolución</w:t>
      </w:r>
      <w:r w:rsidR="001C164E">
        <w:rPr>
          <w:lang w:val="es-ES"/>
        </w:rPr>
        <w:t> </w:t>
      </w:r>
      <w:r w:rsidRPr="002C4609">
        <w:rPr>
          <w:b/>
          <w:bCs/>
          <w:lang w:val="es-ES"/>
        </w:rPr>
        <w:t>750 (Rev.CMR</w:t>
      </w:r>
      <w:r w:rsidR="001C164E">
        <w:rPr>
          <w:b/>
          <w:bCs/>
          <w:lang w:val="es-ES"/>
        </w:rPr>
        <w:noBreakHyphen/>
      </w:r>
      <w:r w:rsidRPr="002C4609">
        <w:rPr>
          <w:b/>
          <w:bCs/>
          <w:lang w:val="es-ES"/>
        </w:rPr>
        <w:t>15)</w:t>
      </w:r>
      <w:r w:rsidRPr="002C4609">
        <w:rPr>
          <w:lang w:val="es-ES"/>
        </w:rPr>
        <w:t xml:space="preserve"> debe revisarse para </w:t>
      </w:r>
      <w:r w:rsidR="00064BEA">
        <w:rPr>
          <w:lang w:val="es-ES"/>
        </w:rPr>
        <w:t>los sistemas</w:t>
      </w:r>
      <w:r w:rsidRPr="002C4609">
        <w:rPr>
          <w:lang w:val="es-ES"/>
        </w:rPr>
        <w:t xml:space="preserve"> del servicio fijo por satélite (SFS) geoestacionario y no geoestacionario para acomodar operaciones </w:t>
      </w:r>
      <w:r w:rsidR="00064BEA">
        <w:rPr>
          <w:lang w:val="es-ES"/>
        </w:rPr>
        <w:t xml:space="preserve">no OSG del SFS, </w:t>
      </w:r>
      <w:r w:rsidRPr="002C4609">
        <w:rPr>
          <w:lang w:val="es-ES"/>
        </w:rPr>
        <w:t>al tiempo que se protege el SETS (pasivo) en la banda de frecuencias 50,2-50,4 GHz.</w:t>
      </w:r>
      <w:r w:rsidR="003F07CF">
        <w:rPr>
          <w:lang w:val="es-ES"/>
        </w:rPr>
        <w:t xml:space="preserve"> </w:t>
      </w:r>
      <w:r w:rsidRPr="002C4609">
        <w:rPr>
          <w:lang w:val="es-ES"/>
        </w:rPr>
        <w:t>En estos estudios se habla del efecto de la agregación de interferencia de las redes y sistemas del SFS geoestacionario y no geoestacionario operando, o con previsión de hacerlo, en las bandas de frecuencias 47,2-50,2 GHz (Tierra-espacio) y 50,4</w:t>
      </w:r>
      <w:r w:rsidRPr="002C4609">
        <w:rPr>
          <w:lang w:val="es-ES"/>
        </w:rPr>
        <w:noBreakHyphen/>
        <w:t>51,4 GHz (Tierra-espacio).</w:t>
      </w:r>
    </w:p>
    <w:p w14:paraId="339BC4F6" w14:textId="6859D127" w:rsidR="0012193E" w:rsidRPr="00FB37B1" w:rsidRDefault="0029038B" w:rsidP="00187A72">
      <w:pPr>
        <w:rPr>
          <w:spacing w:val="-2"/>
          <w:lang w:val="es-ES"/>
        </w:rPr>
      </w:pPr>
      <w:r w:rsidRPr="00E84E52">
        <w:t xml:space="preserve">Los estudios del UIT-R sobre sistemas del SFS no OSG y el SETS (pasivo) han demostrado que los límites que figuran actualmente en la Resolución </w:t>
      </w:r>
      <w:r w:rsidRPr="00E84E52">
        <w:rPr>
          <w:b/>
        </w:rPr>
        <w:t>750 (Rev.CMR-15)</w:t>
      </w:r>
      <w:r w:rsidRPr="00E84E52">
        <w:t xml:space="preserve"> son insuficientes para proteger el SETS (pasivo)</w:t>
      </w:r>
      <w:r w:rsidR="00B3168F">
        <w:t xml:space="preserve">. </w:t>
      </w:r>
      <w:r w:rsidR="00876BE7">
        <w:rPr>
          <w:lang w:val="es-ES"/>
        </w:rPr>
        <w:t>Puesto</w:t>
      </w:r>
      <w:r w:rsidR="00876BE7" w:rsidRPr="00187A72">
        <w:rPr>
          <w:lang w:val="es-ES"/>
        </w:rPr>
        <w:t xml:space="preserve"> que los límites del SFS OSG </w:t>
      </w:r>
      <w:r w:rsidR="003C7796">
        <w:rPr>
          <w:lang w:val="es-ES"/>
        </w:rPr>
        <w:t>de</w:t>
      </w:r>
      <w:r w:rsidR="00876BE7" w:rsidRPr="00187A72">
        <w:rPr>
          <w:lang w:val="es-ES"/>
        </w:rPr>
        <w:t xml:space="preserve"> la Resolución </w:t>
      </w:r>
      <w:r w:rsidR="00876BE7" w:rsidRPr="00187A72">
        <w:rPr>
          <w:b/>
          <w:bCs/>
          <w:lang w:val="es-ES"/>
        </w:rPr>
        <w:t>750</w:t>
      </w:r>
      <w:r w:rsidR="00876BE7" w:rsidRPr="00187A72">
        <w:rPr>
          <w:lang w:val="es-ES"/>
        </w:rPr>
        <w:t xml:space="preserve"> </w:t>
      </w:r>
      <w:r w:rsidR="00876BE7" w:rsidRPr="00B3168F">
        <w:rPr>
          <w:b/>
          <w:bCs/>
          <w:lang w:val="es-ES"/>
        </w:rPr>
        <w:t>(Rev.CMR</w:t>
      </w:r>
      <w:r w:rsidR="00B3168F" w:rsidRPr="00B3168F">
        <w:rPr>
          <w:b/>
          <w:bCs/>
          <w:lang w:val="es-ES"/>
        </w:rPr>
        <w:noBreakHyphen/>
      </w:r>
      <w:r w:rsidR="00876BE7" w:rsidRPr="00B3168F">
        <w:rPr>
          <w:b/>
          <w:bCs/>
          <w:lang w:val="es-ES"/>
        </w:rPr>
        <w:t>15)</w:t>
      </w:r>
      <w:r w:rsidR="00876BE7" w:rsidRPr="00187A72">
        <w:rPr>
          <w:lang w:val="es-ES"/>
        </w:rPr>
        <w:t xml:space="preserve"> </w:t>
      </w:r>
      <w:r w:rsidR="00876BE7">
        <w:rPr>
          <w:lang w:val="es-ES"/>
        </w:rPr>
        <w:t>requieren</w:t>
      </w:r>
      <w:r w:rsidR="00876BE7" w:rsidRPr="00187A72">
        <w:rPr>
          <w:lang w:val="es-ES"/>
        </w:rPr>
        <w:t xml:space="preserve"> </w:t>
      </w:r>
      <w:r w:rsidR="003C7796">
        <w:rPr>
          <w:lang w:val="es-ES"/>
        </w:rPr>
        <w:t>un</w:t>
      </w:r>
      <w:r w:rsidR="00876BE7" w:rsidRPr="00187A72">
        <w:rPr>
          <w:lang w:val="es-ES"/>
        </w:rPr>
        <w:t xml:space="preserve"> </w:t>
      </w:r>
      <w:r w:rsidR="00876BE7">
        <w:rPr>
          <w:lang w:val="es-ES"/>
        </w:rPr>
        <w:t>balance</w:t>
      </w:r>
      <w:r w:rsidR="00876BE7" w:rsidRPr="00187A72">
        <w:rPr>
          <w:lang w:val="es-ES"/>
        </w:rPr>
        <w:t xml:space="preserve"> de interferencia </w:t>
      </w:r>
      <w:r w:rsidR="003C7796">
        <w:rPr>
          <w:lang w:val="es-ES"/>
        </w:rPr>
        <w:t>superior al del</w:t>
      </w:r>
      <w:r w:rsidR="00876BE7" w:rsidRPr="00187A72">
        <w:rPr>
          <w:lang w:val="es-ES"/>
        </w:rPr>
        <w:t xml:space="preserve"> SETS</w:t>
      </w:r>
      <w:r w:rsidR="00876BE7">
        <w:rPr>
          <w:lang w:val="es-ES"/>
        </w:rPr>
        <w:t xml:space="preserve"> </w:t>
      </w:r>
      <w:r w:rsidR="00876BE7" w:rsidRPr="004718C0">
        <w:rPr>
          <w:lang w:val="es-ES"/>
        </w:rPr>
        <w:t>(pasiv</w:t>
      </w:r>
      <w:r w:rsidR="00876BE7">
        <w:rPr>
          <w:lang w:val="es-ES"/>
        </w:rPr>
        <w:t>o</w:t>
      </w:r>
      <w:r w:rsidR="00876BE7" w:rsidRPr="004718C0">
        <w:rPr>
          <w:lang w:val="es-ES"/>
        </w:rPr>
        <w:t>)</w:t>
      </w:r>
      <w:r w:rsidR="003C7796">
        <w:rPr>
          <w:lang w:val="es-ES"/>
        </w:rPr>
        <w:t xml:space="preserve"> en su conjunto</w:t>
      </w:r>
      <w:r w:rsidR="00876BE7" w:rsidRPr="00187A72">
        <w:rPr>
          <w:lang w:val="es-ES"/>
        </w:rPr>
        <w:t xml:space="preserve">, la adaptación del SFS no OSG requiere, </w:t>
      </w:r>
      <w:r w:rsidR="00876BE7">
        <w:rPr>
          <w:lang w:val="es-ES"/>
        </w:rPr>
        <w:t>en consecuencia</w:t>
      </w:r>
      <w:r w:rsidR="00876BE7" w:rsidRPr="00187A72">
        <w:rPr>
          <w:lang w:val="es-ES"/>
        </w:rPr>
        <w:t xml:space="preserve">, límites </w:t>
      </w:r>
      <w:r w:rsidR="00876BE7">
        <w:rPr>
          <w:lang w:val="es-ES"/>
        </w:rPr>
        <w:t xml:space="preserve">más estrictos </w:t>
      </w:r>
      <w:r w:rsidR="003C7796">
        <w:rPr>
          <w:lang w:val="es-ES"/>
        </w:rPr>
        <w:t>con respecto al</w:t>
      </w:r>
      <w:r w:rsidR="00876BE7" w:rsidRPr="00187A72">
        <w:rPr>
          <w:lang w:val="es-ES"/>
        </w:rPr>
        <w:t xml:space="preserve"> SFS OSG </w:t>
      </w:r>
      <w:r w:rsidR="00876BE7">
        <w:rPr>
          <w:lang w:val="es-ES"/>
        </w:rPr>
        <w:t>en</w:t>
      </w:r>
      <w:r w:rsidR="00876BE7" w:rsidRPr="00187A72">
        <w:rPr>
          <w:lang w:val="es-ES"/>
        </w:rPr>
        <w:t xml:space="preserve"> la Resolución </w:t>
      </w:r>
      <w:r w:rsidR="00876BE7" w:rsidRPr="00B3168F">
        <w:rPr>
          <w:b/>
          <w:bCs/>
          <w:lang w:val="es-ES"/>
        </w:rPr>
        <w:t>750 (Rev.CMR-15)</w:t>
      </w:r>
      <w:r w:rsidR="003F07CF" w:rsidRPr="00187A72">
        <w:rPr>
          <w:lang w:val="es-ES"/>
        </w:rPr>
        <w:t xml:space="preserve">. </w:t>
      </w:r>
      <w:r w:rsidR="00455B1F" w:rsidRPr="00E84E52">
        <w:t xml:space="preserve">Esos </w:t>
      </w:r>
      <w:bookmarkStart w:id="10" w:name="_Hlk21356499"/>
      <w:r w:rsidR="00455B1F" w:rsidRPr="00E84E52">
        <w:t>estudios demuestran que</w:t>
      </w:r>
      <w:bookmarkEnd w:id="10"/>
      <w:r w:rsidR="00455B1F" w:rsidRPr="00E84E52">
        <w:t xml:space="preserve"> </w:t>
      </w:r>
      <w:bookmarkStart w:id="11" w:name="_Hlk21356554"/>
      <w:r w:rsidR="00455B1F" w:rsidRPr="00E84E52">
        <w:t>los límites de las emisiones no deseadas en la gama</w:t>
      </w:r>
      <w:bookmarkEnd w:id="11"/>
      <w:r w:rsidR="00455B1F" w:rsidRPr="00E84E52">
        <w:t xml:space="preserve"> </w:t>
      </w:r>
      <w:r w:rsidR="005220ED">
        <w:t xml:space="preserve">de </w:t>
      </w:r>
      <w:r w:rsidR="00455B1F" w:rsidRPr="005220ED">
        <w:sym w:font="Symbol" w:char="F02D"/>
      </w:r>
      <w:r w:rsidR="00455B1F" w:rsidRPr="005220ED">
        <w:t>51,3</w:t>
      </w:r>
      <w:r w:rsidR="005220ED" w:rsidRPr="005220ED">
        <w:t xml:space="preserve"> a </w:t>
      </w:r>
      <w:r w:rsidR="00455B1F" w:rsidRPr="005220ED">
        <w:sym w:font="Symbol" w:char="F02D"/>
      </w:r>
      <w:r w:rsidR="00455B1F" w:rsidRPr="005220ED">
        <w:t>69,8 dBW/200 MHz</w:t>
      </w:r>
      <w:r w:rsidR="00455B1F" w:rsidRPr="00E84E52">
        <w:t xml:space="preserve"> </w:t>
      </w:r>
      <w:bookmarkStart w:id="12" w:name="_Hlk21356821"/>
      <w:r w:rsidR="00455B1F" w:rsidRPr="00E84E52">
        <w:t>para los equipos de usuario</w:t>
      </w:r>
      <w:bookmarkEnd w:id="12"/>
      <w:r w:rsidR="00455B1F" w:rsidRPr="00E84E52">
        <w:t xml:space="preserve"> del </w:t>
      </w:r>
      <w:r w:rsidR="00455B1F" w:rsidRPr="00E84E52">
        <w:lastRenderedPageBreak/>
        <w:t xml:space="preserve">SFS no OSG y en la gama </w:t>
      </w:r>
      <w:r w:rsidR="005220ED">
        <w:t xml:space="preserve">de </w:t>
      </w:r>
      <w:r w:rsidR="00455B1F" w:rsidRPr="005220ED">
        <w:sym w:font="Symbol" w:char="F02D"/>
      </w:r>
      <w:r w:rsidR="00455B1F" w:rsidRPr="005220ED">
        <w:t>27</w:t>
      </w:r>
      <w:r w:rsidR="005220ED">
        <w:t xml:space="preserve"> a </w:t>
      </w:r>
      <w:r w:rsidR="00455B1F" w:rsidRPr="005220ED">
        <w:sym w:font="Symbol" w:char="F02D"/>
      </w:r>
      <w:r w:rsidR="00455B1F" w:rsidRPr="005220ED">
        <w:t>66 dBW/200 MHz</w:t>
      </w:r>
      <w:r w:rsidR="00455B1F" w:rsidRPr="00E84E52">
        <w:t xml:space="preserve"> </w:t>
      </w:r>
      <w:bookmarkStart w:id="13" w:name="_Hlk21356698"/>
      <w:r w:rsidR="00455B1F" w:rsidRPr="00E84E52">
        <w:t>para las pasarelas serían los necesarios para</w:t>
      </w:r>
      <w:bookmarkEnd w:id="13"/>
      <w:r w:rsidR="00455B1F" w:rsidRPr="00E84E52">
        <w:t xml:space="preserve"> satisfacer los criterios de protección del SETS (pasivo) de la Recomendación UIT-R RS.2017. </w:t>
      </w:r>
      <w:r w:rsidR="00683FE7">
        <w:rPr>
          <w:lang w:val="es-ES"/>
        </w:rPr>
        <w:t>Con respecto a</w:t>
      </w:r>
      <w:r w:rsidR="00683FE7" w:rsidRPr="00187A72">
        <w:rPr>
          <w:lang w:val="es-ES"/>
        </w:rPr>
        <w:t xml:space="preserve"> los satélites del SFS OSG, </w:t>
      </w:r>
      <w:r w:rsidR="008526C6">
        <w:rPr>
          <w:lang w:val="es-ES"/>
        </w:rPr>
        <w:t xml:space="preserve">en </w:t>
      </w:r>
      <w:r w:rsidR="00683FE7" w:rsidRPr="00187A72">
        <w:rPr>
          <w:lang w:val="es-ES"/>
        </w:rPr>
        <w:t xml:space="preserve">dos estudios </w:t>
      </w:r>
      <w:r w:rsidR="008526C6">
        <w:rPr>
          <w:lang w:val="es-ES"/>
        </w:rPr>
        <w:t xml:space="preserve">se </w:t>
      </w:r>
      <w:r w:rsidR="00683FE7">
        <w:rPr>
          <w:lang w:val="es-ES"/>
        </w:rPr>
        <w:t>pone de manifiesto</w:t>
      </w:r>
      <w:r w:rsidR="00683FE7" w:rsidRPr="00187A72">
        <w:rPr>
          <w:lang w:val="es-ES"/>
        </w:rPr>
        <w:t xml:space="preserve"> que las emisiones de las estaciones terrenas OSG pueden </w:t>
      </w:r>
      <w:r w:rsidR="00683FE7">
        <w:rPr>
          <w:lang w:val="es-ES"/>
        </w:rPr>
        <w:t>provocar que se rebase el valor de</w:t>
      </w:r>
      <w:r w:rsidR="00683FE7" w:rsidRPr="00187A72">
        <w:rPr>
          <w:lang w:val="es-ES"/>
        </w:rPr>
        <w:t xml:space="preserve"> los criterios de protección del SETS (pasivo) hasta</w:t>
      </w:r>
      <w:r w:rsidR="008526C6">
        <w:rPr>
          <w:lang w:val="es-ES"/>
        </w:rPr>
        <w:t xml:space="preserve"> en</w:t>
      </w:r>
      <w:r w:rsidR="00683FE7" w:rsidRPr="00187A72">
        <w:rPr>
          <w:lang w:val="es-ES"/>
        </w:rPr>
        <w:t xml:space="preserve"> 74,3 dB</w:t>
      </w:r>
      <w:r w:rsidR="008526C6">
        <w:rPr>
          <w:lang w:val="es-ES"/>
        </w:rPr>
        <w:t>,</w:t>
      </w:r>
      <w:r w:rsidR="00683FE7" w:rsidRPr="00187A72">
        <w:rPr>
          <w:lang w:val="es-ES"/>
        </w:rPr>
        <w:t xml:space="preserve"> con ángulos de elevación superiores a 70 grados </w:t>
      </w:r>
      <w:r w:rsidR="008526C6">
        <w:rPr>
          <w:lang w:val="es-ES"/>
        </w:rPr>
        <w:t>al tener en cuenta</w:t>
      </w:r>
      <w:r w:rsidR="00683FE7" w:rsidRPr="00187A72">
        <w:rPr>
          <w:lang w:val="es-ES"/>
        </w:rPr>
        <w:t xml:space="preserve"> una potencia de entrada de 0 dBW/200 MHz</w:t>
      </w:r>
      <w:r w:rsidR="003F07CF" w:rsidRPr="00187A72">
        <w:rPr>
          <w:spacing w:val="-2"/>
          <w:lang w:val="es-ES"/>
        </w:rPr>
        <w:t xml:space="preserve">. </w:t>
      </w:r>
      <w:bookmarkStart w:id="14" w:name="_Hlk21356478"/>
      <w:bookmarkStart w:id="15" w:name="_Hlk21356853"/>
      <w:r w:rsidR="00E5662C">
        <w:t>En uno de esos</w:t>
      </w:r>
      <w:r w:rsidR="0012193E" w:rsidRPr="00E84E52">
        <w:t xml:space="preserve"> estudios </w:t>
      </w:r>
      <w:r w:rsidR="00E5662C">
        <w:t xml:space="preserve">se </w:t>
      </w:r>
      <w:r w:rsidR="0012193E" w:rsidRPr="00E84E52">
        <w:t xml:space="preserve">demuestra que los límites de emisiones no deseadas </w:t>
      </w:r>
      <w:r w:rsidR="00E5662C">
        <w:t xml:space="preserve">necesarios </w:t>
      </w:r>
      <w:r w:rsidR="0012193E" w:rsidRPr="00E84E52">
        <w:t xml:space="preserve">en la gama </w:t>
      </w:r>
      <w:r w:rsidR="005220ED">
        <w:t xml:space="preserve">de </w:t>
      </w:r>
      <w:r w:rsidR="0012193E" w:rsidRPr="005220ED">
        <w:sym w:font="Symbol" w:char="F02D"/>
      </w:r>
      <w:r w:rsidR="0012193E" w:rsidRPr="005220ED">
        <w:rPr>
          <w:lang w:val="es-ES"/>
        </w:rPr>
        <w:t>58,1</w:t>
      </w:r>
      <w:r w:rsidR="005220ED">
        <w:rPr>
          <w:lang w:val="es-ES"/>
        </w:rPr>
        <w:t xml:space="preserve"> a </w:t>
      </w:r>
      <w:r w:rsidR="0012193E" w:rsidRPr="005220ED">
        <w:sym w:font="Symbol" w:char="F02D"/>
      </w:r>
      <w:r w:rsidR="0012193E" w:rsidRPr="005220ED">
        <w:rPr>
          <w:lang w:val="es-ES"/>
        </w:rPr>
        <w:t>51,3</w:t>
      </w:r>
      <w:r w:rsidR="0012193E" w:rsidRPr="005220ED">
        <w:t xml:space="preserve"> dBW/200 MHz para los equipos de usuario OSG y en la gama </w:t>
      </w:r>
      <w:r w:rsidR="005220ED">
        <w:t xml:space="preserve">de </w:t>
      </w:r>
      <w:r w:rsidR="0012193E" w:rsidRPr="005220ED">
        <w:sym w:font="Symbol" w:char="F02D"/>
      </w:r>
      <w:r w:rsidR="0012193E" w:rsidRPr="005220ED">
        <w:rPr>
          <w:lang w:val="es-ES"/>
        </w:rPr>
        <w:t>48,7</w:t>
      </w:r>
      <w:r w:rsidR="005220ED">
        <w:rPr>
          <w:lang w:val="es-ES"/>
        </w:rPr>
        <w:t xml:space="preserve"> a </w:t>
      </w:r>
      <w:r w:rsidR="0012193E" w:rsidRPr="005220ED">
        <w:sym w:font="Symbol" w:char="F02D"/>
      </w:r>
      <w:r w:rsidR="0012193E" w:rsidRPr="005220ED">
        <w:rPr>
          <w:lang w:val="es-ES"/>
        </w:rPr>
        <w:t>44,1</w:t>
      </w:r>
      <w:r w:rsidR="0012193E" w:rsidRPr="005220ED">
        <w:t> dBW/200 MHz</w:t>
      </w:r>
      <w:r w:rsidR="0012193E" w:rsidRPr="00E84E52">
        <w:t xml:space="preserve"> para las pasarelas serían los necesarios para </w:t>
      </w:r>
      <w:r w:rsidR="008526C6">
        <w:t>garantizar la</w:t>
      </w:r>
      <w:r w:rsidR="0012193E" w:rsidRPr="00E84E52">
        <w:t xml:space="preserve"> protección del SETS (pasivo).</w:t>
      </w:r>
    </w:p>
    <w:bookmarkEnd w:id="14"/>
    <w:bookmarkEnd w:id="15"/>
    <w:p w14:paraId="25154563" w14:textId="664104A3" w:rsidR="003F07CF" w:rsidRPr="00187A72" w:rsidRDefault="00E5662C" w:rsidP="00187A72">
      <w:pPr>
        <w:rPr>
          <w:lang w:val="es-ES"/>
        </w:rPr>
      </w:pPr>
      <w:r w:rsidRPr="00187A72">
        <w:rPr>
          <w:lang w:val="es-ES"/>
        </w:rPr>
        <w:t xml:space="preserve">Se realizaron estudios de compatibilidad entre el SFS no OSG y el SETS (pasivo) en </w:t>
      </w:r>
      <w:r>
        <w:rPr>
          <w:lang w:val="es-ES"/>
        </w:rPr>
        <w:t>la</w:t>
      </w:r>
      <w:r w:rsidRPr="00187A72">
        <w:rPr>
          <w:lang w:val="es-ES"/>
        </w:rPr>
        <w:t xml:space="preserve"> banda de frecuencias </w:t>
      </w:r>
      <w:r>
        <w:rPr>
          <w:lang w:val="es-ES"/>
        </w:rPr>
        <w:t>36-</w:t>
      </w:r>
      <w:r w:rsidRPr="00187A72">
        <w:rPr>
          <w:lang w:val="es-ES"/>
        </w:rPr>
        <w:t>37 GHz</w:t>
      </w:r>
      <w:r>
        <w:rPr>
          <w:lang w:val="es-ES"/>
        </w:rPr>
        <w:t>, para la que dichos</w:t>
      </w:r>
      <w:r w:rsidRPr="00187A72">
        <w:rPr>
          <w:lang w:val="es-ES"/>
        </w:rPr>
        <w:t xml:space="preserve"> estudios no </w:t>
      </w:r>
      <w:r>
        <w:rPr>
          <w:lang w:val="es-ES"/>
        </w:rPr>
        <w:t>pu</w:t>
      </w:r>
      <w:r w:rsidR="002E5A69">
        <w:rPr>
          <w:lang w:val="es-ES"/>
        </w:rPr>
        <w:t>s</w:t>
      </w:r>
      <w:r>
        <w:rPr>
          <w:lang w:val="es-ES"/>
        </w:rPr>
        <w:t>ieron de manifiesto ningún problema</w:t>
      </w:r>
      <w:r w:rsidRPr="00187A72">
        <w:rPr>
          <w:lang w:val="es-ES"/>
        </w:rPr>
        <w:t xml:space="preserve"> de compatibilidad</w:t>
      </w:r>
      <w:r w:rsidR="003F07CF" w:rsidRPr="00187A72">
        <w:rPr>
          <w:lang w:val="es-ES"/>
        </w:rPr>
        <w:t>.</w:t>
      </w:r>
    </w:p>
    <w:p w14:paraId="719D2CBA" w14:textId="2A088CFB" w:rsidR="002C4609" w:rsidRPr="002C4609" w:rsidRDefault="002C4609" w:rsidP="00A43CAF">
      <w:pPr>
        <w:spacing w:after="120"/>
        <w:rPr>
          <w:lang w:val="es-ES"/>
        </w:rPr>
      </w:pPr>
      <w:r w:rsidRPr="002C4609">
        <w:rPr>
          <w:lang w:val="es-ES"/>
        </w:rPr>
        <w:t>Además, en lo que respecta a la banda de frecuencias 50,4-51,4 GHz, las operaciones de radiómetro en tierra corren el riesgo de sufrir interferencias por no estar protegidas.</w:t>
      </w:r>
    </w:p>
    <w:tbl>
      <w:tblPr>
        <w:tblStyle w:val="TableGrid"/>
        <w:tblpPr w:leftFromText="180" w:rightFromText="180" w:vertAnchor="text" w:tblpY="13"/>
        <w:tblW w:w="0" w:type="auto"/>
        <w:tblLook w:val="04A0" w:firstRow="1" w:lastRow="0" w:firstColumn="1" w:lastColumn="0" w:noHBand="0" w:noVBand="1"/>
      </w:tblPr>
      <w:tblGrid>
        <w:gridCol w:w="9629"/>
      </w:tblGrid>
      <w:tr w:rsidR="00D83F50" w:rsidRPr="00F010A9" w14:paraId="6F4DE1E8" w14:textId="77777777" w:rsidTr="00D83F50">
        <w:tc>
          <w:tcPr>
            <w:tcW w:w="9629" w:type="dxa"/>
          </w:tcPr>
          <w:p w14:paraId="418F8663" w14:textId="2433C98B" w:rsidR="00D83F50" w:rsidRPr="00907B54" w:rsidRDefault="00D83F50" w:rsidP="00187A72">
            <w:pPr>
              <w:pStyle w:val="Headingb"/>
              <w:rPr>
                <w:lang w:val="es-ES"/>
              </w:rPr>
            </w:pPr>
            <w:r w:rsidRPr="00907B54">
              <w:rPr>
                <w:lang w:val="es-ES"/>
              </w:rPr>
              <w:t>Posición de la OMM respecto del punto 1.6 del orden del día de la CMR-19</w:t>
            </w:r>
          </w:p>
          <w:p w14:paraId="1B7C462A" w14:textId="5396468F" w:rsidR="002E5A69" w:rsidRPr="00187A72" w:rsidRDefault="002E5A69" w:rsidP="00187A72">
            <w:pPr>
              <w:rPr>
                <w:lang w:val="es-ES"/>
              </w:rPr>
            </w:pPr>
            <w:r w:rsidRPr="00187A72">
              <w:rPr>
                <w:lang w:val="es-ES"/>
              </w:rPr>
              <w:t xml:space="preserve">En caso de que se adopte el marco reglamentario para los satélites no OSG </w:t>
            </w:r>
            <w:r>
              <w:rPr>
                <w:lang w:val="es-ES"/>
              </w:rPr>
              <w:t xml:space="preserve">con arreglo a </w:t>
            </w:r>
            <w:r w:rsidRPr="00187A72">
              <w:rPr>
                <w:lang w:val="es-ES"/>
              </w:rPr>
              <w:t xml:space="preserve">este punto del orden del día, la OMM </w:t>
            </w:r>
            <w:r>
              <w:rPr>
                <w:lang w:val="es-ES"/>
              </w:rPr>
              <w:t>respalda</w:t>
            </w:r>
            <w:r w:rsidRPr="00187A72">
              <w:rPr>
                <w:lang w:val="es-ES"/>
              </w:rPr>
              <w:t xml:space="preserve"> la revisión del Cuadro 1-1 de la Resolución </w:t>
            </w:r>
            <w:r w:rsidRPr="003A7C3A">
              <w:rPr>
                <w:b/>
                <w:bCs/>
                <w:lang w:val="es-ES"/>
              </w:rPr>
              <w:t>750 (Rev.CMR-15)</w:t>
            </w:r>
            <w:r w:rsidRPr="00187A72">
              <w:rPr>
                <w:lang w:val="es-ES"/>
              </w:rPr>
              <w:t xml:space="preserve"> para los sistemas de satélite del SFS (tanto satélites no OSG como OSG) en las bandas de frecuencias 47,2</w:t>
            </w:r>
            <w:r w:rsidR="003A7C3A">
              <w:rPr>
                <w:lang w:val="es-ES"/>
              </w:rPr>
              <w:t>-</w:t>
            </w:r>
            <w:r w:rsidRPr="00187A72">
              <w:rPr>
                <w:lang w:val="es-ES"/>
              </w:rPr>
              <w:t>50,2 GHz y 50,4</w:t>
            </w:r>
            <w:r w:rsidR="003A7C3A">
              <w:rPr>
                <w:lang w:val="es-ES"/>
              </w:rPr>
              <w:t>-</w:t>
            </w:r>
            <w:r w:rsidRPr="00187A72">
              <w:rPr>
                <w:lang w:val="es-ES"/>
              </w:rPr>
              <w:t>51,4 GHz</w:t>
            </w:r>
            <w:r>
              <w:rPr>
                <w:lang w:val="es-ES"/>
              </w:rPr>
              <w:t>,</w:t>
            </w:r>
            <w:r w:rsidRPr="00187A72">
              <w:rPr>
                <w:lang w:val="es-ES"/>
              </w:rPr>
              <w:t xml:space="preserve"> a fin de garantizar la protección del SETS (pasivo) en la banda 50,2</w:t>
            </w:r>
            <w:r>
              <w:rPr>
                <w:lang w:val="es-ES"/>
              </w:rPr>
              <w:t>-</w:t>
            </w:r>
            <w:r w:rsidRPr="00187A72">
              <w:rPr>
                <w:lang w:val="es-ES"/>
              </w:rPr>
              <w:t>50,4 GHz (</w:t>
            </w:r>
            <w:r w:rsidR="003A7C3A" w:rsidRPr="00187A72">
              <w:rPr>
                <w:lang w:val="es-ES"/>
              </w:rPr>
              <w:t xml:space="preserve">Método </w:t>
            </w:r>
            <w:r w:rsidRPr="00187A72">
              <w:rPr>
                <w:lang w:val="es-ES"/>
              </w:rPr>
              <w:t xml:space="preserve">A, </w:t>
            </w:r>
            <w:r>
              <w:rPr>
                <w:lang w:val="es-ES"/>
              </w:rPr>
              <w:t>tema</w:t>
            </w:r>
            <w:r w:rsidRPr="00187A72">
              <w:rPr>
                <w:lang w:val="es-ES"/>
              </w:rPr>
              <w:t xml:space="preserve"> 2, opción B). Con </w:t>
            </w:r>
            <w:r>
              <w:rPr>
                <w:lang w:val="es-ES"/>
              </w:rPr>
              <w:t>arreglo a dicho</w:t>
            </w:r>
            <w:r w:rsidRPr="00187A72">
              <w:rPr>
                <w:lang w:val="es-ES"/>
              </w:rPr>
              <w:t xml:space="preserve"> </w:t>
            </w:r>
            <w:r w:rsidR="00504627" w:rsidRPr="00187A72">
              <w:rPr>
                <w:lang w:val="es-ES"/>
              </w:rPr>
              <w:t>Método</w:t>
            </w:r>
            <w:r w:rsidRPr="00187A72">
              <w:rPr>
                <w:lang w:val="es-ES"/>
              </w:rPr>
              <w:t xml:space="preserve">, la OMM apoya además la opción 1 de la Resolución </w:t>
            </w:r>
            <w:r w:rsidRPr="003A7C3A">
              <w:rPr>
                <w:b/>
                <w:bCs/>
                <w:lang w:val="es-ES"/>
              </w:rPr>
              <w:t>750 (Rev.CMR-15)</w:t>
            </w:r>
            <w:r w:rsidRPr="00187A72">
              <w:rPr>
                <w:lang w:val="es-ES"/>
              </w:rPr>
              <w:t xml:space="preserve">, </w:t>
            </w:r>
            <w:r>
              <w:rPr>
                <w:lang w:val="es-ES"/>
              </w:rPr>
              <w:t>en virtud de la cual se</w:t>
            </w:r>
            <w:r w:rsidRPr="00187A72">
              <w:rPr>
                <w:lang w:val="es-ES"/>
              </w:rPr>
              <w:t xml:space="preserve"> establece</w:t>
            </w:r>
            <w:r>
              <w:rPr>
                <w:lang w:val="es-ES"/>
              </w:rPr>
              <w:t>n</w:t>
            </w:r>
            <w:r w:rsidRPr="00187A72">
              <w:rPr>
                <w:lang w:val="es-ES"/>
              </w:rPr>
              <w:t xml:space="preserve"> los límites de emisiones no deseadas aplicados a los sistemas del SFS que </w:t>
            </w:r>
            <w:r w:rsidR="00802046">
              <w:rPr>
                <w:lang w:val="es-ES"/>
              </w:rPr>
              <w:t>se pongan</w:t>
            </w:r>
            <w:r w:rsidRPr="00187A72">
              <w:rPr>
                <w:lang w:val="es-ES"/>
              </w:rPr>
              <w:t xml:space="preserve"> en servicio después de la fecha de entrada en vigor de las Actas </w:t>
            </w:r>
            <w:r w:rsidR="00802046">
              <w:rPr>
                <w:lang w:val="es-ES"/>
              </w:rPr>
              <w:t>f</w:t>
            </w:r>
            <w:r w:rsidRPr="00187A72">
              <w:rPr>
                <w:lang w:val="es-ES"/>
              </w:rPr>
              <w:t>inales de la CMR</w:t>
            </w:r>
            <w:r w:rsidR="00802046">
              <w:rPr>
                <w:lang w:val="es-ES"/>
              </w:rPr>
              <w:t>-</w:t>
            </w:r>
            <w:r w:rsidRPr="00187A72">
              <w:rPr>
                <w:lang w:val="es-ES"/>
              </w:rPr>
              <w:t>19.</w:t>
            </w:r>
          </w:p>
          <w:p w14:paraId="096B7D00" w14:textId="6BBD44C4" w:rsidR="00D83F50" w:rsidRPr="00187A72" w:rsidRDefault="002E5A69" w:rsidP="00187A72">
            <w:pPr>
              <w:rPr>
                <w:lang w:val="es-ES"/>
              </w:rPr>
            </w:pPr>
            <w:r w:rsidRPr="00187A72">
              <w:rPr>
                <w:lang w:val="es-ES"/>
              </w:rPr>
              <w:t xml:space="preserve">A este respecto, la OMM </w:t>
            </w:r>
            <w:r w:rsidR="00802046">
              <w:rPr>
                <w:lang w:val="es-ES"/>
              </w:rPr>
              <w:t>aboga por que se incluyan</w:t>
            </w:r>
            <w:r w:rsidRPr="00187A72">
              <w:rPr>
                <w:lang w:val="es-ES"/>
              </w:rPr>
              <w:t xml:space="preserve"> los siguientes límites máximos de emisiones no deseadas en la Resolución </w:t>
            </w:r>
            <w:r w:rsidRPr="003A7C3A">
              <w:rPr>
                <w:b/>
                <w:bCs/>
                <w:lang w:val="es-ES"/>
              </w:rPr>
              <w:t>750 (Rev.CMR-15</w:t>
            </w:r>
            <w:r w:rsidR="00D83F50" w:rsidRPr="003A7C3A">
              <w:rPr>
                <w:b/>
                <w:bCs/>
                <w:lang w:val="es-ES"/>
              </w:rPr>
              <w:t>)</w:t>
            </w:r>
            <w:r w:rsidR="00D83F50" w:rsidRPr="00187A72">
              <w:rPr>
                <w:lang w:val="es-ES"/>
              </w:rPr>
              <w:t>:</w:t>
            </w:r>
          </w:p>
          <w:p w14:paraId="4F05D7D0" w14:textId="2581FB05" w:rsidR="00802046" w:rsidRPr="00187A72" w:rsidRDefault="00D83F50" w:rsidP="00187A72">
            <w:pPr>
              <w:pStyle w:val="enumlev1"/>
              <w:rPr>
                <w:lang w:val="es-ES"/>
              </w:rPr>
            </w:pPr>
            <w:r w:rsidRPr="00187A72">
              <w:rPr>
                <w:lang w:val="es-ES"/>
              </w:rPr>
              <w:t>–</w:t>
            </w:r>
            <w:r w:rsidRPr="00187A72">
              <w:rPr>
                <w:lang w:val="es-ES"/>
              </w:rPr>
              <w:tab/>
            </w:r>
            <w:r w:rsidR="00802046" w:rsidRPr="00187A72">
              <w:rPr>
                <w:lang w:val="es-ES"/>
              </w:rPr>
              <w:t xml:space="preserve">para las estaciones terrenas que funcionan con sistemas no OSG, </w:t>
            </w:r>
            <w:r w:rsidR="003A7C3A">
              <w:rPr>
                <w:lang w:val="es-ES"/>
              </w:rPr>
              <w:t>–</w:t>
            </w:r>
            <w:r w:rsidR="00802046" w:rsidRPr="00187A72">
              <w:rPr>
                <w:lang w:val="es-ES"/>
              </w:rPr>
              <w:t xml:space="preserve">51 dBW/200 MHz para </w:t>
            </w:r>
            <w:r w:rsidR="00802046">
              <w:rPr>
                <w:lang w:val="es-ES"/>
              </w:rPr>
              <w:t>equipos de usuario,</w:t>
            </w:r>
            <w:r w:rsidR="00802046" w:rsidRPr="00187A72">
              <w:rPr>
                <w:lang w:val="es-ES"/>
              </w:rPr>
              <w:t xml:space="preserve"> y </w:t>
            </w:r>
            <w:r w:rsidR="003A7C3A">
              <w:rPr>
                <w:lang w:val="es-ES"/>
              </w:rPr>
              <w:t>–</w:t>
            </w:r>
            <w:r w:rsidR="00802046" w:rsidRPr="00187A72">
              <w:rPr>
                <w:lang w:val="es-ES"/>
              </w:rPr>
              <w:t>49 dBW/200 MHz para pasarelas</w:t>
            </w:r>
            <w:r w:rsidR="003A7C3A">
              <w:rPr>
                <w:lang w:val="es-ES"/>
              </w:rPr>
              <w:t>;</w:t>
            </w:r>
          </w:p>
          <w:p w14:paraId="575ACAB4" w14:textId="7D3272F4" w:rsidR="00D83F50" w:rsidRPr="00187A72" w:rsidRDefault="003A7C3A" w:rsidP="00187A72">
            <w:pPr>
              <w:pStyle w:val="enumlev1"/>
              <w:rPr>
                <w:lang w:val="es-ES"/>
              </w:rPr>
            </w:pPr>
            <w:r>
              <w:rPr>
                <w:lang w:val="es-ES"/>
              </w:rPr>
              <w:t>–</w:t>
            </w:r>
            <w:r>
              <w:rPr>
                <w:lang w:val="es-ES"/>
              </w:rPr>
              <w:tab/>
            </w:r>
            <w:r w:rsidR="00802046" w:rsidRPr="00187A72">
              <w:rPr>
                <w:lang w:val="es-ES"/>
              </w:rPr>
              <w:t xml:space="preserve">para las estaciones terrenas que funcionan con sistemas OSG, </w:t>
            </w:r>
            <w:r>
              <w:rPr>
                <w:lang w:val="es-ES"/>
              </w:rPr>
              <w:t>–</w:t>
            </w:r>
            <w:r w:rsidR="00802046" w:rsidRPr="00187A72">
              <w:rPr>
                <w:lang w:val="es-ES"/>
              </w:rPr>
              <w:t xml:space="preserve">58 dBW/200 MHz para </w:t>
            </w:r>
            <w:r w:rsidR="00802046">
              <w:rPr>
                <w:lang w:val="es-ES"/>
              </w:rPr>
              <w:t>equipos de usuario</w:t>
            </w:r>
            <w:r w:rsidR="00802046" w:rsidRPr="00802046">
              <w:rPr>
                <w:lang w:val="es-ES"/>
              </w:rPr>
              <w:t xml:space="preserve"> </w:t>
            </w:r>
            <w:r w:rsidR="00802046" w:rsidRPr="00187A72">
              <w:rPr>
                <w:lang w:val="es-ES"/>
              </w:rPr>
              <w:t xml:space="preserve">y </w:t>
            </w:r>
            <w:r>
              <w:rPr>
                <w:lang w:val="es-ES"/>
              </w:rPr>
              <w:t>–</w:t>
            </w:r>
            <w:r w:rsidR="00802046" w:rsidRPr="00187A72">
              <w:rPr>
                <w:lang w:val="es-ES"/>
              </w:rPr>
              <w:t xml:space="preserve">44 dBW/200 MHz para pasarelas. En caso de que la CMR-19 decida </w:t>
            </w:r>
            <w:r w:rsidR="00802046">
              <w:rPr>
                <w:lang w:val="es-ES"/>
              </w:rPr>
              <w:t xml:space="preserve">en esta ocasión </w:t>
            </w:r>
            <w:r w:rsidR="00802046" w:rsidRPr="00187A72">
              <w:rPr>
                <w:lang w:val="es-ES"/>
              </w:rPr>
              <w:t xml:space="preserve">no modificar los límites del SFS OSG en la Resolución </w:t>
            </w:r>
            <w:r w:rsidR="00802046" w:rsidRPr="003E4C7B">
              <w:rPr>
                <w:b/>
                <w:bCs/>
                <w:lang w:val="es-ES"/>
              </w:rPr>
              <w:t>750 (Rev.CMR-15)</w:t>
            </w:r>
            <w:r w:rsidR="00802046" w:rsidRPr="00187A72">
              <w:rPr>
                <w:lang w:val="es-ES"/>
              </w:rPr>
              <w:t xml:space="preserve">, se necesitará un punto del orden del día para la CMR-23 a fin de revisar </w:t>
            </w:r>
            <w:r w:rsidR="00802046">
              <w:rPr>
                <w:lang w:val="es-ES"/>
              </w:rPr>
              <w:t>los citados</w:t>
            </w:r>
            <w:r w:rsidR="00802046" w:rsidRPr="00187A72">
              <w:rPr>
                <w:lang w:val="es-ES"/>
              </w:rPr>
              <w:t xml:space="preserve"> límites de emisiones no deseadas del SFS OSG</w:t>
            </w:r>
            <w:r w:rsidR="00D83F50" w:rsidRPr="00187A72">
              <w:rPr>
                <w:lang w:val="es-ES"/>
              </w:rPr>
              <w:t>.</w:t>
            </w:r>
          </w:p>
          <w:p w14:paraId="13C1079E" w14:textId="7F2F2CC6" w:rsidR="00D83F50" w:rsidRPr="00C54AC7" w:rsidRDefault="00C54AC7" w:rsidP="003E4C7B">
            <w:pPr>
              <w:spacing w:after="120"/>
            </w:pPr>
            <w:r>
              <w:t>La OMM agradecería que se encontrase una solución para no interrumpir las operaciones de los radiómetros en tierra en la banda de frecuencias 50,4-51,4 GHz.</w:t>
            </w:r>
          </w:p>
        </w:tc>
      </w:tr>
    </w:tbl>
    <w:p w14:paraId="561B1B07" w14:textId="77777777" w:rsidR="002C4609" w:rsidRPr="002C4609" w:rsidRDefault="002C4609" w:rsidP="00A43CAF">
      <w:pPr>
        <w:pStyle w:val="Heading2"/>
        <w:rPr>
          <w:lang w:val="es-ES"/>
        </w:rPr>
      </w:pPr>
      <w:r w:rsidRPr="002C4609">
        <w:rPr>
          <w:lang w:val="es-ES"/>
        </w:rPr>
        <w:t>3.5</w:t>
      </w:r>
      <w:r w:rsidRPr="002C4609">
        <w:rPr>
          <w:lang w:val="es-ES"/>
        </w:rPr>
        <w:tab/>
        <w:t>Punto 1.7 del orden del día</w:t>
      </w:r>
    </w:p>
    <w:p w14:paraId="68E8C56A" w14:textId="01B1E5B3" w:rsidR="002C4609" w:rsidRPr="002C4609" w:rsidRDefault="002C4609" w:rsidP="00A43CAF">
      <w:pPr>
        <w:rPr>
          <w:b/>
          <w:bCs/>
          <w:i/>
          <w:lang w:val="es-ES"/>
        </w:rPr>
      </w:pPr>
      <w:r w:rsidRPr="002C4609">
        <w:rPr>
          <w:i/>
          <w:lang w:val="es-ES"/>
        </w:rPr>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2C4609">
        <w:rPr>
          <w:b/>
          <w:bCs/>
          <w:i/>
          <w:lang w:val="es-ES"/>
        </w:rPr>
        <w:t>659 (CMR 15)</w:t>
      </w:r>
      <w:r w:rsidR="00527A78">
        <w:rPr>
          <w:i/>
          <w:lang w:val="es-ES"/>
        </w:rPr>
        <w:t>.</w:t>
      </w:r>
      <w:r w:rsidRPr="002C4609">
        <w:rPr>
          <w:i/>
          <w:lang w:val="es-ES"/>
        </w:rPr>
        <w:t>»</w:t>
      </w:r>
    </w:p>
    <w:p w14:paraId="44EA6699" w14:textId="6AAD7B16" w:rsidR="002C4609" w:rsidRPr="002C4609" w:rsidRDefault="002C4609" w:rsidP="00187A72">
      <w:pPr>
        <w:rPr>
          <w:lang w:val="es-ES"/>
        </w:rPr>
      </w:pPr>
      <w:r w:rsidRPr="002C4609">
        <w:rPr>
          <w:lang w:val="es-ES"/>
        </w:rPr>
        <w:t xml:space="preserve">La OMM está preocupada por la posibilidad de una nueva atribución al servicio de operaciones espaciales (SOS) en la gama de frecuencias 400,15-406 MHz que se utiliza ampliamente en el mundo para las operaciones de radiosondas </w:t>
      </w:r>
      <w:r w:rsidR="00802046">
        <w:rPr>
          <w:lang w:val="es-ES"/>
        </w:rPr>
        <w:t>(</w:t>
      </w:r>
      <w:r w:rsidR="00802046" w:rsidRPr="00802046">
        <w:rPr>
          <w:lang w:val="es-ES"/>
        </w:rPr>
        <w:t>ayudas a la meteorología</w:t>
      </w:r>
      <w:r w:rsidR="00802046">
        <w:rPr>
          <w:lang w:val="es-ES"/>
        </w:rPr>
        <w:t xml:space="preserve"> o </w:t>
      </w:r>
      <w:r w:rsidR="0045080A">
        <w:rPr>
          <w:lang w:val="es-ES"/>
        </w:rPr>
        <w:t>«</w:t>
      </w:r>
      <w:r w:rsidR="00802046">
        <w:rPr>
          <w:lang w:val="es-ES"/>
        </w:rPr>
        <w:t>Metaids</w:t>
      </w:r>
      <w:r w:rsidR="0045080A">
        <w:rPr>
          <w:lang w:val="es-ES"/>
        </w:rPr>
        <w:t>»</w:t>
      </w:r>
      <w:r w:rsidR="00802046">
        <w:rPr>
          <w:lang w:val="es-ES"/>
        </w:rPr>
        <w:t xml:space="preserve">) </w:t>
      </w:r>
      <w:r w:rsidRPr="002C4609">
        <w:rPr>
          <w:lang w:val="es-ES"/>
        </w:rPr>
        <w:t>y satélites meteorológicos (sistemas de recogida de datos</w:t>
      </w:r>
      <w:r w:rsidR="00802046">
        <w:rPr>
          <w:lang w:val="es-ES"/>
        </w:rPr>
        <w:t xml:space="preserve"> o DCS</w:t>
      </w:r>
      <w:r w:rsidRPr="002C4609">
        <w:rPr>
          <w:lang w:val="es-ES"/>
        </w:rPr>
        <w:t>).</w:t>
      </w:r>
    </w:p>
    <w:p w14:paraId="6F6ED56B" w14:textId="68996D68" w:rsidR="002C4609" w:rsidRPr="0056358F" w:rsidRDefault="002C4609" w:rsidP="00187A72">
      <w:pPr>
        <w:rPr>
          <w:lang w:val="es-ES"/>
        </w:rPr>
      </w:pPr>
      <w:r w:rsidRPr="002C4609">
        <w:rPr>
          <w:lang w:val="es-ES"/>
        </w:rPr>
        <w:lastRenderedPageBreak/>
        <w:t>Los estudios muestran que el funcionamiento en el mismo canal con DCS dará como resultado interferencias perjudiciales a los DCS. Cabe mencionar que el espectro utilizado por las operaciones DCS (401-403 MHz) está muy congestionado y bajo una intensa coordinación de los operadores, y que no hay segmentos del espectro en los que puedan acomodarse operaciones de corta duración de satélites no geoestacionarios para evitar el funcionamiento en el mismo canal con los DCS.</w:t>
      </w:r>
      <w:r w:rsidR="00F010A9" w:rsidRPr="0056358F">
        <w:rPr>
          <w:lang w:val="es-ES"/>
        </w:rPr>
        <w:t xml:space="preserve"> </w:t>
      </w:r>
      <w:r w:rsidR="0056358F" w:rsidRPr="0056358F">
        <w:rPr>
          <w:lang w:val="es-ES"/>
        </w:rPr>
        <w:t>Según los estudios realizados, la atribución actual a SO</w:t>
      </w:r>
      <w:r w:rsidR="00151AEF">
        <w:rPr>
          <w:lang w:val="es-ES"/>
        </w:rPr>
        <w:t>E</w:t>
      </w:r>
      <w:r w:rsidR="0056358F" w:rsidRPr="0056358F">
        <w:rPr>
          <w:lang w:val="es-ES"/>
        </w:rPr>
        <w:t xml:space="preserve"> en 401-402 MHz no es adecuada para el uso de satélites con características y requisitos de misión como los de los satélites no geoestacionarios para misiones de corta duración.</w:t>
      </w:r>
    </w:p>
    <w:p w14:paraId="09FE61E9" w14:textId="20C5C165" w:rsidR="002C4609" w:rsidRPr="002C4609" w:rsidRDefault="002C4609" w:rsidP="00187A72">
      <w:pPr>
        <w:rPr>
          <w:lang w:val="es-ES"/>
        </w:rPr>
      </w:pPr>
      <w:r w:rsidRPr="002C4609">
        <w:rPr>
          <w:lang w:val="es-ES"/>
        </w:rPr>
        <w:t xml:space="preserve">Además, los estudios realizados en la gama de frecuencias 400,15-406 MHz muestran que el funcionamiento en el mismo canal de los sistemas de satélites no geoestacionarios para misiones de corta duración (estaciones terrenas y estaciones espaciales) y el servicio de ayudas a la meteorología (MetAids) no es posible en la misma zona geográfica. El MetAids operando en la banda de frecuencias 400,15-406 MHz se despliega mundialmente y se basa en los requisitos y el uso mundial en el marco de WIGOS. La OMM concluyó que en un futuro previsible se necesitará toda la banda </w:t>
      </w:r>
      <w:r w:rsidR="00352896">
        <w:rPr>
          <w:lang w:val="es-ES"/>
        </w:rPr>
        <w:t>400,15</w:t>
      </w:r>
      <w:r w:rsidRPr="002C4609">
        <w:rPr>
          <w:lang w:val="es-ES"/>
        </w:rPr>
        <w:t>-406 MHz para la operación de MetAids.</w:t>
      </w:r>
    </w:p>
    <w:p w14:paraId="7EFEDAD1" w14:textId="77777777" w:rsidR="002C4609" w:rsidRPr="002C4609" w:rsidRDefault="002C4609" w:rsidP="00A43CAF">
      <w:pPr>
        <w:rPr>
          <w:lang w:val="es-ES"/>
        </w:rPr>
      </w:pPr>
      <w:r w:rsidRPr="002C4609">
        <w:rPr>
          <w:lang w:val="es-ES"/>
        </w:rPr>
        <w:t>Además, los estudios muestran que se necesita una banda de guardia de 1 MHz para proteger el sistema COSPAS</w:t>
      </w:r>
      <w:r w:rsidRPr="002C4609">
        <w:rPr>
          <w:lang w:val="es-ES"/>
        </w:rPr>
        <w:noBreakHyphen/>
        <w:t>SARSAT operando en la banda 406-406,1 MHz.</w:t>
      </w:r>
    </w:p>
    <w:p w14:paraId="11BBD3CE" w14:textId="6A82D826" w:rsidR="002C4609" w:rsidRPr="00BC411E" w:rsidRDefault="002C4609" w:rsidP="00187A72">
      <w:pPr>
        <w:rPr>
          <w:lang w:val="es-ES"/>
        </w:rPr>
      </w:pPr>
      <w:r w:rsidRPr="002C4609">
        <w:rPr>
          <w:lang w:val="es-ES"/>
        </w:rPr>
        <w:t>La OMM considera que algunos de los satélites no geoestacionarios para misiones de corta duración que utilizarían el espectro atribuido en el marco del presente punto del orden del día realizarían misiones de ciencias de la Tierra y de meteorología</w:t>
      </w:r>
      <w:r w:rsidRPr="00BC411E">
        <w:rPr>
          <w:lang w:val="es-ES"/>
        </w:rPr>
        <w:t>.</w:t>
      </w:r>
      <w:r w:rsidR="00BC411E" w:rsidRPr="00BC411E">
        <w:rPr>
          <w:lang w:val="es-ES"/>
        </w:rPr>
        <w:t xml:space="preserve"> </w:t>
      </w:r>
      <w:r w:rsidR="00391E14">
        <w:rPr>
          <w:lang w:val="es-ES"/>
        </w:rPr>
        <w:t>No obstante</w:t>
      </w:r>
      <w:r w:rsidR="00BC411E" w:rsidRPr="00BC411E">
        <w:rPr>
          <w:lang w:val="es-ES"/>
        </w:rPr>
        <w:t>, según los resultados de los estudios mencionados anteriormente</w:t>
      </w:r>
      <w:r w:rsidR="00391E14">
        <w:rPr>
          <w:lang w:val="es-ES"/>
        </w:rPr>
        <w:t>,</w:t>
      </w:r>
      <w:r w:rsidR="00BC411E" w:rsidRPr="00BC411E">
        <w:rPr>
          <w:lang w:val="es-ES"/>
        </w:rPr>
        <w:t xml:space="preserve"> puede concluirse que no es posible una nueva atribución a SO</w:t>
      </w:r>
      <w:r w:rsidR="00151AEF">
        <w:rPr>
          <w:lang w:val="es-ES"/>
        </w:rPr>
        <w:t>E</w:t>
      </w:r>
      <w:r w:rsidR="00BC411E" w:rsidRPr="00BC411E">
        <w:rPr>
          <w:lang w:val="es-ES"/>
        </w:rPr>
        <w:t xml:space="preserve"> en la banda de frecuencias 400,15</w:t>
      </w:r>
      <w:r w:rsidR="00E84E52">
        <w:rPr>
          <w:lang w:val="es-ES"/>
        </w:rPr>
        <w:noBreakHyphen/>
      </w:r>
      <w:r w:rsidR="00BC411E" w:rsidRPr="00BC411E">
        <w:rPr>
          <w:lang w:val="es-ES"/>
        </w:rPr>
        <w:t>406 MHz.</w:t>
      </w:r>
    </w:p>
    <w:p w14:paraId="6DB93A22" w14:textId="77777777" w:rsidR="002C4609" w:rsidRPr="002C4609" w:rsidRDefault="002C4609" w:rsidP="00E938A2">
      <w:pPr>
        <w:spacing w:after="120"/>
        <w:rPr>
          <w:lang w:val="es-ES"/>
        </w:rPr>
      </w:pPr>
      <w:r w:rsidRPr="002C4609">
        <w:rPr>
          <w:lang w:val="es-ES"/>
        </w:rPr>
        <w:t>La OMM repara en la vinculación con el punto 1.2 del orden del día de la CMR-19 sobre los límites p.i.r.e. dentro de la banda de frecuencias para las estaciones terrenas que funcionan en el servicio móvil por satélite (399,9-400,05 MHz), el servicio de meteorología por satélite y el servicio de exploración de la Tierra por satélite en la banda de frecuencias 401-403 MHz.</w:t>
      </w:r>
    </w:p>
    <w:tbl>
      <w:tblPr>
        <w:tblStyle w:val="TableGrid"/>
        <w:tblW w:w="0" w:type="auto"/>
        <w:tblLook w:val="04A0" w:firstRow="1" w:lastRow="0" w:firstColumn="1" w:lastColumn="0" w:noHBand="0" w:noVBand="1"/>
      </w:tblPr>
      <w:tblGrid>
        <w:gridCol w:w="9629"/>
      </w:tblGrid>
      <w:tr w:rsidR="00BC411E" w:rsidRPr="00391E14" w14:paraId="06C8E986" w14:textId="77777777" w:rsidTr="00BC411E">
        <w:tc>
          <w:tcPr>
            <w:tcW w:w="9629" w:type="dxa"/>
          </w:tcPr>
          <w:p w14:paraId="3011D3A2" w14:textId="1A7A81E6" w:rsidR="00BC411E" w:rsidRPr="00907B54" w:rsidRDefault="0037701E" w:rsidP="00187A72">
            <w:pPr>
              <w:pStyle w:val="Headingb"/>
              <w:rPr>
                <w:lang w:val="es-ES"/>
              </w:rPr>
            </w:pPr>
            <w:r w:rsidRPr="00907B54">
              <w:rPr>
                <w:lang w:val="es-ES"/>
              </w:rPr>
              <w:t>Posición de la OMM respecto del punto 1.7 del orden del día de la CMR-19</w:t>
            </w:r>
          </w:p>
          <w:p w14:paraId="2D7F46B9" w14:textId="17EAB240" w:rsidR="00BC411E" w:rsidRPr="00187A72" w:rsidRDefault="0037701E" w:rsidP="00E938A2">
            <w:pPr>
              <w:spacing w:after="120"/>
              <w:rPr>
                <w:lang w:val="es-ES"/>
              </w:rPr>
            </w:pPr>
            <w:r w:rsidRPr="002F7D6A">
              <w:rPr>
                <w:lang w:val="es-ES"/>
              </w:rPr>
              <w:t>La OMM subraya que la banda de frecuencias 400,15-406 MHz es la banda clave para las operaciones mundiales de DCS y radiosonda</w:t>
            </w:r>
            <w:r w:rsidR="00BC411E" w:rsidRPr="002F7D6A">
              <w:rPr>
                <w:lang w:val="es-ES"/>
              </w:rPr>
              <w:t xml:space="preserve">. </w:t>
            </w:r>
            <w:r w:rsidR="00391E14" w:rsidRPr="00187A72">
              <w:rPr>
                <w:lang w:val="es-ES"/>
              </w:rPr>
              <w:t>Sobre la base de los resultados de los estudios del UIT-R</w:t>
            </w:r>
            <w:r w:rsidR="00391E14">
              <w:rPr>
                <w:lang w:val="es-ES"/>
              </w:rPr>
              <w:t xml:space="preserve">, en los que se demuestra </w:t>
            </w:r>
            <w:r w:rsidR="00391E14" w:rsidRPr="00187A72">
              <w:rPr>
                <w:lang w:val="es-ES"/>
              </w:rPr>
              <w:t xml:space="preserve">que no es factible una nueva atribución </w:t>
            </w:r>
            <w:r w:rsidR="00391E14">
              <w:rPr>
                <w:lang w:val="es-ES"/>
              </w:rPr>
              <w:t>a</w:t>
            </w:r>
            <w:r w:rsidR="00391E14" w:rsidRPr="00187A72">
              <w:rPr>
                <w:lang w:val="es-ES"/>
              </w:rPr>
              <w:t xml:space="preserve"> SO</w:t>
            </w:r>
            <w:r w:rsidR="00151AEF">
              <w:rPr>
                <w:lang w:val="es-ES"/>
              </w:rPr>
              <w:t>E</w:t>
            </w:r>
            <w:r w:rsidR="00391E14" w:rsidRPr="00187A72">
              <w:rPr>
                <w:lang w:val="es-ES"/>
              </w:rPr>
              <w:t xml:space="preserve"> en la banda de frecuencias 400,15-406 MHz, la OMM se opone </w:t>
            </w:r>
            <w:r w:rsidR="00391E14">
              <w:rPr>
                <w:lang w:val="es-ES"/>
              </w:rPr>
              <w:t>firmemen</w:t>
            </w:r>
            <w:r w:rsidR="00F42653">
              <w:rPr>
                <w:lang w:val="es-ES"/>
              </w:rPr>
              <w:t>te</w:t>
            </w:r>
            <w:r w:rsidR="00391E14" w:rsidRPr="00187A72">
              <w:rPr>
                <w:lang w:val="es-ES"/>
              </w:rPr>
              <w:t xml:space="preserve"> a que se examine esta banda de frecuencias en relación con este punto del orden del día (</w:t>
            </w:r>
            <w:r w:rsidR="00E938A2" w:rsidRPr="00187A72">
              <w:rPr>
                <w:lang w:val="es-ES"/>
              </w:rPr>
              <w:t xml:space="preserve">Método </w:t>
            </w:r>
            <w:r w:rsidR="00391E14" w:rsidRPr="00187A72">
              <w:rPr>
                <w:lang w:val="es-ES"/>
              </w:rPr>
              <w:t>B de la RPC</w:t>
            </w:r>
            <w:r w:rsidR="00BC411E" w:rsidRPr="00187A72">
              <w:rPr>
                <w:lang w:val="es-ES"/>
              </w:rPr>
              <w:t>).</w:t>
            </w:r>
          </w:p>
        </w:tc>
      </w:tr>
    </w:tbl>
    <w:p w14:paraId="46E49369" w14:textId="77C304B4" w:rsidR="00BE6881" w:rsidRPr="0024570A" w:rsidRDefault="002C4609" w:rsidP="00A43CAF">
      <w:pPr>
        <w:pStyle w:val="Heading2"/>
      </w:pPr>
      <w:r w:rsidRPr="0024570A">
        <w:t>3.6</w:t>
      </w:r>
      <w:r w:rsidRPr="0024570A">
        <w:tab/>
      </w:r>
      <w:r w:rsidR="0086628B" w:rsidRPr="0024570A">
        <w:t xml:space="preserve">Punto </w:t>
      </w:r>
      <w:r w:rsidR="00BE6881" w:rsidRPr="0024570A">
        <w:t>1.11</w:t>
      </w:r>
      <w:r w:rsidR="0086628B" w:rsidRPr="0024570A">
        <w:t xml:space="preserve"> del orden del día</w:t>
      </w:r>
    </w:p>
    <w:p w14:paraId="08238381" w14:textId="77777777" w:rsidR="0015776B" w:rsidRDefault="0015776B" w:rsidP="00187A72">
      <w:pPr>
        <w:rPr>
          <w:i/>
          <w:lang w:val="es-ES"/>
        </w:rPr>
      </w:pPr>
      <w:r>
        <w:rPr>
          <w:i/>
          <w:lang w:val="es-ES"/>
        </w:rPr>
        <w:t>«</w:t>
      </w:r>
      <w:r w:rsidRPr="00871847">
        <w:rPr>
          <w:i/>
          <w:lang w:val="es-ES"/>
        </w:rPr>
        <w:t xml:space="preserve">adoptar las medidas necesarias, según proceda, para facilitar las bandas de frecuencias armonizadas a escala mundial o regional para dar soporte a los sistemas de radiocomunicaciones entre el tren y las vías dentro de las atribuciones existentes al servicio móvil, de conformidad con la Resolución </w:t>
      </w:r>
      <w:r w:rsidRPr="00871847">
        <w:rPr>
          <w:b/>
          <w:bCs/>
          <w:i/>
          <w:lang w:val="es-ES"/>
        </w:rPr>
        <w:t>236 (CMR 15)</w:t>
      </w:r>
      <w:r>
        <w:rPr>
          <w:i/>
          <w:lang w:val="es-ES"/>
        </w:rPr>
        <w:t>.»</w:t>
      </w:r>
    </w:p>
    <w:p w14:paraId="25615454" w14:textId="6E3B0FCC" w:rsidR="00BE6881" w:rsidRPr="00187A72" w:rsidRDefault="005F49AC" w:rsidP="00187A72">
      <w:pPr>
        <w:rPr>
          <w:lang w:val="es-ES"/>
        </w:rPr>
      </w:pPr>
      <w:r w:rsidRPr="00187A72">
        <w:rPr>
          <w:lang w:val="es-ES"/>
        </w:rPr>
        <w:t xml:space="preserve">La OMM </w:t>
      </w:r>
      <w:r>
        <w:rPr>
          <w:lang w:val="es-ES"/>
        </w:rPr>
        <w:t xml:space="preserve">manifiesta </w:t>
      </w:r>
      <w:r w:rsidR="008B0CE4">
        <w:rPr>
          <w:lang w:val="es-ES"/>
        </w:rPr>
        <w:t xml:space="preserve">su </w:t>
      </w:r>
      <w:r w:rsidR="00542C43">
        <w:rPr>
          <w:lang w:val="es-ES"/>
        </w:rPr>
        <w:t>inquietud</w:t>
      </w:r>
      <w:r>
        <w:rPr>
          <w:lang w:val="es-ES"/>
        </w:rPr>
        <w:t xml:space="preserve"> </w:t>
      </w:r>
      <w:r w:rsidR="008B0CE4">
        <w:rPr>
          <w:lang w:val="es-ES"/>
        </w:rPr>
        <w:t>en relación con los aspectos sobre</w:t>
      </w:r>
      <w:r w:rsidRPr="00187A72">
        <w:rPr>
          <w:lang w:val="es-ES"/>
        </w:rPr>
        <w:t xml:space="preserve"> atribución </w:t>
      </w:r>
      <w:r w:rsidR="008B0CE4">
        <w:rPr>
          <w:lang w:val="es-ES"/>
        </w:rPr>
        <w:t>al</w:t>
      </w:r>
      <w:r w:rsidRPr="00187A72">
        <w:rPr>
          <w:lang w:val="es-ES"/>
        </w:rPr>
        <w:t xml:space="preserve"> servicio móvil </w:t>
      </w:r>
      <w:r w:rsidR="008B0CE4">
        <w:rPr>
          <w:lang w:val="es-ES"/>
        </w:rPr>
        <w:t xml:space="preserve">a título </w:t>
      </w:r>
      <w:r w:rsidRPr="00187A72">
        <w:rPr>
          <w:lang w:val="es-ES"/>
        </w:rPr>
        <w:t>secundario en la banda de frecuencias 400,15</w:t>
      </w:r>
      <w:r w:rsidR="008B0CE4">
        <w:rPr>
          <w:lang w:val="es-ES"/>
        </w:rPr>
        <w:t>-</w:t>
      </w:r>
      <w:r w:rsidRPr="00187A72">
        <w:rPr>
          <w:lang w:val="es-ES"/>
        </w:rPr>
        <w:t xml:space="preserve">406 MHz (Tierra-espacio) y atribución </w:t>
      </w:r>
      <w:r w:rsidR="008B0CE4">
        <w:rPr>
          <w:lang w:val="es-ES"/>
        </w:rPr>
        <w:t>al</w:t>
      </w:r>
      <w:r w:rsidRPr="00187A72">
        <w:rPr>
          <w:lang w:val="es-ES"/>
        </w:rPr>
        <w:t xml:space="preserve"> servicio móvil en la banda de frecuencias 460</w:t>
      </w:r>
      <w:r w:rsidR="008B0CE4">
        <w:rPr>
          <w:lang w:val="es-ES"/>
        </w:rPr>
        <w:t>-</w:t>
      </w:r>
      <w:r w:rsidRPr="00187A72">
        <w:rPr>
          <w:lang w:val="es-ES"/>
        </w:rPr>
        <w:t>470 MHz (espacio-Tierra). La banda de frecuencias 400,15</w:t>
      </w:r>
      <w:r w:rsidR="008B0CE4">
        <w:rPr>
          <w:lang w:val="es-ES"/>
        </w:rPr>
        <w:t>-</w:t>
      </w:r>
      <w:r w:rsidRPr="00187A72">
        <w:rPr>
          <w:lang w:val="es-ES"/>
        </w:rPr>
        <w:t xml:space="preserve">406 MHz se utiliza </w:t>
      </w:r>
      <w:r w:rsidR="008B0CE4">
        <w:rPr>
          <w:lang w:val="es-ES"/>
        </w:rPr>
        <w:t>ampliamente</w:t>
      </w:r>
      <w:r w:rsidRPr="00187A72">
        <w:rPr>
          <w:lang w:val="es-ES"/>
        </w:rPr>
        <w:t xml:space="preserve"> para operaciones de radiosonda y ambas bandas de frecuencias se </w:t>
      </w:r>
      <w:r w:rsidR="008B0CE4">
        <w:rPr>
          <w:lang w:val="es-ES"/>
        </w:rPr>
        <w:t>destinan</w:t>
      </w:r>
      <w:r w:rsidRPr="00187A72">
        <w:rPr>
          <w:lang w:val="es-ES"/>
        </w:rPr>
        <w:t xml:space="preserve"> </w:t>
      </w:r>
      <w:r w:rsidR="008B0CE4">
        <w:rPr>
          <w:lang w:val="es-ES"/>
        </w:rPr>
        <w:t>con mucha frecuencia a</w:t>
      </w:r>
      <w:r w:rsidRPr="00187A72">
        <w:rPr>
          <w:lang w:val="es-ES"/>
        </w:rPr>
        <w:t xml:space="preserve"> sistemas de </w:t>
      </w:r>
      <w:r w:rsidR="008B0CE4">
        <w:rPr>
          <w:lang w:val="es-ES"/>
        </w:rPr>
        <w:t>adquisición</w:t>
      </w:r>
      <w:r w:rsidRPr="00187A72">
        <w:rPr>
          <w:lang w:val="es-ES"/>
        </w:rPr>
        <w:t xml:space="preserve"> de datos (</w:t>
      </w:r>
      <w:r w:rsidR="008B0CE4">
        <w:rPr>
          <w:lang w:val="es-ES"/>
        </w:rPr>
        <w:t>DCS</w:t>
      </w:r>
      <w:r w:rsidRPr="00187A72">
        <w:rPr>
          <w:lang w:val="es-ES"/>
        </w:rPr>
        <w:t>) que funcionan en el servicio MetSat y en el SETS (Tierra-espacio) (</w:t>
      </w:r>
      <w:r w:rsidR="008B0CE4">
        <w:rPr>
          <w:lang w:val="es-ES"/>
        </w:rPr>
        <w:t xml:space="preserve">decenas de </w:t>
      </w:r>
      <w:r w:rsidRPr="00187A72">
        <w:rPr>
          <w:lang w:val="es-ES"/>
        </w:rPr>
        <w:t xml:space="preserve">miles de estaciones </w:t>
      </w:r>
      <w:r w:rsidR="008B0CE4">
        <w:rPr>
          <w:lang w:val="es-ES"/>
        </w:rPr>
        <w:t>DCS</w:t>
      </w:r>
      <w:r w:rsidRPr="00187A72">
        <w:rPr>
          <w:lang w:val="es-ES"/>
        </w:rPr>
        <w:t>)</w:t>
      </w:r>
      <w:r w:rsidR="00BE6881" w:rsidRPr="00187A72">
        <w:rPr>
          <w:lang w:val="es-ES"/>
        </w:rPr>
        <w:t>.</w:t>
      </w:r>
    </w:p>
    <w:tbl>
      <w:tblPr>
        <w:tblStyle w:val="TableGrid"/>
        <w:tblW w:w="0" w:type="auto"/>
        <w:tblLook w:val="04A0" w:firstRow="1" w:lastRow="0" w:firstColumn="1" w:lastColumn="0" w:noHBand="0" w:noVBand="1"/>
      </w:tblPr>
      <w:tblGrid>
        <w:gridCol w:w="9350"/>
      </w:tblGrid>
      <w:tr w:rsidR="00BE6881" w:rsidRPr="00542C43" w14:paraId="3FB28E63" w14:textId="77777777" w:rsidTr="00DD20B1">
        <w:tc>
          <w:tcPr>
            <w:tcW w:w="9350" w:type="dxa"/>
          </w:tcPr>
          <w:p w14:paraId="21ECF0FC" w14:textId="6B6B9D32" w:rsidR="00BE6881" w:rsidRPr="00E938A2" w:rsidRDefault="009D143D" w:rsidP="00E938A2">
            <w:pPr>
              <w:pStyle w:val="Headingb"/>
              <w:rPr>
                <w:lang w:val="es-ES"/>
              </w:rPr>
            </w:pPr>
            <w:r w:rsidRPr="00E938A2">
              <w:rPr>
                <w:lang w:val="es-ES"/>
              </w:rPr>
              <w:lastRenderedPageBreak/>
              <w:t>Posición de la OMM respecto del punto</w:t>
            </w:r>
            <w:r w:rsidR="00BE6881" w:rsidRPr="00E938A2">
              <w:rPr>
                <w:lang w:val="es-ES"/>
              </w:rPr>
              <w:t xml:space="preserve"> 1.11</w:t>
            </w:r>
            <w:r w:rsidRPr="00E938A2">
              <w:rPr>
                <w:lang w:val="es-ES"/>
              </w:rPr>
              <w:t xml:space="preserve"> del orden del día de la CMR-19</w:t>
            </w:r>
          </w:p>
          <w:p w14:paraId="120F0E1E" w14:textId="030B9ED7" w:rsidR="008B0CE4" w:rsidRPr="00E938A2" w:rsidRDefault="009D143D" w:rsidP="00E938A2">
            <w:pPr>
              <w:rPr>
                <w:lang w:val="es-ES"/>
              </w:rPr>
            </w:pPr>
            <w:r w:rsidRPr="00E938A2">
              <w:rPr>
                <w:lang w:val="es-ES"/>
              </w:rPr>
              <w:t xml:space="preserve">La OMM subraya que la banda de frecuencias 400,15-406 MHz es la banda clave para las operaciones mundiales de DCS y radiosonda. </w:t>
            </w:r>
            <w:r w:rsidR="00542C43" w:rsidRPr="00E938A2">
              <w:rPr>
                <w:lang w:val="es-ES"/>
              </w:rPr>
              <w:t>S</w:t>
            </w:r>
            <w:r w:rsidR="008B0CE4" w:rsidRPr="00E938A2">
              <w:rPr>
                <w:lang w:val="es-ES"/>
              </w:rPr>
              <w:t xml:space="preserve">e opone firmemente al examen de esta banda de frecuencias </w:t>
            </w:r>
            <w:r w:rsidR="00542C43" w:rsidRPr="00E938A2">
              <w:rPr>
                <w:lang w:val="es-ES"/>
              </w:rPr>
              <w:t>c</w:t>
            </w:r>
            <w:r w:rsidR="00542C43" w:rsidRPr="00E938A2">
              <w:t>on respecto a este</w:t>
            </w:r>
            <w:r w:rsidR="008B0CE4" w:rsidRPr="00E938A2">
              <w:rPr>
                <w:lang w:val="es-ES"/>
              </w:rPr>
              <w:t xml:space="preserve"> punto del orden del día (</w:t>
            </w:r>
            <w:r w:rsidR="00E938A2" w:rsidRPr="00E938A2">
              <w:rPr>
                <w:lang w:val="es-ES"/>
              </w:rPr>
              <w:t xml:space="preserve">Método </w:t>
            </w:r>
            <w:r w:rsidR="008B0CE4" w:rsidRPr="00E938A2">
              <w:rPr>
                <w:lang w:val="es-ES"/>
              </w:rPr>
              <w:t>B).</w:t>
            </w:r>
          </w:p>
          <w:p w14:paraId="354C0041" w14:textId="688E7AD6" w:rsidR="00BE6881" w:rsidRPr="00E938A2" w:rsidRDefault="008B0CE4" w:rsidP="00E938A2">
            <w:pPr>
              <w:spacing w:after="120"/>
              <w:rPr>
                <w:lang w:val="es-ES"/>
              </w:rPr>
            </w:pPr>
            <w:r w:rsidRPr="00E938A2">
              <w:rPr>
                <w:lang w:val="es-ES"/>
              </w:rPr>
              <w:t xml:space="preserve">La OMM no se opondrá </w:t>
            </w:r>
            <w:r w:rsidR="00542C43" w:rsidRPr="00E938A2">
              <w:rPr>
                <w:lang w:val="es-ES"/>
              </w:rPr>
              <w:t>a</w:t>
            </w:r>
            <w:r w:rsidR="00542C43" w:rsidRPr="00E938A2">
              <w:t>l examen</w:t>
            </w:r>
            <w:r w:rsidRPr="00E938A2">
              <w:rPr>
                <w:lang w:val="es-ES"/>
              </w:rPr>
              <w:t xml:space="preserve"> de la banda de frecuencias 460-470 MHz </w:t>
            </w:r>
            <w:r w:rsidR="00E938A2" w:rsidRPr="00E938A2">
              <w:t>siempre</w:t>
            </w:r>
            <w:r w:rsidR="00542C43" w:rsidRPr="00E938A2">
              <w:t xml:space="preserve"> y cuando</w:t>
            </w:r>
            <w:r w:rsidRPr="00E938A2">
              <w:rPr>
                <w:lang w:val="es-ES"/>
              </w:rPr>
              <w:t xml:space="preserve"> no se añadan restricciones adicionales </w:t>
            </w:r>
            <w:r w:rsidR="00542C43" w:rsidRPr="00E938A2">
              <w:rPr>
                <w:lang w:val="es-ES"/>
              </w:rPr>
              <w:t>para la utilización del</w:t>
            </w:r>
            <w:r w:rsidRPr="00E938A2">
              <w:rPr>
                <w:lang w:val="es-ES"/>
              </w:rPr>
              <w:t xml:space="preserve"> servicio MetSat y del SETS en esta banda de frecuencias</w:t>
            </w:r>
            <w:r w:rsidR="00BE6881" w:rsidRPr="00E938A2">
              <w:rPr>
                <w:lang w:val="es-ES"/>
              </w:rPr>
              <w:t>.</w:t>
            </w:r>
          </w:p>
        </w:tc>
      </w:tr>
    </w:tbl>
    <w:p w14:paraId="43CDD3D5" w14:textId="09AEC704" w:rsidR="002C4609" w:rsidRPr="0024570A" w:rsidRDefault="00BA5998" w:rsidP="00A43CAF">
      <w:pPr>
        <w:pStyle w:val="Heading2"/>
      </w:pPr>
      <w:r w:rsidRPr="0024570A">
        <w:t>3.7</w:t>
      </w:r>
      <w:r w:rsidRPr="0024570A">
        <w:tab/>
      </w:r>
      <w:r w:rsidR="002C4609" w:rsidRPr="0024570A">
        <w:t>Punto 1.13 del orden del día</w:t>
      </w:r>
    </w:p>
    <w:p w14:paraId="4A445E22" w14:textId="7F15260E" w:rsidR="002C4609" w:rsidRPr="002C4609" w:rsidRDefault="002C4609" w:rsidP="00A43CAF">
      <w:pPr>
        <w:rPr>
          <w:b/>
          <w:bCs/>
          <w:i/>
          <w:lang w:val="es-ES"/>
        </w:rPr>
      </w:pPr>
      <w:r w:rsidRPr="002C4609">
        <w:rPr>
          <w:i/>
          <w:lang w:val="es-ES"/>
        </w:rPr>
        <w:t xml:space="preserve">«considerar la identificación de bandas de frecuencias para el futuro despliegue de las Telecomunicaciones Móviles Internacionales (IMT), incluidas posibles atribuciones adicionales al servicio móvil a título primario, de conformidad con la Resolución </w:t>
      </w:r>
      <w:r w:rsidRPr="002C4609">
        <w:rPr>
          <w:b/>
          <w:bCs/>
          <w:i/>
          <w:lang w:val="es-ES"/>
        </w:rPr>
        <w:t>238 (CMR-15)</w:t>
      </w:r>
      <w:r w:rsidR="0024570A">
        <w:rPr>
          <w:i/>
          <w:lang w:val="es-ES"/>
        </w:rPr>
        <w:t>.</w:t>
      </w:r>
      <w:r w:rsidRPr="002C4609">
        <w:rPr>
          <w:i/>
          <w:lang w:val="es-ES"/>
        </w:rPr>
        <w:t>»</w:t>
      </w:r>
    </w:p>
    <w:p w14:paraId="3BDC0A54" w14:textId="7E62D824" w:rsidR="002C4609" w:rsidRPr="002C4609" w:rsidRDefault="002C4609" w:rsidP="00187A72">
      <w:pPr>
        <w:rPr>
          <w:lang w:val="es-ES"/>
        </w:rPr>
      </w:pPr>
      <w:r w:rsidRPr="002C4609">
        <w:rPr>
          <w:lang w:val="es-ES"/>
        </w:rPr>
        <w:t>En el presente punto del orden del día se estudian posibles nuevas atribuciones de espectro aptas para servicios de banda ancha inalámbrica terrenal en la gama de frecuencias entre 24,25 GHz y 86 GHz.</w:t>
      </w:r>
    </w:p>
    <w:p w14:paraId="4E9D070B" w14:textId="02055680" w:rsidR="002C4609" w:rsidRPr="00187A72" w:rsidRDefault="002C4609" w:rsidP="00E938A2">
      <w:pPr>
        <w:pStyle w:val="enumlev1"/>
        <w:rPr>
          <w:lang w:val="es-ES"/>
        </w:rPr>
      </w:pPr>
      <w:r w:rsidRPr="002C4609">
        <w:rPr>
          <w:lang w:val="es-ES"/>
        </w:rPr>
        <w:t>–</w:t>
      </w:r>
      <w:r w:rsidRPr="002C4609">
        <w:rPr>
          <w:lang w:val="es-ES"/>
        </w:rPr>
        <w:tab/>
      </w:r>
      <w:r w:rsidR="00641A4C" w:rsidRPr="002C4609">
        <w:rPr>
          <w:lang w:val="es-ES"/>
        </w:rPr>
        <w:t xml:space="preserve">Los </w:t>
      </w:r>
      <w:r w:rsidRPr="002C4609">
        <w:rPr>
          <w:lang w:val="es-ES"/>
        </w:rPr>
        <w:t>estudios de compartición y compatibilidad para cada una de las siguientes bandas de frecuencias</w:t>
      </w:r>
      <w:r w:rsidR="00791264" w:rsidRPr="00187A72">
        <w:rPr>
          <w:lang w:val="es-ES"/>
        </w:rPr>
        <w:t xml:space="preserve">, </w:t>
      </w:r>
      <w:r w:rsidR="00542C43" w:rsidRPr="00187A72">
        <w:rPr>
          <w:lang w:val="es-ES"/>
        </w:rPr>
        <w:t xml:space="preserve">incluida la compatibilidad con servicios en bandas adyacentes, según </w:t>
      </w:r>
      <w:r w:rsidR="00542C43" w:rsidRPr="002B02AA">
        <w:rPr>
          <w:spacing w:val="-2"/>
          <w:lang w:val="es-ES"/>
        </w:rPr>
        <w:t>proceda</w:t>
      </w:r>
      <w:r w:rsidR="00791264" w:rsidRPr="002B02AA">
        <w:rPr>
          <w:spacing w:val="-2"/>
          <w:lang w:val="es-ES"/>
        </w:rPr>
        <w:t xml:space="preserve">: </w:t>
      </w:r>
      <w:r w:rsidRPr="002B02AA">
        <w:rPr>
          <w:spacing w:val="-2"/>
          <w:lang w:val="es-ES"/>
        </w:rPr>
        <w:t>24,25</w:t>
      </w:r>
      <w:r w:rsidR="00892A2C" w:rsidRPr="002B02AA">
        <w:rPr>
          <w:spacing w:val="-2"/>
          <w:lang w:val="es-ES"/>
        </w:rPr>
        <w:noBreakHyphen/>
      </w:r>
      <w:r w:rsidRPr="002B02AA">
        <w:rPr>
          <w:spacing w:val="-2"/>
          <w:lang w:val="es-ES"/>
        </w:rPr>
        <w:t>27,5</w:t>
      </w:r>
      <w:r w:rsidR="00892A2C" w:rsidRPr="002B02AA">
        <w:rPr>
          <w:spacing w:val="-2"/>
          <w:lang w:val="es-ES"/>
        </w:rPr>
        <w:t> </w:t>
      </w:r>
      <w:r w:rsidRPr="002B02AA">
        <w:rPr>
          <w:spacing w:val="-2"/>
          <w:lang w:val="es-ES"/>
        </w:rPr>
        <w:t>GHz,</w:t>
      </w:r>
      <w:r w:rsidR="00892A2C" w:rsidRPr="002B02AA">
        <w:rPr>
          <w:spacing w:val="-2"/>
          <w:lang w:val="es-ES"/>
        </w:rPr>
        <w:t xml:space="preserve"> 31,8-33,4 GHz,</w:t>
      </w:r>
      <w:r w:rsidRPr="002B02AA">
        <w:rPr>
          <w:spacing w:val="-2"/>
          <w:lang w:val="es-ES"/>
        </w:rPr>
        <w:t xml:space="preserve"> 37-40,5 GHz,</w:t>
      </w:r>
      <w:r w:rsidR="00892A2C" w:rsidRPr="002B02AA">
        <w:rPr>
          <w:spacing w:val="-2"/>
          <w:lang w:val="es-ES"/>
        </w:rPr>
        <w:t xml:space="preserve"> 40,5-42,5 GHz</w:t>
      </w:r>
      <w:r w:rsidR="002B02AA" w:rsidRPr="002B02AA">
        <w:rPr>
          <w:spacing w:val="-2"/>
          <w:lang w:val="es-ES"/>
        </w:rPr>
        <w:t>,</w:t>
      </w:r>
      <w:r w:rsidRPr="002B02AA">
        <w:rPr>
          <w:spacing w:val="-2"/>
          <w:lang w:val="es-ES"/>
        </w:rPr>
        <w:t xml:space="preserve"> 42,5</w:t>
      </w:r>
      <w:r w:rsidR="002B02AA" w:rsidRPr="002B02AA">
        <w:rPr>
          <w:spacing w:val="-2"/>
          <w:lang w:val="es-ES"/>
        </w:rPr>
        <w:noBreakHyphen/>
      </w:r>
      <w:r w:rsidRPr="002B02AA">
        <w:rPr>
          <w:spacing w:val="-2"/>
          <w:lang w:val="es-ES"/>
        </w:rPr>
        <w:t>43,5</w:t>
      </w:r>
      <w:r w:rsidR="002B02AA" w:rsidRPr="002B02AA">
        <w:rPr>
          <w:spacing w:val="-2"/>
          <w:lang w:val="es-ES"/>
        </w:rPr>
        <w:t> </w:t>
      </w:r>
      <w:r w:rsidRPr="002B02AA">
        <w:rPr>
          <w:spacing w:val="-2"/>
          <w:lang w:val="es-ES"/>
        </w:rPr>
        <w:t>GHz,</w:t>
      </w:r>
      <w:r w:rsidRPr="00187A72">
        <w:rPr>
          <w:lang w:val="es-ES"/>
        </w:rPr>
        <w:t xml:space="preserve"> 45,5</w:t>
      </w:r>
      <w:r w:rsidR="00B8107D" w:rsidRPr="00187A72">
        <w:rPr>
          <w:lang w:val="es-ES"/>
        </w:rPr>
        <w:noBreakHyphen/>
      </w:r>
      <w:r w:rsidRPr="00187A72">
        <w:rPr>
          <w:lang w:val="es-ES"/>
        </w:rPr>
        <w:t>47</w:t>
      </w:r>
      <w:r w:rsidR="00B8107D" w:rsidRPr="00187A72">
        <w:rPr>
          <w:lang w:val="es-ES"/>
        </w:rPr>
        <w:t> </w:t>
      </w:r>
      <w:r w:rsidRPr="00187A72">
        <w:rPr>
          <w:lang w:val="es-ES"/>
        </w:rPr>
        <w:t xml:space="preserve">GHz, </w:t>
      </w:r>
      <w:r w:rsidR="00B8107D" w:rsidRPr="00187A72">
        <w:rPr>
          <w:lang w:val="es-ES"/>
        </w:rPr>
        <w:t>47</w:t>
      </w:r>
      <w:r w:rsidR="00B8107D" w:rsidRPr="00187A72">
        <w:rPr>
          <w:lang w:val="es-ES"/>
        </w:rPr>
        <w:noBreakHyphen/>
        <w:t xml:space="preserve">47,2 GHz, </w:t>
      </w:r>
      <w:r w:rsidRPr="00187A72">
        <w:rPr>
          <w:lang w:val="es-ES"/>
        </w:rPr>
        <w:t>47,2-50,2 GHz, 50,4-52,6 GHz, 66-76 GHz y 81-86 GHz.</w:t>
      </w:r>
    </w:p>
    <w:p w14:paraId="036F5889" w14:textId="77777777" w:rsidR="002C4609" w:rsidRPr="002C4609" w:rsidRDefault="002C4609" w:rsidP="002B02AA">
      <w:pPr>
        <w:rPr>
          <w:lang w:val="es-ES"/>
        </w:rPr>
      </w:pPr>
      <w:r w:rsidRPr="002C4609">
        <w:rPr>
          <w:lang w:val="es-ES"/>
        </w:rPr>
        <w:t>La OMM está preocupada por las siguientes cuestiones:</w:t>
      </w:r>
    </w:p>
    <w:p w14:paraId="61A43198" w14:textId="236B41F0" w:rsidR="002C4609" w:rsidRPr="002C4609" w:rsidRDefault="002C4609" w:rsidP="002B02AA">
      <w:pPr>
        <w:pStyle w:val="enumlev1"/>
        <w:rPr>
          <w:lang w:val="es-ES"/>
        </w:rPr>
      </w:pPr>
      <w:r w:rsidRPr="002C4609">
        <w:rPr>
          <w:lang w:val="es-ES"/>
        </w:rPr>
        <w:t>–</w:t>
      </w:r>
      <w:r w:rsidRPr="002C4609">
        <w:rPr>
          <w:lang w:val="es-ES"/>
        </w:rPr>
        <w:tab/>
        <w:t xml:space="preserve">Compatibilidad </w:t>
      </w:r>
      <w:r w:rsidR="00542C43">
        <w:rPr>
          <w:lang w:val="es-ES"/>
        </w:rPr>
        <w:t xml:space="preserve">en bandas adyacentes </w:t>
      </w:r>
      <w:r w:rsidRPr="002C4609">
        <w:rPr>
          <w:lang w:val="es-ES"/>
        </w:rPr>
        <w:t>entre IMT-2020 y SETS (pasivo) en las bandas 23,6-24 GHz, 31,5</w:t>
      </w:r>
      <w:r w:rsidRPr="002C4609">
        <w:rPr>
          <w:lang w:val="es-ES"/>
        </w:rPr>
        <w:noBreakHyphen/>
        <w:t>31,8 GHz, 36-37 GHz, 50,2-50,4 GHz, 52,6-54,25 GHz y 86</w:t>
      </w:r>
      <w:r w:rsidR="002B02AA">
        <w:rPr>
          <w:lang w:val="es-ES"/>
        </w:rPr>
        <w:noBreakHyphen/>
      </w:r>
      <w:r w:rsidRPr="002C4609">
        <w:rPr>
          <w:lang w:val="es-ES"/>
        </w:rPr>
        <w:t>92</w:t>
      </w:r>
      <w:r w:rsidR="002B02AA">
        <w:rPr>
          <w:lang w:val="es-ES"/>
        </w:rPr>
        <w:t> </w:t>
      </w:r>
      <w:r w:rsidRPr="002C4609">
        <w:rPr>
          <w:lang w:val="es-ES"/>
        </w:rPr>
        <w:t>GHz.</w:t>
      </w:r>
    </w:p>
    <w:p w14:paraId="730F8C67" w14:textId="77777777" w:rsidR="002C4609" w:rsidRPr="002C4609" w:rsidRDefault="002C4609" w:rsidP="002B02AA">
      <w:pPr>
        <w:pStyle w:val="enumlev1"/>
        <w:rPr>
          <w:lang w:val="es-ES"/>
        </w:rPr>
      </w:pPr>
      <w:r w:rsidRPr="002C4609">
        <w:rPr>
          <w:lang w:val="es-ES"/>
        </w:rPr>
        <w:t>–</w:t>
      </w:r>
      <w:r w:rsidRPr="002C4609">
        <w:rPr>
          <w:lang w:val="es-ES"/>
        </w:rPr>
        <w:tab/>
        <w:t>Compartición con SETS (espacio-Tierra) en la banda 25,5-27 GHz.</w:t>
      </w:r>
    </w:p>
    <w:p w14:paraId="6EC98F71" w14:textId="41EA9755" w:rsidR="002C4609" w:rsidRPr="00187A72" w:rsidRDefault="00542C43" w:rsidP="00187A72">
      <w:pPr>
        <w:rPr>
          <w:lang w:val="es-ES"/>
        </w:rPr>
      </w:pPr>
      <w:r>
        <w:rPr>
          <w:lang w:val="es-ES"/>
        </w:rPr>
        <w:t>L</w:t>
      </w:r>
      <w:r w:rsidR="002C4609" w:rsidRPr="002C4609">
        <w:rPr>
          <w:lang w:val="es-ES"/>
        </w:rPr>
        <w:t>os últimos estudios del UIT-R en todas las bandas de frecuencias muestran que s</w:t>
      </w:r>
      <w:r w:rsidR="00504627">
        <w:rPr>
          <w:lang w:val="es-ES"/>
        </w:rPr>
        <w:t>o</w:t>
      </w:r>
      <w:r w:rsidR="002C4609" w:rsidRPr="002C4609">
        <w:rPr>
          <w:lang w:val="es-ES"/>
        </w:rPr>
        <w:t xml:space="preserve">lo una reducción </w:t>
      </w:r>
      <w:r>
        <w:rPr>
          <w:lang w:val="es-ES"/>
        </w:rPr>
        <w:t>sustancial</w:t>
      </w:r>
      <w:r w:rsidRPr="002C4609">
        <w:rPr>
          <w:lang w:val="es-ES"/>
        </w:rPr>
        <w:t xml:space="preserve"> </w:t>
      </w:r>
      <w:r w:rsidR="002C4609" w:rsidRPr="002C4609">
        <w:rPr>
          <w:lang w:val="es-ES"/>
        </w:rPr>
        <w:t xml:space="preserve">de las emisiones no deseadas IMT-2020 </w:t>
      </w:r>
      <w:r>
        <w:rPr>
          <w:lang w:val="es-ES"/>
        </w:rPr>
        <w:t xml:space="preserve">en bandas adyacentes </w:t>
      </w:r>
      <w:r w:rsidR="002C4609" w:rsidRPr="002C4609">
        <w:rPr>
          <w:lang w:val="es-ES"/>
        </w:rPr>
        <w:t xml:space="preserve">puede proteger los sensores </w:t>
      </w:r>
      <w:r w:rsidR="001E32E6">
        <w:rPr>
          <w:lang w:val="es-ES"/>
        </w:rPr>
        <w:t xml:space="preserve">del </w:t>
      </w:r>
      <w:r w:rsidR="002C4609" w:rsidRPr="002C4609">
        <w:rPr>
          <w:lang w:val="es-ES"/>
        </w:rPr>
        <w:t>SETS (pasivo). La OMM teme que las especificaciones actuales para IMT-2020 sean claramente insuficientes para respetar los límites requeridos de emisiones no deseadas</w:t>
      </w:r>
      <w:r w:rsidR="007B3EF5">
        <w:rPr>
          <w:lang w:val="es-ES"/>
        </w:rPr>
        <w:t>,</w:t>
      </w:r>
      <w:r w:rsidR="00EE31D3" w:rsidRPr="00EE31D3">
        <w:t xml:space="preserve"> </w:t>
      </w:r>
      <w:r w:rsidR="007B3EF5" w:rsidRPr="007B3EF5">
        <w:t xml:space="preserve">necesarios para proteger los sensores </w:t>
      </w:r>
      <w:r w:rsidR="007B3EF5">
        <w:t xml:space="preserve">del SETS </w:t>
      </w:r>
      <w:r w:rsidR="007B3EF5" w:rsidRPr="007B3EF5">
        <w:t xml:space="preserve">(pasivo). </w:t>
      </w:r>
      <w:r w:rsidR="007B3EF5">
        <w:t>En consecuencia</w:t>
      </w:r>
      <w:r w:rsidR="007B3EF5" w:rsidRPr="007B3EF5">
        <w:t xml:space="preserve">, </w:t>
      </w:r>
      <w:r w:rsidR="007B3EF5">
        <w:t>para toda</w:t>
      </w:r>
      <w:r w:rsidR="007B3EF5" w:rsidRPr="007B3EF5">
        <w:t xml:space="preserve"> solución </w:t>
      </w:r>
      <w:r w:rsidR="007B3EF5">
        <w:t xml:space="preserve">relativa </w:t>
      </w:r>
      <w:r w:rsidR="007B3EF5" w:rsidRPr="007B3EF5">
        <w:t>a este punto del orden del día debe</w:t>
      </w:r>
      <w:r w:rsidR="007B3EF5">
        <w:t>rán</w:t>
      </w:r>
      <w:r w:rsidR="007B3EF5" w:rsidRPr="007B3EF5">
        <w:t xml:space="preserve"> especificar</w:t>
      </w:r>
      <w:r w:rsidR="007B3EF5">
        <w:t>se</w:t>
      </w:r>
      <w:r w:rsidR="007B3EF5" w:rsidRPr="007B3EF5">
        <w:t xml:space="preserve"> unos límites de emisión en banda adyacente mucho más </w:t>
      </w:r>
      <w:r w:rsidR="007B3EF5">
        <w:t>restrictivos</w:t>
      </w:r>
      <w:r w:rsidR="007B3EF5" w:rsidRPr="007B3EF5">
        <w:t xml:space="preserve"> y obligatorios</w:t>
      </w:r>
      <w:r w:rsidR="00EE31D3" w:rsidRPr="00187A72">
        <w:rPr>
          <w:lang w:val="es-ES"/>
        </w:rPr>
        <w:t>.</w:t>
      </w:r>
    </w:p>
    <w:p w14:paraId="4590DBE2" w14:textId="311C33C7" w:rsidR="002C4609" w:rsidRPr="00100B4C" w:rsidRDefault="00100B4C" w:rsidP="00187A72">
      <w:r>
        <w:t xml:space="preserve">Los estudios también </w:t>
      </w:r>
      <w:r w:rsidR="001849CA">
        <w:t>de</w:t>
      </w:r>
      <w:r>
        <w:t xml:space="preserve">muestran que se necesita </w:t>
      </w:r>
      <w:r w:rsidR="001849CA">
        <w:t>una</w:t>
      </w:r>
      <w:r>
        <w:t xml:space="preserve"> separación del orden de 3 a 10 km, en función de las condiciones del lugar</w:t>
      </w:r>
      <w:r w:rsidR="001849CA">
        <w:t xml:space="preserve"> y la p.i.r.e</w:t>
      </w:r>
      <w:r w:rsidR="00E05783">
        <w:t>.</w:t>
      </w:r>
      <w:r w:rsidR="001849CA">
        <w:t xml:space="preserve"> en banda de las IMT</w:t>
      </w:r>
      <w:r>
        <w:t xml:space="preserve">, para </w:t>
      </w:r>
      <w:r w:rsidR="001849CA">
        <w:t>garantizar</w:t>
      </w:r>
      <w:r>
        <w:t xml:space="preserve"> </w:t>
      </w:r>
      <w:r w:rsidR="001849CA">
        <w:t xml:space="preserve">la protección de </w:t>
      </w:r>
      <w:r>
        <w:t xml:space="preserve">las estaciones terrenas </w:t>
      </w:r>
      <w:r w:rsidR="001849CA">
        <w:t xml:space="preserve">del </w:t>
      </w:r>
      <w:r>
        <w:t>SETS en la banda de frecuencias 25,5-27 GHz. El UIT-R está desarrollando una metodología para que los administradores definan la distancia de separación necesaria. Cabe citar que aunque pueden protegerse las estaciones terrenas SETS actuales y previstas, el despliegue de más estaciones como esas en el futuro, todavía no previstas, quedará limitado</w:t>
      </w:r>
      <w:r w:rsidR="00EE31D3" w:rsidRPr="00100B4C">
        <w:rPr>
          <w:lang w:val="es-ES"/>
        </w:rPr>
        <w:t xml:space="preserve">. </w:t>
      </w:r>
      <w:r w:rsidR="002C4609" w:rsidRPr="002C4609">
        <w:rPr>
          <w:lang w:val="es-ES"/>
        </w:rPr>
        <w:t>La OMM señala la necesidad de garantizar la protección de las estaciones terrenas existentes y la implantación futura de estaciones terrenas receptoras en el marco de la atribución al SETS (espacio-Tierra) en la banda de frecuencias 25,5</w:t>
      </w:r>
      <w:r>
        <w:rPr>
          <w:lang w:val="es-ES"/>
        </w:rPr>
        <w:noBreakHyphen/>
      </w:r>
      <w:r w:rsidR="002C4609" w:rsidRPr="002C4609">
        <w:rPr>
          <w:lang w:val="es-ES"/>
        </w:rPr>
        <w:t>27</w:t>
      </w:r>
      <w:r>
        <w:rPr>
          <w:lang w:val="es-ES"/>
        </w:rPr>
        <w:t> </w:t>
      </w:r>
      <w:r w:rsidR="002C4609" w:rsidRPr="002C4609">
        <w:rPr>
          <w:lang w:val="es-ES"/>
        </w:rPr>
        <w:t>GHz.</w:t>
      </w:r>
    </w:p>
    <w:p w14:paraId="2E8DA16B" w14:textId="77777777" w:rsidR="002C4609" w:rsidRPr="002C4609" w:rsidRDefault="002C4609" w:rsidP="00187A72">
      <w:pPr>
        <w:rPr>
          <w:lang w:val="es-ES"/>
        </w:rPr>
      </w:pPr>
      <w:r w:rsidRPr="002C4609">
        <w:rPr>
          <w:lang w:val="es-ES"/>
        </w:rPr>
        <w:t>En lo que respecta a las bandas de frecuencias 24,25-27,5 GHz y 50,4-51,4 GHz, podría producirse un problema de interferencia con los radiómetros en tierra.</w:t>
      </w:r>
    </w:p>
    <w:p w14:paraId="0A764ACF" w14:textId="57EC9854" w:rsidR="002C4609" w:rsidRPr="002C4609" w:rsidRDefault="002C4609" w:rsidP="00187A72">
      <w:pPr>
        <w:rPr>
          <w:lang w:val="es-ES"/>
        </w:rPr>
      </w:pPr>
      <w:r w:rsidRPr="002C4609">
        <w:rPr>
          <w:lang w:val="es-ES"/>
        </w:rPr>
        <w:t>La OMM señala los solapamientos de frecuencia en los puntos del orden del día 1.6, 1.14 y 9.1</w:t>
      </w:r>
      <w:r w:rsidR="00100B4C">
        <w:rPr>
          <w:lang w:val="es-ES"/>
        </w:rPr>
        <w:t>.9</w:t>
      </w:r>
      <w:r w:rsidRPr="002C4609">
        <w:rPr>
          <w:lang w:val="es-ES"/>
        </w:rPr>
        <w:t xml:space="preserve"> </w:t>
      </w:r>
      <w:bookmarkStart w:id="16" w:name="_Hlk21420102"/>
      <w:r w:rsidRPr="002C4609">
        <w:rPr>
          <w:lang w:val="es-ES"/>
        </w:rPr>
        <w:t>de la CMR-19, que deben tenerse en cuenta.</w:t>
      </w:r>
    </w:p>
    <w:tbl>
      <w:tblPr>
        <w:tblStyle w:val="TableGrid"/>
        <w:tblW w:w="0" w:type="auto"/>
        <w:tblLook w:val="04A0" w:firstRow="1" w:lastRow="0" w:firstColumn="1" w:lastColumn="0" w:noHBand="0" w:noVBand="1"/>
      </w:tblPr>
      <w:tblGrid>
        <w:gridCol w:w="9629"/>
      </w:tblGrid>
      <w:tr w:rsidR="00552C86" w14:paraId="68B76521" w14:textId="77777777" w:rsidTr="00CA0C06">
        <w:tc>
          <w:tcPr>
            <w:tcW w:w="9629" w:type="dxa"/>
          </w:tcPr>
          <w:bookmarkEnd w:id="16"/>
          <w:p w14:paraId="0EC2FB18" w14:textId="331944A8" w:rsidR="00D505DB" w:rsidRPr="00907B54" w:rsidRDefault="00D505DB" w:rsidP="00187A72">
            <w:pPr>
              <w:pStyle w:val="Headingb"/>
              <w:rPr>
                <w:lang w:val="es-ES"/>
              </w:rPr>
            </w:pPr>
            <w:r w:rsidRPr="00907B54">
              <w:rPr>
                <w:lang w:val="es-ES"/>
              </w:rPr>
              <w:lastRenderedPageBreak/>
              <w:t>Posición de la OMM respecto del punto 1.13 del orden del día de la CMR-19</w:t>
            </w:r>
          </w:p>
          <w:p w14:paraId="2D518072" w14:textId="0858EA84" w:rsidR="00D505DB" w:rsidRPr="00AF32CD" w:rsidRDefault="001849CA" w:rsidP="002B02AA">
            <w:pPr>
              <w:rPr>
                <w:b/>
                <w:i/>
                <w:szCs w:val="24"/>
                <w:lang w:eastAsia="fr-FR"/>
              </w:rPr>
            </w:pPr>
            <w:r w:rsidRPr="00187A72">
              <w:t xml:space="preserve">La OMM acepta el hecho de que para </w:t>
            </w:r>
            <w:r>
              <w:t>determinadas</w:t>
            </w:r>
            <w:r w:rsidRPr="00187A72">
              <w:t xml:space="preserve"> bandas exist</w:t>
            </w:r>
            <w:r>
              <w:t>a</w:t>
            </w:r>
            <w:r w:rsidRPr="00187A72">
              <w:t xml:space="preserve"> un amplio apoyo a </w:t>
            </w:r>
            <w:r>
              <w:t xml:space="preserve">nuevas </w:t>
            </w:r>
            <w:r w:rsidRPr="002B02AA">
              <w:rPr>
                <w:spacing w:val="-2"/>
              </w:rPr>
              <w:t>identificaciones/atribuciones a las IMT-2020</w:t>
            </w:r>
            <w:r w:rsidR="00D505DB" w:rsidRPr="002B02AA">
              <w:rPr>
                <w:spacing w:val="-2"/>
                <w:szCs w:val="24"/>
              </w:rPr>
              <w:t xml:space="preserve">. </w:t>
            </w:r>
            <w:r w:rsidR="00AF32CD" w:rsidRPr="002B02AA">
              <w:rPr>
                <w:spacing w:val="-2"/>
              </w:rPr>
              <w:t>La OMM no se opone a identificaciones/atribuciones</w:t>
            </w:r>
            <w:r w:rsidR="00AF32CD" w:rsidRPr="00BD1EEE">
              <w:t xml:space="preserve"> </w:t>
            </w:r>
            <w:r w:rsidR="003E36DA">
              <w:t>en esas bandas,</w:t>
            </w:r>
            <w:r w:rsidR="00AF32CD" w:rsidRPr="00BD1EEE">
              <w:t xml:space="preserve"> siempre que se </w:t>
            </w:r>
            <w:r w:rsidR="003E36DA">
              <w:t>garantice la protección del</w:t>
            </w:r>
            <w:r w:rsidR="00AF32CD" w:rsidRPr="00BD1EEE">
              <w:t xml:space="preserve"> SETS (Tierra-espacio y espacio-Tierra) y </w:t>
            </w:r>
            <w:r w:rsidR="003E36DA">
              <w:t>del</w:t>
            </w:r>
            <w:r w:rsidR="00AF32CD" w:rsidRPr="00BD1EEE">
              <w:t xml:space="preserve"> SETS (pasivo).</w:t>
            </w:r>
          </w:p>
          <w:p w14:paraId="2AB96570" w14:textId="6F9E3529" w:rsidR="00D505DB" w:rsidRPr="00F06D1B" w:rsidRDefault="003E36DA" w:rsidP="00187A72">
            <w:pPr>
              <w:pStyle w:val="Headingb"/>
              <w:keepNext w:val="0"/>
              <w:rPr>
                <w:rFonts w:ascii="Times New Roman Bold" w:hAnsi="Times New Roman Bold" w:cs="Times New Roman Bold"/>
                <w:lang w:val="es-ES"/>
              </w:rPr>
            </w:pPr>
            <w:r>
              <w:rPr>
                <w:i/>
                <w:lang w:val="es-ES"/>
              </w:rPr>
              <w:t>Protección del SETS</w:t>
            </w:r>
            <w:r w:rsidR="00D505DB" w:rsidRPr="00F06D1B">
              <w:rPr>
                <w:i/>
                <w:lang w:val="es-ES"/>
              </w:rPr>
              <w:t xml:space="preserve"> (pa</w:t>
            </w:r>
            <w:r>
              <w:rPr>
                <w:i/>
                <w:lang w:val="es-ES"/>
              </w:rPr>
              <w:t>sivo</w:t>
            </w:r>
            <w:r w:rsidR="00D505DB" w:rsidRPr="00F06D1B">
              <w:rPr>
                <w:i/>
                <w:lang w:val="es-ES"/>
              </w:rPr>
              <w:t>)</w:t>
            </w:r>
          </w:p>
          <w:p w14:paraId="5383AF2D" w14:textId="6A075489" w:rsidR="00BD1EEE" w:rsidRDefault="00BD1EEE" w:rsidP="00187A72">
            <w:pPr>
              <w:rPr>
                <w:lang w:val="es-ES"/>
              </w:rPr>
            </w:pPr>
            <w:r w:rsidRPr="0046763D">
              <w:t>La OMM solicita que se establezcan los límites necesarios de emisiones no deseadas de</w:t>
            </w:r>
            <w:r w:rsidR="002B02AA">
              <w:t xml:space="preserve"> </w:t>
            </w:r>
            <w:r w:rsidRPr="0046763D">
              <w:t>IMT</w:t>
            </w:r>
            <w:r w:rsidR="002B02AA">
              <w:noBreakHyphen/>
            </w:r>
            <w:r w:rsidRPr="0046763D">
              <w:t xml:space="preserve">2020 </w:t>
            </w:r>
            <w:r w:rsidR="003E36DA">
              <w:t xml:space="preserve">en el Cuadro 1-1 de la Resolución </w:t>
            </w:r>
            <w:r w:rsidR="003E36DA" w:rsidRPr="002B02AA">
              <w:rPr>
                <w:b/>
                <w:bCs/>
              </w:rPr>
              <w:t>750 (</w:t>
            </w:r>
            <w:r w:rsidR="003E36DA" w:rsidRPr="0046763D">
              <w:rPr>
                <w:b/>
                <w:bCs/>
              </w:rPr>
              <w:t>Rev.CMR-15)</w:t>
            </w:r>
            <w:r w:rsidR="003E36DA">
              <w:rPr>
                <w:b/>
                <w:bCs/>
              </w:rPr>
              <w:t xml:space="preserve"> </w:t>
            </w:r>
            <w:r w:rsidRPr="0046763D">
              <w:t xml:space="preserve">para </w:t>
            </w:r>
            <w:r w:rsidR="003E36DA">
              <w:t>garantizar la protección de</w:t>
            </w:r>
            <w:r w:rsidRPr="0046763D">
              <w:t xml:space="preserve"> todos los sensores presentes y futuros</w:t>
            </w:r>
            <w:r w:rsidR="003E36DA" w:rsidRPr="0046763D">
              <w:t xml:space="preserve"> </w:t>
            </w:r>
            <w:r w:rsidR="003E36DA">
              <w:t xml:space="preserve">del </w:t>
            </w:r>
            <w:r w:rsidR="003E36DA" w:rsidRPr="0046763D">
              <w:t>SETS (pasivo)</w:t>
            </w:r>
            <w:r w:rsidR="00F0042B">
              <w:t>.</w:t>
            </w:r>
          </w:p>
          <w:p w14:paraId="2106B43C" w14:textId="379482AC" w:rsidR="00D505DB" w:rsidRPr="00187A72" w:rsidRDefault="00F0042B" w:rsidP="00187A72">
            <w:pPr>
              <w:rPr>
                <w:lang w:val="es-ES"/>
              </w:rPr>
            </w:pPr>
            <w:r>
              <w:rPr>
                <w:lang w:val="es-ES"/>
              </w:rPr>
              <w:t>En particular</w:t>
            </w:r>
            <w:r w:rsidRPr="00187A72">
              <w:rPr>
                <w:lang w:val="es-ES"/>
              </w:rPr>
              <w:t>, la</w:t>
            </w:r>
            <w:r>
              <w:rPr>
                <w:lang w:val="es-ES"/>
              </w:rPr>
              <w:t>s posiciones de la</w:t>
            </w:r>
            <w:r w:rsidRPr="00187A72">
              <w:rPr>
                <w:lang w:val="es-ES"/>
              </w:rPr>
              <w:t xml:space="preserve"> OMM </w:t>
            </w:r>
            <w:r>
              <w:rPr>
                <w:lang w:val="es-ES"/>
              </w:rPr>
              <w:t>son las siguientes</w:t>
            </w:r>
            <w:r w:rsidR="00D505DB" w:rsidRPr="00187A72">
              <w:rPr>
                <w:lang w:val="es-ES"/>
              </w:rPr>
              <w:t>:</w:t>
            </w:r>
          </w:p>
          <w:p w14:paraId="193D254F" w14:textId="19AC9E20" w:rsidR="00D505DB" w:rsidRPr="00187A72" w:rsidRDefault="00D505DB" w:rsidP="00187A72">
            <w:pPr>
              <w:pStyle w:val="enumlev1"/>
              <w:rPr>
                <w:b/>
                <w:lang w:val="es-ES"/>
              </w:rPr>
            </w:pPr>
            <w:r w:rsidRPr="00187A72">
              <w:rPr>
                <w:lang w:val="es-ES"/>
              </w:rPr>
              <w:t>–</w:t>
            </w:r>
            <w:r w:rsidRPr="00187A72">
              <w:rPr>
                <w:b/>
                <w:lang w:val="es-ES"/>
              </w:rPr>
              <w:tab/>
              <w:t>24</w:t>
            </w:r>
            <w:r w:rsidR="008F3D91" w:rsidRPr="00187A72">
              <w:rPr>
                <w:b/>
                <w:lang w:val="es-ES"/>
              </w:rPr>
              <w:t>,</w:t>
            </w:r>
            <w:r w:rsidRPr="00187A72">
              <w:rPr>
                <w:b/>
                <w:lang w:val="es-ES"/>
              </w:rPr>
              <w:t>25-27</w:t>
            </w:r>
            <w:r w:rsidR="008F3D91" w:rsidRPr="00187A72">
              <w:rPr>
                <w:b/>
                <w:lang w:val="es-ES"/>
              </w:rPr>
              <w:t>,</w:t>
            </w:r>
            <w:r w:rsidRPr="00187A72">
              <w:rPr>
                <w:b/>
                <w:lang w:val="es-ES"/>
              </w:rPr>
              <w:t>5 GHz:</w:t>
            </w:r>
          </w:p>
          <w:p w14:paraId="59CD146D" w14:textId="2AA8AE39" w:rsidR="00D505DB" w:rsidRPr="00187A72" w:rsidRDefault="002B02AA" w:rsidP="00187A72">
            <w:pPr>
              <w:pStyle w:val="enumlev2"/>
              <w:rPr>
                <w:lang w:val="es-ES"/>
              </w:rPr>
            </w:pPr>
            <w:r w:rsidRPr="002B02AA">
              <w:rPr>
                <w:lang w:val="es-ES"/>
              </w:rPr>
              <w:t>•</w:t>
            </w:r>
            <w:r>
              <w:rPr>
                <w:lang w:val="es-ES"/>
              </w:rPr>
              <w:tab/>
            </w:r>
            <w:r w:rsidR="006A3A06" w:rsidRPr="00187A72">
              <w:rPr>
                <w:lang w:val="es-ES"/>
              </w:rPr>
              <w:t xml:space="preserve">La OMM apoya el </w:t>
            </w:r>
            <w:r w:rsidRPr="00187A72">
              <w:rPr>
                <w:lang w:val="es-ES"/>
              </w:rPr>
              <w:t xml:space="preserve">Método </w:t>
            </w:r>
            <w:r w:rsidR="006A3A06" w:rsidRPr="00187A72">
              <w:rPr>
                <w:lang w:val="es-ES"/>
              </w:rPr>
              <w:t>A2</w:t>
            </w:r>
            <w:r w:rsidR="006A3A06">
              <w:rPr>
                <w:lang w:val="es-ES"/>
              </w:rPr>
              <w:t xml:space="preserve">, </w:t>
            </w:r>
            <w:r w:rsidR="006A3A06" w:rsidRPr="00187A72">
              <w:rPr>
                <w:lang w:val="es-ES"/>
              </w:rPr>
              <w:t>alternativ</w:t>
            </w:r>
            <w:r w:rsidR="006A3A06">
              <w:rPr>
                <w:lang w:val="es-ES"/>
              </w:rPr>
              <w:t>a</w:t>
            </w:r>
            <w:r w:rsidR="006A3A06" w:rsidRPr="00187A72">
              <w:rPr>
                <w:lang w:val="es-ES"/>
              </w:rPr>
              <w:t xml:space="preserve"> 1</w:t>
            </w:r>
            <w:r w:rsidR="006A3A06">
              <w:rPr>
                <w:lang w:val="es-ES"/>
              </w:rPr>
              <w:t xml:space="preserve">, </w:t>
            </w:r>
            <w:r w:rsidR="006A3A06" w:rsidRPr="00187A72">
              <w:rPr>
                <w:lang w:val="es-ES"/>
              </w:rPr>
              <w:t>condición A2a</w:t>
            </w:r>
            <w:r w:rsidR="006A3A06">
              <w:rPr>
                <w:lang w:val="es-ES"/>
              </w:rPr>
              <w:t xml:space="preserve">, </w:t>
            </w:r>
            <w:r w:rsidR="006A3A06" w:rsidRPr="00187A72">
              <w:rPr>
                <w:lang w:val="es-ES"/>
              </w:rPr>
              <w:t>opción 1</w:t>
            </w:r>
            <w:r w:rsidR="006A3A06">
              <w:rPr>
                <w:lang w:val="es-ES"/>
              </w:rPr>
              <w:t>,</w:t>
            </w:r>
            <w:r w:rsidR="006A3A06" w:rsidRPr="00187A72">
              <w:rPr>
                <w:lang w:val="es-ES"/>
              </w:rPr>
              <w:t xml:space="preserve"> para la protección del SETS (pasivo) en la banda de frecuencias 23,6-24 GHz. Sin nuevos elementos </w:t>
            </w:r>
            <w:r w:rsidR="006A3A06">
              <w:rPr>
                <w:lang w:val="es-ES"/>
              </w:rPr>
              <w:t>de relevancia</w:t>
            </w:r>
            <w:r w:rsidR="006A3A06" w:rsidRPr="00187A72">
              <w:rPr>
                <w:lang w:val="es-ES"/>
              </w:rPr>
              <w:t xml:space="preserve"> (por ejemplo, mediciones de diagramas de antena), en particular en </w:t>
            </w:r>
            <w:r w:rsidR="006A3A06">
              <w:rPr>
                <w:lang w:val="es-ES"/>
              </w:rPr>
              <w:t xml:space="preserve">relación con </w:t>
            </w:r>
            <w:r w:rsidR="006A3A06" w:rsidRPr="00187A72">
              <w:rPr>
                <w:lang w:val="es-ES"/>
              </w:rPr>
              <w:t xml:space="preserve">el modelo de antena IMT-2020 pertinente, la OMM </w:t>
            </w:r>
            <w:r w:rsidR="006A3A06">
              <w:rPr>
                <w:lang w:val="es-ES"/>
              </w:rPr>
              <w:t>refrenda</w:t>
            </w:r>
            <w:r w:rsidR="006A3A06" w:rsidRPr="00187A72">
              <w:rPr>
                <w:lang w:val="es-ES"/>
              </w:rPr>
              <w:t xml:space="preserve"> los siguientes niveles de emisiones no deseadas</w:t>
            </w:r>
            <w:r w:rsidR="00D505DB" w:rsidRPr="00187A72">
              <w:rPr>
                <w:lang w:val="es-ES"/>
              </w:rPr>
              <w:t>:</w:t>
            </w:r>
          </w:p>
          <w:p w14:paraId="2B957370" w14:textId="74603070" w:rsidR="00D505DB" w:rsidRPr="00187A72" w:rsidRDefault="00983DD0" w:rsidP="00187A72">
            <w:pPr>
              <w:pStyle w:val="enumlev3"/>
              <w:rPr>
                <w:lang w:val="es-ES"/>
              </w:rPr>
            </w:pPr>
            <w:r w:rsidRPr="00983DD0">
              <w:rPr>
                <w:lang w:val="es-ES"/>
              </w:rPr>
              <w:t>–</w:t>
            </w:r>
            <w:r w:rsidR="00D505DB" w:rsidRPr="00187A72">
              <w:rPr>
                <w:lang w:val="es-ES"/>
              </w:rPr>
              <w:tab/>
            </w:r>
            <w:r w:rsidR="004609B8" w:rsidRPr="00187A72">
              <w:rPr>
                <w:lang w:val="es-ES"/>
              </w:rPr>
              <w:t>–</w:t>
            </w:r>
            <w:r w:rsidR="00D505DB" w:rsidRPr="00187A72">
              <w:rPr>
                <w:lang w:val="es-ES"/>
              </w:rPr>
              <w:t xml:space="preserve">55 dB(W/200 MHz) </w:t>
            </w:r>
            <w:r w:rsidR="009E41C4" w:rsidRPr="00187A72">
              <w:rPr>
                <w:lang w:val="es-ES"/>
              </w:rPr>
              <w:t>para estaciones de base</w:t>
            </w:r>
            <w:r w:rsidR="007916E7">
              <w:rPr>
                <w:lang w:val="es-ES"/>
              </w:rPr>
              <w:t>;</w:t>
            </w:r>
          </w:p>
          <w:p w14:paraId="1F7A615D" w14:textId="7D97C290" w:rsidR="00D505DB" w:rsidRPr="00187A72" w:rsidRDefault="00983DD0" w:rsidP="00187A72">
            <w:pPr>
              <w:pStyle w:val="enumlev3"/>
              <w:rPr>
                <w:lang w:val="es-ES"/>
              </w:rPr>
            </w:pPr>
            <w:r w:rsidRPr="00983DD0">
              <w:rPr>
                <w:lang w:val="es-ES"/>
              </w:rPr>
              <w:t>–</w:t>
            </w:r>
            <w:r w:rsidR="00D505DB" w:rsidRPr="00187A72">
              <w:rPr>
                <w:lang w:val="es-ES"/>
              </w:rPr>
              <w:tab/>
            </w:r>
            <w:r w:rsidR="004609B8" w:rsidRPr="00187A72">
              <w:rPr>
                <w:lang w:val="es-ES"/>
              </w:rPr>
              <w:t>–</w:t>
            </w:r>
            <w:r w:rsidR="00D505DB" w:rsidRPr="00187A72">
              <w:rPr>
                <w:lang w:val="es-ES"/>
              </w:rPr>
              <w:t xml:space="preserve">51 dB(W/200 MHz) </w:t>
            </w:r>
            <w:r w:rsidR="009E41C4" w:rsidRPr="00187A72">
              <w:rPr>
                <w:lang w:val="es-ES"/>
              </w:rPr>
              <w:t>para equipos de usuario</w:t>
            </w:r>
            <w:r w:rsidR="00D505DB" w:rsidRPr="00187A72">
              <w:rPr>
                <w:lang w:val="es-ES"/>
              </w:rPr>
              <w:t>.</w:t>
            </w:r>
          </w:p>
          <w:p w14:paraId="34F5DFD0" w14:textId="6B7DF7EB" w:rsidR="00D505DB" w:rsidRPr="00187A72" w:rsidRDefault="00983DD0" w:rsidP="00187A72">
            <w:pPr>
              <w:pStyle w:val="enumlev2"/>
              <w:rPr>
                <w:lang w:val="es-ES"/>
              </w:rPr>
            </w:pPr>
            <w:r w:rsidRPr="00983DD0">
              <w:rPr>
                <w:lang w:val="es-ES"/>
              </w:rPr>
              <w:t>•</w:t>
            </w:r>
            <w:r w:rsidR="00125072" w:rsidRPr="00187A72">
              <w:rPr>
                <w:lang w:val="es-ES"/>
              </w:rPr>
              <w:tab/>
            </w:r>
            <w:r w:rsidR="009E41C4" w:rsidRPr="00187A72">
              <w:rPr>
                <w:lang w:val="es-ES"/>
              </w:rPr>
              <w:t xml:space="preserve">La OMM se opone </w:t>
            </w:r>
            <w:r w:rsidR="009E41C4">
              <w:rPr>
                <w:lang w:val="es-ES"/>
              </w:rPr>
              <w:t>firmemente</w:t>
            </w:r>
            <w:r w:rsidR="009E41C4" w:rsidRPr="00187A72">
              <w:rPr>
                <w:lang w:val="es-ES"/>
              </w:rPr>
              <w:t xml:space="preserve"> a la opción 4 (supresión del </w:t>
            </w:r>
            <w:r w:rsidR="009E41C4">
              <w:rPr>
                <w:lang w:val="es-ES"/>
              </w:rPr>
              <w:t>C</w:t>
            </w:r>
            <w:r w:rsidR="009E41C4" w:rsidRPr="00187A72">
              <w:rPr>
                <w:lang w:val="es-ES"/>
              </w:rPr>
              <w:t xml:space="preserve">uadro 1-2 de la Resolución </w:t>
            </w:r>
            <w:r w:rsidR="009E41C4" w:rsidRPr="00983DD0">
              <w:rPr>
                <w:b/>
                <w:bCs/>
                <w:lang w:val="es-ES"/>
              </w:rPr>
              <w:t>750 (Rev.CMR-15)</w:t>
            </w:r>
            <w:r>
              <w:rPr>
                <w:lang w:val="es-ES"/>
              </w:rPr>
              <w:t xml:space="preserve"> </w:t>
            </w:r>
            <w:r w:rsidRPr="00187A72">
              <w:rPr>
                <w:lang w:val="es-ES"/>
              </w:rPr>
              <w:t>de</w:t>
            </w:r>
            <w:r>
              <w:rPr>
                <w:lang w:val="es-ES"/>
              </w:rPr>
              <w:t>l UIT-R</w:t>
            </w:r>
            <w:r w:rsidR="009E41C4">
              <w:rPr>
                <w:lang w:val="es-ES"/>
              </w:rPr>
              <w:t>,</w:t>
            </w:r>
            <w:r w:rsidR="009E41C4" w:rsidRPr="00187A72">
              <w:rPr>
                <w:lang w:val="es-ES"/>
              </w:rPr>
              <w:t xml:space="preserve"> </w:t>
            </w:r>
            <w:r w:rsidR="00A91CBE">
              <w:rPr>
                <w:lang w:val="es-ES"/>
              </w:rPr>
              <w:t>al</w:t>
            </w:r>
            <w:r w:rsidR="009E41C4">
              <w:rPr>
                <w:lang w:val="es-ES"/>
              </w:rPr>
              <w:t xml:space="preserve"> </w:t>
            </w:r>
            <w:r w:rsidR="009E41C4" w:rsidRPr="00187A72">
              <w:rPr>
                <w:i/>
                <w:iCs/>
                <w:lang w:val="es-ES"/>
              </w:rPr>
              <w:t>contrad</w:t>
            </w:r>
            <w:r w:rsidR="00A91CBE">
              <w:rPr>
                <w:i/>
                <w:iCs/>
                <w:lang w:val="es-ES"/>
              </w:rPr>
              <w:t>ecir</w:t>
            </w:r>
            <w:r w:rsidR="009E41C4" w:rsidRPr="00187A72">
              <w:rPr>
                <w:i/>
                <w:iCs/>
                <w:lang w:val="es-ES"/>
              </w:rPr>
              <w:t xml:space="preserve"> plenamente</w:t>
            </w:r>
            <w:r w:rsidR="009E41C4">
              <w:rPr>
                <w:i/>
                <w:iCs/>
                <w:lang w:val="es-ES"/>
              </w:rPr>
              <w:t xml:space="preserve"> el objetivo del punto 1.13 del orden del día de la CMR-19</w:t>
            </w:r>
            <w:r w:rsidR="009E41C4" w:rsidRPr="00187A72">
              <w:rPr>
                <w:lang w:val="es-ES"/>
              </w:rPr>
              <w:t>).</w:t>
            </w:r>
          </w:p>
          <w:p w14:paraId="1F736747" w14:textId="6CFA8ED4" w:rsidR="00A91CBE" w:rsidRPr="00187A72" w:rsidRDefault="00983DD0" w:rsidP="00187A72">
            <w:pPr>
              <w:pStyle w:val="enumlev2"/>
              <w:rPr>
                <w:lang w:val="es-ES"/>
              </w:rPr>
            </w:pPr>
            <w:r w:rsidRPr="00983DD0">
              <w:rPr>
                <w:lang w:val="es-ES"/>
              </w:rPr>
              <w:t>•</w:t>
            </w:r>
            <w:r w:rsidR="00125072" w:rsidRPr="00187A72">
              <w:rPr>
                <w:lang w:val="es-ES"/>
              </w:rPr>
              <w:tab/>
            </w:r>
            <w:r w:rsidR="00A91CBE" w:rsidRPr="00187A72">
              <w:rPr>
                <w:lang w:val="es-ES"/>
              </w:rPr>
              <w:t xml:space="preserve">La OMM también se opone </w:t>
            </w:r>
            <w:r w:rsidR="00190153">
              <w:rPr>
                <w:lang w:val="es-ES"/>
              </w:rPr>
              <w:t>firmemente</w:t>
            </w:r>
            <w:r w:rsidR="00A91CBE" w:rsidRPr="00187A72">
              <w:rPr>
                <w:lang w:val="es-ES"/>
              </w:rPr>
              <w:t xml:space="preserve"> a la opción 5 (</w:t>
            </w:r>
            <w:r>
              <w:rPr>
                <w:lang w:val="es-ES"/>
              </w:rPr>
              <w:t>«</w:t>
            </w:r>
            <w:r w:rsidR="00A91CBE" w:rsidRPr="00187A72">
              <w:rPr>
                <w:lang w:val="es-ES"/>
              </w:rPr>
              <w:t>no es necesaria ninguna condición</w:t>
            </w:r>
            <w:r>
              <w:rPr>
                <w:lang w:val="es-ES"/>
              </w:rPr>
              <w:t>»</w:t>
            </w:r>
            <w:r w:rsidR="00A91CBE" w:rsidRPr="00187A72">
              <w:rPr>
                <w:lang w:val="es-ES"/>
              </w:rPr>
              <w:t xml:space="preserve">), </w:t>
            </w:r>
            <w:r w:rsidR="00190153">
              <w:rPr>
                <w:lang w:val="es-ES"/>
              </w:rPr>
              <w:t>al</w:t>
            </w:r>
            <w:r w:rsidR="00A91CBE">
              <w:rPr>
                <w:lang w:val="es-ES"/>
              </w:rPr>
              <w:t xml:space="preserve"> ser</w:t>
            </w:r>
            <w:r w:rsidR="00A91CBE" w:rsidRPr="00187A72">
              <w:rPr>
                <w:lang w:val="es-ES"/>
              </w:rPr>
              <w:t xml:space="preserve"> </w:t>
            </w:r>
            <w:r w:rsidR="00190153">
              <w:rPr>
                <w:lang w:val="es-ES"/>
              </w:rPr>
              <w:t>in</w:t>
            </w:r>
            <w:r w:rsidR="00A91CBE">
              <w:rPr>
                <w:lang w:val="es-ES"/>
              </w:rPr>
              <w:t>coherente</w:t>
            </w:r>
            <w:r w:rsidR="00A91CBE" w:rsidRPr="00187A72">
              <w:rPr>
                <w:lang w:val="es-ES"/>
              </w:rPr>
              <w:t xml:space="preserve"> con los resultados de</w:t>
            </w:r>
            <w:r w:rsidR="00A91CBE">
              <w:rPr>
                <w:lang w:val="es-ES"/>
              </w:rPr>
              <w:t xml:space="preserve"> todos</w:t>
            </w:r>
            <w:r w:rsidR="00A91CBE" w:rsidRPr="00187A72">
              <w:rPr>
                <w:lang w:val="es-ES"/>
              </w:rPr>
              <w:t xml:space="preserve"> los estudios del UIT-R.</w:t>
            </w:r>
          </w:p>
          <w:p w14:paraId="7CC99D22" w14:textId="73B4FE4A" w:rsidR="00D505DB" w:rsidRPr="00187A72" w:rsidRDefault="00983DD0" w:rsidP="00187A72">
            <w:pPr>
              <w:pStyle w:val="enumlev2"/>
              <w:rPr>
                <w:lang w:val="es-ES"/>
              </w:rPr>
            </w:pPr>
            <w:r w:rsidRPr="00983DD0">
              <w:rPr>
                <w:lang w:val="es-ES"/>
              </w:rPr>
              <w:t>•</w:t>
            </w:r>
            <w:r>
              <w:rPr>
                <w:lang w:val="es-ES"/>
              </w:rPr>
              <w:tab/>
            </w:r>
            <w:r w:rsidR="00A91CBE">
              <w:rPr>
                <w:lang w:val="es-ES"/>
              </w:rPr>
              <w:t>Con respecto</w:t>
            </w:r>
            <w:r w:rsidR="00A91CBE" w:rsidRPr="00187A72">
              <w:rPr>
                <w:lang w:val="es-ES"/>
              </w:rPr>
              <w:t xml:space="preserve"> </w:t>
            </w:r>
            <w:r w:rsidR="00190153">
              <w:rPr>
                <w:lang w:val="es-ES"/>
              </w:rPr>
              <w:t>al segundo armónico de las emisiones</w:t>
            </w:r>
            <w:r w:rsidR="00A91CBE" w:rsidRPr="00187A72">
              <w:rPr>
                <w:lang w:val="es-ES"/>
              </w:rPr>
              <w:t xml:space="preserve"> </w:t>
            </w:r>
            <w:r w:rsidR="00A91CBE">
              <w:rPr>
                <w:lang w:val="es-ES"/>
              </w:rPr>
              <w:t xml:space="preserve">de las </w:t>
            </w:r>
            <w:r w:rsidR="00A91CBE" w:rsidRPr="00187A72">
              <w:rPr>
                <w:lang w:val="es-ES"/>
              </w:rPr>
              <w:t xml:space="preserve">IMT-2020 </w:t>
            </w:r>
            <w:r w:rsidR="00190153">
              <w:rPr>
                <w:lang w:val="es-ES"/>
              </w:rPr>
              <w:t>en</w:t>
            </w:r>
            <w:r w:rsidR="00A91CBE" w:rsidRPr="00187A72">
              <w:rPr>
                <w:lang w:val="es-ES"/>
              </w:rPr>
              <w:t xml:space="preserve"> la banda de frecuencias 24,25-27,5 GHz, la OMM </w:t>
            </w:r>
            <w:r w:rsidR="00190153">
              <w:rPr>
                <w:lang w:val="es-ES"/>
              </w:rPr>
              <w:t>respalda</w:t>
            </w:r>
            <w:r w:rsidR="00A91CBE" w:rsidRPr="00187A72">
              <w:rPr>
                <w:lang w:val="es-ES"/>
              </w:rPr>
              <w:t xml:space="preserve"> el </w:t>
            </w:r>
            <w:r w:rsidRPr="00187A72">
              <w:rPr>
                <w:lang w:val="es-ES"/>
              </w:rPr>
              <w:t xml:space="preserve">Método </w:t>
            </w:r>
            <w:r w:rsidR="00A91CBE" w:rsidRPr="00187A72">
              <w:rPr>
                <w:lang w:val="es-ES"/>
              </w:rPr>
              <w:t>A2</w:t>
            </w:r>
            <w:r w:rsidR="00190153">
              <w:rPr>
                <w:lang w:val="es-ES"/>
              </w:rPr>
              <w:t>, a</w:t>
            </w:r>
            <w:r w:rsidR="00A91CBE" w:rsidRPr="00187A72">
              <w:rPr>
                <w:lang w:val="es-ES"/>
              </w:rPr>
              <w:t>lternativ</w:t>
            </w:r>
            <w:r w:rsidR="00190153">
              <w:rPr>
                <w:lang w:val="es-ES"/>
              </w:rPr>
              <w:t>a</w:t>
            </w:r>
            <w:r w:rsidR="00A91CBE" w:rsidRPr="00187A72">
              <w:rPr>
                <w:lang w:val="es-ES"/>
              </w:rPr>
              <w:t xml:space="preserve"> 1</w:t>
            </w:r>
            <w:r w:rsidR="00190153">
              <w:rPr>
                <w:lang w:val="es-ES"/>
              </w:rPr>
              <w:t>, c</w:t>
            </w:r>
            <w:r w:rsidR="00A91CBE" w:rsidRPr="00187A72">
              <w:rPr>
                <w:lang w:val="es-ES"/>
              </w:rPr>
              <w:t>ondición A2b</w:t>
            </w:r>
            <w:r w:rsidR="00190153">
              <w:rPr>
                <w:lang w:val="es-ES"/>
              </w:rPr>
              <w:t xml:space="preserve">, </w:t>
            </w:r>
            <w:r w:rsidR="00A91CBE" w:rsidRPr="00187A72">
              <w:rPr>
                <w:lang w:val="es-ES"/>
              </w:rPr>
              <w:t>opción 1</w:t>
            </w:r>
            <w:r w:rsidR="00FD48E1">
              <w:rPr>
                <w:lang w:val="es-ES"/>
              </w:rPr>
              <w:t>,</w:t>
            </w:r>
            <w:r w:rsidR="00A91CBE" w:rsidRPr="00187A72">
              <w:rPr>
                <w:lang w:val="es-ES"/>
              </w:rPr>
              <w:t xml:space="preserve"> para la protección del SETS (pasivo) en las bandas de frecuencias 50,2-50,4 GHz y 52,6-54,25 GHz.</w:t>
            </w:r>
          </w:p>
          <w:p w14:paraId="5D9E13B1" w14:textId="4E42F2DA" w:rsidR="00D505DB" w:rsidRPr="00187A72" w:rsidRDefault="00057889" w:rsidP="00187A72">
            <w:pPr>
              <w:rPr>
                <w:lang w:val="es-ES"/>
              </w:rPr>
            </w:pPr>
            <w:r w:rsidRPr="00187A72">
              <w:rPr>
                <w:lang w:val="es-ES"/>
              </w:rPr>
              <w:t>La OMM observa que la protección del SETS (pasivo) en la banda de frecuencias 23,6-24 GHz se aborda</w:t>
            </w:r>
            <w:r>
              <w:rPr>
                <w:lang w:val="es-ES"/>
              </w:rPr>
              <w:t xml:space="preserve"> asimismo</w:t>
            </w:r>
            <w:r w:rsidRPr="00187A72">
              <w:rPr>
                <w:lang w:val="es-ES"/>
              </w:rPr>
              <w:t xml:space="preserve"> en el punto 1.14 del orden del día</w:t>
            </w:r>
            <w:r w:rsidR="00D505DB" w:rsidRPr="00187A72">
              <w:rPr>
                <w:lang w:val="es-ES"/>
              </w:rPr>
              <w:t>.</w:t>
            </w:r>
          </w:p>
          <w:p w14:paraId="14664E56" w14:textId="1438DA73" w:rsidR="00D505DB" w:rsidRPr="00187A72" w:rsidRDefault="00EA2C19" w:rsidP="00187A72">
            <w:pPr>
              <w:pStyle w:val="enumlev1"/>
              <w:rPr>
                <w:lang w:val="es-ES"/>
              </w:rPr>
            </w:pPr>
            <w:r w:rsidRPr="00187A72">
              <w:rPr>
                <w:lang w:val="es-ES"/>
              </w:rPr>
              <w:t>–</w:t>
            </w:r>
            <w:r w:rsidR="00D505DB" w:rsidRPr="00187A72">
              <w:rPr>
                <w:b/>
                <w:bCs/>
                <w:lang w:val="es-ES"/>
              </w:rPr>
              <w:tab/>
            </w:r>
            <w:r w:rsidR="00435B8A" w:rsidRPr="00187A72">
              <w:rPr>
                <w:b/>
                <w:bCs/>
                <w:lang w:val="es-ES"/>
              </w:rPr>
              <w:t xml:space="preserve">31,8-33,4 GHz: </w:t>
            </w:r>
            <w:r w:rsidR="00435B8A" w:rsidRPr="00187A72">
              <w:rPr>
                <w:lang w:val="es-ES"/>
              </w:rPr>
              <w:t xml:space="preserve">La OMM </w:t>
            </w:r>
            <w:r w:rsidR="00435B8A">
              <w:rPr>
                <w:lang w:val="es-ES"/>
              </w:rPr>
              <w:t>refrenda</w:t>
            </w:r>
            <w:r w:rsidR="00435B8A" w:rsidRPr="00187A72">
              <w:rPr>
                <w:lang w:val="es-ES"/>
              </w:rPr>
              <w:t xml:space="preserve"> el único </w:t>
            </w:r>
            <w:r w:rsidR="00983DD0" w:rsidRPr="00187A72">
              <w:rPr>
                <w:lang w:val="es-ES"/>
              </w:rPr>
              <w:t xml:space="preserve">Método </w:t>
            </w:r>
            <w:r w:rsidR="00435B8A" w:rsidRPr="00187A72">
              <w:rPr>
                <w:lang w:val="es-ES"/>
              </w:rPr>
              <w:t>B1 para esta banda de frecuencias (protección del SETS (pasivo) en la banda de frecuencias 31,5</w:t>
            </w:r>
            <w:r w:rsidR="00983DD0">
              <w:rPr>
                <w:lang w:val="es-ES"/>
              </w:rPr>
              <w:noBreakHyphen/>
            </w:r>
            <w:r w:rsidR="00435B8A" w:rsidRPr="00187A72">
              <w:rPr>
                <w:lang w:val="es-ES"/>
              </w:rPr>
              <w:t>31,8</w:t>
            </w:r>
            <w:r w:rsidR="00983DD0">
              <w:rPr>
                <w:lang w:val="es-ES"/>
              </w:rPr>
              <w:t> </w:t>
            </w:r>
            <w:r w:rsidR="00435B8A" w:rsidRPr="00187A72">
              <w:rPr>
                <w:lang w:val="es-ES"/>
              </w:rPr>
              <w:t>GHz</w:t>
            </w:r>
            <w:r w:rsidR="00D505DB" w:rsidRPr="00187A72">
              <w:rPr>
                <w:lang w:val="es-ES"/>
              </w:rPr>
              <w:t>).</w:t>
            </w:r>
          </w:p>
          <w:p w14:paraId="33D7F556" w14:textId="5DE07A8B" w:rsidR="00D505DB" w:rsidRPr="00187A72" w:rsidRDefault="00EA2C19" w:rsidP="00187A72">
            <w:pPr>
              <w:pStyle w:val="enumlev1"/>
              <w:rPr>
                <w:b/>
                <w:bCs/>
                <w:lang w:val="es-ES"/>
              </w:rPr>
            </w:pPr>
            <w:r w:rsidRPr="00187A72">
              <w:rPr>
                <w:lang w:val="es-ES"/>
              </w:rPr>
              <w:t>–</w:t>
            </w:r>
            <w:r w:rsidR="00D505DB" w:rsidRPr="00187A72">
              <w:rPr>
                <w:b/>
                <w:bCs/>
                <w:lang w:val="es-ES"/>
              </w:rPr>
              <w:tab/>
              <w:t>37-40</w:t>
            </w:r>
            <w:r w:rsidR="008F3D91" w:rsidRPr="00187A72">
              <w:rPr>
                <w:b/>
                <w:bCs/>
                <w:lang w:val="es-ES"/>
              </w:rPr>
              <w:t>,</w:t>
            </w:r>
            <w:r w:rsidR="00D505DB" w:rsidRPr="00187A72">
              <w:rPr>
                <w:b/>
                <w:bCs/>
                <w:lang w:val="es-ES"/>
              </w:rPr>
              <w:t>5 GHz:</w:t>
            </w:r>
          </w:p>
          <w:p w14:paraId="2DCB9D8F" w14:textId="0E0DFA4D" w:rsidR="00435B8A" w:rsidRPr="00187A72" w:rsidRDefault="00983DD0" w:rsidP="00187A72">
            <w:pPr>
              <w:pStyle w:val="enumlev2"/>
              <w:rPr>
                <w:lang w:val="es-ES"/>
              </w:rPr>
            </w:pPr>
            <w:r w:rsidRPr="00983DD0">
              <w:rPr>
                <w:lang w:val="es-ES"/>
              </w:rPr>
              <w:t>•</w:t>
            </w:r>
            <w:r w:rsidR="00EA2C19" w:rsidRPr="00187A72">
              <w:rPr>
                <w:lang w:val="es-ES"/>
              </w:rPr>
              <w:tab/>
            </w:r>
            <w:r>
              <w:rPr>
                <w:lang w:val="es-ES"/>
              </w:rPr>
              <w:t>L</w:t>
            </w:r>
            <w:r w:rsidRPr="00187A72">
              <w:rPr>
                <w:lang w:val="es-ES"/>
              </w:rPr>
              <w:t xml:space="preserve">a </w:t>
            </w:r>
            <w:r w:rsidR="00435B8A" w:rsidRPr="00187A72">
              <w:rPr>
                <w:lang w:val="es-ES"/>
              </w:rPr>
              <w:t xml:space="preserve">OMM se opone a la referencia a la Resolución UIT-R 752, </w:t>
            </w:r>
            <w:r w:rsidR="00435B8A">
              <w:rPr>
                <w:lang w:val="es-ES"/>
              </w:rPr>
              <w:t>puesto</w:t>
            </w:r>
            <w:r w:rsidR="00435B8A" w:rsidRPr="00187A72">
              <w:rPr>
                <w:lang w:val="es-ES"/>
              </w:rPr>
              <w:t xml:space="preserve"> que los límites en banda especificados en dicha Resolución no son </w:t>
            </w:r>
            <w:r w:rsidR="00435B8A">
              <w:rPr>
                <w:lang w:val="es-ES"/>
              </w:rPr>
              <w:t>adecuados</w:t>
            </w:r>
            <w:r w:rsidR="00435B8A" w:rsidRPr="00187A72">
              <w:rPr>
                <w:lang w:val="es-ES"/>
              </w:rPr>
              <w:t xml:space="preserve"> y no se determinaron </w:t>
            </w:r>
            <w:r w:rsidR="00FD48E1">
              <w:rPr>
                <w:lang w:val="es-ES"/>
              </w:rPr>
              <w:t>a los efectos de</w:t>
            </w:r>
            <w:r w:rsidR="00435B8A" w:rsidRPr="00187A72">
              <w:rPr>
                <w:lang w:val="es-ES"/>
              </w:rPr>
              <w:t xml:space="preserve"> protección en banda adyacente.</w:t>
            </w:r>
          </w:p>
          <w:p w14:paraId="330AD2C5" w14:textId="31F2FBC4" w:rsidR="00D505DB" w:rsidRPr="00187A72" w:rsidRDefault="00983DD0" w:rsidP="00187A72">
            <w:pPr>
              <w:pStyle w:val="enumlev2"/>
              <w:rPr>
                <w:lang w:val="es-ES"/>
              </w:rPr>
            </w:pPr>
            <w:r w:rsidRPr="00983DD0">
              <w:rPr>
                <w:lang w:val="es-ES"/>
              </w:rPr>
              <w:t>•</w:t>
            </w:r>
            <w:r>
              <w:rPr>
                <w:lang w:val="es-ES"/>
              </w:rPr>
              <w:tab/>
              <w:t>L</w:t>
            </w:r>
            <w:r w:rsidRPr="00187A72">
              <w:rPr>
                <w:lang w:val="es-ES"/>
              </w:rPr>
              <w:t xml:space="preserve">a </w:t>
            </w:r>
            <w:r w:rsidR="00435B8A" w:rsidRPr="00187A72">
              <w:rPr>
                <w:lang w:val="es-ES"/>
              </w:rPr>
              <w:t xml:space="preserve">OMM apoya el </w:t>
            </w:r>
            <w:r w:rsidRPr="00187A72">
              <w:rPr>
                <w:lang w:val="es-ES"/>
              </w:rPr>
              <w:t xml:space="preserve">Método </w:t>
            </w:r>
            <w:r w:rsidR="00435B8A" w:rsidRPr="00187A72">
              <w:rPr>
                <w:lang w:val="es-ES"/>
              </w:rPr>
              <w:t>C2</w:t>
            </w:r>
            <w:r w:rsidR="00260F78">
              <w:rPr>
                <w:lang w:val="es-ES"/>
              </w:rPr>
              <w:t>, al</w:t>
            </w:r>
            <w:r w:rsidR="00435B8A" w:rsidRPr="00187A72">
              <w:rPr>
                <w:lang w:val="es-ES"/>
              </w:rPr>
              <w:t>ternativ</w:t>
            </w:r>
            <w:r w:rsidR="00260F78">
              <w:rPr>
                <w:lang w:val="es-ES"/>
              </w:rPr>
              <w:t>a</w:t>
            </w:r>
            <w:r w:rsidR="00435B8A" w:rsidRPr="00187A72">
              <w:rPr>
                <w:lang w:val="es-ES"/>
              </w:rPr>
              <w:t xml:space="preserve"> 1</w:t>
            </w:r>
            <w:r w:rsidR="00260F78">
              <w:rPr>
                <w:lang w:val="es-ES"/>
              </w:rPr>
              <w:t>, c</w:t>
            </w:r>
            <w:r w:rsidR="00435B8A" w:rsidRPr="00187A72">
              <w:rPr>
                <w:lang w:val="es-ES"/>
              </w:rPr>
              <w:t>ondición C2a</w:t>
            </w:r>
            <w:r w:rsidR="00260F78">
              <w:rPr>
                <w:lang w:val="es-ES"/>
              </w:rPr>
              <w:t xml:space="preserve">, </w:t>
            </w:r>
            <w:r w:rsidR="00435B8A" w:rsidRPr="00187A72">
              <w:rPr>
                <w:lang w:val="es-ES"/>
              </w:rPr>
              <w:t>opción 1</w:t>
            </w:r>
            <w:r w:rsidR="00260F78">
              <w:rPr>
                <w:lang w:val="es-ES"/>
              </w:rPr>
              <w:t>,</w:t>
            </w:r>
            <w:r w:rsidR="00435B8A" w:rsidRPr="00187A72">
              <w:rPr>
                <w:lang w:val="es-ES"/>
              </w:rPr>
              <w:t xml:space="preserve"> para la protección del SETS (pasivo) en la banda de frecuencias 36-37 GHz. La OMM solicita que se establezcan los límites obligatorios necesarios para las emisiones no deseadas </w:t>
            </w:r>
            <w:r w:rsidR="00260F78">
              <w:rPr>
                <w:lang w:val="es-ES"/>
              </w:rPr>
              <w:t>en</w:t>
            </w:r>
            <w:r w:rsidR="00435B8A" w:rsidRPr="00187A72">
              <w:rPr>
                <w:lang w:val="es-ES"/>
              </w:rPr>
              <w:t xml:space="preserve"> las IMT-2020 y apoya los siguientes niveles de emisiones no deseadas</w:t>
            </w:r>
            <w:r w:rsidR="00D505DB" w:rsidRPr="00187A72">
              <w:rPr>
                <w:lang w:val="es-ES"/>
              </w:rPr>
              <w:t>:</w:t>
            </w:r>
          </w:p>
          <w:p w14:paraId="4144A283" w14:textId="11EBA87F" w:rsidR="00D505DB" w:rsidRPr="00187A72" w:rsidRDefault="00983DD0" w:rsidP="00187A72">
            <w:pPr>
              <w:pStyle w:val="enumlev3"/>
              <w:rPr>
                <w:lang w:val="es-ES"/>
              </w:rPr>
            </w:pPr>
            <w:r w:rsidRPr="00983DD0">
              <w:rPr>
                <w:lang w:val="es-ES"/>
              </w:rPr>
              <w:t>–</w:t>
            </w:r>
            <w:r w:rsidR="00D505DB" w:rsidRPr="00187A72">
              <w:rPr>
                <w:lang w:val="es-ES"/>
              </w:rPr>
              <w:tab/>
            </w:r>
            <w:r w:rsidR="004609B8" w:rsidRPr="00187A72">
              <w:rPr>
                <w:lang w:val="es-ES"/>
              </w:rPr>
              <w:t>–</w:t>
            </w:r>
            <w:r w:rsidR="00D505DB" w:rsidRPr="00187A72">
              <w:rPr>
                <w:lang w:val="es-ES"/>
              </w:rPr>
              <w:t xml:space="preserve">47 dB(W/100 MHz) </w:t>
            </w:r>
            <w:r w:rsidR="00260F78" w:rsidRPr="00187A72">
              <w:rPr>
                <w:lang w:val="es-ES"/>
              </w:rPr>
              <w:t>para las estaciones de base</w:t>
            </w:r>
            <w:r w:rsidR="007916E7">
              <w:rPr>
                <w:lang w:val="es-ES"/>
              </w:rPr>
              <w:t>;</w:t>
            </w:r>
          </w:p>
          <w:p w14:paraId="011B585B" w14:textId="58233C3D" w:rsidR="00D505DB" w:rsidRPr="00187A72" w:rsidRDefault="00983DD0" w:rsidP="00187A72">
            <w:pPr>
              <w:pStyle w:val="enumlev3"/>
              <w:rPr>
                <w:lang w:val="es-ES"/>
              </w:rPr>
            </w:pPr>
            <w:r w:rsidRPr="00983DD0">
              <w:rPr>
                <w:lang w:val="es-ES"/>
              </w:rPr>
              <w:t>–</w:t>
            </w:r>
            <w:r w:rsidR="00D505DB" w:rsidRPr="00187A72">
              <w:rPr>
                <w:lang w:val="es-ES"/>
              </w:rPr>
              <w:tab/>
            </w:r>
            <w:r w:rsidR="004609B8" w:rsidRPr="00187A72">
              <w:rPr>
                <w:lang w:val="es-ES"/>
              </w:rPr>
              <w:t>–</w:t>
            </w:r>
            <w:r w:rsidR="00D505DB" w:rsidRPr="00187A72">
              <w:rPr>
                <w:lang w:val="es-ES"/>
              </w:rPr>
              <w:t xml:space="preserve">46 dB(W/100 MHz) </w:t>
            </w:r>
            <w:r w:rsidR="00260F78" w:rsidRPr="00187A72">
              <w:rPr>
                <w:lang w:val="es-ES"/>
              </w:rPr>
              <w:t>para los equipos de usuario</w:t>
            </w:r>
            <w:r w:rsidR="00D505DB" w:rsidRPr="00187A72">
              <w:rPr>
                <w:lang w:val="es-ES"/>
              </w:rPr>
              <w:t>.</w:t>
            </w:r>
          </w:p>
          <w:p w14:paraId="11194998" w14:textId="33C95C8E" w:rsidR="00D505DB" w:rsidRPr="00187A72" w:rsidRDefault="00983DD0" w:rsidP="00187A72">
            <w:pPr>
              <w:pStyle w:val="enumlev2"/>
              <w:rPr>
                <w:lang w:val="es-ES"/>
              </w:rPr>
            </w:pPr>
            <w:r w:rsidRPr="00983DD0">
              <w:rPr>
                <w:lang w:val="es-ES"/>
              </w:rPr>
              <w:lastRenderedPageBreak/>
              <w:t>•</w:t>
            </w:r>
            <w:r w:rsidR="00EA2C19" w:rsidRPr="00187A72">
              <w:rPr>
                <w:lang w:val="es-ES"/>
              </w:rPr>
              <w:tab/>
            </w:r>
            <w:r w:rsidR="00260F78" w:rsidRPr="00187A72">
              <w:rPr>
                <w:lang w:val="es-ES"/>
              </w:rPr>
              <w:t>La OMM se opone a la opción 2 (</w:t>
            </w:r>
            <w:r>
              <w:rPr>
                <w:lang w:val="es-ES"/>
              </w:rPr>
              <w:t>«</w:t>
            </w:r>
            <w:r w:rsidR="00260F78" w:rsidRPr="00187A72">
              <w:rPr>
                <w:lang w:val="es-ES"/>
              </w:rPr>
              <w:t>no es necesaria ninguna condición</w:t>
            </w:r>
            <w:r>
              <w:rPr>
                <w:lang w:val="es-ES"/>
              </w:rPr>
              <w:t>»</w:t>
            </w:r>
            <w:r w:rsidR="00260F78" w:rsidRPr="00187A72">
              <w:rPr>
                <w:lang w:val="es-ES"/>
              </w:rPr>
              <w:t xml:space="preserve">), </w:t>
            </w:r>
            <w:r w:rsidR="00260F78">
              <w:rPr>
                <w:lang w:val="es-ES"/>
              </w:rPr>
              <w:t>al ser</w:t>
            </w:r>
            <w:r w:rsidR="00260F78" w:rsidRPr="00187A72">
              <w:rPr>
                <w:lang w:val="es-ES"/>
              </w:rPr>
              <w:t xml:space="preserve"> incompatible con los resultados de</w:t>
            </w:r>
            <w:r w:rsidR="00260F78">
              <w:rPr>
                <w:lang w:val="es-ES"/>
              </w:rPr>
              <w:t xml:space="preserve"> todos</w:t>
            </w:r>
            <w:r w:rsidR="00260F78" w:rsidRPr="00187A72">
              <w:rPr>
                <w:lang w:val="es-ES"/>
              </w:rPr>
              <w:t xml:space="preserve"> los estudios del UIT-R</w:t>
            </w:r>
            <w:r w:rsidR="00D505DB" w:rsidRPr="00187A72">
              <w:rPr>
                <w:lang w:val="es-ES"/>
              </w:rPr>
              <w:t>.</w:t>
            </w:r>
          </w:p>
          <w:p w14:paraId="1228F7FB" w14:textId="1F05BAF9" w:rsidR="00D505DB" w:rsidRPr="00187A72" w:rsidRDefault="00D505DB" w:rsidP="00187A72">
            <w:pPr>
              <w:pStyle w:val="enumlev1"/>
              <w:rPr>
                <w:b/>
                <w:lang w:val="es-ES"/>
              </w:rPr>
            </w:pPr>
            <w:r w:rsidRPr="00187A72">
              <w:rPr>
                <w:lang w:val="es-ES"/>
              </w:rPr>
              <w:t>–</w:t>
            </w:r>
            <w:r w:rsidRPr="00187A72">
              <w:rPr>
                <w:b/>
                <w:lang w:val="es-ES"/>
              </w:rPr>
              <w:tab/>
              <w:t>47</w:t>
            </w:r>
            <w:r w:rsidR="007D1A88" w:rsidRPr="00187A72">
              <w:rPr>
                <w:b/>
                <w:lang w:val="es-ES"/>
              </w:rPr>
              <w:t>,</w:t>
            </w:r>
            <w:r w:rsidRPr="00187A72">
              <w:rPr>
                <w:b/>
                <w:lang w:val="es-ES"/>
              </w:rPr>
              <w:t>2-50</w:t>
            </w:r>
            <w:r w:rsidR="007D1A88" w:rsidRPr="00187A72">
              <w:rPr>
                <w:b/>
                <w:lang w:val="es-ES"/>
              </w:rPr>
              <w:t>,</w:t>
            </w:r>
            <w:r w:rsidRPr="00187A72">
              <w:rPr>
                <w:b/>
                <w:lang w:val="es-ES"/>
              </w:rPr>
              <w:t>2 GHz:</w:t>
            </w:r>
          </w:p>
          <w:p w14:paraId="48BE1A28" w14:textId="3ECAA2B1" w:rsidR="00D505DB" w:rsidRPr="00187A72" w:rsidRDefault="00983DD0" w:rsidP="00187A72">
            <w:pPr>
              <w:pStyle w:val="enumlev2"/>
              <w:rPr>
                <w:lang w:val="es-ES"/>
              </w:rPr>
            </w:pPr>
            <w:r w:rsidRPr="00983DD0">
              <w:rPr>
                <w:lang w:val="es-ES"/>
              </w:rPr>
              <w:t>•</w:t>
            </w:r>
            <w:r w:rsidR="008E0BC9" w:rsidRPr="00187A72">
              <w:rPr>
                <w:lang w:val="es-ES"/>
              </w:rPr>
              <w:tab/>
            </w:r>
            <w:r w:rsidR="008701D4" w:rsidRPr="008701D4">
              <w:rPr>
                <w:lang w:val="es-ES"/>
              </w:rPr>
              <w:t xml:space="preserve">La OMM </w:t>
            </w:r>
            <w:r w:rsidR="008701D4" w:rsidRPr="008C5950">
              <w:rPr>
                <w:lang w:val="es-ES"/>
              </w:rPr>
              <w:t>apoya que no se modifique</w:t>
            </w:r>
            <w:r w:rsidR="008701D4">
              <w:rPr>
                <w:lang w:val="es-ES"/>
              </w:rPr>
              <w:t xml:space="preserve"> esta</w:t>
            </w:r>
            <w:r w:rsidR="008701D4" w:rsidRPr="008701D4">
              <w:rPr>
                <w:lang w:val="es-ES"/>
              </w:rPr>
              <w:t xml:space="preserve"> banda de frecuencias</w:t>
            </w:r>
            <w:r w:rsidR="00357CE4" w:rsidRPr="00187A72">
              <w:rPr>
                <w:lang w:val="es-ES"/>
              </w:rPr>
              <w:t xml:space="preserve">, </w:t>
            </w:r>
            <w:r w:rsidR="00357CE4">
              <w:rPr>
                <w:lang w:val="es-ES"/>
              </w:rPr>
              <w:t>al ser</w:t>
            </w:r>
            <w:r w:rsidR="00357CE4" w:rsidRPr="00187A72">
              <w:rPr>
                <w:lang w:val="es-ES"/>
              </w:rPr>
              <w:t xml:space="preserve"> </w:t>
            </w:r>
            <w:r w:rsidR="00357CE4">
              <w:rPr>
                <w:lang w:val="es-ES"/>
              </w:rPr>
              <w:t>una</w:t>
            </w:r>
            <w:r w:rsidR="00357CE4" w:rsidRPr="00187A72">
              <w:rPr>
                <w:lang w:val="es-ES"/>
              </w:rPr>
              <w:t xml:space="preserve"> banda de frecuencias del SETS </w:t>
            </w:r>
            <w:r w:rsidR="00357CE4" w:rsidRPr="00331008">
              <w:rPr>
                <w:lang w:val="es-ES"/>
              </w:rPr>
              <w:t>(pasiv</w:t>
            </w:r>
            <w:r w:rsidR="00357CE4">
              <w:rPr>
                <w:lang w:val="es-ES"/>
              </w:rPr>
              <w:t>o</w:t>
            </w:r>
            <w:r w:rsidR="00357CE4" w:rsidRPr="00331008">
              <w:rPr>
                <w:lang w:val="es-ES"/>
              </w:rPr>
              <w:t>)</w:t>
            </w:r>
            <w:r w:rsidR="00357CE4">
              <w:rPr>
                <w:lang w:val="es-ES"/>
              </w:rPr>
              <w:t xml:space="preserve"> que</w:t>
            </w:r>
            <w:r w:rsidR="00357CE4" w:rsidRPr="00187A72">
              <w:rPr>
                <w:lang w:val="es-ES"/>
              </w:rPr>
              <w:t xml:space="preserve"> se aborda </w:t>
            </w:r>
            <w:r w:rsidR="00357CE4">
              <w:rPr>
                <w:lang w:val="es-ES"/>
              </w:rPr>
              <w:t xml:space="preserve">asimismo </w:t>
            </w:r>
            <w:r w:rsidR="00357CE4" w:rsidRPr="00187A72">
              <w:rPr>
                <w:lang w:val="es-ES"/>
              </w:rPr>
              <w:t>en los puntos</w:t>
            </w:r>
            <w:r>
              <w:rPr>
                <w:lang w:val="es-ES"/>
              </w:rPr>
              <w:t> </w:t>
            </w:r>
            <w:r w:rsidR="00357CE4" w:rsidRPr="00187A72">
              <w:rPr>
                <w:lang w:val="es-ES"/>
              </w:rPr>
              <w:t xml:space="preserve">1.6 y 9.1.9 del orden del día, lo que </w:t>
            </w:r>
            <w:r w:rsidR="00357CE4">
              <w:rPr>
                <w:lang w:val="es-ES"/>
              </w:rPr>
              <w:t>conllevará</w:t>
            </w:r>
            <w:r w:rsidR="00357CE4" w:rsidRPr="00187A72">
              <w:rPr>
                <w:lang w:val="es-ES"/>
              </w:rPr>
              <w:t xml:space="preserve"> </w:t>
            </w:r>
            <w:r w:rsidR="00357CE4">
              <w:rPr>
                <w:lang w:val="es-ES"/>
              </w:rPr>
              <w:t>restricciones suplementarias</w:t>
            </w:r>
            <w:r w:rsidR="00357CE4" w:rsidRPr="00187A72">
              <w:rPr>
                <w:lang w:val="es-ES"/>
              </w:rPr>
              <w:t xml:space="preserve"> para el funcionamiento del SETS</w:t>
            </w:r>
            <w:r w:rsidR="00357CE4">
              <w:rPr>
                <w:lang w:val="es-ES"/>
              </w:rPr>
              <w:t xml:space="preserve"> </w:t>
            </w:r>
            <w:r w:rsidR="00357CE4" w:rsidRPr="00F90B6F">
              <w:rPr>
                <w:lang w:val="es-ES"/>
              </w:rPr>
              <w:t>(pasivo)</w:t>
            </w:r>
            <w:r w:rsidR="00D505DB" w:rsidRPr="00187A72">
              <w:rPr>
                <w:lang w:val="es-ES"/>
              </w:rPr>
              <w:t>.</w:t>
            </w:r>
          </w:p>
          <w:p w14:paraId="3FFE5B0B" w14:textId="18ABB89A" w:rsidR="00D505DB" w:rsidRPr="00187A72" w:rsidRDefault="00983DD0" w:rsidP="00187A72">
            <w:pPr>
              <w:pStyle w:val="enumlev2"/>
              <w:rPr>
                <w:lang w:val="es-ES"/>
              </w:rPr>
            </w:pPr>
            <w:r w:rsidRPr="00983DD0">
              <w:rPr>
                <w:lang w:val="es-ES"/>
              </w:rPr>
              <w:t>•</w:t>
            </w:r>
            <w:r w:rsidR="008E0BC9" w:rsidRPr="00187A72">
              <w:rPr>
                <w:lang w:val="es-ES"/>
              </w:rPr>
              <w:tab/>
            </w:r>
            <w:r w:rsidR="00180B05" w:rsidRPr="00187A72">
              <w:rPr>
                <w:lang w:val="es-ES"/>
              </w:rPr>
              <w:t>Sin embargo, si se decide una identificación</w:t>
            </w:r>
            <w:r w:rsidR="00180B05">
              <w:rPr>
                <w:lang w:val="es-ES"/>
              </w:rPr>
              <w:t xml:space="preserve"> de las</w:t>
            </w:r>
            <w:r w:rsidR="00180B05" w:rsidRPr="00187A72">
              <w:rPr>
                <w:lang w:val="es-ES"/>
              </w:rPr>
              <w:t xml:space="preserve"> IMT-2020, la OMM apoyaría el </w:t>
            </w:r>
            <w:r w:rsidRPr="00187A72">
              <w:rPr>
                <w:lang w:val="es-ES"/>
              </w:rPr>
              <w:t xml:space="preserve">Método </w:t>
            </w:r>
            <w:r w:rsidR="00FD48E1">
              <w:rPr>
                <w:lang w:val="es-ES"/>
              </w:rPr>
              <w:t>H</w:t>
            </w:r>
            <w:r w:rsidR="00180B05" w:rsidRPr="00187A72">
              <w:rPr>
                <w:lang w:val="es-ES"/>
              </w:rPr>
              <w:t>2</w:t>
            </w:r>
            <w:r w:rsidR="00180B05">
              <w:rPr>
                <w:lang w:val="es-ES"/>
              </w:rPr>
              <w:t>, a</w:t>
            </w:r>
            <w:r w:rsidR="00180B05" w:rsidRPr="00187A72">
              <w:rPr>
                <w:lang w:val="es-ES"/>
              </w:rPr>
              <w:t>lternativ</w:t>
            </w:r>
            <w:r w:rsidR="00180B05">
              <w:rPr>
                <w:lang w:val="es-ES"/>
              </w:rPr>
              <w:t>a</w:t>
            </w:r>
            <w:r w:rsidR="00180B05" w:rsidRPr="00187A72">
              <w:rPr>
                <w:lang w:val="es-ES"/>
              </w:rPr>
              <w:t xml:space="preserve"> 1</w:t>
            </w:r>
            <w:r w:rsidR="00180B05">
              <w:rPr>
                <w:lang w:val="es-ES"/>
              </w:rPr>
              <w:t>, c</w:t>
            </w:r>
            <w:r w:rsidR="00180B05" w:rsidRPr="00187A72">
              <w:rPr>
                <w:lang w:val="es-ES"/>
              </w:rPr>
              <w:t xml:space="preserve">ondición </w:t>
            </w:r>
            <w:r w:rsidR="00FD48E1">
              <w:rPr>
                <w:lang w:val="es-ES"/>
              </w:rPr>
              <w:t>H</w:t>
            </w:r>
            <w:r w:rsidR="00180B05" w:rsidRPr="00187A72">
              <w:rPr>
                <w:lang w:val="es-ES"/>
              </w:rPr>
              <w:t>2a</w:t>
            </w:r>
            <w:r w:rsidR="00180B05">
              <w:rPr>
                <w:lang w:val="es-ES"/>
              </w:rPr>
              <w:t>, o</w:t>
            </w:r>
            <w:r w:rsidR="00180B05" w:rsidRPr="00187A72">
              <w:rPr>
                <w:lang w:val="es-ES"/>
              </w:rPr>
              <w:t>pción 1</w:t>
            </w:r>
            <w:r w:rsidR="00180B05">
              <w:rPr>
                <w:lang w:val="es-ES"/>
              </w:rPr>
              <w:t>,</w:t>
            </w:r>
            <w:r w:rsidR="00180B05" w:rsidRPr="00187A72">
              <w:rPr>
                <w:lang w:val="es-ES"/>
              </w:rPr>
              <w:t xml:space="preserve"> para </w:t>
            </w:r>
            <w:r w:rsidR="00180B05">
              <w:rPr>
                <w:lang w:val="es-ES"/>
              </w:rPr>
              <w:t xml:space="preserve">la </w:t>
            </w:r>
            <w:r w:rsidR="00FD48E1">
              <w:rPr>
                <w:lang w:val="es-ES"/>
              </w:rPr>
              <w:t>banda 47,2-50,2 GHz (</w:t>
            </w:r>
            <w:r w:rsidR="00180B05">
              <w:rPr>
                <w:lang w:val="es-ES"/>
              </w:rPr>
              <w:t xml:space="preserve">protección </w:t>
            </w:r>
            <w:r w:rsidR="00FD48E1">
              <w:rPr>
                <w:lang w:val="es-ES"/>
              </w:rPr>
              <w:t xml:space="preserve">del SETS (pasivo) en la banda de frecuencias </w:t>
            </w:r>
            <w:r w:rsidR="00180B05" w:rsidRPr="00187A72">
              <w:rPr>
                <w:lang w:val="es-ES"/>
              </w:rPr>
              <w:t>50,2-50,4 GHz</w:t>
            </w:r>
            <w:r w:rsidR="00FD48E1">
              <w:rPr>
                <w:lang w:val="es-ES"/>
              </w:rPr>
              <w:t>),</w:t>
            </w:r>
            <w:r w:rsidR="007916E7">
              <w:rPr>
                <w:lang w:val="es-ES"/>
              </w:rPr>
              <w:t xml:space="preserve"> </w:t>
            </w:r>
            <w:r w:rsidR="00180B05">
              <w:t>habida cuenta de la aplicación de</w:t>
            </w:r>
            <w:r w:rsidR="00180B05" w:rsidRPr="00187A72">
              <w:rPr>
                <w:lang w:val="es-ES"/>
              </w:rPr>
              <w:t xml:space="preserve"> los siguientes niveles obligatorios de emisiones no deseadas</w:t>
            </w:r>
            <w:r w:rsidR="00D505DB" w:rsidRPr="00187A72">
              <w:rPr>
                <w:lang w:val="es-ES"/>
              </w:rPr>
              <w:t>:</w:t>
            </w:r>
          </w:p>
          <w:p w14:paraId="1BF78360" w14:textId="34D03E38" w:rsidR="00D505DB" w:rsidRPr="00187A72" w:rsidRDefault="00983DD0" w:rsidP="00187A72">
            <w:pPr>
              <w:pStyle w:val="enumlev3"/>
              <w:rPr>
                <w:lang w:val="es-ES"/>
              </w:rPr>
            </w:pPr>
            <w:r w:rsidRPr="00983DD0">
              <w:rPr>
                <w:lang w:val="es-ES" w:eastAsia="ko-KR"/>
              </w:rPr>
              <w:t>–</w:t>
            </w:r>
            <w:r w:rsidR="00D505DB" w:rsidRPr="00187A72">
              <w:rPr>
                <w:lang w:val="es-ES" w:eastAsia="ko-KR"/>
              </w:rPr>
              <w:tab/>
            </w:r>
            <w:r w:rsidR="004609B8" w:rsidRPr="00187A72">
              <w:rPr>
                <w:lang w:val="es-ES" w:eastAsia="ko-KR"/>
              </w:rPr>
              <w:t>–</w:t>
            </w:r>
            <w:r w:rsidR="00D505DB" w:rsidRPr="00187A72">
              <w:rPr>
                <w:lang w:val="es-ES" w:eastAsia="ko-KR"/>
              </w:rPr>
              <w:t>49</w:t>
            </w:r>
            <w:r w:rsidR="007D1A88" w:rsidRPr="00187A72">
              <w:rPr>
                <w:lang w:val="es-ES" w:eastAsia="ko-KR"/>
              </w:rPr>
              <w:t>,</w:t>
            </w:r>
            <w:r w:rsidR="00D505DB" w:rsidRPr="00187A72">
              <w:rPr>
                <w:lang w:val="es-ES" w:eastAsia="ko-KR"/>
              </w:rPr>
              <w:t xml:space="preserve">3 dB(W/200 MHz) </w:t>
            </w:r>
            <w:r w:rsidR="00180B05" w:rsidRPr="00CD6142">
              <w:rPr>
                <w:lang w:val="es-ES"/>
              </w:rPr>
              <w:t>para las estaciones de base</w:t>
            </w:r>
            <w:r w:rsidR="007916E7">
              <w:rPr>
                <w:lang w:val="es-ES" w:eastAsia="ko-KR"/>
              </w:rPr>
              <w:t>;</w:t>
            </w:r>
          </w:p>
          <w:p w14:paraId="0177AD34" w14:textId="31F16D29" w:rsidR="00D505DB" w:rsidRPr="00187A72" w:rsidRDefault="00983DD0" w:rsidP="00187A72">
            <w:pPr>
              <w:pStyle w:val="enumlev3"/>
              <w:rPr>
                <w:lang w:val="es-ES"/>
              </w:rPr>
            </w:pPr>
            <w:r w:rsidRPr="00983DD0">
              <w:rPr>
                <w:lang w:val="es-ES" w:eastAsia="ko-KR"/>
              </w:rPr>
              <w:t>–</w:t>
            </w:r>
            <w:r w:rsidR="00D505DB" w:rsidRPr="00187A72">
              <w:rPr>
                <w:lang w:val="es-ES" w:eastAsia="ko-KR"/>
              </w:rPr>
              <w:tab/>
            </w:r>
            <w:r w:rsidR="004609B8" w:rsidRPr="00187A72">
              <w:rPr>
                <w:lang w:val="es-ES" w:eastAsia="ko-KR"/>
              </w:rPr>
              <w:t>–</w:t>
            </w:r>
            <w:r w:rsidR="00D505DB" w:rsidRPr="00187A72">
              <w:rPr>
                <w:lang w:val="es-ES" w:eastAsia="ko-KR"/>
              </w:rPr>
              <w:t>48</w:t>
            </w:r>
            <w:r w:rsidR="007D1A88" w:rsidRPr="00187A72">
              <w:rPr>
                <w:lang w:val="es-ES" w:eastAsia="ko-KR"/>
              </w:rPr>
              <w:t>,</w:t>
            </w:r>
            <w:r w:rsidR="00D505DB" w:rsidRPr="00187A72">
              <w:rPr>
                <w:lang w:val="es-ES" w:eastAsia="ko-KR"/>
              </w:rPr>
              <w:t xml:space="preserve">6 dB(W/200 MHz) </w:t>
            </w:r>
            <w:r w:rsidR="00180B05" w:rsidRPr="00CD6142">
              <w:rPr>
                <w:lang w:val="es-ES"/>
              </w:rPr>
              <w:t>para los equipos de usuario</w:t>
            </w:r>
            <w:r w:rsidR="00D505DB" w:rsidRPr="00187A72">
              <w:rPr>
                <w:lang w:val="es-ES" w:eastAsia="ko-KR"/>
              </w:rPr>
              <w:t>.</w:t>
            </w:r>
          </w:p>
          <w:p w14:paraId="673C67A0" w14:textId="7449F2CA" w:rsidR="00D505DB" w:rsidRPr="00187A72" w:rsidRDefault="003D72EF" w:rsidP="00187A72">
            <w:pPr>
              <w:pStyle w:val="enumlev2"/>
              <w:rPr>
                <w:lang w:val="es-ES"/>
              </w:rPr>
            </w:pPr>
            <w:r w:rsidRPr="003D72EF">
              <w:rPr>
                <w:lang w:val="es-ES"/>
              </w:rPr>
              <w:t>•</w:t>
            </w:r>
            <w:r w:rsidR="008E0BC9" w:rsidRPr="00187A72">
              <w:rPr>
                <w:lang w:val="es-ES"/>
              </w:rPr>
              <w:tab/>
            </w:r>
            <w:r w:rsidR="00180B05" w:rsidRPr="00CD6142">
              <w:rPr>
                <w:lang w:val="es-ES"/>
              </w:rPr>
              <w:t xml:space="preserve">La OMM se opone </w:t>
            </w:r>
            <w:r w:rsidR="00180B05">
              <w:rPr>
                <w:lang w:val="es-ES"/>
              </w:rPr>
              <w:t xml:space="preserve">firmemente </w:t>
            </w:r>
            <w:r w:rsidR="00180B05" w:rsidRPr="00CD6142">
              <w:rPr>
                <w:lang w:val="es-ES"/>
              </w:rPr>
              <w:t xml:space="preserve">a la opción </w:t>
            </w:r>
            <w:r w:rsidR="00180B05">
              <w:rPr>
                <w:lang w:val="es-ES"/>
              </w:rPr>
              <w:t>3</w:t>
            </w:r>
            <w:r w:rsidR="00180B05" w:rsidRPr="00CD6142">
              <w:rPr>
                <w:lang w:val="es-ES"/>
              </w:rPr>
              <w:t xml:space="preserve"> (</w:t>
            </w:r>
            <w:r w:rsidR="00983DD0">
              <w:rPr>
                <w:lang w:val="es-ES"/>
              </w:rPr>
              <w:t>«</w:t>
            </w:r>
            <w:r w:rsidR="00180B05" w:rsidRPr="00CD6142">
              <w:rPr>
                <w:lang w:val="es-ES"/>
              </w:rPr>
              <w:t>no es necesaria ninguna condición</w:t>
            </w:r>
            <w:r w:rsidR="00983DD0">
              <w:rPr>
                <w:lang w:val="es-ES"/>
              </w:rPr>
              <w:t>»</w:t>
            </w:r>
            <w:r w:rsidR="00180B05" w:rsidRPr="00CD6142">
              <w:rPr>
                <w:lang w:val="es-ES"/>
              </w:rPr>
              <w:t xml:space="preserve">), </w:t>
            </w:r>
            <w:r w:rsidR="00180B05">
              <w:rPr>
                <w:lang w:val="es-ES"/>
              </w:rPr>
              <w:t>al ser</w:t>
            </w:r>
            <w:r w:rsidR="00180B05" w:rsidRPr="00CD6142">
              <w:rPr>
                <w:lang w:val="es-ES"/>
              </w:rPr>
              <w:t xml:space="preserve"> incompatible con los resultados de</w:t>
            </w:r>
            <w:r w:rsidR="00180B05">
              <w:rPr>
                <w:lang w:val="es-ES"/>
              </w:rPr>
              <w:t xml:space="preserve"> todos</w:t>
            </w:r>
            <w:r w:rsidR="00180B05" w:rsidRPr="00CD6142">
              <w:rPr>
                <w:lang w:val="es-ES"/>
              </w:rPr>
              <w:t xml:space="preserve"> los estudios del</w:t>
            </w:r>
            <w:r w:rsidR="007F5187">
              <w:rPr>
                <w:lang w:val="es-ES"/>
              </w:rPr>
              <w:t> </w:t>
            </w:r>
            <w:r w:rsidR="00180B05" w:rsidRPr="00CD6142">
              <w:rPr>
                <w:lang w:val="es-ES"/>
              </w:rPr>
              <w:t>UIT-R</w:t>
            </w:r>
            <w:r w:rsidR="00D505DB" w:rsidRPr="00187A72">
              <w:rPr>
                <w:lang w:val="es-ES"/>
              </w:rPr>
              <w:t>.</w:t>
            </w:r>
          </w:p>
          <w:p w14:paraId="136046C3" w14:textId="1C49802A" w:rsidR="00D505DB" w:rsidRPr="00187A72" w:rsidRDefault="00D505DB" w:rsidP="00187A72">
            <w:pPr>
              <w:pStyle w:val="enumlev1"/>
              <w:rPr>
                <w:b/>
                <w:lang w:val="es-ES"/>
              </w:rPr>
            </w:pPr>
            <w:r w:rsidRPr="00187A72">
              <w:rPr>
                <w:lang w:val="es-ES"/>
              </w:rPr>
              <w:t>–</w:t>
            </w:r>
            <w:r w:rsidRPr="00187A72">
              <w:rPr>
                <w:lang w:val="es-ES"/>
              </w:rPr>
              <w:tab/>
            </w:r>
            <w:r w:rsidRPr="00187A72">
              <w:rPr>
                <w:b/>
                <w:lang w:val="es-ES"/>
              </w:rPr>
              <w:t>50</w:t>
            </w:r>
            <w:r w:rsidR="00B92020" w:rsidRPr="00187A72">
              <w:rPr>
                <w:b/>
                <w:lang w:val="es-ES"/>
              </w:rPr>
              <w:t>,</w:t>
            </w:r>
            <w:r w:rsidRPr="00187A72">
              <w:rPr>
                <w:b/>
                <w:lang w:val="es-ES"/>
              </w:rPr>
              <w:t>4-52</w:t>
            </w:r>
            <w:r w:rsidR="00B92020" w:rsidRPr="00187A72">
              <w:rPr>
                <w:b/>
                <w:lang w:val="es-ES"/>
              </w:rPr>
              <w:t>,</w:t>
            </w:r>
            <w:r w:rsidRPr="00187A72">
              <w:rPr>
                <w:b/>
                <w:lang w:val="es-ES"/>
              </w:rPr>
              <w:t>6 GHz:</w:t>
            </w:r>
          </w:p>
          <w:p w14:paraId="6F87596A" w14:textId="7AD7C7FA" w:rsidR="00D505DB" w:rsidRPr="00187A72" w:rsidRDefault="003D72EF" w:rsidP="00187A72">
            <w:pPr>
              <w:pStyle w:val="enumlev2"/>
              <w:rPr>
                <w:lang w:val="es-ES"/>
              </w:rPr>
            </w:pPr>
            <w:r w:rsidRPr="003D72EF">
              <w:rPr>
                <w:lang w:val="es-ES"/>
              </w:rPr>
              <w:t>•</w:t>
            </w:r>
            <w:r>
              <w:rPr>
                <w:lang w:val="es-ES"/>
              </w:rPr>
              <w:tab/>
            </w:r>
            <w:r w:rsidR="008701D4" w:rsidRPr="008701D4">
              <w:rPr>
                <w:lang w:val="es-ES"/>
              </w:rPr>
              <w:t xml:space="preserve">La OMM </w:t>
            </w:r>
            <w:r w:rsidR="008701D4" w:rsidRPr="008C5950">
              <w:rPr>
                <w:lang w:val="es-ES"/>
              </w:rPr>
              <w:t>apoya que no se modifique</w:t>
            </w:r>
            <w:r w:rsidR="008701D4">
              <w:rPr>
                <w:lang w:val="es-ES"/>
              </w:rPr>
              <w:t xml:space="preserve"> esta</w:t>
            </w:r>
            <w:r w:rsidR="008701D4" w:rsidRPr="008701D4">
              <w:rPr>
                <w:lang w:val="es-ES"/>
              </w:rPr>
              <w:t xml:space="preserve"> banda de frecuencias, al ser una banda de frecuencias del SETS (pasivo) que se aborda asimismo en los puntos</w:t>
            </w:r>
            <w:r>
              <w:rPr>
                <w:lang w:val="es-ES"/>
              </w:rPr>
              <w:t> </w:t>
            </w:r>
            <w:r w:rsidR="008701D4" w:rsidRPr="008701D4">
              <w:rPr>
                <w:lang w:val="es-ES"/>
              </w:rPr>
              <w:t>1.6 y 9.1.9 del orden del día, lo que conllevará restricciones suplementarias para el funcionamiento del SETS (pasivo</w:t>
            </w:r>
            <w:r w:rsidR="008701D4" w:rsidRPr="003D72EF">
              <w:rPr>
                <w:lang w:val="es-ES"/>
              </w:rPr>
              <w:t>)</w:t>
            </w:r>
            <w:r w:rsidR="00D505DB" w:rsidRPr="003D72EF">
              <w:rPr>
                <w:lang w:val="es-ES"/>
              </w:rPr>
              <w:t>.</w:t>
            </w:r>
          </w:p>
          <w:p w14:paraId="367E28A7" w14:textId="35136201" w:rsidR="00D505DB" w:rsidRPr="00187A72" w:rsidRDefault="003D72EF" w:rsidP="00187A72">
            <w:pPr>
              <w:pStyle w:val="enumlev2"/>
              <w:rPr>
                <w:lang w:val="es-ES"/>
              </w:rPr>
            </w:pPr>
            <w:r w:rsidRPr="003D72EF">
              <w:rPr>
                <w:lang w:val="es-ES"/>
              </w:rPr>
              <w:t>•</w:t>
            </w:r>
            <w:r w:rsidR="00B248B3" w:rsidRPr="00187A72">
              <w:rPr>
                <w:lang w:val="es-ES"/>
              </w:rPr>
              <w:tab/>
            </w:r>
            <w:r w:rsidR="008701D4" w:rsidRPr="008C5950">
              <w:rPr>
                <w:lang w:val="es-ES"/>
              </w:rPr>
              <w:t>Sin embargo, si se decide una identificación</w:t>
            </w:r>
            <w:r w:rsidR="008701D4">
              <w:rPr>
                <w:lang w:val="es-ES"/>
              </w:rPr>
              <w:t xml:space="preserve"> de las</w:t>
            </w:r>
            <w:r w:rsidR="008701D4" w:rsidRPr="008C5950">
              <w:rPr>
                <w:lang w:val="es-ES"/>
              </w:rPr>
              <w:t xml:space="preserve"> IMT-2020, la OMM apoyaría el </w:t>
            </w:r>
            <w:r w:rsidRPr="008C5950">
              <w:rPr>
                <w:lang w:val="es-ES"/>
              </w:rPr>
              <w:t xml:space="preserve">Método </w:t>
            </w:r>
            <w:r w:rsidR="008701D4">
              <w:rPr>
                <w:lang w:val="es-ES"/>
              </w:rPr>
              <w:t>I</w:t>
            </w:r>
            <w:r w:rsidR="008701D4" w:rsidRPr="008C5950">
              <w:rPr>
                <w:lang w:val="es-ES"/>
              </w:rPr>
              <w:t>2</w:t>
            </w:r>
            <w:r w:rsidR="008701D4">
              <w:rPr>
                <w:lang w:val="es-ES"/>
              </w:rPr>
              <w:t>, a</w:t>
            </w:r>
            <w:r w:rsidR="008701D4" w:rsidRPr="008C5950">
              <w:rPr>
                <w:lang w:val="es-ES"/>
              </w:rPr>
              <w:t>lternativ</w:t>
            </w:r>
            <w:r w:rsidR="008701D4">
              <w:rPr>
                <w:lang w:val="es-ES"/>
              </w:rPr>
              <w:t>a</w:t>
            </w:r>
            <w:r w:rsidR="008701D4" w:rsidRPr="008C5950">
              <w:rPr>
                <w:lang w:val="es-ES"/>
              </w:rPr>
              <w:t xml:space="preserve"> 1</w:t>
            </w:r>
            <w:r w:rsidR="008701D4">
              <w:rPr>
                <w:lang w:val="es-ES"/>
              </w:rPr>
              <w:t>, c</w:t>
            </w:r>
            <w:r w:rsidR="008701D4" w:rsidRPr="008C5950">
              <w:rPr>
                <w:lang w:val="es-ES"/>
              </w:rPr>
              <w:t xml:space="preserve">ondición </w:t>
            </w:r>
            <w:r w:rsidR="008701D4">
              <w:rPr>
                <w:lang w:val="es-ES"/>
              </w:rPr>
              <w:t>I</w:t>
            </w:r>
            <w:r w:rsidR="008701D4" w:rsidRPr="008C5950">
              <w:rPr>
                <w:lang w:val="es-ES"/>
              </w:rPr>
              <w:t>2a</w:t>
            </w:r>
            <w:r w:rsidR="008701D4">
              <w:rPr>
                <w:lang w:val="es-ES"/>
              </w:rPr>
              <w:t>, o</w:t>
            </w:r>
            <w:r w:rsidR="008701D4" w:rsidRPr="008C5950">
              <w:rPr>
                <w:lang w:val="es-ES"/>
              </w:rPr>
              <w:t>pción 1</w:t>
            </w:r>
            <w:r w:rsidR="008701D4">
              <w:rPr>
                <w:lang w:val="es-ES"/>
              </w:rPr>
              <w:t>,</w:t>
            </w:r>
            <w:r w:rsidR="008701D4" w:rsidRPr="008C5950">
              <w:rPr>
                <w:lang w:val="es-ES"/>
              </w:rPr>
              <w:t xml:space="preserve"> para </w:t>
            </w:r>
            <w:r w:rsidR="008701D4">
              <w:rPr>
                <w:lang w:val="es-ES"/>
              </w:rPr>
              <w:t>la protección de las bandas</w:t>
            </w:r>
            <w:r w:rsidR="008701D4" w:rsidRPr="008C5950">
              <w:rPr>
                <w:lang w:val="es-ES"/>
              </w:rPr>
              <w:t xml:space="preserve"> 50,2-50,4 GHz</w:t>
            </w:r>
            <w:r w:rsidR="008701D4">
              <w:rPr>
                <w:lang w:val="es-ES"/>
              </w:rPr>
              <w:t xml:space="preserve"> y </w:t>
            </w:r>
            <w:r w:rsidR="008701D4">
              <w:t>52,6-</w:t>
            </w:r>
            <w:r w:rsidR="008701D4" w:rsidRPr="00876FC2">
              <w:t>54</w:t>
            </w:r>
            <w:r w:rsidR="008701D4">
              <w:t>,</w:t>
            </w:r>
            <w:r w:rsidR="008701D4" w:rsidRPr="00876FC2">
              <w:t>25</w:t>
            </w:r>
            <w:r w:rsidR="008701D4">
              <w:t xml:space="preserve"> del SETS (pasivo), habida cuenta de la aplicación de</w:t>
            </w:r>
            <w:r w:rsidR="008701D4" w:rsidRPr="008C5950">
              <w:rPr>
                <w:lang w:val="es-ES"/>
              </w:rPr>
              <w:t xml:space="preserve"> los siguientes niveles obligatorios de emisiones no deseadas</w:t>
            </w:r>
            <w:r w:rsidR="00D505DB" w:rsidRPr="00187A72">
              <w:rPr>
                <w:lang w:val="es-ES"/>
              </w:rPr>
              <w:t>:</w:t>
            </w:r>
          </w:p>
          <w:p w14:paraId="20EA4CF0" w14:textId="1408FDF7" w:rsidR="00D505DB" w:rsidRPr="00187A72" w:rsidRDefault="003D72EF" w:rsidP="00187A72">
            <w:pPr>
              <w:pStyle w:val="enumlev3"/>
              <w:keepNext/>
              <w:keepLines/>
              <w:rPr>
                <w:lang w:val="es-ES"/>
              </w:rPr>
            </w:pPr>
            <w:r w:rsidRPr="003D72EF">
              <w:rPr>
                <w:lang w:val="es-ES"/>
              </w:rPr>
              <w:t>–</w:t>
            </w:r>
            <w:r w:rsidR="00D505DB" w:rsidRPr="00187A72">
              <w:rPr>
                <w:lang w:val="es-ES"/>
              </w:rPr>
              <w:tab/>
            </w:r>
            <w:r w:rsidR="005F556F" w:rsidRPr="00187A72">
              <w:rPr>
                <w:lang w:val="es-ES"/>
              </w:rPr>
              <w:t xml:space="preserve">Para </w:t>
            </w:r>
            <w:r w:rsidR="008701D4" w:rsidRPr="00187A72">
              <w:rPr>
                <w:lang w:val="es-ES"/>
              </w:rPr>
              <w:t>la banda</w:t>
            </w:r>
            <w:r w:rsidR="00D505DB" w:rsidRPr="00187A72">
              <w:rPr>
                <w:lang w:val="es-ES"/>
              </w:rPr>
              <w:t xml:space="preserve"> 50</w:t>
            </w:r>
            <w:r w:rsidR="008701D4" w:rsidRPr="00187A72">
              <w:rPr>
                <w:lang w:val="es-ES"/>
              </w:rPr>
              <w:t>,</w:t>
            </w:r>
            <w:r w:rsidR="00D505DB" w:rsidRPr="00187A72">
              <w:rPr>
                <w:lang w:val="es-ES"/>
              </w:rPr>
              <w:t>2-50</w:t>
            </w:r>
            <w:r w:rsidR="008701D4" w:rsidRPr="00187A72">
              <w:rPr>
                <w:lang w:val="es-ES"/>
              </w:rPr>
              <w:t>,</w:t>
            </w:r>
            <w:r w:rsidR="00D505DB" w:rsidRPr="00187A72">
              <w:rPr>
                <w:lang w:val="es-ES"/>
              </w:rPr>
              <w:t>4 GHz:</w:t>
            </w:r>
          </w:p>
          <w:p w14:paraId="5796447D" w14:textId="0C0781A2" w:rsidR="00D505DB" w:rsidRPr="00E05783" w:rsidRDefault="003D72EF" w:rsidP="003D72EF">
            <w:pPr>
              <w:pStyle w:val="enumlev4"/>
              <w:numPr>
                <w:ilvl w:val="0"/>
                <w:numId w:val="0"/>
              </w:numPr>
              <w:ind w:left="2605" w:hanging="322"/>
              <w:rPr>
                <w:sz w:val="24"/>
                <w:szCs w:val="24"/>
                <w:lang w:val="es-ES"/>
              </w:rPr>
            </w:pPr>
            <w:r w:rsidRPr="00E05783">
              <w:rPr>
                <w:sz w:val="24"/>
                <w:szCs w:val="24"/>
                <w:lang w:val="es-ES"/>
              </w:rPr>
              <w:t>•</w:t>
            </w:r>
            <w:r w:rsidRPr="00E05783">
              <w:rPr>
                <w:sz w:val="24"/>
                <w:szCs w:val="24"/>
                <w:lang w:val="es-ES"/>
              </w:rPr>
              <w:tab/>
            </w:r>
            <w:r w:rsidR="004609B8" w:rsidRPr="00E05783">
              <w:rPr>
                <w:sz w:val="24"/>
                <w:szCs w:val="24"/>
                <w:lang w:val="es-ES"/>
              </w:rPr>
              <w:t>–</w:t>
            </w:r>
            <w:r w:rsidR="00D505DB" w:rsidRPr="00E05783">
              <w:rPr>
                <w:sz w:val="24"/>
                <w:szCs w:val="24"/>
                <w:lang w:val="es-ES"/>
              </w:rPr>
              <w:t>49</w:t>
            </w:r>
            <w:r w:rsidR="00E63226" w:rsidRPr="00E05783">
              <w:rPr>
                <w:sz w:val="24"/>
                <w:szCs w:val="24"/>
                <w:lang w:val="es-ES"/>
              </w:rPr>
              <w:t>,</w:t>
            </w:r>
            <w:r w:rsidR="00D505DB" w:rsidRPr="00E05783">
              <w:rPr>
                <w:sz w:val="24"/>
                <w:szCs w:val="24"/>
                <w:lang w:val="es-ES"/>
              </w:rPr>
              <w:t xml:space="preserve">3 dB(W/200 MHz) </w:t>
            </w:r>
            <w:r w:rsidR="008701D4" w:rsidRPr="00E05783">
              <w:rPr>
                <w:sz w:val="24"/>
                <w:szCs w:val="24"/>
                <w:lang w:val="es-ES"/>
              </w:rPr>
              <w:t>para las estaciones de base</w:t>
            </w:r>
            <w:r w:rsidR="007916E7">
              <w:rPr>
                <w:sz w:val="24"/>
                <w:szCs w:val="24"/>
                <w:lang w:val="es-ES"/>
              </w:rPr>
              <w:t>;</w:t>
            </w:r>
          </w:p>
          <w:p w14:paraId="3ACE5D2E" w14:textId="74547F1F" w:rsidR="00D505DB" w:rsidRPr="00E05783" w:rsidRDefault="003D72EF" w:rsidP="003D72EF">
            <w:pPr>
              <w:pStyle w:val="enumlev4"/>
              <w:numPr>
                <w:ilvl w:val="0"/>
                <w:numId w:val="0"/>
              </w:numPr>
              <w:ind w:left="2605" w:hanging="322"/>
              <w:rPr>
                <w:sz w:val="24"/>
                <w:szCs w:val="24"/>
                <w:lang w:val="es-ES"/>
              </w:rPr>
            </w:pPr>
            <w:r w:rsidRPr="00E05783">
              <w:rPr>
                <w:sz w:val="24"/>
                <w:szCs w:val="24"/>
                <w:lang w:val="es-ES"/>
              </w:rPr>
              <w:t>•</w:t>
            </w:r>
            <w:r w:rsidRPr="00E05783">
              <w:rPr>
                <w:sz w:val="24"/>
                <w:szCs w:val="24"/>
                <w:lang w:val="es-ES"/>
              </w:rPr>
              <w:tab/>
            </w:r>
            <w:r w:rsidR="004609B8" w:rsidRPr="00E05783">
              <w:rPr>
                <w:sz w:val="24"/>
                <w:szCs w:val="24"/>
                <w:lang w:val="es-ES"/>
              </w:rPr>
              <w:t>–</w:t>
            </w:r>
            <w:r w:rsidR="00D505DB" w:rsidRPr="00E05783">
              <w:rPr>
                <w:sz w:val="24"/>
                <w:szCs w:val="24"/>
                <w:lang w:val="es-ES"/>
              </w:rPr>
              <w:t>48</w:t>
            </w:r>
            <w:r w:rsidR="00E63226" w:rsidRPr="00E05783">
              <w:rPr>
                <w:sz w:val="24"/>
                <w:szCs w:val="24"/>
                <w:lang w:val="es-ES"/>
              </w:rPr>
              <w:t>,</w:t>
            </w:r>
            <w:r w:rsidR="00D505DB" w:rsidRPr="00E05783">
              <w:rPr>
                <w:sz w:val="24"/>
                <w:szCs w:val="24"/>
                <w:lang w:val="es-ES"/>
              </w:rPr>
              <w:t xml:space="preserve">6 dB(W/200 MHz) </w:t>
            </w:r>
            <w:r w:rsidR="008701D4" w:rsidRPr="00E05783">
              <w:rPr>
                <w:sz w:val="24"/>
                <w:szCs w:val="24"/>
                <w:lang w:val="es-ES"/>
              </w:rPr>
              <w:t>para los equipos de usuario</w:t>
            </w:r>
            <w:r w:rsidR="00D505DB" w:rsidRPr="00E05783">
              <w:rPr>
                <w:sz w:val="24"/>
                <w:szCs w:val="24"/>
                <w:lang w:val="es-ES"/>
              </w:rPr>
              <w:t>.</w:t>
            </w:r>
          </w:p>
          <w:p w14:paraId="19D98B86" w14:textId="7CA4B441" w:rsidR="00D505DB" w:rsidRPr="00187A72" w:rsidRDefault="003D72EF" w:rsidP="00187A72">
            <w:pPr>
              <w:pStyle w:val="enumlev3"/>
              <w:rPr>
                <w:lang w:val="es-ES"/>
              </w:rPr>
            </w:pPr>
            <w:r w:rsidRPr="003D72EF">
              <w:rPr>
                <w:lang w:val="es-ES"/>
              </w:rPr>
              <w:t>–</w:t>
            </w:r>
            <w:r>
              <w:rPr>
                <w:lang w:val="es-ES"/>
              </w:rPr>
              <w:tab/>
            </w:r>
            <w:r w:rsidR="005F556F" w:rsidRPr="00187A72">
              <w:rPr>
                <w:lang w:val="es-ES"/>
              </w:rPr>
              <w:t xml:space="preserve">Para </w:t>
            </w:r>
            <w:r w:rsidR="008701D4" w:rsidRPr="00187A72">
              <w:rPr>
                <w:lang w:val="es-ES"/>
              </w:rPr>
              <w:t xml:space="preserve">la banda </w:t>
            </w:r>
            <w:r w:rsidR="00D505DB" w:rsidRPr="00187A72">
              <w:rPr>
                <w:lang w:val="es-ES" w:eastAsia="ko-KR"/>
              </w:rPr>
              <w:t>52</w:t>
            </w:r>
            <w:r w:rsidR="00003066" w:rsidRPr="00187A72">
              <w:rPr>
                <w:lang w:val="es-ES" w:eastAsia="ko-KR"/>
              </w:rPr>
              <w:t>,</w:t>
            </w:r>
            <w:r w:rsidR="00D505DB" w:rsidRPr="00187A72">
              <w:rPr>
                <w:lang w:val="es-ES" w:eastAsia="ko-KR"/>
              </w:rPr>
              <w:t>6-54</w:t>
            </w:r>
            <w:r w:rsidR="00003066" w:rsidRPr="00187A72">
              <w:rPr>
                <w:lang w:val="es-ES" w:eastAsia="ko-KR"/>
              </w:rPr>
              <w:t>,</w:t>
            </w:r>
            <w:r w:rsidR="00D505DB" w:rsidRPr="00187A72">
              <w:rPr>
                <w:lang w:val="es-ES" w:eastAsia="ko-KR"/>
              </w:rPr>
              <w:t>25 GHz:</w:t>
            </w:r>
          </w:p>
          <w:p w14:paraId="49CA570A" w14:textId="332F5BE0" w:rsidR="00D505DB" w:rsidRPr="00E05783" w:rsidRDefault="00BA0A70" w:rsidP="00187A72">
            <w:pPr>
              <w:pStyle w:val="enumlev4"/>
              <w:numPr>
                <w:ilvl w:val="0"/>
                <w:numId w:val="0"/>
              </w:numPr>
              <w:spacing w:line="240" w:lineRule="auto"/>
              <w:ind w:left="2520"/>
              <w:rPr>
                <w:sz w:val="24"/>
                <w:szCs w:val="24"/>
                <w:lang w:val="es-ES"/>
              </w:rPr>
            </w:pPr>
            <w:r w:rsidRPr="00E05783">
              <w:rPr>
                <w:sz w:val="24"/>
                <w:szCs w:val="24"/>
                <w:lang w:val="es-ES"/>
              </w:rPr>
              <w:t>•</w:t>
            </w:r>
            <w:r w:rsidRPr="00E05783">
              <w:rPr>
                <w:sz w:val="24"/>
                <w:szCs w:val="24"/>
                <w:lang w:val="es-ES"/>
              </w:rPr>
              <w:tab/>
            </w:r>
            <w:r w:rsidR="00221DE9" w:rsidRPr="00E05783">
              <w:rPr>
                <w:sz w:val="24"/>
                <w:szCs w:val="24"/>
                <w:lang w:val="es-ES"/>
              </w:rPr>
              <w:t>–</w:t>
            </w:r>
            <w:r w:rsidR="00D505DB" w:rsidRPr="00E05783">
              <w:rPr>
                <w:sz w:val="24"/>
                <w:szCs w:val="24"/>
                <w:lang w:val="es-ES"/>
              </w:rPr>
              <w:t>45</w:t>
            </w:r>
            <w:r w:rsidR="00E63226" w:rsidRPr="00E05783">
              <w:rPr>
                <w:sz w:val="24"/>
                <w:szCs w:val="24"/>
                <w:lang w:val="es-ES"/>
              </w:rPr>
              <w:t>,</w:t>
            </w:r>
            <w:r w:rsidR="00D505DB" w:rsidRPr="00E05783">
              <w:rPr>
                <w:sz w:val="24"/>
                <w:szCs w:val="24"/>
                <w:lang w:val="es-ES"/>
              </w:rPr>
              <w:t xml:space="preserve">3 dB(W/100 MHz) </w:t>
            </w:r>
            <w:r w:rsidR="004C61C1" w:rsidRPr="00E05783">
              <w:rPr>
                <w:sz w:val="24"/>
                <w:szCs w:val="24"/>
                <w:lang w:val="es-ES"/>
              </w:rPr>
              <w:t>para las estaciones de base</w:t>
            </w:r>
            <w:r w:rsidR="007916E7">
              <w:rPr>
                <w:sz w:val="24"/>
                <w:szCs w:val="24"/>
                <w:lang w:val="es-ES"/>
              </w:rPr>
              <w:t>;</w:t>
            </w:r>
          </w:p>
          <w:p w14:paraId="7279FFC9" w14:textId="641B4C0E" w:rsidR="00D505DB" w:rsidRPr="00E05783" w:rsidRDefault="00BA0A70" w:rsidP="00187A72">
            <w:pPr>
              <w:pStyle w:val="enumlev4"/>
              <w:numPr>
                <w:ilvl w:val="0"/>
                <w:numId w:val="0"/>
              </w:numPr>
              <w:spacing w:line="240" w:lineRule="auto"/>
              <w:ind w:left="2520"/>
              <w:rPr>
                <w:sz w:val="24"/>
                <w:szCs w:val="24"/>
                <w:lang w:val="es-ES"/>
              </w:rPr>
            </w:pPr>
            <w:r w:rsidRPr="00E05783">
              <w:rPr>
                <w:sz w:val="24"/>
                <w:szCs w:val="24"/>
                <w:lang w:val="es-ES"/>
              </w:rPr>
              <w:t>•</w:t>
            </w:r>
            <w:r w:rsidRPr="00E05783">
              <w:rPr>
                <w:sz w:val="24"/>
                <w:szCs w:val="24"/>
                <w:lang w:val="es-ES"/>
              </w:rPr>
              <w:tab/>
            </w:r>
            <w:r w:rsidR="00221DE9" w:rsidRPr="00E05783">
              <w:rPr>
                <w:sz w:val="24"/>
                <w:szCs w:val="24"/>
                <w:lang w:val="es-ES"/>
              </w:rPr>
              <w:t>–</w:t>
            </w:r>
            <w:r w:rsidR="00D505DB" w:rsidRPr="00E05783">
              <w:rPr>
                <w:sz w:val="24"/>
                <w:szCs w:val="24"/>
                <w:lang w:val="es-ES"/>
              </w:rPr>
              <w:t>44</w:t>
            </w:r>
            <w:r w:rsidR="00E63226" w:rsidRPr="00E05783">
              <w:rPr>
                <w:sz w:val="24"/>
                <w:szCs w:val="24"/>
                <w:lang w:val="es-ES"/>
              </w:rPr>
              <w:t>,</w:t>
            </w:r>
            <w:r w:rsidR="00D505DB" w:rsidRPr="00E05783">
              <w:rPr>
                <w:sz w:val="24"/>
                <w:szCs w:val="24"/>
                <w:lang w:val="es-ES"/>
              </w:rPr>
              <w:t xml:space="preserve">3 dB(W/100 MHz) </w:t>
            </w:r>
            <w:r w:rsidR="004C61C1" w:rsidRPr="00E05783">
              <w:rPr>
                <w:sz w:val="24"/>
                <w:szCs w:val="24"/>
                <w:lang w:val="es-ES"/>
              </w:rPr>
              <w:t>para los equipos de usuario</w:t>
            </w:r>
            <w:r w:rsidR="00D505DB" w:rsidRPr="00E05783">
              <w:rPr>
                <w:sz w:val="24"/>
                <w:szCs w:val="24"/>
                <w:lang w:val="es-ES"/>
              </w:rPr>
              <w:t>.</w:t>
            </w:r>
          </w:p>
          <w:p w14:paraId="4D56A41A" w14:textId="58E0EA1A" w:rsidR="00D505DB" w:rsidRPr="00187A72" w:rsidRDefault="005F556F" w:rsidP="00187A72">
            <w:pPr>
              <w:pStyle w:val="enumlev2"/>
              <w:rPr>
                <w:lang w:val="es-ES"/>
              </w:rPr>
            </w:pPr>
            <w:r w:rsidRPr="005F556F">
              <w:rPr>
                <w:lang w:val="es-ES"/>
              </w:rPr>
              <w:t>•</w:t>
            </w:r>
            <w:r>
              <w:rPr>
                <w:lang w:val="es-ES"/>
              </w:rPr>
              <w:tab/>
            </w:r>
            <w:r w:rsidR="008701D4" w:rsidRPr="00CD6142">
              <w:rPr>
                <w:lang w:val="es-ES"/>
              </w:rPr>
              <w:t xml:space="preserve">La OMM se opone </w:t>
            </w:r>
            <w:r w:rsidR="008701D4">
              <w:rPr>
                <w:lang w:val="es-ES"/>
              </w:rPr>
              <w:t xml:space="preserve">firmemente </w:t>
            </w:r>
            <w:r w:rsidR="008701D4" w:rsidRPr="00CD6142">
              <w:rPr>
                <w:lang w:val="es-ES"/>
              </w:rPr>
              <w:t xml:space="preserve">a la opción </w:t>
            </w:r>
            <w:r w:rsidR="008701D4">
              <w:rPr>
                <w:lang w:val="es-ES"/>
              </w:rPr>
              <w:t>3</w:t>
            </w:r>
            <w:r w:rsidR="008701D4" w:rsidRPr="00CD6142">
              <w:rPr>
                <w:lang w:val="es-ES"/>
              </w:rPr>
              <w:t xml:space="preserve"> (</w:t>
            </w:r>
            <w:r>
              <w:rPr>
                <w:lang w:val="es-ES"/>
              </w:rPr>
              <w:t>«</w:t>
            </w:r>
            <w:r w:rsidR="008701D4" w:rsidRPr="00CD6142">
              <w:rPr>
                <w:lang w:val="es-ES"/>
              </w:rPr>
              <w:t>no es necesaria ninguna condición</w:t>
            </w:r>
            <w:r>
              <w:rPr>
                <w:lang w:val="es-ES"/>
              </w:rPr>
              <w:t>»</w:t>
            </w:r>
            <w:r w:rsidR="008701D4" w:rsidRPr="00CD6142">
              <w:rPr>
                <w:lang w:val="es-ES"/>
              </w:rPr>
              <w:t xml:space="preserve">), </w:t>
            </w:r>
            <w:r w:rsidR="008701D4">
              <w:rPr>
                <w:lang w:val="es-ES"/>
              </w:rPr>
              <w:t>al ser</w:t>
            </w:r>
            <w:r w:rsidR="008701D4" w:rsidRPr="00CD6142">
              <w:rPr>
                <w:lang w:val="es-ES"/>
              </w:rPr>
              <w:t xml:space="preserve"> incompatible con los resultados de</w:t>
            </w:r>
            <w:r w:rsidR="008701D4">
              <w:rPr>
                <w:lang w:val="es-ES"/>
              </w:rPr>
              <w:t xml:space="preserve"> todos</w:t>
            </w:r>
            <w:r w:rsidR="008701D4" w:rsidRPr="00CD6142">
              <w:rPr>
                <w:lang w:val="es-ES"/>
              </w:rPr>
              <w:t xml:space="preserve"> los estudios del</w:t>
            </w:r>
            <w:r w:rsidR="007F5187">
              <w:rPr>
                <w:lang w:val="es-ES"/>
              </w:rPr>
              <w:t> </w:t>
            </w:r>
            <w:r w:rsidR="008701D4" w:rsidRPr="00CD6142">
              <w:rPr>
                <w:lang w:val="es-ES"/>
              </w:rPr>
              <w:t>UIT-R</w:t>
            </w:r>
            <w:r w:rsidR="00D505DB" w:rsidRPr="00187A72">
              <w:rPr>
                <w:lang w:val="es-ES"/>
              </w:rPr>
              <w:t>.</w:t>
            </w:r>
          </w:p>
          <w:p w14:paraId="0FE24A72" w14:textId="3F5E0F35" w:rsidR="00D505DB" w:rsidRPr="00187A72" w:rsidRDefault="00D505DB" w:rsidP="00187A72">
            <w:pPr>
              <w:pStyle w:val="enumlev1"/>
              <w:rPr>
                <w:b/>
                <w:lang w:val="es-ES"/>
              </w:rPr>
            </w:pPr>
            <w:r w:rsidRPr="00187A72">
              <w:rPr>
                <w:lang w:val="es-ES"/>
              </w:rPr>
              <w:t>–</w:t>
            </w:r>
            <w:r w:rsidRPr="00187A72">
              <w:rPr>
                <w:lang w:val="es-ES"/>
              </w:rPr>
              <w:tab/>
            </w:r>
            <w:r w:rsidRPr="00187A72">
              <w:rPr>
                <w:b/>
                <w:lang w:val="es-ES"/>
              </w:rPr>
              <w:t>81-86 GHz:</w:t>
            </w:r>
          </w:p>
          <w:p w14:paraId="3C0EDC1D" w14:textId="3AE46097" w:rsidR="008701D4" w:rsidRPr="00187A72" w:rsidRDefault="005F556F" w:rsidP="00187A72">
            <w:pPr>
              <w:pStyle w:val="enumlev2"/>
              <w:rPr>
                <w:lang w:val="es-ES"/>
              </w:rPr>
            </w:pPr>
            <w:r w:rsidRPr="005F556F">
              <w:rPr>
                <w:lang w:val="es-ES"/>
              </w:rPr>
              <w:t>•</w:t>
            </w:r>
            <w:r>
              <w:rPr>
                <w:lang w:val="es-ES"/>
              </w:rPr>
              <w:tab/>
            </w:r>
            <w:r w:rsidR="008701D4" w:rsidRPr="00187A72">
              <w:rPr>
                <w:lang w:val="es-ES"/>
              </w:rPr>
              <w:t>La OMM apoya que no se modifique esta banda de frecuencias.</w:t>
            </w:r>
          </w:p>
          <w:p w14:paraId="22070718" w14:textId="6C7C3D8D" w:rsidR="00D505DB" w:rsidRPr="00187A72" w:rsidRDefault="005F556F" w:rsidP="00187A72">
            <w:pPr>
              <w:pStyle w:val="enumlev2"/>
              <w:rPr>
                <w:lang w:val="es-ES"/>
              </w:rPr>
            </w:pPr>
            <w:r w:rsidRPr="005F556F">
              <w:rPr>
                <w:lang w:val="es-ES"/>
              </w:rPr>
              <w:t>•</w:t>
            </w:r>
            <w:r>
              <w:rPr>
                <w:lang w:val="es-ES"/>
              </w:rPr>
              <w:tab/>
            </w:r>
            <w:r w:rsidR="004C61C1" w:rsidRPr="008C5950">
              <w:rPr>
                <w:lang w:val="es-ES"/>
              </w:rPr>
              <w:t>Sin embargo, si se decide una identificación</w:t>
            </w:r>
            <w:r w:rsidR="004C61C1">
              <w:rPr>
                <w:lang w:val="es-ES"/>
              </w:rPr>
              <w:t xml:space="preserve"> de las</w:t>
            </w:r>
            <w:r w:rsidR="004C61C1" w:rsidRPr="008C5950">
              <w:rPr>
                <w:lang w:val="es-ES"/>
              </w:rPr>
              <w:t xml:space="preserve"> IMT-2020, la OMM apoyaría el </w:t>
            </w:r>
            <w:r w:rsidRPr="008C5950">
              <w:rPr>
                <w:lang w:val="es-ES"/>
              </w:rPr>
              <w:t xml:space="preserve">Método </w:t>
            </w:r>
            <w:r w:rsidR="004C61C1">
              <w:rPr>
                <w:lang w:val="es-ES"/>
              </w:rPr>
              <w:t>L</w:t>
            </w:r>
            <w:r w:rsidR="004C61C1" w:rsidRPr="008C5950">
              <w:rPr>
                <w:lang w:val="es-ES"/>
              </w:rPr>
              <w:t>2</w:t>
            </w:r>
            <w:r w:rsidR="004C61C1">
              <w:rPr>
                <w:lang w:val="es-ES"/>
              </w:rPr>
              <w:t>, a</w:t>
            </w:r>
            <w:r w:rsidR="004C61C1" w:rsidRPr="008C5950">
              <w:rPr>
                <w:lang w:val="es-ES"/>
              </w:rPr>
              <w:t>lternativ</w:t>
            </w:r>
            <w:r w:rsidR="004C61C1">
              <w:rPr>
                <w:lang w:val="es-ES"/>
              </w:rPr>
              <w:t>a</w:t>
            </w:r>
            <w:r w:rsidR="004C61C1" w:rsidRPr="008C5950">
              <w:rPr>
                <w:lang w:val="es-ES"/>
              </w:rPr>
              <w:t xml:space="preserve"> 1</w:t>
            </w:r>
            <w:r w:rsidR="004C61C1">
              <w:rPr>
                <w:lang w:val="es-ES"/>
              </w:rPr>
              <w:t>, c</w:t>
            </w:r>
            <w:r w:rsidR="004C61C1" w:rsidRPr="008C5950">
              <w:rPr>
                <w:lang w:val="es-ES"/>
              </w:rPr>
              <w:t xml:space="preserve">ondición </w:t>
            </w:r>
            <w:r w:rsidR="005107AE">
              <w:rPr>
                <w:lang w:val="es-ES"/>
              </w:rPr>
              <w:t>L</w:t>
            </w:r>
            <w:r w:rsidR="004C61C1" w:rsidRPr="008C5950">
              <w:rPr>
                <w:lang w:val="es-ES"/>
              </w:rPr>
              <w:t>2a</w:t>
            </w:r>
            <w:r w:rsidR="004C61C1">
              <w:rPr>
                <w:lang w:val="es-ES"/>
              </w:rPr>
              <w:t>, o</w:t>
            </w:r>
            <w:r w:rsidR="004C61C1" w:rsidRPr="008C5950">
              <w:rPr>
                <w:lang w:val="es-ES"/>
              </w:rPr>
              <w:t>pción 1</w:t>
            </w:r>
            <w:r w:rsidR="004C61C1">
              <w:rPr>
                <w:lang w:val="es-ES"/>
              </w:rPr>
              <w:t>,</w:t>
            </w:r>
            <w:r w:rsidR="004C61C1" w:rsidRPr="008C5950">
              <w:rPr>
                <w:lang w:val="es-ES"/>
              </w:rPr>
              <w:t xml:space="preserve"> para </w:t>
            </w:r>
            <w:r w:rsidR="004C61C1">
              <w:rPr>
                <w:lang w:val="es-ES"/>
              </w:rPr>
              <w:t xml:space="preserve">la protección </w:t>
            </w:r>
            <w:r w:rsidR="004C61C1">
              <w:t>del SETS (pasivo) en la</w:t>
            </w:r>
            <w:r w:rsidR="004C61C1">
              <w:rPr>
                <w:lang w:val="es-ES"/>
              </w:rPr>
              <w:t xml:space="preserve"> banda de frecuencias</w:t>
            </w:r>
            <w:r w:rsidR="004C61C1" w:rsidRPr="008C5950">
              <w:rPr>
                <w:lang w:val="es-ES"/>
              </w:rPr>
              <w:t xml:space="preserve"> </w:t>
            </w:r>
            <w:r w:rsidR="004C61C1" w:rsidRPr="00876FC2">
              <w:t>86-92 GHz</w:t>
            </w:r>
            <w:r w:rsidR="004C61C1">
              <w:t>, habida cuenta de la aplicación de</w:t>
            </w:r>
            <w:r w:rsidR="004C61C1" w:rsidRPr="008C5950">
              <w:rPr>
                <w:lang w:val="es-ES"/>
              </w:rPr>
              <w:t xml:space="preserve"> los siguientes niveles obligatorios de emisiones no deseadas</w:t>
            </w:r>
            <w:r w:rsidR="00D505DB" w:rsidRPr="00187A72">
              <w:rPr>
                <w:lang w:val="es-ES"/>
              </w:rPr>
              <w:t>:</w:t>
            </w:r>
          </w:p>
          <w:p w14:paraId="02A7EC2E" w14:textId="58FD7263" w:rsidR="00D505DB" w:rsidRPr="00187A72" w:rsidRDefault="005F556F" w:rsidP="00187A72">
            <w:pPr>
              <w:pStyle w:val="enumlev3"/>
              <w:rPr>
                <w:lang w:val="es-ES"/>
              </w:rPr>
            </w:pPr>
            <w:r w:rsidRPr="005F556F">
              <w:rPr>
                <w:lang w:val="es-ES" w:eastAsia="ko-KR"/>
              </w:rPr>
              <w:lastRenderedPageBreak/>
              <w:t>–</w:t>
            </w:r>
            <w:r w:rsidR="00D505DB" w:rsidRPr="00187A72">
              <w:rPr>
                <w:lang w:val="es-ES" w:eastAsia="ko-KR"/>
              </w:rPr>
              <w:tab/>
            </w:r>
            <w:r w:rsidR="00221DE9" w:rsidRPr="00187A72">
              <w:rPr>
                <w:lang w:val="es-ES" w:eastAsia="ko-KR"/>
              </w:rPr>
              <w:t>–</w:t>
            </w:r>
            <w:r w:rsidR="00D505DB" w:rsidRPr="00187A72">
              <w:rPr>
                <w:lang w:val="es-ES" w:eastAsia="ko-KR"/>
              </w:rPr>
              <w:t>49</w:t>
            </w:r>
            <w:r w:rsidR="00E63226" w:rsidRPr="00187A72">
              <w:rPr>
                <w:lang w:val="es-ES" w:eastAsia="ko-KR"/>
              </w:rPr>
              <w:t>,</w:t>
            </w:r>
            <w:r w:rsidR="00D505DB" w:rsidRPr="00187A72">
              <w:rPr>
                <w:lang w:val="es-ES" w:eastAsia="ko-KR"/>
              </w:rPr>
              <w:t xml:space="preserve">9 dB(W/100 MHz) </w:t>
            </w:r>
            <w:r w:rsidR="004C61C1" w:rsidRPr="00CD6142">
              <w:rPr>
                <w:lang w:val="es-ES"/>
              </w:rPr>
              <w:t>para las estaciones de base</w:t>
            </w:r>
            <w:r w:rsidR="007F5187">
              <w:rPr>
                <w:lang w:val="es-ES" w:eastAsia="ko-KR"/>
              </w:rPr>
              <w:t>;</w:t>
            </w:r>
          </w:p>
          <w:p w14:paraId="7F1C469F" w14:textId="40335215" w:rsidR="00D505DB" w:rsidRPr="00187A72" w:rsidRDefault="005F556F" w:rsidP="00187A72">
            <w:pPr>
              <w:pStyle w:val="enumlev3"/>
              <w:rPr>
                <w:lang w:val="es-ES"/>
              </w:rPr>
            </w:pPr>
            <w:r w:rsidRPr="005F556F">
              <w:rPr>
                <w:lang w:val="es-ES" w:eastAsia="ko-KR"/>
              </w:rPr>
              <w:t>–</w:t>
            </w:r>
            <w:r w:rsidR="00D505DB" w:rsidRPr="00187A72">
              <w:rPr>
                <w:lang w:val="es-ES" w:eastAsia="ko-KR"/>
              </w:rPr>
              <w:tab/>
            </w:r>
            <w:r w:rsidR="00221DE9" w:rsidRPr="00187A72">
              <w:rPr>
                <w:lang w:val="es-ES" w:eastAsia="ko-KR"/>
              </w:rPr>
              <w:t>–</w:t>
            </w:r>
            <w:r w:rsidR="00D505DB" w:rsidRPr="00187A72">
              <w:rPr>
                <w:lang w:val="es-ES" w:eastAsia="ko-KR"/>
              </w:rPr>
              <w:t>49</w:t>
            </w:r>
            <w:r w:rsidR="00E63226" w:rsidRPr="00187A72">
              <w:rPr>
                <w:lang w:val="es-ES" w:eastAsia="ko-KR"/>
              </w:rPr>
              <w:t>,</w:t>
            </w:r>
            <w:r w:rsidR="00D505DB" w:rsidRPr="00187A72">
              <w:rPr>
                <w:lang w:val="es-ES" w:eastAsia="ko-KR"/>
              </w:rPr>
              <w:t xml:space="preserve">8 dB(W/100 MHz) </w:t>
            </w:r>
            <w:r w:rsidR="004C61C1" w:rsidRPr="00CD6142">
              <w:rPr>
                <w:lang w:val="es-ES"/>
              </w:rPr>
              <w:t>para los equipos de usuario</w:t>
            </w:r>
            <w:r w:rsidR="00D505DB" w:rsidRPr="00187A72">
              <w:rPr>
                <w:lang w:val="es-ES" w:eastAsia="ko-KR"/>
              </w:rPr>
              <w:t>.</w:t>
            </w:r>
          </w:p>
          <w:p w14:paraId="7ACE3E84" w14:textId="64100E45" w:rsidR="00D505DB" w:rsidRPr="003A4C57" w:rsidRDefault="004C61C1" w:rsidP="003A4C57">
            <w:pPr>
              <w:pStyle w:val="Headingb"/>
              <w:rPr>
                <w:i/>
                <w:iCs/>
                <w:lang w:val="es-ES"/>
              </w:rPr>
            </w:pPr>
            <w:r w:rsidRPr="003A4C57">
              <w:rPr>
                <w:i/>
                <w:iCs/>
                <w:lang w:val="es-ES"/>
              </w:rPr>
              <w:t xml:space="preserve">Protección de estaciones </w:t>
            </w:r>
            <w:r w:rsidRPr="003A4C57">
              <w:rPr>
                <w:i/>
                <w:iCs/>
              </w:rPr>
              <w:t>terrenas</w:t>
            </w:r>
            <w:r w:rsidRPr="003A4C57">
              <w:rPr>
                <w:i/>
                <w:iCs/>
                <w:lang w:val="es-ES"/>
              </w:rPr>
              <w:t xml:space="preserve"> receptoras del SETS</w:t>
            </w:r>
          </w:p>
          <w:p w14:paraId="55414F5A" w14:textId="146E76C0" w:rsidR="00D505DB" w:rsidRPr="00187A72" w:rsidRDefault="003B4F3C" w:rsidP="00187A72">
            <w:pPr>
              <w:rPr>
                <w:lang w:val="es-ES"/>
              </w:rPr>
            </w:pPr>
            <w:r w:rsidRPr="00D42E9B">
              <w:rPr>
                <w:lang w:val="es-ES"/>
              </w:rPr>
              <w:t>La OMM solicita que el uso de</w:t>
            </w:r>
            <w:r w:rsidR="004C61C1">
              <w:rPr>
                <w:lang w:val="es-ES"/>
              </w:rPr>
              <w:t xml:space="preserve"> las</w:t>
            </w:r>
            <w:r w:rsidRPr="00D42E9B">
              <w:rPr>
                <w:lang w:val="es-ES"/>
              </w:rPr>
              <w:t xml:space="preserve"> IMT-2020 no limite el uso a largo plazo</w:t>
            </w:r>
            <w:r w:rsidR="004C61C1">
              <w:rPr>
                <w:lang w:val="es-ES"/>
              </w:rPr>
              <w:t xml:space="preserve"> ni</w:t>
            </w:r>
            <w:r w:rsidRPr="00D42E9B">
              <w:rPr>
                <w:lang w:val="es-ES"/>
              </w:rPr>
              <w:t xml:space="preserve"> el despliegue futuro de estaciones terrenas</w:t>
            </w:r>
            <w:r w:rsidR="004C61C1">
              <w:rPr>
                <w:lang w:val="es-ES"/>
              </w:rPr>
              <w:t xml:space="preserve"> receptoras del</w:t>
            </w:r>
            <w:r w:rsidRPr="00D42E9B">
              <w:rPr>
                <w:lang w:val="es-ES"/>
              </w:rPr>
              <w:t xml:space="preserve"> SETS (en particular en la banda </w:t>
            </w:r>
            <w:r w:rsidR="005107AE">
              <w:rPr>
                <w:lang w:val="es-ES"/>
              </w:rPr>
              <w:t>de</w:t>
            </w:r>
            <w:r w:rsidR="004C61C1">
              <w:rPr>
                <w:lang w:val="es-ES"/>
              </w:rPr>
              <w:t xml:space="preserve"> frecuencias </w:t>
            </w:r>
            <w:r w:rsidRPr="00D42E9B">
              <w:rPr>
                <w:lang w:val="es-ES"/>
              </w:rPr>
              <w:t>25,5</w:t>
            </w:r>
            <w:r w:rsidR="003A4C57">
              <w:rPr>
                <w:lang w:val="es-ES"/>
              </w:rPr>
              <w:noBreakHyphen/>
            </w:r>
            <w:r w:rsidRPr="00D42E9B">
              <w:rPr>
                <w:lang w:val="es-ES"/>
              </w:rPr>
              <w:t xml:space="preserve">27 GHz). </w:t>
            </w:r>
            <w:r w:rsidR="004C61C1" w:rsidRPr="00187A72">
              <w:rPr>
                <w:bCs/>
                <w:lang w:val="es-ES"/>
              </w:rPr>
              <w:t xml:space="preserve">La OMM apoya el establecimiento de una metodología que puedan utilizar </w:t>
            </w:r>
            <w:r w:rsidR="004C61C1" w:rsidRPr="007138B8">
              <w:rPr>
                <w:bCs/>
                <w:lang w:val="es-ES"/>
              </w:rPr>
              <w:t xml:space="preserve">las administraciones </w:t>
            </w:r>
            <w:r w:rsidR="004C61C1" w:rsidRPr="00187A72">
              <w:rPr>
                <w:bCs/>
                <w:lang w:val="es-ES"/>
              </w:rPr>
              <w:t xml:space="preserve">para definir la distancia de separación necesaria entre las estaciones IMT-2020 y </w:t>
            </w:r>
            <w:r w:rsidR="004C61C1">
              <w:rPr>
                <w:bCs/>
                <w:lang w:val="es-ES"/>
              </w:rPr>
              <w:t>d</w:t>
            </w:r>
            <w:r w:rsidR="004C61C1" w:rsidRPr="00187A72">
              <w:rPr>
                <w:bCs/>
                <w:lang w:val="es-ES"/>
              </w:rPr>
              <w:t>el SETS</w:t>
            </w:r>
            <w:r w:rsidR="004C61C1">
              <w:rPr>
                <w:bCs/>
                <w:lang w:val="es-ES"/>
              </w:rPr>
              <w:t>,</w:t>
            </w:r>
            <w:r w:rsidR="004C61C1" w:rsidRPr="00187A72">
              <w:rPr>
                <w:bCs/>
                <w:lang w:val="es-ES"/>
              </w:rPr>
              <w:t xml:space="preserve"> y que se invite a las administraciones a adoptar medidas específicas </w:t>
            </w:r>
            <w:r w:rsidR="004C61C1">
              <w:rPr>
                <w:bCs/>
                <w:lang w:val="es-ES"/>
              </w:rPr>
              <w:t>encaminadas a</w:t>
            </w:r>
            <w:r w:rsidR="004C61C1" w:rsidRPr="00187A72">
              <w:rPr>
                <w:bCs/>
                <w:lang w:val="es-ES"/>
              </w:rPr>
              <w:t xml:space="preserve"> garantizar la protección de las estaciones del SETS/</w:t>
            </w:r>
            <w:r w:rsidR="00B85047">
              <w:rPr>
                <w:bCs/>
                <w:lang w:val="es-ES"/>
              </w:rPr>
              <w:t>SIE</w:t>
            </w:r>
            <w:r w:rsidR="004C61C1" w:rsidRPr="00187A72">
              <w:rPr>
                <w:bCs/>
                <w:lang w:val="es-ES"/>
              </w:rPr>
              <w:t xml:space="preserve"> (</w:t>
            </w:r>
            <w:r w:rsidR="003A4C57">
              <w:rPr>
                <w:bCs/>
                <w:lang w:val="es-ES"/>
              </w:rPr>
              <w:t xml:space="preserve">Método </w:t>
            </w:r>
            <w:r w:rsidR="004C61C1">
              <w:rPr>
                <w:bCs/>
                <w:lang w:val="es-ES"/>
              </w:rPr>
              <w:t>A2, alternativa</w:t>
            </w:r>
            <w:r w:rsidR="004C61C1" w:rsidRPr="00187A72">
              <w:rPr>
                <w:bCs/>
                <w:lang w:val="es-ES"/>
              </w:rPr>
              <w:t xml:space="preserve"> 1</w:t>
            </w:r>
            <w:r w:rsidR="004C61C1">
              <w:rPr>
                <w:bCs/>
                <w:lang w:val="es-ES"/>
              </w:rPr>
              <w:t>, condición</w:t>
            </w:r>
            <w:r w:rsidR="003A4C57">
              <w:rPr>
                <w:bCs/>
                <w:lang w:val="es-ES"/>
              </w:rPr>
              <w:t> </w:t>
            </w:r>
            <w:r w:rsidR="004C61C1">
              <w:rPr>
                <w:bCs/>
                <w:lang w:val="es-ES"/>
              </w:rPr>
              <w:t>A2c, opción 1</w:t>
            </w:r>
            <w:r w:rsidR="00D505DB" w:rsidRPr="00187A72">
              <w:rPr>
                <w:bCs/>
                <w:lang w:val="es-ES"/>
              </w:rPr>
              <w:t>).</w:t>
            </w:r>
          </w:p>
          <w:p w14:paraId="3F7DB5F1" w14:textId="1FDA1869" w:rsidR="004C61C1" w:rsidRPr="00187A72" w:rsidRDefault="004C61C1" w:rsidP="00187A72">
            <w:pPr>
              <w:rPr>
                <w:bCs/>
                <w:lang w:val="es-ES"/>
              </w:rPr>
            </w:pPr>
            <w:r w:rsidRPr="00187A72">
              <w:rPr>
                <w:bCs/>
                <w:lang w:val="es-ES"/>
              </w:rPr>
              <w:t xml:space="preserve">La OMM también apoya la supresión de los números </w:t>
            </w:r>
            <w:r w:rsidRPr="003A4C57">
              <w:rPr>
                <w:b/>
                <w:lang w:val="es-ES"/>
              </w:rPr>
              <w:t>5.536A</w:t>
            </w:r>
            <w:r w:rsidRPr="00187A72">
              <w:rPr>
                <w:bCs/>
                <w:lang w:val="es-ES"/>
              </w:rPr>
              <w:t xml:space="preserve"> y </w:t>
            </w:r>
            <w:r w:rsidRPr="003A4C57">
              <w:rPr>
                <w:b/>
                <w:lang w:val="es-ES"/>
              </w:rPr>
              <w:t>5.536B</w:t>
            </w:r>
            <w:r w:rsidRPr="00187A72">
              <w:rPr>
                <w:bCs/>
                <w:lang w:val="es-ES"/>
              </w:rPr>
              <w:t xml:space="preserve"> del RR, con </w:t>
            </w:r>
            <w:r w:rsidR="00F3371A">
              <w:rPr>
                <w:bCs/>
                <w:lang w:val="es-ES"/>
              </w:rPr>
              <w:t>arreglo a la</w:t>
            </w:r>
            <w:r w:rsidRPr="00187A72">
              <w:rPr>
                <w:bCs/>
                <w:lang w:val="es-ES"/>
              </w:rPr>
              <w:t xml:space="preserve"> condición A2c, opción 2.</w:t>
            </w:r>
          </w:p>
          <w:p w14:paraId="790FF066" w14:textId="51AD6840" w:rsidR="00D505DB" w:rsidRPr="00187A72" w:rsidRDefault="004C61C1" w:rsidP="00187A72">
            <w:pPr>
              <w:rPr>
                <w:bCs/>
                <w:lang w:val="es-ES"/>
              </w:rPr>
            </w:pPr>
            <w:r w:rsidRPr="00187A72">
              <w:rPr>
                <w:bCs/>
                <w:lang w:val="es-ES"/>
              </w:rPr>
              <w:t xml:space="preserve">La OMM se opone </w:t>
            </w:r>
            <w:r w:rsidR="00F3371A">
              <w:rPr>
                <w:bCs/>
                <w:lang w:val="es-ES"/>
              </w:rPr>
              <w:t>firmemente</w:t>
            </w:r>
            <w:r w:rsidRPr="00187A72">
              <w:rPr>
                <w:bCs/>
                <w:lang w:val="es-ES"/>
              </w:rPr>
              <w:t xml:space="preserve"> a la condición A2c</w:t>
            </w:r>
            <w:r w:rsidR="00F3371A">
              <w:rPr>
                <w:bCs/>
                <w:lang w:val="es-ES"/>
              </w:rPr>
              <w:t xml:space="preserve">, </w:t>
            </w:r>
            <w:r w:rsidRPr="00187A72">
              <w:rPr>
                <w:bCs/>
                <w:lang w:val="es-ES"/>
              </w:rPr>
              <w:t>opción 5 (</w:t>
            </w:r>
            <w:r w:rsidR="003A4C57">
              <w:rPr>
                <w:bCs/>
                <w:lang w:val="es-ES"/>
              </w:rPr>
              <w:t>«</w:t>
            </w:r>
            <w:r w:rsidRPr="00187A72">
              <w:rPr>
                <w:bCs/>
                <w:lang w:val="es-ES"/>
              </w:rPr>
              <w:t>no es necesaria ninguna condición</w:t>
            </w:r>
            <w:r w:rsidR="003A4C57">
              <w:rPr>
                <w:bCs/>
                <w:lang w:val="es-ES"/>
              </w:rPr>
              <w:t>»</w:t>
            </w:r>
            <w:r w:rsidR="00F3371A">
              <w:rPr>
                <w:lang w:val="es-ES"/>
              </w:rPr>
              <w:t>)</w:t>
            </w:r>
            <w:r w:rsidR="00D505DB" w:rsidRPr="00187A72">
              <w:rPr>
                <w:lang w:val="es-ES"/>
              </w:rPr>
              <w:t>.</w:t>
            </w:r>
          </w:p>
          <w:p w14:paraId="73866F83" w14:textId="7D092CC1" w:rsidR="00D505DB" w:rsidRPr="005C2AEC" w:rsidRDefault="00F3371A" w:rsidP="00187A72">
            <w:pPr>
              <w:pStyle w:val="Headingb"/>
              <w:keepNext w:val="0"/>
              <w:rPr>
                <w:bCs/>
                <w:i/>
                <w:iCs/>
                <w:szCs w:val="24"/>
                <w:lang w:val="es-ES" w:eastAsia="fr-FR"/>
              </w:rPr>
            </w:pPr>
            <w:r>
              <w:rPr>
                <w:bCs/>
                <w:i/>
                <w:iCs/>
                <w:szCs w:val="24"/>
                <w:lang w:val="es-ES" w:eastAsia="fr-FR"/>
              </w:rPr>
              <w:t>R</w:t>
            </w:r>
            <w:r w:rsidRPr="00F3371A">
              <w:rPr>
                <w:bCs/>
                <w:i/>
                <w:iCs/>
                <w:szCs w:val="24"/>
                <w:lang w:val="es-ES" w:eastAsia="fr-FR"/>
              </w:rPr>
              <w:t>adiómetros en tierra</w:t>
            </w:r>
          </w:p>
          <w:p w14:paraId="57C62CF4" w14:textId="6406DC66" w:rsidR="00552C86" w:rsidRDefault="00936CAE" w:rsidP="00BB1EDF">
            <w:pPr>
              <w:spacing w:after="120"/>
              <w:rPr>
                <w:b/>
                <w:lang w:val="es-ES"/>
              </w:rPr>
            </w:pPr>
            <w:r>
              <w:t>La OMM agradecería que se encontrase una solución para no interrumpir las operaciones de los radiómetros en tierra en las bandas de frecuencias 24,25-27,5 GHz y 50,4-51,4 GHz.</w:t>
            </w:r>
          </w:p>
        </w:tc>
      </w:tr>
    </w:tbl>
    <w:p w14:paraId="03AF7669" w14:textId="42ACE40C" w:rsidR="002C4609" w:rsidRPr="002C4609" w:rsidRDefault="00E54855" w:rsidP="00A43CAF">
      <w:pPr>
        <w:pStyle w:val="Heading2"/>
        <w:rPr>
          <w:lang w:val="es-ES"/>
        </w:rPr>
      </w:pPr>
      <w:r>
        <w:rPr>
          <w:lang w:val="es-ES"/>
        </w:rPr>
        <w:lastRenderedPageBreak/>
        <w:t>3.8</w:t>
      </w:r>
      <w:r w:rsidR="007F538A" w:rsidRPr="002C4609">
        <w:rPr>
          <w:b w:val="0"/>
          <w:lang w:val="es-ES"/>
        </w:rPr>
        <w:tab/>
      </w:r>
      <w:r w:rsidR="002C4609" w:rsidRPr="002C4609">
        <w:rPr>
          <w:lang w:val="es-ES"/>
        </w:rPr>
        <w:t>Punto 1.14 del orden del día</w:t>
      </w:r>
    </w:p>
    <w:p w14:paraId="7D5E4A65" w14:textId="1C650E1A" w:rsidR="002C4609" w:rsidRPr="002C4609" w:rsidRDefault="002C4609" w:rsidP="00A43CAF">
      <w:pPr>
        <w:rPr>
          <w:b/>
          <w:bCs/>
          <w:i/>
          <w:lang w:val="es-ES"/>
        </w:rPr>
      </w:pPr>
      <w:r w:rsidRPr="002C4609">
        <w:rPr>
          <w:i/>
          <w:lang w:val="es-ES"/>
        </w:rPr>
        <w:t>«considerar, basándose en los estudios del UIT</w:t>
      </w:r>
      <w:r w:rsidR="007F5187">
        <w:rPr>
          <w:i/>
          <w:lang w:val="es-ES"/>
        </w:rPr>
        <w:t>-</w:t>
      </w:r>
      <w:r w:rsidRPr="002C4609">
        <w:rPr>
          <w:i/>
          <w:lang w:val="es-ES"/>
        </w:rPr>
        <w:t xml:space="preserve">R, de conformidad con la Resolución </w:t>
      </w:r>
      <w:r w:rsidRPr="002C4609">
        <w:rPr>
          <w:b/>
          <w:bCs/>
          <w:i/>
          <w:lang w:val="es-ES"/>
        </w:rPr>
        <w:t>160 (CMR</w:t>
      </w:r>
      <w:r w:rsidRPr="002C4609">
        <w:rPr>
          <w:b/>
          <w:bCs/>
          <w:i/>
          <w:lang w:val="es-ES"/>
        </w:rPr>
        <w:noBreakHyphen/>
        <w:t>15)</w:t>
      </w:r>
      <w:r w:rsidRPr="002C4609">
        <w:rPr>
          <w:i/>
          <w:lang w:val="es-ES"/>
        </w:rPr>
        <w:t>, medidas reglamentarias apropiadas para las estaciones en plataformas a gran altitud (HAPS), dentro de las atribuciones del servicio fijo existentes</w:t>
      </w:r>
      <w:r w:rsidR="005C2AEC">
        <w:rPr>
          <w:i/>
          <w:lang w:val="es-ES"/>
        </w:rPr>
        <w:t>.</w:t>
      </w:r>
      <w:r w:rsidRPr="002C4609">
        <w:rPr>
          <w:i/>
          <w:lang w:val="es-ES"/>
        </w:rPr>
        <w:t>»</w:t>
      </w:r>
    </w:p>
    <w:p w14:paraId="255903FF" w14:textId="580A845B" w:rsidR="002C4609" w:rsidRPr="002C4609" w:rsidRDefault="002C4609" w:rsidP="00187A72">
      <w:pPr>
        <w:rPr>
          <w:lang w:val="es-ES"/>
        </w:rPr>
      </w:pPr>
      <w:r w:rsidRPr="002C4609">
        <w:rPr>
          <w:lang w:val="es-ES"/>
        </w:rPr>
        <w:t xml:space="preserve">En la Resolución </w:t>
      </w:r>
      <w:r w:rsidRPr="002C4609">
        <w:rPr>
          <w:b/>
          <w:bCs/>
          <w:lang w:val="es-ES"/>
        </w:rPr>
        <w:t>160 (CMR-15)</w:t>
      </w:r>
      <w:r w:rsidRPr="002C4609">
        <w:rPr>
          <w:lang w:val="es-ES"/>
        </w:rPr>
        <w:t xml:space="preserve"> se aboga por la realización de estudios para saber qué necesidades adicionales de espectro hay para los enlaces de terminales fijos y pasarela, para estaciones de pasarela de gran aptitud (HAPS), con miras a facilitar el acceso a las aplicaciones de banda ancha ofrecidas por esas estaciones.</w:t>
      </w:r>
      <w:r w:rsidR="00227EF8" w:rsidRPr="00227EF8">
        <w:t xml:space="preserve"> </w:t>
      </w:r>
      <w:r w:rsidR="00B85047" w:rsidRPr="00187A72">
        <w:rPr>
          <w:lang w:val="es-ES"/>
        </w:rPr>
        <w:t xml:space="preserve">Esta Resolución incluye el estudio de posibles </w:t>
      </w:r>
      <w:r w:rsidR="00B85047">
        <w:rPr>
          <w:lang w:val="es-ES"/>
        </w:rPr>
        <w:t>modificaciones de</w:t>
      </w:r>
      <w:r w:rsidR="00B85047" w:rsidRPr="00187A72">
        <w:rPr>
          <w:lang w:val="es-ES"/>
        </w:rPr>
        <w:t xml:space="preserve"> las actuales atribuciones </w:t>
      </w:r>
      <w:r w:rsidR="00B85047">
        <w:rPr>
          <w:lang w:val="es-ES"/>
        </w:rPr>
        <w:t>al</w:t>
      </w:r>
      <w:r w:rsidR="00B85047" w:rsidRPr="00187A72">
        <w:rPr>
          <w:lang w:val="es-ES"/>
        </w:rPr>
        <w:t xml:space="preserve"> servicio fijo en</w:t>
      </w:r>
      <w:r w:rsidR="00B85047">
        <w:rPr>
          <w:lang w:val="es-ES"/>
        </w:rPr>
        <w:t xml:space="preserve"> las bandas</w:t>
      </w:r>
      <w:r w:rsidR="00B85047" w:rsidRPr="00187A72">
        <w:rPr>
          <w:lang w:val="es-ES"/>
        </w:rPr>
        <w:t xml:space="preserve"> 6</w:t>
      </w:r>
      <w:r w:rsidR="00BB1EDF">
        <w:rPr>
          <w:lang w:val="es-ES"/>
        </w:rPr>
        <w:t xml:space="preserve"> </w:t>
      </w:r>
      <w:r w:rsidR="00B85047" w:rsidRPr="00187A72">
        <w:rPr>
          <w:lang w:val="es-ES"/>
        </w:rPr>
        <w:t>440</w:t>
      </w:r>
      <w:r w:rsidR="00BB1EDF">
        <w:rPr>
          <w:lang w:val="es-ES"/>
        </w:rPr>
        <w:t>-</w:t>
      </w:r>
      <w:r w:rsidR="00B85047" w:rsidRPr="00187A72">
        <w:rPr>
          <w:lang w:val="es-ES"/>
        </w:rPr>
        <w:t>6 520 MHz, 6 560</w:t>
      </w:r>
      <w:r w:rsidR="00BB1EDF">
        <w:rPr>
          <w:lang w:val="es-ES"/>
        </w:rPr>
        <w:t>-</w:t>
      </w:r>
      <w:r w:rsidR="00B85047" w:rsidRPr="00187A72">
        <w:rPr>
          <w:lang w:val="es-ES"/>
        </w:rPr>
        <w:t>640 MHz, 27,9</w:t>
      </w:r>
      <w:r w:rsidR="00BB1EDF">
        <w:rPr>
          <w:lang w:val="es-ES"/>
        </w:rPr>
        <w:noBreakHyphen/>
      </w:r>
      <w:r w:rsidR="00B85047" w:rsidRPr="00187A72">
        <w:rPr>
          <w:lang w:val="es-ES"/>
        </w:rPr>
        <w:t>28,2</w:t>
      </w:r>
      <w:r w:rsidR="00BB1EDF">
        <w:rPr>
          <w:lang w:val="es-ES"/>
        </w:rPr>
        <w:t> </w:t>
      </w:r>
      <w:r w:rsidR="00B85047" w:rsidRPr="00187A72">
        <w:rPr>
          <w:lang w:val="es-ES"/>
        </w:rPr>
        <w:t>GHz y 31</w:t>
      </w:r>
      <w:r w:rsidR="00BB1EDF">
        <w:rPr>
          <w:lang w:val="es-ES"/>
        </w:rPr>
        <w:t>-</w:t>
      </w:r>
      <w:r w:rsidR="00B85047" w:rsidRPr="00187A72">
        <w:rPr>
          <w:lang w:val="es-ES"/>
        </w:rPr>
        <w:t>31,3 GHz</w:t>
      </w:r>
      <w:r w:rsidR="00227EF8" w:rsidRPr="00187A72">
        <w:rPr>
          <w:lang w:val="es-ES"/>
        </w:rPr>
        <w:t>.</w:t>
      </w:r>
      <w:r w:rsidRPr="00187A72">
        <w:rPr>
          <w:lang w:val="es-ES"/>
        </w:rPr>
        <w:t xml:space="preserve"> </w:t>
      </w:r>
      <w:r w:rsidRPr="002C4609">
        <w:rPr>
          <w:lang w:val="es-ES"/>
        </w:rPr>
        <w:t>Si las atribuciones actuales a HAPS no son adecuadas, podrían realizarse estudios para evaluar las necesidades de espectro para esas estaciones en las bandas de frecuencias 38-39,5 GHz a nivel mundial y 21,4-22 y 24,25-27,5 GHz en la Región 2.</w:t>
      </w:r>
    </w:p>
    <w:p w14:paraId="62FB187D" w14:textId="77777777" w:rsidR="002C4609" w:rsidRPr="00DD20B1" w:rsidRDefault="002C4609" w:rsidP="00A43CAF">
      <w:pPr>
        <w:rPr>
          <w:lang w:val="es-ES"/>
        </w:rPr>
      </w:pPr>
      <w:r w:rsidRPr="00DD20B1">
        <w:rPr>
          <w:lang w:val="es-ES"/>
        </w:rPr>
        <w:t>La OMM está preocupada ante los posibles problemas de compatibilidad entre HAPS y:</w:t>
      </w:r>
    </w:p>
    <w:p w14:paraId="55E75EDB" w14:textId="35742FD5" w:rsidR="002C4609" w:rsidRPr="002C4609" w:rsidRDefault="002C4609" w:rsidP="00BB1EDF">
      <w:pPr>
        <w:pStyle w:val="enumlev1"/>
        <w:rPr>
          <w:lang w:val="es-ES"/>
        </w:rPr>
      </w:pPr>
      <w:r w:rsidRPr="002C4609">
        <w:rPr>
          <w:lang w:val="es-ES"/>
        </w:rPr>
        <w:t>–</w:t>
      </w:r>
      <w:r w:rsidRPr="002C4609">
        <w:rPr>
          <w:lang w:val="es-ES"/>
        </w:rPr>
        <w:tab/>
        <w:t>el SETS (pasivo) en la</w:t>
      </w:r>
      <w:r w:rsidR="00DD20B1">
        <w:rPr>
          <w:lang w:val="es-ES"/>
        </w:rPr>
        <w:t>s</w:t>
      </w:r>
      <w:r w:rsidRPr="002C4609">
        <w:rPr>
          <w:lang w:val="es-ES"/>
        </w:rPr>
        <w:t xml:space="preserve"> banda</w:t>
      </w:r>
      <w:r w:rsidR="00DD20B1">
        <w:rPr>
          <w:lang w:val="es-ES"/>
        </w:rPr>
        <w:t>s</w:t>
      </w:r>
      <w:r w:rsidRPr="002C4609">
        <w:rPr>
          <w:lang w:val="es-ES"/>
        </w:rPr>
        <w:t xml:space="preserve"> de frecuencias </w:t>
      </w:r>
      <w:r w:rsidR="00A875D9">
        <w:t xml:space="preserve">6,425-7,25 GHz, </w:t>
      </w:r>
      <w:r w:rsidR="00DD20B1">
        <w:rPr>
          <w:lang w:val="es-ES"/>
        </w:rPr>
        <w:t>21,2</w:t>
      </w:r>
      <w:r w:rsidR="00DD20B1">
        <w:rPr>
          <w:lang w:val="es-ES"/>
        </w:rPr>
        <w:noBreakHyphen/>
        <w:t>21,4</w:t>
      </w:r>
      <w:r w:rsidRPr="002C4609">
        <w:rPr>
          <w:lang w:val="es-ES"/>
        </w:rPr>
        <w:t xml:space="preserve"> GHz</w:t>
      </w:r>
      <w:r w:rsidR="00A875D9">
        <w:rPr>
          <w:lang w:val="es-ES"/>
        </w:rPr>
        <w:t>, 22,21</w:t>
      </w:r>
      <w:r w:rsidR="00A875D9">
        <w:rPr>
          <w:lang w:val="es-ES"/>
        </w:rPr>
        <w:noBreakHyphen/>
        <w:t xml:space="preserve">22,5 GHz, </w:t>
      </w:r>
      <w:r w:rsidR="00A875D9">
        <w:t>23,6-24 GHz, 31,3-31,8 GHz</w:t>
      </w:r>
      <w:r w:rsidRPr="002C4609">
        <w:rPr>
          <w:lang w:val="es-ES"/>
        </w:rPr>
        <w:t>; y</w:t>
      </w:r>
    </w:p>
    <w:p w14:paraId="282EE388" w14:textId="77777777" w:rsidR="002C4609" w:rsidRPr="002C4609" w:rsidRDefault="002C4609" w:rsidP="00BB1EDF">
      <w:pPr>
        <w:pStyle w:val="enumlev1"/>
        <w:rPr>
          <w:lang w:val="es-ES"/>
        </w:rPr>
      </w:pPr>
      <w:r w:rsidRPr="002C4609">
        <w:rPr>
          <w:lang w:val="es-ES"/>
        </w:rPr>
        <w:t>–</w:t>
      </w:r>
      <w:r w:rsidRPr="002C4609">
        <w:rPr>
          <w:lang w:val="es-ES"/>
        </w:rPr>
        <w:tab/>
        <w:t>el SETS (s-E) en la banda de frecuencias 25,5-27 GHz.</w:t>
      </w:r>
    </w:p>
    <w:p w14:paraId="1636BB53" w14:textId="45391334" w:rsidR="00851C05" w:rsidRPr="00187A72" w:rsidRDefault="002C4609" w:rsidP="00187A72">
      <w:pPr>
        <w:rPr>
          <w:lang w:val="es-ES"/>
        </w:rPr>
      </w:pPr>
      <w:r w:rsidRPr="002C4609">
        <w:rPr>
          <w:lang w:val="es-ES"/>
        </w:rPr>
        <w:t>La OMM señala que los enlaces descendentes HAPS afectarán más gravemente a las estaciones terrenas receptoras de SETS y del servicio de investigación espacial (SIE) que</w:t>
      </w:r>
      <w:r w:rsidR="00B85047">
        <w:rPr>
          <w:lang w:val="es-ES"/>
        </w:rPr>
        <w:t xml:space="preserve"> a</w:t>
      </w:r>
      <w:r w:rsidRPr="002C4609">
        <w:rPr>
          <w:lang w:val="es-ES"/>
        </w:rPr>
        <w:t xml:space="preserve"> los enlaces ascendentes HAPS.</w:t>
      </w:r>
      <w:r w:rsidR="00BB1EDF">
        <w:rPr>
          <w:lang w:val="es-ES"/>
        </w:rPr>
        <w:t xml:space="preserve"> </w:t>
      </w:r>
      <w:r w:rsidR="00B85047">
        <w:rPr>
          <w:lang w:val="es-ES"/>
        </w:rPr>
        <w:t>Por otro lado</w:t>
      </w:r>
      <w:r w:rsidR="00B85047" w:rsidRPr="00187A72">
        <w:rPr>
          <w:lang w:val="es-ES"/>
        </w:rPr>
        <w:t xml:space="preserve">, los enlaces ascendentes HAPS </w:t>
      </w:r>
      <w:r w:rsidR="00B85047">
        <w:rPr>
          <w:lang w:val="es-ES"/>
        </w:rPr>
        <w:t>podrían</w:t>
      </w:r>
      <w:r w:rsidR="00B85047" w:rsidRPr="00187A72">
        <w:rPr>
          <w:lang w:val="es-ES"/>
        </w:rPr>
        <w:t xml:space="preserve"> </w:t>
      </w:r>
      <w:r w:rsidR="00B85047">
        <w:rPr>
          <w:lang w:val="es-ES"/>
        </w:rPr>
        <w:t>repercutir de forma más adversa en el SETS (pasivo</w:t>
      </w:r>
      <w:r w:rsidR="00851C05" w:rsidRPr="00187A72">
        <w:rPr>
          <w:lang w:val="es-ES"/>
        </w:rPr>
        <w:t>).</w:t>
      </w:r>
    </w:p>
    <w:p w14:paraId="2FE4D3AA" w14:textId="77777777" w:rsidR="002C4609" w:rsidRPr="002C4609" w:rsidRDefault="002C4609" w:rsidP="00187A72">
      <w:pPr>
        <w:rPr>
          <w:lang w:val="es-ES"/>
        </w:rPr>
      </w:pPr>
      <w:r w:rsidRPr="002C4609">
        <w:rPr>
          <w:lang w:val="es-ES"/>
        </w:rPr>
        <w:t>En lo que respecta a las bandas de frecuencias 24,25-27,5 GHz, podría producirse un problema de interferencia con los radiómetros en tierra.</w:t>
      </w:r>
    </w:p>
    <w:p w14:paraId="611D5294" w14:textId="39A29B51" w:rsidR="0017137D" w:rsidRDefault="002C4609" w:rsidP="00187A72">
      <w:pPr>
        <w:rPr>
          <w:lang w:val="es-ES"/>
        </w:rPr>
      </w:pPr>
      <w:r w:rsidRPr="002C4609">
        <w:rPr>
          <w:lang w:val="es-ES"/>
        </w:rPr>
        <w:t>Además, la OMM señala los solapamientos de frecuencia en</w:t>
      </w:r>
      <w:r w:rsidR="00B85047">
        <w:rPr>
          <w:lang w:val="es-ES"/>
        </w:rPr>
        <w:t xml:space="preserve"> relación con</w:t>
      </w:r>
      <w:r w:rsidRPr="002C4609">
        <w:rPr>
          <w:lang w:val="es-ES"/>
        </w:rPr>
        <w:t xml:space="preserve"> los puntos del orden del día 1.6 y 1.13 de la CMR-19, que deben tenerse en cuenta.</w:t>
      </w:r>
    </w:p>
    <w:tbl>
      <w:tblPr>
        <w:tblStyle w:val="TableGrid"/>
        <w:tblW w:w="0" w:type="auto"/>
        <w:tblLook w:val="04A0" w:firstRow="1" w:lastRow="0" w:firstColumn="1" w:lastColumn="0" w:noHBand="0" w:noVBand="1"/>
      </w:tblPr>
      <w:tblGrid>
        <w:gridCol w:w="9629"/>
      </w:tblGrid>
      <w:tr w:rsidR="00A875D9" w14:paraId="2B95C0FD" w14:textId="77777777" w:rsidTr="00A875D9">
        <w:tc>
          <w:tcPr>
            <w:tcW w:w="9629" w:type="dxa"/>
          </w:tcPr>
          <w:p w14:paraId="347F9F16" w14:textId="74C48B19" w:rsidR="00A875D9" w:rsidRPr="00907B54" w:rsidRDefault="00A875D9" w:rsidP="00187A72">
            <w:pPr>
              <w:pStyle w:val="Headingb"/>
              <w:rPr>
                <w:lang w:val="es-ES"/>
              </w:rPr>
            </w:pPr>
            <w:r w:rsidRPr="00907B54">
              <w:rPr>
                <w:lang w:val="es-ES"/>
              </w:rPr>
              <w:lastRenderedPageBreak/>
              <w:t>Posición de la OMM respecto del punto 1.14 del orden del día de la CMR-19</w:t>
            </w:r>
          </w:p>
          <w:p w14:paraId="5ADF1587" w14:textId="01FDF985" w:rsidR="00B85047" w:rsidRPr="00187A72" w:rsidRDefault="00B85047" w:rsidP="00187A72">
            <w:pPr>
              <w:rPr>
                <w:lang w:val="es-ES"/>
              </w:rPr>
            </w:pPr>
            <w:r w:rsidRPr="00187A72">
              <w:rPr>
                <w:lang w:val="es-ES"/>
              </w:rPr>
              <w:t xml:space="preserve">La OMM no se opone a nuevas identificaciones de bandas HAPS, siempre que la utilización a largo plazo y el despliegue futuro de las estaciones terrenas receptoras del SETS (en particular en la banda 25,5-27 GHz) no se vean </w:t>
            </w:r>
            <w:r>
              <w:rPr>
                <w:lang w:val="es-ES"/>
              </w:rPr>
              <w:t>restringidos</w:t>
            </w:r>
            <w:r w:rsidRPr="00187A72">
              <w:rPr>
                <w:lang w:val="es-ES"/>
              </w:rPr>
              <w:t xml:space="preserve"> por la utilización de HAPS y se garantice la protección del SETS (pasivo).</w:t>
            </w:r>
          </w:p>
          <w:p w14:paraId="1A48E5C8" w14:textId="18585AF5" w:rsidR="00A875D9" w:rsidRPr="00187A72" w:rsidRDefault="00B85047" w:rsidP="00187A72">
            <w:pPr>
              <w:rPr>
                <w:lang w:val="es-ES"/>
              </w:rPr>
            </w:pPr>
            <w:r w:rsidRPr="00187A72">
              <w:rPr>
                <w:lang w:val="es-ES"/>
              </w:rPr>
              <w:t xml:space="preserve">La OMM apoya </w:t>
            </w:r>
            <w:r>
              <w:rPr>
                <w:lang w:val="es-ES"/>
              </w:rPr>
              <w:t xml:space="preserve">el </w:t>
            </w:r>
            <w:r w:rsidR="00BB1EDF" w:rsidRPr="002245F3">
              <w:rPr>
                <w:lang w:val="es-ES"/>
              </w:rPr>
              <w:t xml:space="preserve">Método </w:t>
            </w:r>
            <w:r w:rsidRPr="002245F3">
              <w:rPr>
                <w:lang w:val="es-ES"/>
              </w:rPr>
              <w:t>B2</w:t>
            </w:r>
            <w:r>
              <w:rPr>
                <w:lang w:val="es-ES"/>
              </w:rPr>
              <w:t>,</w:t>
            </w:r>
            <w:r w:rsidRPr="00187A72">
              <w:rPr>
                <w:lang w:val="es-ES"/>
              </w:rPr>
              <w:t xml:space="preserve"> opciones 2 y 3</w:t>
            </w:r>
            <w:r>
              <w:rPr>
                <w:lang w:val="es-ES"/>
              </w:rPr>
              <w:t>,</w:t>
            </w:r>
            <w:r w:rsidRPr="00187A72">
              <w:rPr>
                <w:lang w:val="es-ES"/>
              </w:rPr>
              <w:t xml:space="preserve"> para la banda de frecuencias 25,25-27,5 GHz</w:t>
            </w:r>
            <w:r w:rsidR="00A875D9" w:rsidRPr="00187A72">
              <w:rPr>
                <w:lang w:val="es-ES"/>
              </w:rPr>
              <w:t>.</w:t>
            </w:r>
          </w:p>
          <w:p w14:paraId="359FA7A9" w14:textId="0CD275F7" w:rsidR="00F54F02" w:rsidRDefault="00F54F02" w:rsidP="00187A72">
            <w:r w:rsidRPr="0085011E">
              <w:t xml:space="preserve">La OMM solicita </w:t>
            </w:r>
            <w:r w:rsidR="00B85047">
              <w:t>asimismo</w:t>
            </w:r>
            <w:r w:rsidRPr="0085011E">
              <w:t xml:space="preserve"> que se establezcan los límites necesarios de emisiones no deseadas de HAPS para </w:t>
            </w:r>
            <w:r w:rsidR="00B85047">
              <w:t>garantizar la protección de</w:t>
            </w:r>
            <w:r w:rsidRPr="0085011E">
              <w:t xml:space="preserve"> todos los sensores </w:t>
            </w:r>
            <w:r w:rsidR="00B85047">
              <w:t xml:space="preserve">del </w:t>
            </w:r>
            <w:r w:rsidRPr="0085011E">
              <w:t>SETS (pasivo) presentes y futuros</w:t>
            </w:r>
            <w:r w:rsidR="00B85047">
              <w:t>, a tenor de lo siguiente</w:t>
            </w:r>
            <w:r w:rsidR="0085011E" w:rsidRPr="0085011E">
              <w:t>:</w:t>
            </w:r>
          </w:p>
          <w:p w14:paraId="4C0B9E2D" w14:textId="50816379" w:rsidR="00B85047" w:rsidRPr="00187A72" w:rsidRDefault="0085011E" w:rsidP="00187A72">
            <w:pPr>
              <w:pStyle w:val="enumlev1"/>
              <w:rPr>
                <w:lang w:val="es-ES"/>
              </w:rPr>
            </w:pPr>
            <w:r w:rsidRPr="00187A72">
              <w:rPr>
                <w:lang w:val="es-ES"/>
              </w:rPr>
              <w:t>–</w:t>
            </w:r>
            <w:r w:rsidR="00A875D9" w:rsidRPr="00187A72">
              <w:rPr>
                <w:lang w:val="es-ES"/>
              </w:rPr>
              <w:tab/>
            </w:r>
            <w:r w:rsidR="00B85047" w:rsidRPr="00187A72">
              <w:rPr>
                <w:lang w:val="es-ES"/>
              </w:rPr>
              <w:t>Método B1, opción 1</w:t>
            </w:r>
            <w:r w:rsidR="00E36E25">
              <w:rPr>
                <w:lang w:val="es-ES"/>
              </w:rPr>
              <w:t>,</w:t>
            </w:r>
            <w:r w:rsidR="00B85047" w:rsidRPr="00187A72">
              <w:rPr>
                <w:lang w:val="es-ES"/>
              </w:rPr>
              <w:t xml:space="preserve"> para la banda de frecuencias 6 440-6 520 MHz (protección del SETS (pasivo) en la banda)</w:t>
            </w:r>
            <w:r w:rsidR="007C1ECD">
              <w:rPr>
                <w:lang w:val="es-ES"/>
              </w:rPr>
              <w:t>;</w:t>
            </w:r>
          </w:p>
          <w:p w14:paraId="74C00D8B" w14:textId="07571339" w:rsidR="00B85047" w:rsidRPr="00187A72" w:rsidRDefault="00BB1EDF" w:rsidP="00187A72">
            <w:pPr>
              <w:pStyle w:val="enumlev1"/>
              <w:rPr>
                <w:lang w:val="es-ES"/>
              </w:rPr>
            </w:pPr>
            <w:r w:rsidRPr="00BB1EDF">
              <w:rPr>
                <w:lang w:val="es-ES"/>
              </w:rPr>
              <w:t>–</w:t>
            </w:r>
            <w:r>
              <w:rPr>
                <w:lang w:val="es-ES"/>
              </w:rPr>
              <w:tab/>
            </w:r>
            <w:r w:rsidR="00B85047" w:rsidRPr="00187A72">
              <w:rPr>
                <w:lang w:val="es-ES"/>
              </w:rPr>
              <w:t>Método B2, opción 1a o 1b</w:t>
            </w:r>
            <w:r w:rsidR="00E36E25">
              <w:rPr>
                <w:lang w:val="es-ES"/>
              </w:rPr>
              <w:t>,</w:t>
            </w:r>
            <w:r w:rsidR="00B85047" w:rsidRPr="00187A72">
              <w:rPr>
                <w:lang w:val="es-ES"/>
              </w:rPr>
              <w:t xml:space="preserve"> para la banda de frecuencias 21,4-22 GHz (protección del SETS (pasivo) en la banda de frecuencias 21,2-21,4 GHz)</w:t>
            </w:r>
            <w:r w:rsidR="007C1ECD">
              <w:rPr>
                <w:lang w:val="es-ES"/>
              </w:rPr>
              <w:t>;</w:t>
            </w:r>
          </w:p>
          <w:p w14:paraId="06D48E9A" w14:textId="2DE0402E" w:rsidR="00B85047" w:rsidRPr="00187A72" w:rsidRDefault="005148B0" w:rsidP="00187A72">
            <w:pPr>
              <w:pStyle w:val="enumlev1"/>
              <w:rPr>
                <w:lang w:val="es-ES"/>
              </w:rPr>
            </w:pPr>
            <w:r w:rsidRPr="005148B0">
              <w:rPr>
                <w:lang w:val="es-ES"/>
              </w:rPr>
              <w:t>–</w:t>
            </w:r>
            <w:r>
              <w:rPr>
                <w:lang w:val="es-ES"/>
              </w:rPr>
              <w:tab/>
            </w:r>
            <w:r w:rsidR="00B85047" w:rsidRPr="00187A72">
              <w:rPr>
                <w:lang w:val="es-ES"/>
              </w:rPr>
              <w:t>Método B3</w:t>
            </w:r>
            <w:r w:rsidR="00E36E25">
              <w:rPr>
                <w:lang w:val="es-ES"/>
              </w:rPr>
              <w:t>,</w:t>
            </w:r>
            <w:r w:rsidR="00B85047" w:rsidRPr="00187A72">
              <w:rPr>
                <w:lang w:val="es-ES"/>
              </w:rPr>
              <w:t xml:space="preserve"> opción 1 o 2 (</w:t>
            </w:r>
            <w:r w:rsidR="00E36E25">
              <w:rPr>
                <w:lang w:val="es-ES"/>
              </w:rPr>
              <w:t>en función</w:t>
            </w:r>
            <w:r w:rsidR="00B85047" w:rsidRPr="00187A72">
              <w:rPr>
                <w:lang w:val="es-ES"/>
              </w:rPr>
              <w:t xml:space="preserve"> del sentido de utilización de </w:t>
            </w:r>
            <w:r w:rsidR="00E36E25">
              <w:rPr>
                <w:lang w:val="es-ES"/>
              </w:rPr>
              <w:t xml:space="preserve">las </w:t>
            </w:r>
            <w:r w:rsidR="00B85047" w:rsidRPr="00187A72">
              <w:rPr>
                <w:lang w:val="es-ES"/>
              </w:rPr>
              <w:t>HAPS) para la banda de frecuencias 24,25-25,25 GHz (protección del SETS (pasivo) en la banda de frecuencias 23,6-24 GHz)</w:t>
            </w:r>
            <w:r w:rsidR="007C1ECD">
              <w:rPr>
                <w:lang w:val="es-ES"/>
              </w:rPr>
              <w:t>;</w:t>
            </w:r>
          </w:p>
          <w:p w14:paraId="3E347D7A" w14:textId="132B1007" w:rsidR="00A875D9" w:rsidRPr="00187A72" w:rsidRDefault="005148B0" w:rsidP="00187A72">
            <w:pPr>
              <w:pStyle w:val="enumlev1"/>
              <w:rPr>
                <w:lang w:val="es-ES" w:eastAsia="fr-FR"/>
              </w:rPr>
            </w:pPr>
            <w:r w:rsidRPr="005148B0">
              <w:rPr>
                <w:lang w:val="es-ES"/>
              </w:rPr>
              <w:t>–</w:t>
            </w:r>
            <w:r>
              <w:rPr>
                <w:lang w:val="es-ES"/>
              </w:rPr>
              <w:tab/>
            </w:r>
            <w:r w:rsidR="00B85047" w:rsidRPr="00187A72">
              <w:rPr>
                <w:lang w:val="es-ES"/>
              </w:rPr>
              <w:t>Método B1</w:t>
            </w:r>
            <w:r w:rsidR="00E36E25">
              <w:rPr>
                <w:lang w:val="es-ES"/>
              </w:rPr>
              <w:t xml:space="preserve">, opción 1a o 1b, </w:t>
            </w:r>
            <w:r w:rsidR="00B85047" w:rsidRPr="00187A72">
              <w:rPr>
                <w:lang w:val="es-ES"/>
              </w:rPr>
              <w:t>para la banda de frecuencias 31-31,3 GHz (protección del SETS (pasivo) en la banda de frecuencias 31,3-31,8 GHz).</w:t>
            </w:r>
          </w:p>
          <w:p w14:paraId="6C559DDB" w14:textId="32B00973" w:rsidR="00A875D9" w:rsidRDefault="0085011E" w:rsidP="00187A72">
            <w:pPr>
              <w:rPr>
                <w:lang w:val="es-ES"/>
              </w:rPr>
            </w:pPr>
            <w:r>
              <w:t>Además, la OMM agradecería que se encontrase una solución para no interrumpir las operaciones de los radiómetros en tierra en la banda de frecuencias 24,25-27,5 GHz.</w:t>
            </w:r>
          </w:p>
        </w:tc>
      </w:tr>
    </w:tbl>
    <w:p w14:paraId="19205235" w14:textId="01043D61" w:rsidR="002C4609" w:rsidRPr="00660A7D" w:rsidRDefault="00E54855" w:rsidP="00A43CAF">
      <w:pPr>
        <w:pStyle w:val="Heading2"/>
      </w:pPr>
      <w:r w:rsidRPr="00660A7D">
        <w:t>3.9</w:t>
      </w:r>
      <w:r w:rsidR="002C4609" w:rsidRPr="00660A7D">
        <w:tab/>
        <w:t>Punto 1.15 del orden del día</w:t>
      </w:r>
    </w:p>
    <w:p w14:paraId="07FE8789" w14:textId="1AB37201" w:rsidR="002C4609" w:rsidRPr="002C4609" w:rsidRDefault="002C4609" w:rsidP="00A43CAF">
      <w:pPr>
        <w:rPr>
          <w:b/>
          <w:bCs/>
          <w:i/>
          <w:lang w:val="es-ES"/>
        </w:rPr>
      </w:pPr>
      <w:r w:rsidRPr="002C4609">
        <w:rPr>
          <w:i/>
          <w:lang w:val="es-ES"/>
        </w:rPr>
        <w:t xml:space="preserve">«considerar la identificación de bandas de frecuencias para su utilización por las administraciones para las aplicaciones de los servicios móvil terrestre y fijo que funcionan en la gama de frecuencias 275-450 GHz, de conformidad con la Resolución </w:t>
      </w:r>
      <w:r w:rsidRPr="002C4609">
        <w:rPr>
          <w:b/>
          <w:bCs/>
          <w:i/>
          <w:lang w:val="es-ES"/>
        </w:rPr>
        <w:t>767 (CMR 15)</w:t>
      </w:r>
      <w:r w:rsidR="00AD033D">
        <w:rPr>
          <w:i/>
          <w:lang w:val="es-ES"/>
        </w:rPr>
        <w:t>.</w:t>
      </w:r>
      <w:r w:rsidRPr="002C4609">
        <w:rPr>
          <w:i/>
          <w:lang w:val="es-ES"/>
        </w:rPr>
        <w:t>»</w:t>
      </w:r>
    </w:p>
    <w:p w14:paraId="4AA242CC" w14:textId="1091791C" w:rsidR="002C4609" w:rsidRPr="002C4609" w:rsidRDefault="002C4609" w:rsidP="00187A72">
      <w:pPr>
        <w:rPr>
          <w:lang w:val="es-ES"/>
        </w:rPr>
      </w:pPr>
      <w:r w:rsidRPr="002C4609">
        <w:rPr>
          <w:lang w:val="es-ES"/>
        </w:rPr>
        <w:t xml:space="preserve">La Resolución </w:t>
      </w:r>
      <w:r w:rsidRPr="002C4609">
        <w:rPr>
          <w:b/>
          <w:bCs/>
          <w:lang w:val="es-ES"/>
        </w:rPr>
        <w:t>767 (CMR-15)</w:t>
      </w:r>
      <w:r w:rsidRPr="002C4609">
        <w:rPr>
          <w:lang w:val="es-ES"/>
        </w:rPr>
        <w:t xml:space="preserve"> invita al UIT-R a realizar estudios de compartición y compatibilidad sobre la introducción de servicios fijo y móvil terrestre en la gama de frecuencias 275-450 GHz. Antes de realizar nuevas atribuciones, debe llevarse a cabo un documentado análisis de los requisitos de espectro y características técnicas de esos futuros sistemas. En el número</w:t>
      </w:r>
      <w:r w:rsidRPr="002C4609">
        <w:rPr>
          <w:b/>
          <w:bCs/>
          <w:lang w:val="es-ES"/>
        </w:rPr>
        <w:t xml:space="preserve"> 5.565</w:t>
      </w:r>
      <w:r w:rsidRPr="002C4609">
        <w:rPr>
          <w:lang w:val="es-ES"/>
        </w:rPr>
        <w:t xml:space="preserve"> del </w:t>
      </w:r>
      <w:r w:rsidR="00640C03">
        <w:rPr>
          <w:lang w:val="es-ES"/>
        </w:rPr>
        <w:t>RR</w:t>
      </w:r>
      <w:r w:rsidRPr="002C4609">
        <w:rPr>
          <w:lang w:val="es-ES"/>
        </w:rPr>
        <w:t xml:space="preserve"> se enumeran las bandas de frecuencias en la gama 275</w:t>
      </w:r>
      <w:r w:rsidR="00DC135B">
        <w:rPr>
          <w:lang w:val="es-ES"/>
        </w:rPr>
        <w:noBreakHyphen/>
      </w:r>
      <w:r w:rsidRPr="002C4609">
        <w:rPr>
          <w:lang w:val="es-ES"/>
        </w:rPr>
        <w:t>1 000 GHz identificadas para SETS (pasivo), SIE (pasivo) y radioastronomía.</w:t>
      </w:r>
    </w:p>
    <w:p w14:paraId="4DE97682" w14:textId="2E15292B" w:rsidR="002C4609" w:rsidRPr="002C4609" w:rsidRDefault="002C4609" w:rsidP="00187A72">
      <w:pPr>
        <w:rPr>
          <w:lang w:val="es-ES"/>
        </w:rPr>
      </w:pPr>
      <w:r w:rsidRPr="002C4609">
        <w:rPr>
          <w:lang w:val="es-ES"/>
        </w:rPr>
        <w:t xml:space="preserve">En diversos estudios sobre compartición y compatibilidad entre el servicio fijo y el SETS (pasivo), en los que se estudia el efecto agregado de los despliegues de servicio fijo, se ha concluido que la compartición no sería posible en </w:t>
      </w:r>
      <w:r w:rsidR="004A1C67">
        <w:rPr>
          <w:lang w:val="es-ES"/>
        </w:rPr>
        <w:t>las</w:t>
      </w:r>
      <w:r w:rsidR="004A1C67" w:rsidRPr="002C4609">
        <w:rPr>
          <w:lang w:val="es-ES"/>
        </w:rPr>
        <w:t xml:space="preserve"> </w:t>
      </w:r>
      <w:r w:rsidRPr="002C4609">
        <w:rPr>
          <w:lang w:val="es-ES"/>
        </w:rPr>
        <w:t xml:space="preserve">bandas de frecuencias </w:t>
      </w:r>
      <w:r w:rsidR="004A1C67">
        <w:rPr>
          <w:lang w:val="es-ES"/>
        </w:rPr>
        <w:t>del</w:t>
      </w:r>
      <w:r w:rsidR="004A1C67" w:rsidRPr="002C4609">
        <w:rPr>
          <w:lang w:val="es-ES"/>
        </w:rPr>
        <w:t xml:space="preserve"> </w:t>
      </w:r>
      <w:r w:rsidRPr="002C4609">
        <w:rPr>
          <w:lang w:val="es-ES"/>
        </w:rPr>
        <w:t>SETS (pasivo) 296</w:t>
      </w:r>
      <w:r w:rsidRPr="002C4609">
        <w:rPr>
          <w:lang w:val="es-ES"/>
        </w:rPr>
        <w:noBreakHyphen/>
        <w:t>306 GHz, 313</w:t>
      </w:r>
      <w:r w:rsidR="005148B0">
        <w:rPr>
          <w:lang w:val="es-ES"/>
        </w:rPr>
        <w:noBreakHyphen/>
      </w:r>
      <w:r w:rsidRPr="002C4609">
        <w:rPr>
          <w:lang w:val="es-ES"/>
        </w:rPr>
        <w:t xml:space="preserve">320 GHz y 331-356 GHz. </w:t>
      </w:r>
      <w:r w:rsidR="00490AF7">
        <w:rPr>
          <w:lang w:val="es-ES"/>
        </w:rPr>
        <w:t>En consecuencia</w:t>
      </w:r>
      <w:r w:rsidRPr="002C4609">
        <w:rPr>
          <w:lang w:val="es-ES"/>
        </w:rPr>
        <w:t xml:space="preserve">, esas bandas no pueden </w:t>
      </w:r>
      <w:r w:rsidR="00490AF7">
        <w:rPr>
          <w:lang w:val="es-ES"/>
        </w:rPr>
        <w:t>destinarse a</w:t>
      </w:r>
      <w:r w:rsidRPr="002C4609">
        <w:rPr>
          <w:lang w:val="es-ES"/>
        </w:rPr>
        <w:t xml:space="preserve"> </w:t>
      </w:r>
      <w:r w:rsidR="00490AF7">
        <w:rPr>
          <w:lang w:val="es-ES"/>
        </w:rPr>
        <w:t>SF/SMT</w:t>
      </w:r>
      <w:r w:rsidRPr="002C4609">
        <w:rPr>
          <w:lang w:val="es-ES"/>
        </w:rPr>
        <w:t xml:space="preserve">, </w:t>
      </w:r>
      <w:r w:rsidR="00490AF7">
        <w:rPr>
          <w:lang w:val="es-ES"/>
        </w:rPr>
        <w:t>al tiempo que en las demás partes de la gama 275-4</w:t>
      </w:r>
      <w:r w:rsidR="005148B0">
        <w:rPr>
          <w:lang w:val="es-ES"/>
        </w:rPr>
        <w:t>5</w:t>
      </w:r>
      <w:r w:rsidR="00490AF7">
        <w:rPr>
          <w:lang w:val="es-ES"/>
        </w:rPr>
        <w:t>0 GHz, la identificación de SF/SMT no constituye ningún motivo de inquietud para la OMM</w:t>
      </w:r>
      <w:r w:rsidRPr="002C4609">
        <w:rPr>
          <w:lang w:val="es-ES"/>
        </w:rPr>
        <w:t>.</w:t>
      </w:r>
    </w:p>
    <w:p w14:paraId="604D813A" w14:textId="5A2A589A" w:rsidR="00523D43" w:rsidRPr="00187A72" w:rsidRDefault="00490AF7" w:rsidP="00187A72">
      <w:pPr>
        <w:rPr>
          <w:lang w:val="es-ES"/>
        </w:rPr>
      </w:pPr>
      <w:r w:rsidRPr="00187A72">
        <w:rPr>
          <w:lang w:val="es-ES"/>
        </w:rPr>
        <w:t>En este caso, la cantidad de espectro (134 GHz</w:t>
      </w:r>
      <w:r>
        <w:rPr>
          <w:lang w:val="es-ES"/>
        </w:rPr>
        <w:t xml:space="preserve"> en total</w:t>
      </w:r>
      <w:r w:rsidRPr="00187A72">
        <w:rPr>
          <w:lang w:val="es-ES"/>
        </w:rPr>
        <w:t xml:space="preserve">) que se identificaría para su utilización por aplicaciones </w:t>
      </w:r>
      <w:r>
        <w:rPr>
          <w:lang w:val="es-ES"/>
        </w:rPr>
        <w:t>SF</w:t>
      </w:r>
      <w:r w:rsidRPr="00187A72">
        <w:rPr>
          <w:lang w:val="es-ES"/>
        </w:rPr>
        <w:t>/</w:t>
      </w:r>
      <w:r w:rsidR="00640C03">
        <w:rPr>
          <w:lang w:val="es-ES"/>
        </w:rPr>
        <w:t>SMT</w:t>
      </w:r>
      <w:r w:rsidRPr="00187A72">
        <w:rPr>
          <w:lang w:val="es-ES"/>
        </w:rPr>
        <w:t xml:space="preserve"> </w:t>
      </w:r>
      <w:r>
        <w:rPr>
          <w:lang w:val="es-ES"/>
        </w:rPr>
        <w:t>es superior a la necesaria actualmente de</w:t>
      </w:r>
      <w:r w:rsidRPr="00187A72">
        <w:rPr>
          <w:lang w:val="es-ES"/>
        </w:rPr>
        <w:t xml:space="preserve"> 50 GHz para cada servicio (con posibilidad de solapamiento</w:t>
      </w:r>
      <w:r>
        <w:rPr>
          <w:lang w:val="es-ES"/>
        </w:rPr>
        <w:t>)</w:t>
      </w:r>
      <w:r w:rsidR="00523D43" w:rsidRPr="00187A72">
        <w:rPr>
          <w:lang w:val="es-ES"/>
        </w:rPr>
        <w:t>.</w:t>
      </w:r>
    </w:p>
    <w:tbl>
      <w:tblPr>
        <w:tblStyle w:val="TableGrid"/>
        <w:tblW w:w="0" w:type="auto"/>
        <w:tblLook w:val="04A0" w:firstRow="1" w:lastRow="0" w:firstColumn="1" w:lastColumn="0" w:noHBand="0" w:noVBand="1"/>
      </w:tblPr>
      <w:tblGrid>
        <w:gridCol w:w="9629"/>
      </w:tblGrid>
      <w:tr w:rsidR="00DC135B" w:rsidRPr="00373835" w14:paraId="274F5C04" w14:textId="77777777" w:rsidTr="00DC135B">
        <w:tc>
          <w:tcPr>
            <w:tcW w:w="9629" w:type="dxa"/>
          </w:tcPr>
          <w:p w14:paraId="16CBF403" w14:textId="1B7F1139" w:rsidR="00DC135B" w:rsidRPr="00907B54" w:rsidRDefault="00DC135B" w:rsidP="00187A72">
            <w:pPr>
              <w:pStyle w:val="Headingb"/>
              <w:rPr>
                <w:lang w:val="es-ES"/>
              </w:rPr>
            </w:pPr>
            <w:r w:rsidRPr="00907B54">
              <w:rPr>
                <w:lang w:val="es-ES"/>
              </w:rPr>
              <w:lastRenderedPageBreak/>
              <w:t>Posición de la OMM respecto del punto 1.15 del orden del día de la CMR-19</w:t>
            </w:r>
          </w:p>
          <w:p w14:paraId="7035460E" w14:textId="5CB8279C" w:rsidR="00DC135B" w:rsidRPr="00DC135B" w:rsidRDefault="00DC135B" w:rsidP="00187A72">
            <w:pPr>
              <w:rPr>
                <w:highlight w:val="yellow"/>
                <w:lang w:val="es-ES"/>
              </w:rPr>
            </w:pPr>
            <w:r w:rsidRPr="00DC135B">
              <w:rPr>
                <w:lang w:val="es-ES"/>
              </w:rPr>
              <w:t xml:space="preserve">En general, la OMM no se opone a la identificación de servicios fijo y móvil terrestre en partes de la banda 275-450 GHz, siempre que se </w:t>
            </w:r>
            <w:r w:rsidR="00490AF7">
              <w:rPr>
                <w:lang w:val="es-ES"/>
              </w:rPr>
              <w:t>garantice la protección d</w:t>
            </w:r>
            <w:r w:rsidRPr="00DC135B">
              <w:rPr>
                <w:lang w:val="es-ES"/>
              </w:rPr>
              <w:t xml:space="preserve">el SETS (pasivo) y la identificación sea consistente con lo estipulado en la nota </w:t>
            </w:r>
            <w:r w:rsidR="00490AF7">
              <w:rPr>
                <w:lang w:val="es-ES"/>
              </w:rPr>
              <w:t>del</w:t>
            </w:r>
            <w:r w:rsidRPr="00DC135B">
              <w:rPr>
                <w:lang w:val="es-ES"/>
              </w:rPr>
              <w:t xml:space="preserve"> número</w:t>
            </w:r>
            <w:r w:rsidRPr="00DC135B">
              <w:rPr>
                <w:b/>
                <w:bCs/>
                <w:lang w:val="es-ES"/>
              </w:rPr>
              <w:t xml:space="preserve"> 5.565</w:t>
            </w:r>
            <w:r w:rsidRPr="00DC135B">
              <w:rPr>
                <w:lang w:val="es-ES"/>
              </w:rPr>
              <w:t xml:space="preserve"> del </w:t>
            </w:r>
            <w:r w:rsidR="00DE0E9C">
              <w:rPr>
                <w:lang w:val="es-ES"/>
              </w:rPr>
              <w:t>RR</w:t>
            </w:r>
            <w:r w:rsidRPr="00DC135B">
              <w:rPr>
                <w:lang w:val="es-ES"/>
              </w:rPr>
              <w:t>.</w:t>
            </w:r>
          </w:p>
          <w:p w14:paraId="072D90B3" w14:textId="2EE4FE97" w:rsidR="004476D1" w:rsidRPr="00187A72" w:rsidRDefault="00490AF7" w:rsidP="00187A72">
            <w:pPr>
              <w:rPr>
                <w:lang w:val="es-ES"/>
              </w:rPr>
            </w:pPr>
            <w:r>
              <w:rPr>
                <w:lang w:val="es-ES"/>
              </w:rPr>
              <w:t>Los</w:t>
            </w:r>
            <w:r w:rsidRPr="00490AF7">
              <w:rPr>
                <w:lang w:val="es-ES"/>
              </w:rPr>
              <w:t xml:space="preserve"> estudios del UIT-R han demostrado que los servicios fijo y móvil terrestre no serían compatibles con el SETS (pasivo) en las bandas 296-306 GHz, 313-320/318 GHz y 331/333</w:t>
            </w:r>
            <w:r w:rsidR="000C3FFF">
              <w:rPr>
                <w:lang w:val="es-ES"/>
              </w:rPr>
              <w:noBreakHyphen/>
            </w:r>
            <w:r w:rsidRPr="00490AF7">
              <w:rPr>
                <w:lang w:val="es-ES"/>
              </w:rPr>
              <w:t>356</w:t>
            </w:r>
            <w:r w:rsidR="000C3FFF">
              <w:rPr>
                <w:lang w:val="es-ES"/>
              </w:rPr>
              <w:t> </w:t>
            </w:r>
            <w:r w:rsidRPr="00490AF7">
              <w:rPr>
                <w:lang w:val="es-ES"/>
              </w:rPr>
              <w:t>GHz.</w:t>
            </w:r>
            <w:r w:rsidRPr="00490AF7" w:rsidDel="00490AF7">
              <w:rPr>
                <w:lang w:val="es-ES"/>
              </w:rPr>
              <w:t xml:space="preserve"> </w:t>
            </w:r>
            <w:r w:rsidR="004476D1" w:rsidRPr="00187A72">
              <w:rPr>
                <w:lang w:val="es-ES"/>
              </w:rPr>
              <w:t>La OMM se opone a toda solución que mantenga la posibilidad de utilizar esas bandas para el SF y el SMT</w:t>
            </w:r>
            <w:r w:rsidR="000C3FFF">
              <w:rPr>
                <w:lang w:val="es-ES"/>
              </w:rPr>
              <w:t>.</w:t>
            </w:r>
          </w:p>
          <w:p w14:paraId="430EBC01" w14:textId="75EA151B" w:rsidR="00DC135B" w:rsidRPr="00187A72" w:rsidRDefault="004476D1" w:rsidP="000C3FFF">
            <w:pPr>
              <w:spacing w:after="120"/>
              <w:rPr>
                <w:b/>
                <w:lang w:val="es-ES"/>
              </w:rPr>
            </w:pPr>
            <w:r w:rsidRPr="00187A72">
              <w:rPr>
                <w:lang w:val="es-ES"/>
              </w:rPr>
              <w:t xml:space="preserve">En consecuencia, la OMM se opone </w:t>
            </w:r>
            <w:r w:rsidR="00373835">
              <w:rPr>
                <w:lang w:val="es-ES"/>
              </w:rPr>
              <w:t>a los</w:t>
            </w:r>
            <w:r w:rsidRPr="00187A72">
              <w:rPr>
                <w:lang w:val="es-ES"/>
              </w:rPr>
              <w:t xml:space="preserve"> </w:t>
            </w:r>
            <w:r w:rsidR="000C3FFF" w:rsidRPr="00187A72">
              <w:rPr>
                <w:lang w:val="es-ES"/>
              </w:rPr>
              <w:t>Método</w:t>
            </w:r>
            <w:r w:rsidR="000C3FFF">
              <w:rPr>
                <w:lang w:val="es-ES"/>
              </w:rPr>
              <w:t>s</w:t>
            </w:r>
            <w:r w:rsidR="000C3FFF" w:rsidRPr="00187A72">
              <w:rPr>
                <w:lang w:val="es-ES"/>
              </w:rPr>
              <w:t xml:space="preserve"> </w:t>
            </w:r>
            <w:r w:rsidRPr="00187A72">
              <w:rPr>
                <w:lang w:val="es-ES"/>
              </w:rPr>
              <w:t xml:space="preserve">C y F. </w:t>
            </w:r>
            <w:r w:rsidR="00373835">
              <w:rPr>
                <w:lang w:val="es-ES"/>
              </w:rPr>
              <w:t>T</w:t>
            </w:r>
            <w:r w:rsidRPr="00187A72">
              <w:rPr>
                <w:lang w:val="es-ES"/>
              </w:rPr>
              <w:t xml:space="preserve">ambién se opone a </w:t>
            </w:r>
            <w:r w:rsidR="00373835">
              <w:rPr>
                <w:lang w:val="es-ES"/>
              </w:rPr>
              <w:t>toda</w:t>
            </w:r>
            <w:r w:rsidRPr="00187A72">
              <w:rPr>
                <w:lang w:val="es-ES"/>
              </w:rPr>
              <w:t xml:space="preserve"> solución reglamentaria </w:t>
            </w:r>
            <w:r w:rsidR="00373835">
              <w:rPr>
                <w:lang w:val="es-ES"/>
              </w:rPr>
              <w:t>cuya eficacia a los efectos de protección del</w:t>
            </w:r>
            <w:r w:rsidRPr="00187A72">
              <w:rPr>
                <w:lang w:val="es-ES"/>
              </w:rPr>
              <w:t xml:space="preserve"> SETS (pasiv</w:t>
            </w:r>
            <w:r w:rsidR="00373835">
              <w:rPr>
                <w:lang w:val="es-ES"/>
              </w:rPr>
              <w:t>o</w:t>
            </w:r>
            <w:r w:rsidR="00DC135B" w:rsidRPr="00187A72">
              <w:rPr>
                <w:lang w:val="es-ES"/>
              </w:rPr>
              <w:t>)</w:t>
            </w:r>
            <w:r w:rsidR="00373835">
              <w:rPr>
                <w:lang w:val="es-ES"/>
              </w:rPr>
              <w:t xml:space="preserve"> no se haya determinado </w:t>
            </w:r>
            <w:r w:rsidR="00F631F8">
              <w:rPr>
                <w:lang w:val="es-ES"/>
              </w:rPr>
              <w:t>ni</w:t>
            </w:r>
            <w:r w:rsidR="00373835">
              <w:rPr>
                <w:lang w:val="es-ES"/>
              </w:rPr>
              <w:t xml:space="preserve"> demostrado</w:t>
            </w:r>
            <w:r w:rsidR="00DC135B" w:rsidRPr="00187A72">
              <w:rPr>
                <w:lang w:val="es-ES"/>
              </w:rPr>
              <w:t>.</w:t>
            </w:r>
          </w:p>
        </w:tc>
      </w:tr>
    </w:tbl>
    <w:p w14:paraId="63BF8D4B" w14:textId="32CB4223" w:rsidR="002C4609" w:rsidRPr="002C4609" w:rsidRDefault="00E54855" w:rsidP="000C3FFF">
      <w:pPr>
        <w:pStyle w:val="Heading2"/>
        <w:rPr>
          <w:lang w:val="es-ES"/>
        </w:rPr>
      </w:pPr>
      <w:r>
        <w:rPr>
          <w:lang w:val="es-ES"/>
        </w:rPr>
        <w:t>3.10</w:t>
      </w:r>
      <w:r w:rsidR="002C4609" w:rsidRPr="002C4609">
        <w:rPr>
          <w:lang w:val="es-ES"/>
        </w:rPr>
        <w:tab/>
        <w:t>Punto 1.16 del orden del día</w:t>
      </w:r>
    </w:p>
    <w:p w14:paraId="469C4F1C" w14:textId="277E8581" w:rsidR="002C4609" w:rsidRPr="002C4609" w:rsidRDefault="002C4609" w:rsidP="00187A72">
      <w:pPr>
        <w:rPr>
          <w:b/>
          <w:bCs/>
          <w:i/>
          <w:lang w:val="es-ES"/>
        </w:rPr>
      </w:pPr>
      <w:r w:rsidRPr="002C4609">
        <w:rPr>
          <w:i/>
          <w:lang w:val="es-ES"/>
        </w:rPr>
        <w:t>«considerar cuestiones relacionadas con sistemas de acceso inalámbrico, incluidas redes radioeléctricas de área local (WAS/RLAN) en las bandas de frecuencias entre 5 150 MHz y 5</w:t>
      </w:r>
      <w:r w:rsidR="00DE0E9C">
        <w:rPr>
          <w:i/>
          <w:lang w:val="es-ES"/>
        </w:rPr>
        <w:t> </w:t>
      </w:r>
      <w:r w:rsidRPr="002C4609">
        <w:rPr>
          <w:i/>
          <w:lang w:val="es-ES"/>
        </w:rPr>
        <w:t>925</w:t>
      </w:r>
      <w:r w:rsidR="00DE0E9C">
        <w:rPr>
          <w:i/>
          <w:lang w:val="es-ES"/>
        </w:rPr>
        <w:t> </w:t>
      </w:r>
      <w:r w:rsidRPr="002C4609">
        <w:rPr>
          <w:i/>
          <w:lang w:val="es-ES"/>
        </w:rPr>
        <w:t xml:space="preserve">MHz, y tomar las medidas reglamentarias adecuadas, entre ellas la atribución de espectro adicional al servicio móvil, de conformidad con la Resolución </w:t>
      </w:r>
      <w:r w:rsidRPr="002C4609">
        <w:rPr>
          <w:b/>
          <w:bCs/>
          <w:i/>
          <w:lang w:val="es-ES"/>
        </w:rPr>
        <w:t>239 (CMR 15)</w:t>
      </w:r>
      <w:r w:rsidRPr="002C4609">
        <w:rPr>
          <w:i/>
          <w:lang w:val="es-ES"/>
        </w:rPr>
        <w:t>.»</w:t>
      </w:r>
    </w:p>
    <w:p w14:paraId="7593CF58" w14:textId="77777777" w:rsidR="002C4609" w:rsidRPr="002C4609" w:rsidRDefault="002C4609" w:rsidP="00187A72">
      <w:pPr>
        <w:rPr>
          <w:lang w:val="es-ES"/>
        </w:rPr>
      </w:pPr>
      <w:r w:rsidRPr="002C4609">
        <w:rPr>
          <w:lang w:val="es-ES"/>
        </w:rPr>
        <w:t xml:space="preserve">En el presente punto del orden del día se estudiarán los resultados de los estudios relacionados con sistemas de acceso inalámbrico, incluidas redes radioeléctricas de área local en las bandas de frecuencias entre 5 150 MHz y 5 925 MHz, y se tomarán las medidas reglamentarias adecuadas de conformidad con la Resolución </w:t>
      </w:r>
      <w:r w:rsidRPr="002C4609">
        <w:rPr>
          <w:b/>
          <w:bCs/>
          <w:lang w:val="es-ES"/>
        </w:rPr>
        <w:t>239 (CMR-15)</w:t>
      </w:r>
      <w:r w:rsidRPr="002C4609">
        <w:rPr>
          <w:lang w:val="es-ES"/>
        </w:rPr>
        <w:t>. Los intereses de la OMM guardan relación con la siguiente banda de frecuencias:</w:t>
      </w:r>
    </w:p>
    <w:p w14:paraId="42864B92" w14:textId="3AB50225" w:rsidR="002C4609" w:rsidRPr="00FD20EE" w:rsidRDefault="002C4609" w:rsidP="00A43CAF">
      <w:pPr>
        <w:pStyle w:val="enumlev1"/>
        <w:rPr>
          <w:b/>
          <w:bCs/>
          <w:lang w:val="es-ES"/>
        </w:rPr>
      </w:pPr>
      <w:r w:rsidRPr="00FD20EE">
        <w:rPr>
          <w:lang w:val="es-ES"/>
        </w:rPr>
        <w:t>–</w:t>
      </w:r>
      <w:r w:rsidRPr="00FD20EE">
        <w:rPr>
          <w:lang w:val="es-ES"/>
        </w:rPr>
        <w:tab/>
      </w:r>
      <w:r w:rsidRPr="00FD20EE">
        <w:rPr>
          <w:b/>
          <w:bCs/>
          <w:lang w:val="es-ES"/>
        </w:rPr>
        <w:t>5 250-5 350</w:t>
      </w:r>
      <w:r w:rsidR="00FD20EE" w:rsidRPr="00FD20EE">
        <w:rPr>
          <w:b/>
          <w:bCs/>
          <w:lang w:val="es-ES"/>
        </w:rPr>
        <w:t xml:space="preserve"> </w:t>
      </w:r>
      <w:r w:rsidRPr="00FD20EE">
        <w:rPr>
          <w:b/>
          <w:bCs/>
          <w:lang w:val="es-ES"/>
        </w:rPr>
        <w:t>MHz</w:t>
      </w:r>
    </w:p>
    <w:p w14:paraId="350DE965" w14:textId="25C758D2" w:rsidR="002C4609" w:rsidRPr="002C4609" w:rsidRDefault="00FD20EE" w:rsidP="00187A72">
      <w:pPr>
        <w:pStyle w:val="enumlev1"/>
        <w:rPr>
          <w:lang w:val="es-ES"/>
        </w:rPr>
      </w:pPr>
      <w:r>
        <w:rPr>
          <w:lang w:val="es-ES"/>
        </w:rPr>
        <w:tab/>
      </w:r>
      <w:r w:rsidR="002C4609" w:rsidRPr="002C4609">
        <w:rPr>
          <w:lang w:val="es-ES"/>
        </w:rPr>
        <w:t xml:space="preserve">Esa banda ya ha sido atribuida al servicio móvil para uso RLAN. El objeto del presente punto del orden del día es relajar las condiciones de acceso (uso en exteriores) aplicables a WAS/RLAN. Los estudios </w:t>
      </w:r>
      <w:r w:rsidR="00F631F8">
        <w:rPr>
          <w:lang w:val="es-ES"/>
        </w:rPr>
        <w:t>d</w:t>
      </w:r>
      <w:r w:rsidR="002C4609" w:rsidRPr="002C4609">
        <w:rPr>
          <w:lang w:val="es-ES"/>
        </w:rPr>
        <w:t>el UIT-R muestran que no se obtendría esa compatibilidad, por lo que se acepta mundialmente que no debería autorizarse en esa banda RLAN en exteriores en 5 GHz.</w:t>
      </w:r>
    </w:p>
    <w:p w14:paraId="71BF9ADC" w14:textId="0FC7D3A2" w:rsidR="002C4609" w:rsidRPr="002C4609" w:rsidRDefault="00FD20EE" w:rsidP="00A43CAF">
      <w:pPr>
        <w:pStyle w:val="enumlev1"/>
        <w:rPr>
          <w:highlight w:val="cyan"/>
          <w:lang w:val="es-ES"/>
        </w:rPr>
      </w:pPr>
      <w:r>
        <w:rPr>
          <w:lang w:val="es-ES"/>
        </w:rPr>
        <w:tab/>
      </w:r>
      <w:r w:rsidR="002C4609" w:rsidRPr="002C4609">
        <w:rPr>
          <w:lang w:val="es-ES"/>
        </w:rPr>
        <w:t>Esa banda de frecuencias también se utiliza para los radares de meteorología a nivel del suelo. Toda RLAN en exteriores requerirá la protección de todos los radares existentes y futuros en esa banda de frecuencias.</w:t>
      </w:r>
    </w:p>
    <w:p w14:paraId="5EA4DB96" w14:textId="6BA72DF4" w:rsidR="002C4609" w:rsidRPr="00FD20EE" w:rsidRDefault="002C4609" w:rsidP="00A43CAF">
      <w:pPr>
        <w:pStyle w:val="enumlev1"/>
        <w:rPr>
          <w:b/>
          <w:bCs/>
          <w:lang w:val="es-ES"/>
        </w:rPr>
      </w:pPr>
      <w:r w:rsidRPr="00FD20EE">
        <w:rPr>
          <w:lang w:val="es-ES"/>
        </w:rPr>
        <w:t>–</w:t>
      </w:r>
      <w:r w:rsidRPr="00FD20EE">
        <w:rPr>
          <w:lang w:val="es-ES"/>
        </w:rPr>
        <w:tab/>
      </w:r>
      <w:r w:rsidRPr="00FD20EE">
        <w:rPr>
          <w:b/>
          <w:bCs/>
          <w:lang w:val="es-ES"/>
        </w:rPr>
        <w:t>5 350-5 470 MHz</w:t>
      </w:r>
    </w:p>
    <w:p w14:paraId="7588F875" w14:textId="381CC5CD" w:rsidR="002C4609" w:rsidRPr="002C4609" w:rsidRDefault="00FD20EE" w:rsidP="00187A72">
      <w:pPr>
        <w:pStyle w:val="enumlev1"/>
        <w:rPr>
          <w:lang w:val="es-ES"/>
        </w:rPr>
      </w:pPr>
      <w:r>
        <w:rPr>
          <w:lang w:val="es-ES"/>
        </w:rPr>
        <w:tab/>
      </w:r>
      <w:r w:rsidR="002C4609" w:rsidRPr="002C4609">
        <w:rPr>
          <w:lang w:val="es-ES"/>
        </w:rPr>
        <w:t>Esa banda de frecuencias la utilizan distintos tipos de instrumentos del SETS (activo) como altímetros, dispersímetros y radares de apertura sintética (SAR). Los SAR, en particular, se diseñaron específicamente para utilizar s</w:t>
      </w:r>
      <w:r w:rsidR="000C3FFF">
        <w:rPr>
          <w:lang w:val="es-ES"/>
        </w:rPr>
        <w:t>o</w:t>
      </w:r>
      <w:r w:rsidR="002C4609" w:rsidRPr="002C4609">
        <w:rPr>
          <w:lang w:val="es-ES"/>
        </w:rPr>
        <w:t>lo estos 120 MHz dado que esta banda de frecuencia</w:t>
      </w:r>
      <w:r w:rsidR="00E05783">
        <w:rPr>
          <w:lang w:val="es-ES"/>
        </w:rPr>
        <w:t>s</w:t>
      </w:r>
      <w:r w:rsidR="002C4609" w:rsidRPr="002C4609">
        <w:rPr>
          <w:lang w:val="es-ES"/>
        </w:rPr>
        <w:t xml:space="preserve"> es la única que queda en la gama de frecuencias de 5 GHz donde la atribución al SETS (activo) no se comparte con una atribución al servicio móvil. La introducción de RLAN en esta banda causaría gran interferencia a los SAR, tales como los radares de abertura sintética (CSAR) en Sentinel 1 y RadarSat, los dispersímetros como los satélites Metop-SG y los altímetros como los satélites Poseidon en Jason.</w:t>
      </w:r>
    </w:p>
    <w:p w14:paraId="22B0A115" w14:textId="2E79FFF5" w:rsidR="002C4609" w:rsidRPr="002C4609" w:rsidRDefault="00813BFE" w:rsidP="00187A72">
      <w:pPr>
        <w:pStyle w:val="enumlev1"/>
        <w:rPr>
          <w:lang w:val="es-ES"/>
        </w:rPr>
      </w:pPr>
      <w:r>
        <w:rPr>
          <w:lang w:val="es-ES"/>
        </w:rPr>
        <w:tab/>
      </w:r>
      <w:r w:rsidR="002C4609" w:rsidRPr="002C4609">
        <w:rPr>
          <w:lang w:val="es-ES"/>
        </w:rPr>
        <w:t>Esa banda de frecuencias ya se estudió en el último periodo de estudios en el marco del punto del orden del día 1.1 de la CMR-15. A partir de los resultados de los estudios del UIT-R sobre la protección de sistemas/aplicaciones SETS (activo), se ha llegado a la conclusión de que la compartición s</w:t>
      </w:r>
      <w:r w:rsidR="000C3FFF">
        <w:rPr>
          <w:lang w:val="es-ES"/>
        </w:rPr>
        <w:t>o</w:t>
      </w:r>
      <w:r w:rsidR="002C4609" w:rsidRPr="002C4609">
        <w:rPr>
          <w:lang w:val="es-ES"/>
        </w:rPr>
        <w:t>lo sería posible si pudiesen aplicarse más técnicas de reducción de la interferencia, incluso si los sistemas RLAN se limitasen a uso en interiores.</w:t>
      </w:r>
    </w:p>
    <w:p w14:paraId="6D2070C7" w14:textId="52BB0309" w:rsidR="002C4609" w:rsidRDefault="00813BFE" w:rsidP="00187A72">
      <w:pPr>
        <w:pStyle w:val="enumlev1"/>
        <w:rPr>
          <w:lang w:val="es-ES"/>
        </w:rPr>
      </w:pPr>
      <w:r>
        <w:rPr>
          <w:lang w:val="es-ES"/>
        </w:rPr>
        <w:lastRenderedPageBreak/>
        <w:tab/>
      </w:r>
      <w:r w:rsidR="002C4609" w:rsidRPr="002C4609">
        <w:rPr>
          <w:lang w:val="es-ES"/>
        </w:rPr>
        <w:t>Esa banda de frecuencias también se utiliza para los radares de meteorología a nivel del suelo. Toda propuesta de nueva atribución exigiría la protección de todos los radares existentes y futuros en la banda (despliegue de cualquier técnica de mitigación adecuada que se haya de aplicar a las RLAN y no a los radares de meteorología).</w:t>
      </w:r>
    </w:p>
    <w:p w14:paraId="6B70466F" w14:textId="2A3A2635" w:rsidR="00813BFE" w:rsidRPr="002C4609" w:rsidRDefault="00813BFE" w:rsidP="00187A72">
      <w:pPr>
        <w:pStyle w:val="enumlev1"/>
        <w:rPr>
          <w:lang w:val="es-ES"/>
        </w:rPr>
      </w:pPr>
      <w:r>
        <w:rPr>
          <w:lang w:val="es-ES"/>
        </w:rPr>
        <w:tab/>
      </w:r>
      <w:r w:rsidR="00AF5927">
        <w:rPr>
          <w:lang w:val="es-ES"/>
        </w:rPr>
        <w:t>De</w:t>
      </w:r>
      <w:r w:rsidR="006951C3" w:rsidRPr="002C4609">
        <w:rPr>
          <w:lang w:val="es-ES"/>
        </w:rPr>
        <w:t xml:space="preserve"> los estudios realizados por el UIT-R se </w:t>
      </w:r>
      <w:r w:rsidR="00AF5927">
        <w:rPr>
          <w:lang w:val="es-ES"/>
        </w:rPr>
        <w:t>desprende</w:t>
      </w:r>
      <w:r w:rsidR="006951C3" w:rsidRPr="002C4609">
        <w:rPr>
          <w:lang w:val="es-ES"/>
        </w:rPr>
        <w:t xml:space="preserve"> que la banda de frecuencias 5 350</w:t>
      </w:r>
      <w:r w:rsidR="006951C3">
        <w:rPr>
          <w:lang w:val="es-ES"/>
        </w:rPr>
        <w:noBreakHyphen/>
      </w:r>
      <w:r w:rsidR="006951C3" w:rsidRPr="002C4609">
        <w:rPr>
          <w:lang w:val="es-ES"/>
        </w:rPr>
        <w:t xml:space="preserve">5 470 MHz no es </w:t>
      </w:r>
      <w:r w:rsidR="00F631F8">
        <w:rPr>
          <w:lang w:val="es-ES"/>
        </w:rPr>
        <w:t>adecuada</w:t>
      </w:r>
      <w:r w:rsidR="006951C3" w:rsidRPr="002C4609">
        <w:rPr>
          <w:lang w:val="es-ES"/>
        </w:rPr>
        <w:t xml:space="preserve"> para el despliegue de dispositivos RLAN </w:t>
      </w:r>
      <w:r w:rsidR="00F631F8">
        <w:rPr>
          <w:lang w:val="es-ES"/>
        </w:rPr>
        <w:t>que funcionen</w:t>
      </w:r>
      <w:r w:rsidR="006951C3" w:rsidRPr="002C4609">
        <w:rPr>
          <w:lang w:val="es-ES"/>
        </w:rPr>
        <w:t xml:space="preserve"> en el servicio móvil.</w:t>
      </w:r>
    </w:p>
    <w:p w14:paraId="10936D72" w14:textId="079AD64A" w:rsidR="002C4609" w:rsidRPr="002C4609" w:rsidRDefault="002C4609" w:rsidP="000C3FFF">
      <w:pPr>
        <w:spacing w:after="120"/>
        <w:rPr>
          <w:lang w:val="es-ES"/>
        </w:rPr>
      </w:pPr>
      <w:r w:rsidRPr="002C4609">
        <w:rPr>
          <w:lang w:val="es-ES"/>
        </w:rPr>
        <w:t xml:space="preserve">La OMM subraya </w:t>
      </w:r>
      <w:r w:rsidR="00AF5927">
        <w:rPr>
          <w:lang w:val="es-ES"/>
        </w:rPr>
        <w:t xml:space="preserve">asimismo </w:t>
      </w:r>
      <w:r w:rsidRPr="002C4609">
        <w:rPr>
          <w:lang w:val="es-ES"/>
        </w:rPr>
        <w:t>que el número de casos de interferencia</w:t>
      </w:r>
      <w:r w:rsidR="00AF5927">
        <w:rPr>
          <w:lang w:val="es-ES"/>
        </w:rPr>
        <w:t xml:space="preserve"> a radares </w:t>
      </w:r>
      <w:r w:rsidR="00A6120A">
        <w:rPr>
          <w:lang w:val="es-ES"/>
        </w:rPr>
        <w:t>meteorológicos</w:t>
      </w:r>
      <w:r w:rsidRPr="002C4609">
        <w:rPr>
          <w:lang w:val="es-ES"/>
        </w:rPr>
        <w:t xml:space="preserve"> en la banda 5 600-5 650 MHz sigue creciendo en el mundo y que se debe principalmente al uso ilegal de unos sistemas RLAN no conformes con la técnica requerida de reducción de la interferencia.</w:t>
      </w:r>
    </w:p>
    <w:tbl>
      <w:tblPr>
        <w:tblStyle w:val="TableGrid"/>
        <w:tblW w:w="0" w:type="auto"/>
        <w:tblLook w:val="04A0" w:firstRow="1" w:lastRow="0" w:firstColumn="1" w:lastColumn="0" w:noHBand="0" w:noVBand="1"/>
      </w:tblPr>
      <w:tblGrid>
        <w:gridCol w:w="9629"/>
      </w:tblGrid>
      <w:tr w:rsidR="006951C3" w14:paraId="59295F3B" w14:textId="77777777" w:rsidTr="006951C3">
        <w:tc>
          <w:tcPr>
            <w:tcW w:w="9629" w:type="dxa"/>
          </w:tcPr>
          <w:p w14:paraId="413CCBC5" w14:textId="23054043" w:rsidR="006951C3" w:rsidRPr="00907B54" w:rsidRDefault="006951C3" w:rsidP="00187A72">
            <w:pPr>
              <w:pStyle w:val="Headingb"/>
              <w:rPr>
                <w:lang w:val="es-ES"/>
              </w:rPr>
            </w:pPr>
            <w:r w:rsidRPr="00907B54">
              <w:rPr>
                <w:lang w:val="es-ES"/>
              </w:rPr>
              <w:t>Posición de la OMM respecto del punto 1.16 del orden del día de la CMR-19</w:t>
            </w:r>
          </w:p>
          <w:p w14:paraId="2BBCD17A" w14:textId="587807B4" w:rsidR="006951C3" w:rsidRPr="00187A72" w:rsidRDefault="006951C3" w:rsidP="00187A72">
            <w:pPr>
              <w:rPr>
                <w:lang w:val="es-ES"/>
              </w:rPr>
            </w:pPr>
            <w:r w:rsidRPr="002C4609">
              <w:rPr>
                <w:lang w:val="es-ES"/>
              </w:rPr>
              <w:t>Debido al posible incremento de interferencias para el SETS (activo), la OMM no apoya la relajación de las restricciones que permitiría el uso en exteriores de dispositivos RLAN en la banda de frecuencias 5 250-5 350 MHz</w:t>
            </w:r>
            <w:r w:rsidRPr="006951C3">
              <w:rPr>
                <w:lang w:val="es-ES"/>
              </w:rPr>
              <w:t xml:space="preserve">. </w:t>
            </w:r>
            <w:r w:rsidR="00A6120A">
              <w:rPr>
                <w:lang w:val="es-ES"/>
              </w:rPr>
              <w:t>En consecuencia</w:t>
            </w:r>
            <w:r w:rsidR="00A6120A" w:rsidRPr="00187A72">
              <w:rPr>
                <w:lang w:val="es-ES"/>
              </w:rPr>
              <w:t xml:space="preserve">, la OMM está satisfecha con el </w:t>
            </w:r>
            <w:r w:rsidR="00A6120A">
              <w:rPr>
                <w:lang w:val="es-ES"/>
              </w:rPr>
              <w:t xml:space="preserve">único </w:t>
            </w:r>
            <w:r w:rsidR="00504627" w:rsidRPr="00187A72">
              <w:rPr>
                <w:lang w:val="es-ES"/>
              </w:rPr>
              <w:t xml:space="preserve">Método </w:t>
            </w:r>
            <w:r w:rsidR="00A6120A">
              <w:rPr>
                <w:lang w:val="es-ES"/>
              </w:rPr>
              <w:t xml:space="preserve">NOC propuesto </w:t>
            </w:r>
            <w:r w:rsidR="00A6120A" w:rsidRPr="00187A72">
              <w:rPr>
                <w:lang w:val="es-ES"/>
              </w:rPr>
              <w:t>para esta banda (</w:t>
            </w:r>
            <w:r w:rsidR="000C3FFF" w:rsidRPr="00187A72">
              <w:rPr>
                <w:lang w:val="es-ES"/>
              </w:rPr>
              <w:t xml:space="preserve">Método </w:t>
            </w:r>
            <w:r w:rsidR="00A6120A" w:rsidRPr="00187A72">
              <w:rPr>
                <w:lang w:val="es-ES"/>
              </w:rPr>
              <w:t>B)</w:t>
            </w:r>
            <w:r w:rsidRPr="00187A72">
              <w:rPr>
                <w:lang w:val="es-ES"/>
              </w:rPr>
              <w:t>.</w:t>
            </w:r>
          </w:p>
          <w:p w14:paraId="07B5812D" w14:textId="121C9448" w:rsidR="006951C3" w:rsidRDefault="00266EC8" w:rsidP="000C3FFF">
            <w:pPr>
              <w:spacing w:after="120"/>
              <w:rPr>
                <w:b/>
                <w:lang w:val="es-ES"/>
              </w:rPr>
            </w:pPr>
            <w:r w:rsidRPr="002C4609">
              <w:rPr>
                <w:lang w:val="es-ES"/>
              </w:rPr>
              <w:t>La OMM apoya la conclusión de que la banda de frecuencias 5 350-5 470 MHz no es apta para la operación de servicios RLAN y aboga por no realizar modificaciones en lo que respecta a esa banda de frecuencias</w:t>
            </w:r>
            <w:r w:rsidR="00A6120A">
              <w:rPr>
                <w:lang w:val="es-ES"/>
              </w:rPr>
              <w:t xml:space="preserve"> (</w:t>
            </w:r>
            <w:r w:rsidR="000C3FFF">
              <w:rPr>
                <w:lang w:val="es-ES"/>
              </w:rPr>
              <w:t xml:space="preserve">Método </w:t>
            </w:r>
            <w:r w:rsidR="00A6120A">
              <w:rPr>
                <w:lang w:val="es-ES"/>
              </w:rPr>
              <w:t>C)</w:t>
            </w:r>
            <w:r w:rsidRPr="002C4609">
              <w:rPr>
                <w:lang w:val="es-ES"/>
              </w:rPr>
              <w:t>.</w:t>
            </w:r>
          </w:p>
        </w:tc>
      </w:tr>
    </w:tbl>
    <w:p w14:paraId="2B141263" w14:textId="5DA3946E" w:rsidR="009668DF" w:rsidRPr="005F17F4" w:rsidRDefault="009668DF" w:rsidP="00A43CAF">
      <w:pPr>
        <w:pStyle w:val="Headingb"/>
      </w:pPr>
      <w:r w:rsidRPr="005F17F4">
        <w:t>3.11</w:t>
      </w:r>
      <w:r w:rsidRPr="005F17F4">
        <w:tab/>
      </w:r>
      <w:bookmarkStart w:id="17" w:name="lt_pId364"/>
      <w:r w:rsidR="005F17F4" w:rsidRPr="005F17F4">
        <w:t xml:space="preserve">Punto </w:t>
      </w:r>
      <w:r w:rsidRPr="005F17F4">
        <w:t>7</w:t>
      </w:r>
      <w:bookmarkEnd w:id="17"/>
      <w:r w:rsidR="00917290" w:rsidRPr="005F17F4">
        <w:t xml:space="preserve"> del orden del día</w:t>
      </w:r>
    </w:p>
    <w:p w14:paraId="3C12378E" w14:textId="3BD45A8A" w:rsidR="009668DF" w:rsidRPr="00D83153" w:rsidRDefault="00917290" w:rsidP="00187A72">
      <w:pPr>
        <w:rPr>
          <w:lang w:val="es-ES"/>
        </w:rPr>
      </w:pPr>
      <w:r>
        <w:rPr>
          <w:i/>
        </w:rPr>
        <w:t>«</w:t>
      </w:r>
      <w:r>
        <w:rPr>
          <w:i/>
          <w:iCs/>
        </w:rPr>
        <w:t xml:space="preserve">considerar posibles modificaciones y otras opciones para responder a lo dispuesto en la Resolución </w:t>
      </w:r>
      <w:r w:rsidRPr="000C3FFF">
        <w:rPr>
          <w:i/>
          <w:iCs/>
        </w:rPr>
        <w:t>86 (Rev. Marrakech, 2002) de</w:t>
      </w:r>
      <w:r>
        <w:rPr>
          <w:i/>
          <w:iCs/>
        </w:rPr>
        <w:t xml:space="preserve"> la Conferencia de Plenipotenciarios: Procedimientos de publicación anticipada, de coordinación, de notificación y de inscripción de asignaciones de frecuencias de redes de satélite de conformidad con la Resolución </w:t>
      </w:r>
      <w:r>
        <w:rPr>
          <w:b/>
          <w:bCs/>
          <w:i/>
          <w:iCs/>
        </w:rPr>
        <w:t>86 (Rev.CMR-07</w:t>
      </w:r>
      <w:r>
        <w:rPr>
          <w:b/>
          <w:i/>
          <w:iCs/>
        </w:rPr>
        <w:t>)</w:t>
      </w:r>
      <w:r w:rsidRPr="00DE0E9C">
        <w:rPr>
          <w:bCs/>
          <w:i/>
          <w:iCs/>
        </w:rPr>
        <w:t xml:space="preserve"> </w:t>
      </w:r>
      <w:r>
        <w:rPr>
          <w:bCs/>
          <w:i/>
          <w:iCs/>
        </w:rPr>
        <w:t>para facilitar el uso racional, eficiente y económico de las radiofrecuencias y órbitas asociadas, incluida la órbita de los satélites geoestacionarios</w:t>
      </w:r>
      <w:r w:rsidR="00935BD4" w:rsidRPr="00D83153">
        <w:rPr>
          <w:i/>
          <w:iCs/>
        </w:rPr>
        <w:t>.</w:t>
      </w:r>
      <w:r w:rsidR="00935BD4" w:rsidRPr="00D83153">
        <w:rPr>
          <w:i/>
        </w:rPr>
        <w:t>»</w:t>
      </w:r>
    </w:p>
    <w:p w14:paraId="03ED803E" w14:textId="77777777" w:rsidR="0030654B" w:rsidRDefault="0030654B" w:rsidP="00187A72">
      <w:pPr>
        <w:rPr>
          <w:lang w:val="es-ES"/>
        </w:rPr>
      </w:pPr>
      <w:r>
        <w:t>Este punto del orden del día presente en todas las CMR trata de las posibles modificaciones del Reglamento de Radiocomunicaciones en relación con la publicación anticipada, coordinación, notificación y registro de redes de satélite.</w:t>
      </w:r>
    </w:p>
    <w:p w14:paraId="3AA04F44" w14:textId="76226BF9" w:rsidR="00676A00" w:rsidRDefault="0030654B" w:rsidP="00187A72">
      <w:r>
        <w:t>La OMM no apoyaría la realización de modificaciones a los procedimientos de publicación anticipada, de coordinación, de notificación y de inscripción para las redes de satélites en el Reglamento de Radiocomunicaciones si supusiesen la imposición de limitaciones innecesarias a los sistemas MetSat y ESS.</w:t>
      </w:r>
    </w:p>
    <w:tbl>
      <w:tblPr>
        <w:tblStyle w:val="TableGrid"/>
        <w:tblW w:w="0" w:type="auto"/>
        <w:tblLook w:val="04A0" w:firstRow="1" w:lastRow="0" w:firstColumn="1" w:lastColumn="0" w:noHBand="0" w:noVBand="1"/>
      </w:tblPr>
      <w:tblGrid>
        <w:gridCol w:w="9629"/>
      </w:tblGrid>
      <w:tr w:rsidR="00676A00" w:rsidRPr="00472AAA" w14:paraId="0AC34D37" w14:textId="77777777" w:rsidTr="00676A00">
        <w:tc>
          <w:tcPr>
            <w:tcW w:w="9629" w:type="dxa"/>
          </w:tcPr>
          <w:p w14:paraId="43F5B7CF" w14:textId="5279BAEF" w:rsidR="00676A00" w:rsidRPr="00907B54" w:rsidRDefault="00676A00" w:rsidP="00187A72">
            <w:pPr>
              <w:pStyle w:val="Headingb"/>
              <w:rPr>
                <w:lang w:val="es-ES"/>
              </w:rPr>
            </w:pPr>
            <w:r w:rsidRPr="00907B54">
              <w:rPr>
                <w:lang w:val="es-ES"/>
              </w:rPr>
              <w:lastRenderedPageBreak/>
              <w:t>Posición de la OMM respecto del punto 7 del orden del día de la CMR-19</w:t>
            </w:r>
          </w:p>
          <w:p w14:paraId="71EBFA34" w14:textId="1E1A93D6" w:rsidR="00472AAA" w:rsidRPr="00187A72" w:rsidRDefault="00472AAA" w:rsidP="00187A72">
            <w:pPr>
              <w:rPr>
                <w:lang w:val="es-ES"/>
              </w:rPr>
            </w:pPr>
            <w:bookmarkStart w:id="18" w:name="lt_pId369"/>
            <w:r w:rsidRPr="00187A72">
              <w:rPr>
                <w:lang w:val="es-ES"/>
              </w:rPr>
              <w:t xml:space="preserve">La OMM </w:t>
            </w:r>
            <w:r>
              <w:rPr>
                <w:lang w:val="es-ES"/>
              </w:rPr>
              <w:t>manifiesta</w:t>
            </w:r>
            <w:r w:rsidR="00B7282C">
              <w:rPr>
                <w:lang w:val="es-ES"/>
              </w:rPr>
              <w:t xml:space="preserve"> su</w:t>
            </w:r>
            <w:r>
              <w:rPr>
                <w:lang w:val="es-ES"/>
              </w:rPr>
              <w:t xml:space="preserve"> inquietud</w:t>
            </w:r>
            <w:r w:rsidRPr="00187A72">
              <w:rPr>
                <w:lang w:val="es-ES"/>
              </w:rPr>
              <w:t xml:space="preserve"> por </w:t>
            </w:r>
            <w:r>
              <w:rPr>
                <w:lang w:val="es-ES"/>
              </w:rPr>
              <w:t>los temas</w:t>
            </w:r>
            <w:r w:rsidRPr="00187A72">
              <w:rPr>
                <w:lang w:val="es-ES"/>
              </w:rPr>
              <w:t xml:space="preserve"> A e I de </w:t>
            </w:r>
            <w:r w:rsidR="00B7282C">
              <w:rPr>
                <w:lang w:val="es-ES"/>
              </w:rPr>
              <w:t>dicho</w:t>
            </w:r>
            <w:r w:rsidRPr="00187A72">
              <w:rPr>
                <w:lang w:val="es-ES"/>
              </w:rPr>
              <w:t xml:space="preserve"> punto del orden del día.</w:t>
            </w:r>
          </w:p>
          <w:p w14:paraId="04EA9E72" w14:textId="244ECE49" w:rsidR="00472AAA" w:rsidRPr="00187A72" w:rsidRDefault="00472AAA" w:rsidP="00187A72">
            <w:pPr>
              <w:rPr>
                <w:lang w:val="es-ES"/>
              </w:rPr>
            </w:pPr>
            <w:r w:rsidRPr="00187A72">
              <w:rPr>
                <w:lang w:val="es-ES"/>
              </w:rPr>
              <w:t xml:space="preserve">Por lo que se refiere al </w:t>
            </w:r>
            <w:r>
              <w:rPr>
                <w:lang w:val="es-ES"/>
              </w:rPr>
              <w:t>tema</w:t>
            </w:r>
            <w:r w:rsidRPr="00187A72">
              <w:rPr>
                <w:lang w:val="es-ES"/>
              </w:rPr>
              <w:t xml:space="preserve"> A, las bandas de frecuencias utilizadas por el SETS, Metsat y el </w:t>
            </w:r>
            <w:r>
              <w:rPr>
                <w:lang w:val="es-ES"/>
              </w:rPr>
              <w:t>SOE</w:t>
            </w:r>
            <w:r w:rsidRPr="00187A72">
              <w:rPr>
                <w:lang w:val="es-ES"/>
              </w:rPr>
              <w:t xml:space="preserve"> no deberían </w:t>
            </w:r>
            <w:r>
              <w:rPr>
                <w:lang w:val="es-ES"/>
              </w:rPr>
              <w:t>regirse por</w:t>
            </w:r>
            <w:r w:rsidRPr="00187A72">
              <w:rPr>
                <w:lang w:val="es-ES"/>
              </w:rPr>
              <w:t xml:space="preserve"> ningún enfoque basado en </w:t>
            </w:r>
            <w:r>
              <w:rPr>
                <w:lang w:val="es-ES"/>
              </w:rPr>
              <w:t>objetivos intermedios</w:t>
            </w:r>
            <w:r w:rsidRPr="00187A72">
              <w:rPr>
                <w:lang w:val="es-ES"/>
              </w:rPr>
              <w:t xml:space="preserve">, </w:t>
            </w:r>
            <w:r>
              <w:rPr>
                <w:lang w:val="es-ES"/>
              </w:rPr>
              <w:t>puesto</w:t>
            </w:r>
            <w:r w:rsidRPr="00187A72">
              <w:rPr>
                <w:lang w:val="es-ES"/>
              </w:rPr>
              <w:t xml:space="preserve"> que </w:t>
            </w:r>
            <w:r>
              <w:rPr>
                <w:lang w:val="es-ES"/>
              </w:rPr>
              <w:t xml:space="preserve">ello </w:t>
            </w:r>
            <w:r w:rsidRPr="00187A72">
              <w:rPr>
                <w:lang w:val="es-ES"/>
              </w:rPr>
              <w:t xml:space="preserve">no </w:t>
            </w:r>
            <w:r>
              <w:rPr>
                <w:lang w:val="es-ES"/>
              </w:rPr>
              <w:t>sería</w:t>
            </w:r>
            <w:r w:rsidRPr="00187A72">
              <w:rPr>
                <w:lang w:val="es-ES"/>
              </w:rPr>
              <w:t xml:space="preserve"> un mecanismo reglamentario justificado para los sistemas de satélites MetSat y del SETS, </w:t>
            </w:r>
            <w:r w:rsidR="00CB1D78">
              <w:rPr>
                <w:lang w:val="es-ES"/>
              </w:rPr>
              <w:t>integrados</w:t>
            </w:r>
            <w:r>
              <w:rPr>
                <w:lang w:val="es-ES"/>
              </w:rPr>
              <w:t>, por lo general, por una cantidad</w:t>
            </w:r>
            <w:r w:rsidRPr="00187A72">
              <w:rPr>
                <w:lang w:val="es-ES"/>
              </w:rPr>
              <w:t xml:space="preserve"> </w:t>
            </w:r>
            <w:r w:rsidR="00CB1D78">
              <w:rPr>
                <w:lang w:val="es-ES"/>
              </w:rPr>
              <w:t xml:space="preserve">muy pequeña </w:t>
            </w:r>
            <w:r w:rsidRPr="00187A72">
              <w:rPr>
                <w:lang w:val="es-ES"/>
              </w:rPr>
              <w:t xml:space="preserve">de satélites. </w:t>
            </w:r>
            <w:r>
              <w:rPr>
                <w:lang w:val="es-ES"/>
              </w:rPr>
              <w:t>No obstante, dicho</w:t>
            </w:r>
            <w:r w:rsidRPr="00187A72">
              <w:rPr>
                <w:lang w:val="es-ES"/>
              </w:rPr>
              <w:t xml:space="preserve"> enfoque basado en objetivos intermedios </w:t>
            </w:r>
            <w:r>
              <w:rPr>
                <w:lang w:val="es-ES"/>
              </w:rPr>
              <w:t xml:space="preserve">se destina </w:t>
            </w:r>
            <w:r w:rsidR="00CB1D78">
              <w:rPr>
                <w:lang w:val="es-ES"/>
              </w:rPr>
              <w:t>a la supervisión</w:t>
            </w:r>
            <w:r>
              <w:rPr>
                <w:lang w:val="es-ES"/>
              </w:rPr>
              <w:t xml:space="preserve"> del despliegue de sistemas no OSG </w:t>
            </w:r>
            <w:r w:rsidRPr="00187A72">
              <w:rPr>
                <w:lang w:val="es-ES"/>
              </w:rPr>
              <w:t xml:space="preserve">integrados por varias constelaciones multisatélite en </w:t>
            </w:r>
            <w:r w:rsidR="000C3FFF">
              <w:rPr>
                <w:lang w:val="es-ES"/>
              </w:rPr>
              <w:t>determinadas</w:t>
            </w:r>
            <w:r w:rsidRPr="00187A72">
              <w:rPr>
                <w:lang w:val="es-ES"/>
              </w:rPr>
              <w:t xml:space="preserve"> bandas de frecuencias</w:t>
            </w:r>
            <w:r>
              <w:rPr>
                <w:lang w:val="es-ES"/>
              </w:rPr>
              <w:t>.</w:t>
            </w:r>
          </w:p>
          <w:p w14:paraId="37CD3123" w14:textId="55A17594" w:rsidR="00472AAA" w:rsidRPr="00187A72" w:rsidRDefault="00472AAA" w:rsidP="00187A72">
            <w:pPr>
              <w:rPr>
                <w:lang w:val="es-ES"/>
              </w:rPr>
            </w:pPr>
            <w:r w:rsidRPr="00187A72">
              <w:rPr>
                <w:lang w:val="es-ES"/>
              </w:rPr>
              <w:t xml:space="preserve">La reglamentación relativa a la puesta en servicio no </w:t>
            </w:r>
            <w:r>
              <w:rPr>
                <w:lang w:val="es-ES"/>
              </w:rPr>
              <w:t>deberá imponer</w:t>
            </w:r>
            <w:r w:rsidRPr="00187A72">
              <w:rPr>
                <w:lang w:val="es-ES"/>
              </w:rPr>
              <w:t xml:space="preserve"> restricciones indebidas a las redes de satélites </w:t>
            </w:r>
            <w:r>
              <w:rPr>
                <w:lang w:val="es-ES"/>
              </w:rPr>
              <w:t>notificadas</w:t>
            </w:r>
            <w:r w:rsidRPr="00187A72">
              <w:rPr>
                <w:lang w:val="es-ES"/>
              </w:rPr>
              <w:t xml:space="preserve"> para utilizar bandas de frecuencias atribuidas al SETS, Metsat </w:t>
            </w:r>
            <w:r>
              <w:rPr>
                <w:lang w:val="es-ES"/>
              </w:rPr>
              <w:t>o</w:t>
            </w:r>
            <w:r w:rsidRPr="00187A72">
              <w:rPr>
                <w:lang w:val="es-ES"/>
              </w:rPr>
              <w:t xml:space="preserve"> </w:t>
            </w:r>
            <w:r>
              <w:rPr>
                <w:lang w:val="es-ES"/>
              </w:rPr>
              <w:t>SOE</w:t>
            </w:r>
            <w:r w:rsidRPr="00187A72">
              <w:rPr>
                <w:lang w:val="es-ES"/>
              </w:rPr>
              <w:t>.</w:t>
            </w:r>
          </w:p>
          <w:p w14:paraId="2F9BE595" w14:textId="71B60602" w:rsidR="00676A00" w:rsidRPr="00187A72" w:rsidRDefault="00472AAA" w:rsidP="000C3FFF">
            <w:pPr>
              <w:spacing w:after="120"/>
              <w:rPr>
                <w:lang w:val="es-ES"/>
              </w:rPr>
            </w:pPr>
            <w:r w:rsidRPr="00187A72">
              <w:rPr>
                <w:lang w:val="es-ES"/>
              </w:rPr>
              <w:t xml:space="preserve">En </w:t>
            </w:r>
            <w:r>
              <w:rPr>
                <w:lang w:val="es-ES"/>
              </w:rPr>
              <w:t>relación con el tema</w:t>
            </w:r>
            <w:r w:rsidRPr="00187A72">
              <w:rPr>
                <w:lang w:val="es-ES"/>
              </w:rPr>
              <w:t xml:space="preserve"> I, la reglamentación </w:t>
            </w:r>
            <w:r>
              <w:rPr>
                <w:lang w:val="es-ES"/>
              </w:rPr>
              <w:t>sobre</w:t>
            </w:r>
            <w:r w:rsidRPr="00187A72">
              <w:rPr>
                <w:lang w:val="es-ES"/>
              </w:rPr>
              <w:t xml:space="preserve"> satélites de corta duración no debe </w:t>
            </w:r>
            <w:r>
              <w:rPr>
                <w:lang w:val="es-ES"/>
              </w:rPr>
              <w:t xml:space="preserve">repercutir adversamente en </w:t>
            </w:r>
            <w:r w:rsidRPr="00187A72">
              <w:rPr>
                <w:lang w:val="es-ES"/>
              </w:rPr>
              <w:t>las notificaciones de otras redes de satélite</w:t>
            </w:r>
            <w:bookmarkStart w:id="19" w:name="lt_pId373"/>
            <w:bookmarkEnd w:id="18"/>
            <w:r w:rsidR="00676A00" w:rsidRPr="00187A72">
              <w:rPr>
                <w:lang w:val="es-ES"/>
              </w:rPr>
              <w:t>.</w:t>
            </w:r>
            <w:bookmarkEnd w:id="19"/>
          </w:p>
        </w:tc>
      </w:tr>
    </w:tbl>
    <w:p w14:paraId="1387BEE8" w14:textId="2487A74F" w:rsidR="002C4609" w:rsidRPr="002C4609" w:rsidRDefault="00617869" w:rsidP="000C3FFF">
      <w:pPr>
        <w:pStyle w:val="Heading2"/>
        <w:rPr>
          <w:lang w:val="es-ES"/>
        </w:rPr>
      </w:pPr>
      <w:r>
        <w:rPr>
          <w:lang w:val="es-ES"/>
        </w:rPr>
        <w:t>3.12</w:t>
      </w:r>
      <w:r w:rsidR="002C4609" w:rsidRPr="002C4609">
        <w:rPr>
          <w:lang w:val="es-ES"/>
        </w:rPr>
        <w:tab/>
        <w:t>Punto 9.1</w:t>
      </w:r>
      <w:r>
        <w:rPr>
          <w:lang w:val="es-ES"/>
        </w:rPr>
        <w:t>.5</w:t>
      </w:r>
      <w:r w:rsidR="002C4609" w:rsidRPr="002C4609">
        <w:rPr>
          <w:lang w:val="es-ES"/>
        </w:rPr>
        <w:t xml:space="preserve"> del orden del día</w:t>
      </w:r>
    </w:p>
    <w:p w14:paraId="59B38D7E" w14:textId="1BCD74F6" w:rsidR="002C4609" w:rsidRPr="002C4609" w:rsidRDefault="002C4609" w:rsidP="00A43CAF">
      <w:pPr>
        <w:rPr>
          <w:b/>
          <w:bCs/>
          <w:i/>
          <w:lang w:val="es-ES"/>
        </w:rPr>
      </w:pPr>
      <w:r w:rsidRPr="002C4609">
        <w:rPr>
          <w:i/>
          <w:lang w:val="es-ES"/>
        </w:rPr>
        <w:t xml:space="preserve">«examen de las repercusiones técnicas y reglamentarias de incorporar por referencia las Recomendaciones UIT-R M.1638-1 y UIT-R M.1849-1 en los números </w:t>
      </w:r>
      <w:r w:rsidRPr="002C4609">
        <w:rPr>
          <w:b/>
          <w:bCs/>
          <w:i/>
          <w:lang w:val="es-ES"/>
        </w:rPr>
        <w:t>5.447F</w:t>
      </w:r>
      <w:r w:rsidRPr="002C4609">
        <w:rPr>
          <w:i/>
          <w:lang w:val="es-ES"/>
        </w:rPr>
        <w:t xml:space="preserve"> y </w:t>
      </w:r>
      <w:r w:rsidRPr="002C4609">
        <w:rPr>
          <w:b/>
          <w:bCs/>
          <w:i/>
          <w:lang w:val="es-ES"/>
        </w:rPr>
        <w:t>5.450A</w:t>
      </w:r>
      <w:r w:rsidRPr="002C4609">
        <w:rPr>
          <w:i/>
          <w:lang w:val="es-ES"/>
        </w:rPr>
        <w:t xml:space="preserve"> del Reglamento de Radiocomunicaciones (Resolución</w:t>
      </w:r>
      <w:r w:rsidR="000C3FFF">
        <w:rPr>
          <w:b/>
          <w:bCs/>
          <w:i/>
          <w:lang w:val="es-ES"/>
        </w:rPr>
        <w:t> </w:t>
      </w:r>
      <w:r w:rsidRPr="002C4609">
        <w:rPr>
          <w:b/>
          <w:bCs/>
          <w:i/>
          <w:lang w:val="es-ES"/>
        </w:rPr>
        <w:t>764 (CMR-15)</w:t>
      </w:r>
      <w:r w:rsidRPr="002C4609">
        <w:rPr>
          <w:i/>
          <w:lang w:val="es-ES"/>
        </w:rPr>
        <w:t>).</w:t>
      </w:r>
      <w:r w:rsidR="0065566D">
        <w:rPr>
          <w:i/>
          <w:lang w:val="es-ES"/>
        </w:rPr>
        <w:t>»</w:t>
      </w:r>
    </w:p>
    <w:p w14:paraId="5847F1FD" w14:textId="3B97E243" w:rsidR="002C4609" w:rsidRPr="002C4609" w:rsidRDefault="002C4609" w:rsidP="00187A72">
      <w:pPr>
        <w:rPr>
          <w:lang w:val="es-ES"/>
        </w:rPr>
      </w:pPr>
      <w:r w:rsidRPr="002C4609">
        <w:rPr>
          <w:lang w:val="es-ES"/>
        </w:rPr>
        <w:t>En el punto 9.1</w:t>
      </w:r>
      <w:r w:rsidR="00810F95">
        <w:rPr>
          <w:lang w:val="es-ES"/>
        </w:rPr>
        <w:t>.5</w:t>
      </w:r>
      <w:r w:rsidRPr="002C4609">
        <w:rPr>
          <w:lang w:val="es-ES"/>
        </w:rPr>
        <w:t xml:space="preserve"> del orden del día se estudia modificar las referencias existentes a la Recomendación UIT</w:t>
      </w:r>
      <w:r w:rsidRPr="002C4609">
        <w:rPr>
          <w:lang w:val="es-ES"/>
        </w:rPr>
        <w:noBreakHyphen/>
        <w:t xml:space="preserve">R M.1638-0 en las notas de los números </w:t>
      </w:r>
      <w:r w:rsidRPr="002C4609">
        <w:rPr>
          <w:b/>
          <w:lang w:val="es-ES"/>
        </w:rPr>
        <w:t>5.447F</w:t>
      </w:r>
      <w:r w:rsidRPr="002C4609">
        <w:rPr>
          <w:lang w:val="es-ES"/>
        </w:rPr>
        <w:t xml:space="preserve"> y </w:t>
      </w:r>
      <w:r w:rsidRPr="002C4609">
        <w:rPr>
          <w:b/>
          <w:lang w:val="es-ES"/>
        </w:rPr>
        <w:t>5.450А</w:t>
      </w:r>
      <w:r w:rsidRPr="002C4609">
        <w:rPr>
          <w:lang w:val="es-ES"/>
        </w:rPr>
        <w:t xml:space="preserve"> del </w:t>
      </w:r>
      <w:r w:rsidR="00126661">
        <w:rPr>
          <w:lang w:val="es-ES"/>
        </w:rPr>
        <w:t>RR</w:t>
      </w:r>
      <w:r w:rsidRPr="002C4609">
        <w:rPr>
          <w:lang w:val="es-ES"/>
        </w:rPr>
        <w:t>, por referencias a la Recomendación UIT</w:t>
      </w:r>
      <w:r w:rsidRPr="002C4609">
        <w:rPr>
          <w:lang w:val="es-ES"/>
        </w:rPr>
        <w:noBreakHyphen/>
        <w:t>R M.1638-1 y la Recomendación UIT-R M.1849-1. Debería indicarse que esas referencias ofrecen protección al servicio de radiolocalización, incluidos radares meteorológicos, desde RLAN.</w:t>
      </w:r>
    </w:p>
    <w:p w14:paraId="5B1B613B" w14:textId="15E91F4A" w:rsidR="002C4609" w:rsidRPr="002C4609" w:rsidRDefault="002C4609" w:rsidP="00187A72">
      <w:pPr>
        <w:rPr>
          <w:lang w:val="es-ES"/>
        </w:rPr>
      </w:pPr>
      <w:r w:rsidRPr="002C4609">
        <w:rPr>
          <w:lang w:val="es-ES"/>
        </w:rPr>
        <w:t>La Recomendación UIT-R M.1638-0 se incorpora al Reglamento de Radiocomunicaciones mediante referencia en la nota a los número</w:t>
      </w:r>
      <w:r w:rsidRPr="002C4609">
        <w:rPr>
          <w:bCs/>
          <w:lang w:val="es-ES"/>
        </w:rPr>
        <w:t>s</w:t>
      </w:r>
      <w:r w:rsidRPr="002C4609">
        <w:rPr>
          <w:b/>
          <w:lang w:val="es-ES"/>
        </w:rPr>
        <w:t xml:space="preserve"> 5.447F</w:t>
      </w:r>
      <w:r w:rsidRPr="002C4609">
        <w:rPr>
          <w:lang w:val="es-ES"/>
        </w:rPr>
        <w:t xml:space="preserve"> y </w:t>
      </w:r>
      <w:r w:rsidRPr="002C4609">
        <w:rPr>
          <w:b/>
          <w:lang w:val="es-ES"/>
        </w:rPr>
        <w:t>5.450А</w:t>
      </w:r>
      <w:r w:rsidRPr="002C4609">
        <w:rPr>
          <w:lang w:val="es-ES"/>
        </w:rPr>
        <w:t>. En esas notas al pie se dice que «</w:t>
      </w:r>
      <w:r w:rsidRPr="002C4609">
        <w:rPr>
          <w:i/>
          <w:lang w:val="es-ES"/>
        </w:rPr>
        <w:t>las estaciones del servicio móvil no reclamarán protección contra los servicios de radiodeterminación. Los servicios de radiodeterminación no impondrán al servicio móvil, basándose en las características del sistema y en los criterios de interferencia, criterios de protección más estrictos que los previstos en la Recomendación UIT</w:t>
      </w:r>
      <w:r w:rsidR="00D204D4">
        <w:rPr>
          <w:i/>
          <w:lang w:val="es-ES"/>
        </w:rPr>
        <w:t>-</w:t>
      </w:r>
      <w:r w:rsidRPr="002C4609">
        <w:rPr>
          <w:i/>
          <w:lang w:val="es-ES"/>
        </w:rPr>
        <w:t>R M.1638</w:t>
      </w:r>
      <w:r w:rsidR="00D204D4">
        <w:rPr>
          <w:i/>
          <w:lang w:val="es-ES"/>
        </w:rPr>
        <w:t>-</w:t>
      </w:r>
      <w:r w:rsidRPr="002C4609">
        <w:rPr>
          <w:i/>
          <w:lang w:val="es-ES"/>
        </w:rPr>
        <w:t>0</w:t>
      </w:r>
      <w:r w:rsidRPr="000320CD">
        <w:rPr>
          <w:iCs/>
          <w:lang w:val="es-ES"/>
        </w:rPr>
        <w:t>»</w:t>
      </w:r>
      <w:r w:rsidRPr="002C4609">
        <w:rPr>
          <w:lang w:val="es-ES"/>
        </w:rPr>
        <w:t>.</w:t>
      </w:r>
    </w:p>
    <w:p w14:paraId="446E0AF8" w14:textId="77777777" w:rsidR="002C4609" w:rsidRPr="002C4609" w:rsidRDefault="002C4609" w:rsidP="00187A72">
      <w:pPr>
        <w:rPr>
          <w:lang w:val="es-ES"/>
        </w:rPr>
      </w:pPr>
      <w:r w:rsidRPr="002C4609">
        <w:rPr>
          <w:lang w:val="es-ES"/>
        </w:rPr>
        <w:t>Desde la atribución a WAS/RLAN realizada en la CMR-03 se ha sustituido la Recomendación UIT</w:t>
      </w:r>
      <w:r w:rsidRPr="002C4609">
        <w:rPr>
          <w:lang w:val="es-ES"/>
        </w:rPr>
        <w:noBreakHyphen/>
        <w:t>R M.1638-0 por la Recomendación UIT-R M.1638-1, en la que se presentan las características y criterios de protección para los estudios de compartición de los radares de radiolocalización (salvo los radares meteorológicos en tierra) y de radionavegación aeronáutica que funcionan en las bandas de frecuencias entre 5 250 y 5 850 MHz. A la revisión se han añadido nuevos sistemas de radiolocalización en las bandas de frecuencias 5 GHz.</w:t>
      </w:r>
    </w:p>
    <w:p w14:paraId="4CA7B392" w14:textId="77777777" w:rsidR="002C4609" w:rsidRPr="002C4609" w:rsidRDefault="002C4609" w:rsidP="00A43CAF">
      <w:pPr>
        <w:rPr>
          <w:lang w:val="es-ES"/>
        </w:rPr>
      </w:pPr>
      <w:r w:rsidRPr="002C4609">
        <w:rPr>
          <w:lang w:val="es-ES"/>
        </w:rPr>
        <w:t>Además, la Recomendación UIT-R M.1849-1 se desarrolló centrándose en radares meteorológicos en tierra para ofrecer características técnicas y operacionales, algunas de las cuales no figuran en la Recomendación UIT-R M.1638-0, como ecuación del radar, esquemas de emisión, escenarios operacionales.</w:t>
      </w:r>
    </w:p>
    <w:p w14:paraId="58A0BBF5" w14:textId="577B94B1" w:rsidR="002C4609" w:rsidRPr="002C4609" w:rsidRDefault="002C4609" w:rsidP="00187A72">
      <w:pPr>
        <w:rPr>
          <w:lang w:val="es-ES"/>
        </w:rPr>
      </w:pPr>
      <w:r w:rsidRPr="002C4609">
        <w:rPr>
          <w:lang w:val="es-ES"/>
        </w:rPr>
        <w:t xml:space="preserve">Actualmente, la Recomendación UIT-R M.1849-1 no figura en el Reglamento de Radiocomunicaciones, pero una referencia como la propuesta permitiría la incorporación de la información más actualizada sobre radares meteorológicos operando en esa banda de frecuencias. Debería señalarse que los últimos estudios del UIT-R muestran que la inclusión de una referencia a M.1849-1 en la nota </w:t>
      </w:r>
      <w:r w:rsidRPr="002C4609">
        <w:rPr>
          <w:b/>
          <w:lang w:val="es-ES"/>
        </w:rPr>
        <w:t>5.450A</w:t>
      </w:r>
      <w:r w:rsidRPr="002C4609">
        <w:rPr>
          <w:lang w:val="es-ES"/>
        </w:rPr>
        <w:t xml:space="preserve"> </w:t>
      </w:r>
      <w:r w:rsidR="00CB1D78">
        <w:rPr>
          <w:lang w:val="es-ES"/>
        </w:rPr>
        <w:t xml:space="preserve">del RR </w:t>
      </w:r>
      <w:r w:rsidRPr="002C4609">
        <w:rPr>
          <w:lang w:val="es-ES"/>
        </w:rPr>
        <w:t>no afectaría técnica ni normativamente a los servicios existentes.</w:t>
      </w:r>
    </w:p>
    <w:tbl>
      <w:tblPr>
        <w:tblStyle w:val="TableGrid"/>
        <w:tblW w:w="0" w:type="auto"/>
        <w:tblLook w:val="04A0" w:firstRow="1" w:lastRow="0" w:firstColumn="1" w:lastColumn="0" w:noHBand="0" w:noVBand="1"/>
      </w:tblPr>
      <w:tblGrid>
        <w:gridCol w:w="9629"/>
      </w:tblGrid>
      <w:tr w:rsidR="00D945AE" w:rsidRPr="00022389" w14:paraId="16382D84" w14:textId="77777777" w:rsidTr="00D945AE">
        <w:tc>
          <w:tcPr>
            <w:tcW w:w="9629" w:type="dxa"/>
          </w:tcPr>
          <w:p w14:paraId="6D4DBCF8" w14:textId="2B6211B5" w:rsidR="00D945AE" w:rsidRPr="00907B54" w:rsidRDefault="00D945AE" w:rsidP="00A43CAF">
            <w:pPr>
              <w:pStyle w:val="Headingb"/>
              <w:rPr>
                <w:lang w:val="es-ES"/>
              </w:rPr>
            </w:pPr>
            <w:r w:rsidRPr="00907B54">
              <w:rPr>
                <w:lang w:val="es-ES"/>
              </w:rPr>
              <w:lastRenderedPageBreak/>
              <w:t>Posición de la OMM respecto del punto 9.1.5 del orden del día de la CMR-19</w:t>
            </w:r>
          </w:p>
          <w:p w14:paraId="0D3B8AFC" w14:textId="77777777" w:rsidR="00D945AE" w:rsidRPr="002C4609" w:rsidRDefault="00D945AE" w:rsidP="00187A72">
            <w:pPr>
              <w:rPr>
                <w:lang w:val="es-ES"/>
              </w:rPr>
            </w:pPr>
            <w:r w:rsidRPr="002C4609">
              <w:rPr>
                <w:lang w:val="es-ES"/>
              </w:rPr>
              <w:t>La OMM apoya cualquier solución por la que se protejan de forma continuada los radares meteorológicos de los sistemas WAS/RLAN operando en el marco de la atribución al servicio móvil en la banda de frecuencias 5 470-5 725 MHz.</w:t>
            </w:r>
          </w:p>
          <w:p w14:paraId="55256247" w14:textId="1D4B8EBC" w:rsidR="00D945AE" w:rsidRPr="00187A72" w:rsidRDefault="00022389" w:rsidP="00D204D4">
            <w:pPr>
              <w:spacing w:after="120"/>
              <w:rPr>
                <w:lang w:val="es-ES"/>
              </w:rPr>
            </w:pPr>
            <w:r w:rsidRPr="00187A72">
              <w:rPr>
                <w:lang w:val="es-ES"/>
              </w:rPr>
              <w:t>Los enfoques A o B del Informe de la RPC s</w:t>
            </w:r>
            <w:r>
              <w:rPr>
                <w:lang w:val="es-ES"/>
              </w:rPr>
              <w:t>e ajustarían a</w:t>
            </w:r>
            <w:r w:rsidRPr="00187A72">
              <w:rPr>
                <w:lang w:val="es-ES"/>
              </w:rPr>
              <w:t xml:space="preserve"> las necesidades de la OMM en materia de protección de las operaciones de los radares meteorológicos al </w:t>
            </w:r>
            <w:r>
              <w:rPr>
                <w:lang w:val="es-ES"/>
              </w:rPr>
              <w:t>suprimir</w:t>
            </w:r>
            <w:r w:rsidRPr="00187A72">
              <w:rPr>
                <w:lang w:val="es-ES"/>
              </w:rPr>
              <w:t xml:space="preserve"> la dificultad de futuras actualizaciones de las recomendaciones del UIT-R a las que se hace referencia en el Reglamento de Radiocomunicaciones, </w:t>
            </w:r>
            <w:r>
              <w:rPr>
                <w:lang w:val="es-ES"/>
              </w:rPr>
              <w:t>sin perjuicio de mantener</w:t>
            </w:r>
            <w:r w:rsidRPr="00187A72">
              <w:rPr>
                <w:lang w:val="es-ES"/>
              </w:rPr>
              <w:t xml:space="preserve"> los actuales requisitos de compartición</w:t>
            </w:r>
            <w:r w:rsidR="00D204D4">
              <w:rPr>
                <w:lang w:val="es-ES"/>
              </w:rPr>
              <w:t>.</w:t>
            </w:r>
          </w:p>
        </w:tc>
      </w:tr>
    </w:tbl>
    <w:p w14:paraId="7CAF0CF9" w14:textId="4E8803A9" w:rsidR="002C4609" w:rsidRPr="002C4609" w:rsidRDefault="0016090C" w:rsidP="00D204D4">
      <w:pPr>
        <w:pStyle w:val="Heading2"/>
        <w:rPr>
          <w:lang w:val="es-ES"/>
        </w:rPr>
      </w:pPr>
      <w:r w:rsidRPr="00DA5DFF">
        <w:rPr>
          <w:lang w:val="es-ES"/>
        </w:rPr>
        <w:t>3.13</w:t>
      </w:r>
      <w:r w:rsidR="002C4609" w:rsidRPr="00DA5DFF">
        <w:rPr>
          <w:lang w:val="es-ES"/>
        </w:rPr>
        <w:tab/>
        <w:t>Punto 9.1</w:t>
      </w:r>
      <w:r w:rsidRPr="00DA5DFF">
        <w:rPr>
          <w:lang w:val="es-ES"/>
        </w:rPr>
        <w:t>.9</w:t>
      </w:r>
      <w:r w:rsidR="002C4609" w:rsidRPr="00DA5DFF">
        <w:rPr>
          <w:lang w:val="es-ES"/>
        </w:rPr>
        <w:t xml:space="preserve"> del orden del día</w:t>
      </w:r>
    </w:p>
    <w:p w14:paraId="6291A83D" w14:textId="53013685" w:rsidR="002C4609" w:rsidRPr="002C4609" w:rsidRDefault="002C4609" w:rsidP="00187A72">
      <w:pPr>
        <w:rPr>
          <w:b/>
          <w:bCs/>
          <w:i/>
          <w:lang w:val="es-ES"/>
        </w:rPr>
      </w:pPr>
      <w:r w:rsidRPr="002C4609">
        <w:rPr>
          <w:i/>
          <w:lang w:val="es-ES"/>
        </w:rPr>
        <w:t>«estudios relativos a las necesidades de espectro y la posible atribución de las bandas de frecuencias 51,4-52,4 GHz al servicio fijo por satélite (Tierra-espacio) (Resolución</w:t>
      </w:r>
      <w:r w:rsidRPr="002C4609">
        <w:rPr>
          <w:b/>
          <w:bCs/>
          <w:i/>
          <w:lang w:val="es-ES"/>
        </w:rPr>
        <w:t xml:space="preserve"> 162 (CMR</w:t>
      </w:r>
      <w:r w:rsidRPr="002C4609">
        <w:rPr>
          <w:b/>
          <w:bCs/>
          <w:i/>
          <w:lang w:val="es-ES"/>
        </w:rPr>
        <w:noBreakHyphen/>
        <w:t>15)</w:t>
      </w:r>
      <w:r w:rsidRPr="002C4609">
        <w:rPr>
          <w:i/>
          <w:lang w:val="es-ES"/>
        </w:rPr>
        <w:t>).</w:t>
      </w:r>
      <w:r w:rsidR="00B012B8">
        <w:rPr>
          <w:i/>
          <w:lang w:val="es-ES"/>
        </w:rPr>
        <w:t>»</w:t>
      </w:r>
    </w:p>
    <w:p w14:paraId="08F008B3" w14:textId="77777777" w:rsidR="002C4609" w:rsidRPr="002C4609" w:rsidRDefault="002C4609" w:rsidP="00187A72">
      <w:pPr>
        <w:rPr>
          <w:lang w:val="es-ES"/>
        </w:rPr>
      </w:pPr>
      <w:r w:rsidRPr="002C4609">
        <w:rPr>
          <w:lang w:val="es-ES"/>
        </w:rPr>
        <w:t>La OMM está preocupada por la protección adecuada del SETS (pasivo) en las bandas 50,2</w:t>
      </w:r>
      <w:r w:rsidRPr="002C4609">
        <w:rPr>
          <w:lang w:val="es-ES"/>
        </w:rPr>
        <w:noBreakHyphen/>
        <w:t>50,4 GHz y 52,6-54,25 GHz de SFS geoestacionario (Tierra-espacio) en la banda 51,4</w:t>
      </w:r>
      <w:r w:rsidRPr="002C4609">
        <w:rPr>
          <w:lang w:val="es-ES"/>
        </w:rPr>
        <w:noBreakHyphen/>
        <w:t>52,4 GHz.</w:t>
      </w:r>
    </w:p>
    <w:p w14:paraId="7B8A7B03" w14:textId="77777777" w:rsidR="002C4609" w:rsidRPr="002C4609" w:rsidRDefault="002C4609" w:rsidP="00187A72">
      <w:pPr>
        <w:rPr>
          <w:lang w:val="es-ES"/>
        </w:rPr>
      </w:pPr>
      <w:r w:rsidRPr="002C4609">
        <w:rPr>
          <w:lang w:val="es-ES"/>
        </w:rPr>
        <w:t>Los estudios muestran que se necesitarán límites a las emisiones no deseadas para proteger el SETS (pasivo), si bien no hay acuerdo sobre su valor.</w:t>
      </w:r>
    </w:p>
    <w:p w14:paraId="167FE54F" w14:textId="4F6CA589" w:rsidR="00D5489E" w:rsidRDefault="002C4609" w:rsidP="00D204D4">
      <w:pPr>
        <w:spacing w:after="120"/>
        <w:rPr>
          <w:lang w:val="es-ES"/>
        </w:rPr>
      </w:pPr>
      <w:r w:rsidRPr="002C4609">
        <w:rPr>
          <w:lang w:val="es-ES"/>
        </w:rPr>
        <w:t>En lo que respecta a la banda de frecuencias 50,4-51,4 GHz, podría producirse un problema de interferencia con los radiómetros en tierra.</w:t>
      </w:r>
    </w:p>
    <w:tbl>
      <w:tblPr>
        <w:tblStyle w:val="TableGrid"/>
        <w:tblW w:w="0" w:type="auto"/>
        <w:tblLook w:val="04A0" w:firstRow="1" w:lastRow="0" w:firstColumn="1" w:lastColumn="0" w:noHBand="0" w:noVBand="1"/>
      </w:tblPr>
      <w:tblGrid>
        <w:gridCol w:w="9629"/>
      </w:tblGrid>
      <w:tr w:rsidR="00D5489E" w14:paraId="2B9ADABF" w14:textId="77777777" w:rsidTr="00D5489E">
        <w:tc>
          <w:tcPr>
            <w:tcW w:w="9629" w:type="dxa"/>
          </w:tcPr>
          <w:p w14:paraId="75011694" w14:textId="64DD68D7" w:rsidR="00D5489E" w:rsidRPr="00907B54" w:rsidRDefault="00D5489E" w:rsidP="00187A72">
            <w:pPr>
              <w:pStyle w:val="Headingb"/>
              <w:rPr>
                <w:lang w:val="es-ES"/>
              </w:rPr>
            </w:pPr>
            <w:r w:rsidRPr="00907B54">
              <w:rPr>
                <w:lang w:val="es-ES"/>
              </w:rPr>
              <w:t>Posición de la OMM respecto del punto 9.1.9 del orden del día de la CMR-19</w:t>
            </w:r>
          </w:p>
          <w:p w14:paraId="6BAB43E0" w14:textId="77777777" w:rsidR="00D5489E" w:rsidRDefault="00D5489E" w:rsidP="00187A72">
            <w:pPr>
              <w:rPr>
                <w:lang w:val="es-ES"/>
              </w:rPr>
            </w:pPr>
            <w:r>
              <w:t>La OMM no se opone a la posible atribución al SFS (Tierra-espacio) de la banda de frecuencias 51,4-52,4 GHz, siempre que se proteja el SETS (pasivo) en las bandas 50,2-50,4 GHz y 52,6</w:t>
            </w:r>
            <w:r>
              <w:noBreakHyphen/>
              <w:t>54,25 GHz.</w:t>
            </w:r>
          </w:p>
          <w:p w14:paraId="2457C776" w14:textId="7EA434A6" w:rsidR="00D5489E" w:rsidRDefault="00D5489E" w:rsidP="00187A72">
            <w:r>
              <w:t xml:space="preserve">La OMM solicita que se establezcan </w:t>
            </w:r>
            <w:r w:rsidR="00022389">
              <w:t xml:space="preserve">en la Resolución </w:t>
            </w:r>
            <w:r w:rsidR="00022389">
              <w:rPr>
                <w:b/>
                <w:bCs/>
              </w:rPr>
              <w:t xml:space="preserve">750 (Rev.CMR-15) </w:t>
            </w:r>
            <w:r>
              <w:t>los límites necesarios de emisiones no deseadas de</w:t>
            </w:r>
            <w:r w:rsidR="00022389">
              <w:t>l</w:t>
            </w:r>
            <w:r>
              <w:t xml:space="preserve"> SFS </w:t>
            </w:r>
            <w:r w:rsidR="00022389">
              <w:t>a fin de garantizar la protección de</w:t>
            </w:r>
            <w:r>
              <w:t xml:space="preserve"> todos los sensores </w:t>
            </w:r>
            <w:r w:rsidR="00022389">
              <w:t xml:space="preserve">del </w:t>
            </w:r>
            <w:r>
              <w:t>SETS (pasivo) presentes y futuros</w:t>
            </w:r>
            <w:r w:rsidR="00022389">
              <w:t xml:space="preserve">, incluidos los sensores pasivos OSG (opción 2 del </w:t>
            </w:r>
            <w:r w:rsidR="00D204D4">
              <w:t xml:space="preserve">Informe </w:t>
            </w:r>
            <w:r w:rsidR="00022389">
              <w:t>de la RPC)</w:t>
            </w:r>
            <w:r>
              <w:t>.</w:t>
            </w:r>
          </w:p>
          <w:p w14:paraId="3EE328A3" w14:textId="568BC0AC" w:rsidR="00D5489E" w:rsidRDefault="00D5489E" w:rsidP="00D204D4">
            <w:pPr>
              <w:spacing w:after="120"/>
              <w:rPr>
                <w:lang w:val="es-ES"/>
              </w:rPr>
            </w:pPr>
            <w:r>
              <w:t>Además, la OMM agradecería que se encontrase una solución para que las operaciones de los radiómetros en tierra en la banda de frecuencias 50,4-51,4 GHz no se interrumpiesen.</w:t>
            </w:r>
          </w:p>
        </w:tc>
      </w:tr>
    </w:tbl>
    <w:p w14:paraId="3C4FD402" w14:textId="3C08CCC8" w:rsidR="002C4609" w:rsidRPr="002C4609" w:rsidRDefault="00D755F2" w:rsidP="00D204D4">
      <w:pPr>
        <w:pStyle w:val="Heading2"/>
        <w:rPr>
          <w:lang w:val="es-ES"/>
        </w:rPr>
      </w:pPr>
      <w:r>
        <w:rPr>
          <w:lang w:val="es-ES"/>
        </w:rPr>
        <w:t>3.14</w:t>
      </w:r>
      <w:r w:rsidR="002C4609" w:rsidRPr="002C4609">
        <w:rPr>
          <w:lang w:val="es-ES"/>
        </w:rPr>
        <w:tab/>
        <w:t>Punto 10 del orden del día</w:t>
      </w:r>
    </w:p>
    <w:p w14:paraId="5D851E0D" w14:textId="5DF9A0C1" w:rsidR="002C4609" w:rsidRPr="002C4609" w:rsidRDefault="002C4609" w:rsidP="00187A72">
      <w:pPr>
        <w:rPr>
          <w:b/>
          <w:bCs/>
          <w:i/>
          <w:lang w:val="es-ES"/>
        </w:rPr>
      </w:pPr>
      <w:r w:rsidRPr="002C4609">
        <w:rPr>
          <w:i/>
          <w:lang w:val="es-ES"/>
        </w:rPr>
        <w:t>«recomendar al Consejo los puntos que han de incluirse en el orden del día de la próxima CMR, y formular opiniones sobre el orden del día preliminar de la conferencia subsiguiente y sobre los posibles órdenes del día de futuras conferencias, de conformidad con el Artículo </w:t>
      </w:r>
      <w:r w:rsidRPr="008016E5">
        <w:rPr>
          <w:i/>
          <w:lang w:val="es-ES"/>
        </w:rPr>
        <w:t>7</w:t>
      </w:r>
      <w:r w:rsidRPr="002C4609">
        <w:rPr>
          <w:i/>
          <w:lang w:val="es-ES"/>
        </w:rPr>
        <w:t xml:space="preserve"> del Convenio (Resolución</w:t>
      </w:r>
      <w:r w:rsidRPr="002C4609">
        <w:rPr>
          <w:b/>
          <w:bCs/>
          <w:i/>
          <w:lang w:val="es-ES"/>
        </w:rPr>
        <w:t> </w:t>
      </w:r>
      <w:r w:rsidR="00974C1F">
        <w:rPr>
          <w:b/>
          <w:bCs/>
          <w:i/>
          <w:lang w:val="es-ES"/>
        </w:rPr>
        <w:t>810</w:t>
      </w:r>
      <w:r w:rsidRPr="002C4609">
        <w:rPr>
          <w:b/>
          <w:bCs/>
          <w:i/>
          <w:lang w:val="es-ES"/>
        </w:rPr>
        <w:t> (CMR-</w:t>
      </w:r>
      <w:r w:rsidR="00974C1F">
        <w:rPr>
          <w:b/>
          <w:bCs/>
          <w:i/>
          <w:lang w:val="es-ES"/>
        </w:rPr>
        <w:t>15</w:t>
      </w:r>
      <w:r w:rsidRPr="002C4609">
        <w:rPr>
          <w:b/>
          <w:bCs/>
          <w:i/>
          <w:lang w:val="es-ES"/>
        </w:rPr>
        <w:t>)</w:t>
      </w:r>
      <w:r w:rsidRPr="002C4609">
        <w:rPr>
          <w:i/>
          <w:lang w:val="es-ES"/>
        </w:rPr>
        <w:t>).</w:t>
      </w:r>
      <w:r w:rsidR="00B711AE">
        <w:rPr>
          <w:i/>
          <w:lang w:val="es-ES"/>
        </w:rPr>
        <w:t>»</w:t>
      </w:r>
    </w:p>
    <w:p w14:paraId="56DED255" w14:textId="77777777" w:rsidR="002C4609" w:rsidRPr="002C4609" w:rsidRDefault="002C4609" w:rsidP="00187A72">
      <w:pPr>
        <w:rPr>
          <w:lang w:val="es-ES"/>
        </w:rPr>
      </w:pPr>
      <w:r w:rsidRPr="002C4609">
        <w:rPr>
          <w:lang w:val="es-ES"/>
        </w:rPr>
        <w:t>La OMM propondrá los posibles puntos para el orden del día que estime conveniente y manifestará su postura respecto de las demás propuestas a tiempo para la CMR-19. Actualmente hay dos puntos en el orden del día preliminar de la CMR-23 de interés primordial para la OMM:</w:t>
      </w:r>
    </w:p>
    <w:p w14:paraId="3D37D927" w14:textId="28AC9B2C" w:rsidR="002C4609" w:rsidRPr="002C4609" w:rsidRDefault="00710E88" w:rsidP="00187A72">
      <w:pPr>
        <w:pStyle w:val="enumlev1"/>
        <w:rPr>
          <w:lang w:val="es-ES"/>
        </w:rPr>
      </w:pPr>
      <w:r w:rsidRPr="00710E88">
        <w:rPr>
          <w:lang w:val="es-ES"/>
        </w:rPr>
        <w:t>–</w:t>
      </w:r>
      <w:r>
        <w:rPr>
          <w:lang w:val="es-ES"/>
        </w:rPr>
        <w:tab/>
      </w:r>
      <w:r w:rsidR="002C4609" w:rsidRPr="002C4609">
        <w:rPr>
          <w:lang w:val="es-ES"/>
        </w:rPr>
        <w:t xml:space="preserve">Punto 2.2 del orden del día preliminar de la CMR-23 </w:t>
      </w:r>
      <w:r w:rsidR="00D204D4">
        <w:rPr>
          <w:lang w:val="es-ES"/>
        </w:rPr>
        <w:t xml:space="preserve">– </w:t>
      </w:r>
      <w:r w:rsidR="002C4609" w:rsidRPr="002C4609">
        <w:rPr>
          <w:lang w:val="es-ES"/>
        </w:rPr>
        <w:t>«a realizar y completar, a tiempo para la CMR</w:t>
      </w:r>
      <w:r w:rsidR="002C4609" w:rsidRPr="002C4609">
        <w:rPr>
          <w:lang w:val="es-ES"/>
        </w:rPr>
        <w:noBreakHyphen/>
        <w:t xml:space="preserve">23, estudios para una posible nueva atribución al servicio de exploración de la Tierra por satélite (activo) para sondas de radar aerotransportadas en la gama de </w:t>
      </w:r>
      <w:r w:rsidR="002C4609" w:rsidRPr="002C4609">
        <w:rPr>
          <w:lang w:val="es-ES"/>
        </w:rPr>
        <w:lastRenderedPageBreak/>
        <w:t xml:space="preserve">frecuencias alrededor de 45 MHz, teniendo en cuenta la protección de los servicios establecidos, de conformidad con la Resolución </w:t>
      </w:r>
      <w:r w:rsidR="002C4609" w:rsidRPr="002C4609">
        <w:rPr>
          <w:b/>
          <w:bCs/>
          <w:lang w:val="es-ES"/>
        </w:rPr>
        <w:t>656 (CMR-15)</w:t>
      </w:r>
      <w:r w:rsidR="002C4609" w:rsidRPr="002C4609">
        <w:rPr>
          <w:lang w:val="es-ES"/>
        </w:rPr>
        <w:t>»</w:t>
      </w:r>
      <w:r w:rsidR="00D204D4">
        <w:rPr>
          <w:lang w:val="es-ES"/>
        </w:rPr>
        <w:t>.</w:t>
      </w:r>
    </w:p>
    <w:p w14:paraId="22927194" w14:textId="0217EB38" w:rsidR="002C4609" w:rsidRPr="002C4609" w:rsidRDefault="00710E88" w:rsidP="00187A72">
      <w:pPr>
        <w:pStyle w:val="enumlev1"/>
        <w:rPr>
          <w:lang w:val="es-ES"/>
        </w:rPr>
      </w:pPr>
      <w:r w:rsidRPr="00710E88">
        <w:rPr>
          <w:lang w:val="es-ES"/>
        </w:rPr>
        <w:t>–</w:t>
      </w:r>
      <w:r>
        <w:rPr>
          <w:lang w:val="es-ES"/>
        </w:rPr>
        <w:tab/>
      </w:r>
      <w:r w:rsidR="002C4609" w:rsidRPr="002C4609">
        <w:rPr>
          <w:lang w:val="es-ES"/>
        </w:rPr>
        <w:t>Punto 2.3 del orden del día preliminar de la CMR-23</w:t>
      </w:r>
      <w:r w:rsidR="00D204D4">
        <w:rPr>
          <w:lang w:val="es-ES"/>
        </w:rPr>
        <w:t xml:space="preserve"> – </w:t>
      </w:r>
      <w:r w:rsidR="002C4609" w:rsidRPr="002C4609">
        <w:rPr>
          <w:lang w:val="es-ES"/>
        </w:rPr>
        <w:t>«de conformidad con la Resolución </w:t>
      </w:r>
      <w:r w:rsidR="002C4609" w:rsidRPr="002C4609">
        <w:rPr>
          <w:b/>
          <w:bCs/>
          <w:lang w:val="es-ES"/>
        </w:rPr>
        <w:t>657 (CMR</w:t>
      </w:r>
      <w:r w:rsidR="002C4609" w:rsidRPr="002C4609">
        <w:rPr>
          <w:b/>
          <w:bCs/>
          <w:lang w:val="es-ES"/>
        </w:rPr>
        <w:noBreakHyphen/>
        <w:t>15)</w:t>
      </w:r>
      <w:r w:rsidR="002C4609" w:rsidRPr="002C4609">
        <w:rPr>
          <w:lang w:val="es-ES"/>
        </w:rPr>
        <w:t>, examinar los resultados de estudios relativos a las características técnicas y operativas, las necesidades de espectro y designaciones apropiadas de servicio radioeléctrico para sensores meteorológicos espaciales, a fin de proporcionar el reconocimiento y protección adecuados en el Reglamento de Radiocomunicaciones sin imponer nuevas restricciones a los servicios existentes»</w:t>
      </w:r>
      <w:r w:rsidR="00D204D4">
        <w:rPr>
          <w:lang w:val="es-ES"/>
        </w:rPr>
        <w:t>.</w:t>
      </w:r>
    </w:p>
    <w:p w14:paraId="671C0E62" w14:textId="77777777" w:rsidR="002C4609" w:rsidRPr="002C4609" w:rsidRDefault="002C4609" w:rsidP="00A43CAF">
      <w:pPr>
        <w:rPr>
          <w:lang w:val="es-ES"/>
        </w:rPr>
      </w:pPr>
      <w:r w:rsidRPr="002C4609">
        <w:rPr>
          <w:lang w:val="es-ES"/>
        </w:rPr>
        <w:t>La CMR-19, en el marco del punto 10 de su orden del día, tomará una decisión definitiva sobre el mantenimiento de esos puntos en el orden del día de la CMR-23.</w:t>
      </w:r>
    </w:p>
    <w:p w14:paraId="3D9359DB" w14:textId="6AA773E5" w:rsidR="00244B58" w:rsidRPr="00187A72" w:rsidRDefault="00AE7821" w:rsidP="00187A72">
      <w:pPr>
        <w:rPr>
          <w:lang w:val="es-ES"/>
        </w:rPr>
      </w:pPr>
      <w:bookmarkStart w:id="20" w:name="lt_pId410"/>
      <w:r w:rsidRPr="00187A72">
        <w:rPr>
          <w:lang w:val="es-ES"/>
        </w:rPr>
        <w:t>E</w:t>
      </w:r>
      <w:r>
        <w:rPr>
          <w:lang w:val="es-ES"/>
        </w:rPr>
        <w:t>n e</w:t>
      </w:r>
      <w:r w:rsidRPr="00187A72">
        <w:rPr>
          <w:lang w:val="es-ES"/>
        </w:rPr>
        <w:t xml:space="preserve">l Informe de la RPC </w:t>
      </w:r>
      <w:r>
        <w:rPr>
          <w:lang w:val="es-ES"/>
        </w:rPr>
        <w:t>se enumeran varios</w:t>
      </w:r>
      <w:r w:rsidRPr="00187A72">
        <w:rPr>
          <w:lang w:val="es-ES"/>
        </w:rPr>
        <w:t xml:space="preserve"> documentos presentados en la última reunión de la RPC </w:t>
      </w:r>
      <w:r>
        <w:rPr>
          <w:lang w:val="es-ES"/>
        </w:rPr>
        <w:t>para presentar varias posibilidades de</w:t>
      </w:r>
      <w:r w:rsidRPr="00187A72">
        <w:rPr>
          <w:lang w:val="es-ES"/>
        </w:rPr>
        <w:t xml:space="preserve"> nuevos puntos del orden</w:t>
      </w:r>
      <w:r>
        <w:rPr>
          <w:lang w:val="es-ES"/>
        </w:rPr>
        <w:t xml:space="preserve"> del día de la CMR-23. De es</w:t>
      </w:r>
      <w:r w:rsidRPr="00187A72">
        <w:rPr>
          <w:lang w:val="es-ES"/>
        </w:rPr>
        <w:t>as propuestas, l</w:t>
      </w:r>
      <w:r>
        <w:rPr>
          <w:lang w:val="es-ES"/>
        </w:rPr>
        <w:t>a</w:t>
      </w:r>
      <w:r w:rsidRPr="00187A72">
        <w:rPr>
          <w:lang w:val="es-ES"/>
        </w:rPr>
        <w:t>s siguientes serían de interés para la comunidad meteorológica</w:t>
      </w:r>
      <w:bookmarkStart w:id="21" w:name="lt_pId411"/>
      <w:bookmarkEnd w:id="20"/>
      <w:r w:rsidR="00244B58" w:rsidRPr="00187A72">
        <w:rPr>
          <w:lang w:val="es-ES"/>
        </w:rPr>
        <w:t>:</w:t>
      </w:r>
      <w:bookmarkEnd w:id="21"/>
    </w:p>
    <w:p w14:paraId="58EB0006" w14:textId="2786EFA4" w:rsidR="00244B58" w:rsidRPr="000F2707" w:rsidRDefault="00244B58" w:rsidP="00187A72">
      <w:pPr>
        <w:pStyle w:val="enumlev1"/>
      </w:pPr>
      <w:r w:rsidRPr="000F2707">
        <w:t>1)</w:t>
      </w:r>
      <w:r w:rsidRPr="000F2707">
        <w:tab/>
      </w:r>
      <w:bookmarkStart w:id="22" w:name="lt_pId413"/>
      <w:r w:rsidR="00FC3EDE" w:rsidRPr="000F2707">
        <w:t xml:space="preserve">Propuesta relativa a las </w:t>
      </w:r>
      <w:r w:rsidR="00AE7821">
        <w:t>ETEM</w:t>
      </w:r>
      <w:r w:rsidR="00FC3EDE" w:rsidRPr="000F2707">
        <w:t xml:space="preserve"> no OSG en las bandas de frecuencias 17,7-20,2 GHz (espacio-Tierra), 27,5-30,0 GHz (Tierra-espacio), 37,5-39,5 GHz (espacio-Tierra), 39,5</w:t>
      </w:r>
      <w:r w:rsidR="00EE0F08" w:rsidRPr="000F2707">
        <w:noBreakHyphen/>
      </w:r>
      <w:r w:rsidR="00FC3EDE" w:rsidRPr="000F2707">
        <w:t>42,5 GHz (espacio-Tierra), 47,2-50,2 GHz (Tierra-espacio) y 50,4-51,4 GHz (Tierra-espacio)</w:t>
      </w:r>
      <w:r w:rsidRPr="000F2707">
        <w:t xml:space="preserve"> (</w:t>
      </w:r>
      <w:r w:rsidR="00E05783">
        <w:t>Documento</w:t>
      </w:r>
      <w:r w:rsidR="00E05783" w:rsidRPr="000F2707">
        <w:t xml:space="preserve"> </w:t>
      </w:r>
      <w:r w:rsidRPr="000F2707">
        <w:t>CPM19-2/7).</w:t>
      </w:r>
      <w:bookmarkEnd w:id="22"/>
    </w:p>
    <w:p w14:paraId="4A6CBB5F" w14:textId="5C64E60B" w:rsidR="00244B58" w:rsidRPr="000F2707" w:rsidRDefault="00244B58" w:rsidP="00187A72">
      <w:pPr>
        <w:pStyle w:val="enumlev1"/>
      </w:pPr>
      <w:r w:rsidRPr="000F2707">
        <w:t>2)</w:t>
      </w:r>
      <w:r w:rsidRPr="000F2707">
        <w:tab/>
      </w:r>
      <w:bookmarkStart w:id="23" w:name="lt_pId415"/>
      <w:r w:rsidR="00FC3EDE" w:rsidRPr="000F2707">
        <w:t xml:space="preserve">Propuesta de revisión del número </w:t>
      </w:r>
      <w:r w:rsidR="00FC3EDE" w:rsidRPr="00D204D4">
        <w:rPr>
          <w:b/>
          <w:bCs/>
        </w:rPr>
        <w:t>5.522B</w:t>
      </w:r>
      <w:r w:rsidR="00FC3EDE" w:rsidRPr="000F2707">
        <w:t xml:space="preserve"> del RR relativo a la utilización de la banda 18,6-18,8 GHz por sistemas no OSG del SFS</w:t>
      </w:r>
      <w:r w:rsidRPr="000F2707">
        <w:t xml:space="preserve"> (</w:t>
      </w:r>
      <w:r w:rsidR="008016E5" w:rsidRPr="000F2707">
        <w:t>Document</w:t>
      </w:r>
      <w:r w:rsidR="008016E5">
        <w:t>o</w:t>
      </w:r>
      <w:r w:rsidR="008016E5" w:rsidRPr="000F2707">
        <w:t xml:space="preserve"> </w:t>
      </w:r>
      <w:r w:rsidRPr="000F2707">
        <w:t>CPM19-2/7).</w:t>
      </w:r>
      <w:bookmarkEnd w:id="23"/>
    </w:p>
    <w:p w14:paraId="485D1982" w14:textId="74544CA2" w:rsidR="00244B58" w:rsidRPr="000F2707" w:rsidRDefault="00244B58" w:rsidP="00187A72">
      <w:pPr>
        <w:pStyle w:val="enumlev1"/>
      </w:pPr>
      <w:r w:rsidRPr="000F2707">
        <w:t>3)</w:t>
      </w:r>
      <w:r w:rsidRPr="000F2707">
        <w:tab/>
      </w:r>
      <w:bookmarkStart w:id="24" w:name="lt_pId417"/>
      <w:r w:rsidR="00AD2B7C" w:rsidRPr="000F2707">
        <w:t>Propuesta de atribución de las bandas de frecuencias 1 518-1 559 MHz, 1</w:t>
      </w:r>
      <w:r w:rsidR="00E05783">
        <w:t> </w:t>
      </w:r>
      <w:r w:rsidR="00AD2B7C" w:rsidRPr="000F2707">
        <w:t>626,6</w:t>
      </w:r>
      <w:r w:rsidR="00E05783">
        <w:noBreakHyphen/>
      </w:r>
      <w:r w:rsidR="00AD2B7C" w:rsidRPr="000F2707">
        <w:t>1</w:t>
      </w:r>
      <w:r w:rsidR="00E05783">
        <w:t> </w:t>
      </w:r>
      <w:r w:rsidR="00AD2B7C" w:rsidRPr="000F2707">
        <w:t>660,5</w:t>
      </w:r>
      <w:r w:rsidR="00E05783">
        <w:t> </w:t>
      </w:r>
      <w:r w:rsidR="00AD2B7C" w:rsidRPr="000F2707">
        <w:t>MHz y 1 668-1 675 MHz al servicio móvil por satélite (espacio</w:t>
      </w:r>
      <w:r w:rsidR="00E05783">
        <w:noBreakHyphen/>
      </w:r>
      <w:r w:rsidR="00AD2B7C" w:rsidRPr="000F2707">
        <w:t>espacio)</w:t>
      </w:r>
      <w:r w:rsidRPr="000F2707">
        <w:t xml:space="preserve"> (</w:t>
      </w:r>
      <w:r w:rsidR="00E05783" w:rsidRPr="000F2707">
        <w:t>Document</w:t>
      </w:r>
      <w:r w:rsidR="00E05783">
        <w:t>o</w:t>
      </w:r>
      <w:r w:rsidR="00E05783" w:rsidRPr="000F2707">
        <w:t xml:space="preserve"> </w:t>
      </w:r>
      <w:r w:rsidRPr="000F2707">
        <w:t>CPM19-2/154).</w:t>
      </w:r>
      <w:bookmarkEnd w:id="24"/>
    </w:p>
    <w:p w14:paraId="36A85C94" w14:textId="00F179C8" w:rsidR="00244B58" w:rsidRPr="00187A72" w:rsidRDefault="00B9299F" w:rsidP="00187A72">
      <w:pPr>
        <w:rPr>
          <w:rFonts w:eastAsia="Calibri"/>
          <w:lang w:val="es-ES"/>
        </w:rPr>
      </w:pPr>
      <w:bookmarkStart w:id="25" w:name="lt_pId418"/>
      <w:r w:rsidRPr="00187A72">
        <w:rPr>
          <w:lang w:val="es-ES"/>
        </w:rPr>
        <w:t xml:space="preserve">Las propuestas 1) y 2) </w:t>
      </w:r>
      <w:r>
        <w:rPr>
          <w:lang w:val="es-ES"/>
        </w:rPr>
        <w:t xml:space="preserve">anteriormente mencionadas </w:t>
      </w:r>
      <w:r w:rsidRPr="00187A72">
        <w:rPr>
          <w:lang w:val="es-ES"/>
        </w:rPr>
        <w:t xml:space="preserve">podrían </w:t>
      </w:r>
      <w:r w:rsidR="00F6413A">
        <w:rPr>
          <w:lang w:val="es-ES"/>
        </w:rPr>
        <w:t>poner en</w:t>
      </w:r>
      <w:r>
        <w:rPr>
          <w:lang w:val="es-ES"/>
        </w:rPr>
        <w:t xml:space="preserve"> riesgo las atribuciones</w:t>
      </w:r>
      <w:r w:rsidRPr="00187A72">
        <w:rPr>
          <w:lang w:val="es-ES"/>
        </w:rPr>
        <w:t xml:space="preserve"> en banda o en banda adyacente</w:t>
      </w:r>
      <w:r w:rsidRPr="00B9299F">
        <w:rPr>
          <w:lang w:val="es-ES"/>
        </w:rPr>
        <w:t xml:space="preserve"> </w:t>
      </w:r>
      <w:r w:rsidR="00F6413A">
        <w:rPr>
          <w:lang w:val="es-ES"/>
        </w:rPr>
        <w:t>del</w:t>
      </w:r>
      <w:r w:rsidRPr="00C41B20">
        <w:rPr>
          <w:lang w:val="es-ES"/>
        </w:rPr>
        <w:t xml:space="preserve"> SETS </w:t>
      </w:r>
      <w:r>
        <w:rPr>
          <w:lang w:val="es-ES"/>
        </w:rPr>
        <w:t>(pasivo)</w:t>
      </w:r>
      <w:r w:rsidRPr="00187A72">
        <w:rPr>
          <w:lang w:val="es-ES"/>
        </w:rPr>
        <w:t xml:space="preserve">. La OMM observó que en el </w:t>
      </w:r>
      <w:r w:rsidR="008016E5" w:rsidRPr="00187A72">
        <w:rPr>
          <w:lang w:val="es-ES"/>
        </w:rPr>
        <w:t>Documento</w:t>
      </w:r>
      <w:r w:rsidR="008016E5">
        <w:rPr>
          <w:lang w:val="es-ES"/>
        </w:rPr>
        <w:t> </w:t>
      </w:r>
      <w:r w:rsidRPr="00187A72">
        <w:rPr>
          <w:lang w:val="es-ES"/>
        </w:rPr>
        <w:t>CPM19</w:t>
      </w:r>
      <w:r w:rsidR="00EB66A2">
        <w:rPr>
          <w:lang w:val="es-ES"/>
        </w:rPr>
        <w:noBreakHyphen/>
      </w:r>
      <w:r w:rsidRPr="00187A72">
        <w:rPr>
          <w:lang w:val="es-ES"/>
        </w:rPr>
        <w:t xml:space="preserve">2/178 se formulan observaciones sobre </w:t>
      </w:r>
      <w:r>
        <w:rPr>
          <w:lang w:val="es-ES"/>
        </w:rPr>
        <w:t>ambas</w:t>
      </w:r>
      <w:r w:rsidR="00F6413A">
        <w:rPr>
          <w:lang w:val="es-ES"/>
        </w:rPr>
        <w:t xml:space="preserve"> propuestas y se proporciona información de base pertinente</w:t>
      </w:r>
      <w:r w:rsidRPr="00187A72">
        <w:rPr>
          <w:lang w:val="es-ES"/>
        </w:rPr>
        <w:t xml:space="preserve"> y posibles correcciones a los puntos del orden del día propuestos</w:t>
      </w:r>
      <w:r w:rsidR="00F6413A">
        <w:rPr>
          <w:lang w:val="es-ES"/>
        </w:rPr>
        <w:t>, con objeto de</w:t>
      </w:r>
      <w:r w:rsidRPr="00187A72">
        <w:rPr>
          <w:lang w:val="es-ES"/>
        </w:rPr>
        <w:t xml:space="preserve"> garantizar que se </w:t>
      </w:r>
      <w:r w:rsidR="00F6413A">
        <w:rPr>
          <w:lang w:val="es-ES"/>
        </w:rPr>
        <w:t>tenga</w:t>
      </w:r>
      <w:r w:rsidRPr="00187A72">
        <w:rPr>
          <w:lang w:val="es-ES"/>
        </w:rPr>
        <w:t xml:space="preserve"> debidamente en cuenta la protección necesaria del SETS (pasivo), en particular la agregación de la interferencia de </w:t>
      </w:r>
      <w:r w:rsidR="00F6413A">
        <w:rPr>
          <w:lang w:val="es-ES"/>
        </w:rPr>
        <w:t>todos los tipos</w:t>
      </w:r>
      <w:r w:rsidRPr="00187A72">
        <w:rPr>
          <w:lang w:val="es-ES"/>
        </w:rPr>
        <w:t xml:space="preserve"> de sistemas y estaciones del SFS (OSG y </w:t>
      </w:r>
      <w:r w:rsidR="00F6413A">
        <w:rPr>
          <w:lang w:val="es-ES"/>
        </w:rPr>
        <w:t>no OSG</w:t>
      </w:r>
      <w:r w:rsidRPr="00187A72">
        <w:rPr>
          <w:lang w:val="es-ES"/>
        </w:rPr>
        <w:t xml:space="preserve">, </w:t>
      </w:r>
      <w:r w:rsidR="00F6413A">
        <w:rPr>
          <w:lang w:val="es-ES"/>
        </w:rPr>
        <w:t>de tipo fijo</w:t>
      </w:r>
      <w:r w:rsidRPr="00187A72">
        <w:rPr>
          <w:lang w:val="es-ES"/>
        </w:rPr>
        <w:t xml:space="preserve"> y </w:t>
      </w:r>
      <w:r w:rsidR="00F6413A">
        <w:rPr>
          <w:lang w:val="es-ES"/>
        </w:rPr>
        <w:t>ETEM</w:t>
      </w:r>
      <w:r w:rsidRPr="00187A72">
        <w:rPr>
          <w:lang w:val="es-ES"/>
        </w:rPr>
        <w:t>, etc.).</w:t>
      </w:r>
      <w:bookmarkEnd w:id="25"/>
    </w:p>
    <w:p w14:paraId="504B6BA8" w14:textId="2161CF9F" w:rsidR="00FC3EDE" w:rsidRPr="00187A72" w:rsidRDefault="00F6413A" w:rsidP="00A43CAF">
      <w:pPr>
        <w:rPr>
          <w:rFonts w:eastAsia="Calibri"/>
          <w:lang w:val="es-ES"/>
        </w:rPr>
      </w:pPr>
      <w:bookmarkStart w:id="26" w:name="lt_pId420"/>
      <w:r>
        <w:rPr>
          <w:rFonts w:eastAsia="Calibri"/>
          <w:lang w:val="es-ES"/>
        </w:rPr>
        <w:t xml:space="preserve">La </w:t>
      </w:r>
      <w:r w:rsidR="00EB66A2" w:rsidRPr="00187A72">
        <w:rPr>
          <w:rFonts w:eastAsia="Calibri"/>
          <w:lang w:val="es-ES"/>
        </w:rPr>
        <w:t xml:space="preserve">propuesta </w:t>
      </w:r>
      <w:r w:rsidRPr="00187A72">
        <w:rPr>
          <w:rFonts w:eastAsia="Calibri"/>
          <w:lang w:val="es-ES"/>
        </w:rPr>
        <w:t xml:space="preserve">3) podría dar lugar a un aumento de la interferencia al servicio de ayudas a la meteorología y al servicio de meteorología por satélite en la gama de </w:t>
      </w:r>
      <w:r w:rsidR="00A7376E">
        <w:rPr>
          <w:rFonts w:eastAsia="Calibri"/>
          <w:lang w:val="es-ES"/>
        </w:rPr>
        <w:t xml:space="preserve">frecuencias </w:t>
      </w:r>
      <w:r w:rsidRPr="00187A72">
        <w:rPr>
          <w:rFonts w:eastAsia="Calibri"/>
          <w:lang w:val="es-ES"/>
        </w:rPr>
        <w:t>1</w:t>
      </w:r>
      <w:r w:rsidR="00EB66A2">
        <w:rPr>
          <w:rFonts w:eastAsia="Calibri"/>
          <w:lang w:val="es-ES"/>
        </w:rPr>
        <w:t> </w:t>
      </w:r>
      <w:r w:rsidRPr="00187A72">
        <w:rPr>
          <w:rFonts w:eastAsia="Calibri"/>
          <w:lang w:val="es-ES"/>
        </w:rPr>
        <w:t>668-1</w:t>
      </w:r>
      <w:r w:rsidR="00EB66A2">
        <w:rPr>
          <w:rFonts w:eastAsia="Calibri"/>
          <w:lang w:val="es-ES"/>
        </w:rPr>
        <w:t> </w:t>
      </w:r>
      <w:r w:rsidRPr="00187A72">
        <w:rPr>
          <w:rFonts w:eastAsia="Calibri"/>
          <w:lang w:val="es-ES"/>
        </w:rPr>
        <w:t xml:space="preserve">710 MHz. En caso de que esta propuesta se confirme en la CMR-19, deberá abordarse específicamente la protección </w:t>
      </w:r>
      <w:r>
        <w:rPr>
          <w:rFonts w:eastAsia="Calibri"/>
          <w:lang w:val="es-ES"/>
        </w:rPr>
        <w:t xml:space="preserve">adecuada </w:t>
      </w:r>
      <w:r w:rsidRPr="00187A72">
        <w:rPr>
          <w:rFonts w:eastAsia="Calibri"/>
          <w:lang w:val="es-ES"/>
        </w:rPr>
        <w:t>de los servicios MetAids y Metsat</w:t>
      </w:r>
      <w:bookmarkStart w:id="27" w:name="lt_pId421"/>
      <w:bookmarkEnd w:id="26"/>
      <w:r>
        <w:rPr>
          <w:rFonts w:eastAsia="Calibri"/>
          <w:lang w:val="es-ES"/>
        </w:rPr>
        <w:t>.</w:t>
      </w:r>
      <w:bookmarkEnd w:id="27"/>
    </w:p>
    <w:tbl>
      <w:tblPr>
        <w:tblStyle w:val="TableGrid"/>
        <w:tblW w:w="0" w:type="auto"/>
        <w:tblLook w:val="04A0" w:firstRow="1" w:lastRow="0" w:firstColumn="1" w:lastColumn="0" w:noHBand="0" w:noVBand="1"/>
      </w:tblPr>
      <w:tblGrid>
        <w:gridCol w:w="9629"/>
      </w:tblGrid>
      <w:tr w:rsidR="00FC3EDE" w:rsidRPr="008642B4" w14:paraId="67260EAF" w14:textId="77777777" w:rsidTr="00FC3EDE">
        <w:tc>
          <w:tcPr>
            <w:tcW w:w="9629" w:type="dxa"/>
          </w:tcPr>
          <w:p w14:paraId="614C4779" w14:textId="3A58345B" w:rsidR="00FC3EDE" w:rsidRPr="00907B54" w:rsidRDefault="00FC3EDE" w:rsidP="00A43CAF">
            <w:pPr>
              <w:pStyle w:val="Headingb"/>
              <w:rPr>
                <w:lang w:val="es-ES"/>
              </w:rPr>
            </w:pPr>
            <w:bookmarkStart w:id="28" w:name="lt_pId422"/>
            <w:r w:rsidRPr="00907B54">
              <w:rPr>
                <w:lang w:val="es-ES"/>
              </w:rPr>
              <w:lastRenderedPageBreak/>
              <w:t>Posición de la OMM respecto del punto 10</w:t>
            </w:r>
            <w:bookmarkEnd w:id="28"/>
            <w:r w:rsidRPr="00907B54">
              <w:rPr>
                <w:lang w:val="es-ES"/>
              </w:rPr>
              <w:t xml:space="preserve"> del orden del día de la CMR-19</w:t>
            </w:r>
          </w:p>
          <w:p w14:paraId="5AA90B68" w14:textId="3F3BD5F1" w:rsidR="00F76CD5" w:rsidRDefault="00CD2606" w:rsidP="00187A72">
            <w:bookmarkStart w:id="29" w:name="lt_pId423"/>
            <w:r w:rsidRPr="00F76CD5">
              <w:t xml:space="preserve">La OMM apoya que se </w:t>
            </w:r>
            <w:r w:rsidR="008642B4">
              <w:t>mantengan</w:t>
            </w:r>
            <w:r w:rsidRPr="00F76CD5">
              <w:t xml:space="preserve"> </w:t>
            </w:r>
            <w:r w:rsidR="008642B4">
              <w:t>ambos</w:t>
            </w:r>
            <w:r w:rsidRPr="00F76CD5">
              <w:t xml:space="preserve"> puntos del orden del día preliminar</w:t>
            </w:r>
            <w:r w:rsidR="008642B4">
              <w:t>es</w:t>
            </w:r>
            <w:r w:rsidRPr="00F76CD5">
              <w:t xml:space="preserve"> en el orden del día de la CMR-23, </w:t>
            </w:r>
            <w:r w:rsidR="008642B4">
              <w:t>en relación con el</w:t>
            </w:r>
            <w:r w:rsidRPr="00F76CD5">
              <w:t xml:space="preserve"> SETS (activo) </w:t>
            </w:r>
            <w:r w:rsidR="008642B4">
              <w:t>alrededor de</w:t>
            </w:r>
            <w:r w:rsidRPr="00F76CD5">
              <w:t xml:space="preserve"> 45 MHz</w:t>
            </w:r>
            <w:r w:rsidR="00F76CD5" w:rsidRPr="00F76CD5">
              <w:t xml:space="preserve"> </w:t>
            </w:r>
            <w:r w:rsidR="00F76CD5" w:rsidRPr="00F76CD5">
              <w:rPr>
                <w:lang w:val="es-ES"/>
              </w:rPr>
              <w:t>(</w:t>
            </w:r>
            <w:r w:rsidR="00151AEF">
              <w:rPr>
                <w:lang w:val="es-ES"/>
              </w:rPr>
              <w:t>punto</w:t>
            </w:r>
            <w:r w:rsidR="00F76CD5" w:rsidRPr="00F76CD5">
              <w:rPr>
                <w:lang w:val="es-ES"/>
              </w:rPr>
              <w:t xml:space="preserve"> 2.2</w:t>
            </w:r>
            <w:r w:rsidR="00151AEF">
              <w:t xml:space="preserve"> </w:t>
            </w:r>
            <w:r w:rsidR="00151AEF" w:rsidRPr="00151AEF">
              <w:rPr>
                <w:lang w:val="es-ES"/>
              </w:rPr>
              <w:t>del orden del día</w:t>
            </w:r>
            <w:r w:rsidR="00F76CD5" w:rsidRPr="00F76CD5">
              <w:rPr>
                <w:lang w:val="es-ES"/>
              </w:rPr>
              <w:t>)</w:t>
            </w:r>
            <w:r w:rsidRPr="00F76CD5">
              <w:t xml:space="preserve"> y los sensores meteorológicos espaci</w:t>
            </w:r>
            <w:bookmarkStart w:id="30" w:name="_GoBack"/>
            <w:bookmarkEnd w:id="30"/>
            <w:r w:rsidRPr="00F76CD5">
              <w:t>ales</w:t>
            </w:r>
            <w:r w:rsidR="008642B4">
              <w:t xml:space="preserve"> </w:t>
            </w:r>
            <w:r w:rsidR="00F76CD5" w:rsidRPr="00F76CD5">
              <w:rPr>
                <w:lang w:val="es-ES"/>
              </w:rPr>
              <w:t>(</w:t>
            </w:r>
            <w:r w:rsidR="00151AEF">
              <w:rPr>
                <w:lang w:val="es-ES"/>
              </w:rPr>
              <w:t>punto</w:t>
            </w:r>
            <w:r w:rsidR="00F76CD5" w:rsidRPr="00F76CD5">
              <w:rPr>
                <w:lang w:val="es-ES"/>
              </w:rPr>
              <w:t xml:space="preserve"> 2.3</w:t>
            </w:r>
            <w:r w:rsidR="00151AEF">
              <w:t xml:space="preserve"> </w:t>
            </w:r>
            <w:r w:rsidR="00151AEF" w:rsidRPr="00151AEF">
              <w:rPr>
                <w:lang w:val="es-ES"/>
              </w:rPr>
              <w:t>del orden del día</w:t>
            </w:r>
            <w:r w:rsidR="00F76CD5" w:rsidRPr="00F76CD5">
              <w:rPr>
                <w:lang w:val="es-ES"/>
              </w:rPr>
              <w:t>)</w:t>
            </w:r>
            <w:r w:rsidRPr="00F76CD5">
              <w:t>.</w:t>
            </w:r>
            <w:bookmarkEnd w:id="29"/>
          </w:p>
          <w:p w14:paraId="052DA5AE" w14:textId="7A5760E3" w:rsidR="008642B4" w:rsidRPr="00187A72" w:rsidRDefault="008642B4" w:rsidP="00187A72">
            <w:pPr>
              <w:rPr>
                <w:lang w:val="es-ES"/>
              </w:rPr>
            </w:pPr>
            <w:bookmarkStart w:id="31" w:name="lt_pId424"/>
            <w:r>
              <w:rPr>
                <w:lang w:val="es-ES"/>
              </w:rPr>
              <w:t>Por otro lado, la</w:t>
            </w:r>
            <w:r w:rsidRPr="00187A72">
              <w:rPr>
                <w:lang w:val="es-ES"/>
              </w:rPr>
              <w:t xml:space="preserve"> OMM </w:t>
            </w:r>
            <w:r>
              <w:rPr>
                <w:lang w:val="es-ES"/>
              </w:rPr>
              <w:t>manifiesta su inquietud sobre</w:t>
            </w:r>
            <w:r w:rsidRPr="00187A72">
              <w:rPr>
                <w:lang w:val="es-ES"/>
              </w:rPr>
              <w:t xml:space="preserve"> dos propuestas formuladas en el </w:t>
            </w:r>
            <w:r w:rsidR="008016E5" w:rsidRPr="00187A72">
              <w:rPr>
                <w:lang w:val="es-ES"/>
              </w:rPr>
              <w:t>D</w:t>
            </w:r>
            <w:r w:rsidRPr="00187A72">
              <w:rPr>
                <w:lang w:val="es-ES"/>
              </w:rPr>
              <w:t>ocumento</w:t>
            </w:r>
            <w:r w:rsidR="008016E5">
              <w:rPr>
                <w:lang w:val="es-ES"/>
              </w:rPr>
              <w:t> </w:t>
            </w:r>
            <w:r w:rsidRPr="00187A72">
              <w:rPr>
                <w:lang w:val="es-ES"/>
              </w:rPr>
              <w:t xml:space="preserve">CPM19-2/7 </w:t>
            </w:r>
            <w:r>
              <w:rPr>
                <w:lang w:val="es-ES"/>
              </w:rPr>
              <w:t>en relación con el</w:t>
            </w:r>
            <w:r w:rsidRPr="00187A72">
              <w:rPr>
                <w:lang w:val="es-ES"/>
              </w:rPr>
              <w:t xml:space="preserve"> SFS en la gama de frecuencias 17,7-51,4 GHz. La</w:t>
            </w:r>
            <w:r w:rsidR="008016E5">
              <w:rPr>
                <w:lang w:val="es-ES"/>
              </w:rPr>
              <w:t> </w:t>
            </w:r>
            <w:r w:rsidRPr="00187A72">
              <w:rPr>
                <w:lang w:val="es-ES"/>
              </w:rPr>
              <w:t xml:space="preserve">OMM no apoya </w:t>
            </w:r>
            <w:r>
              <w:rPr>
                <w:lang w:val="es-ES"/>
              </w:rPr>
              <w:t>los</w:t>
            </w:r>
            <w:r w:rsidRPr="00187A72">
              <w:rPr>
                <w:lang w:val="es-ES"/>
              </w:rPr>
              <w:t xml:space="preserve"> puntos del orden del día propuestos, a menos que se incluyan las correcciones presentadas en el </w:t>
            </w:r>
            <w:r w:rsidR="008016E5" w:rsidRPr="00187A72">
              <w:rPr>
                <w:lang w:val="es-ES"/>
              </w:rPr>
              <w:t xml:space="preserve">Documento </w:t>
            </w:r>
            <w:r w:rsidRPr="00187A72">
              <w:rPr>
                <w:lang w:val="es-ES"/>
              </w:rPr>
              <w:t xml:space="preserve">CPM19-2/178 para garantizar que se tenga debidamente en cuenta la </w:t>
            </w:r>
            <w:r w:rsidRPr="003F6C4B">
              <w:rPr>
                <w:lang w:val="es-ES"/>
              </w:rPr>
              <w:t xml:space="preserve">protección </w:t>
            </w:r>
            <w:r w:rsidRPr="00187A72">
              <w:rPr>
                <w:lang w:val="es-ES"/>
              </w:rPr>
              <w:t>necesaria del SETS (pasivo).</w:t>
            </w:r>
          </w:p>
          <w:p w14:paraId="631CE911" w14:textId="2797D712" w:rsidR="00FC3EDE" w:rsidRPr="00187A72" w:rsidRDefault="008642B4" w:rsidP="00EB66A2">
            <w:pPr>
              <w:spacing w:after="120"/>
              <w:rPr>
                <w:lang w:val="es-ES"/>
              </w:rPr>
            </w:pPr>
            <w:r>
              <w:rPr>
                <w:lang w:val="es-ES"/>
              </w:rPr>
              <w:t xml:space="preserve">Por último, </w:t>
            </w:r>
            <w:r w:rsidRPr="00187A72">
              <w:rPr>
                <w:lang w:val="es-ES"/>
              </w:rPr>
              <w:t xml:space="preserve">la OMM también </w:t>
            </w:r>
            <w:r>
              <w:rPr>
                <w:lang w:val="es-ES"/>
              </w:rPr>
              <w:t>manifiesta inquietud por</w:t>
            </w:r>
            <w:r w:rsidRPr="00187A72">
              <w:rPr>
                <w:lang w:val="es-ES"/>
              </w:rPr>
              <w:t xml:space="preserve"> la propuesta d</w:t>
            </w:r>
            <w:r>
              <w:rPr>
                <w:lang w:val="es-ES"/>
              </w:rPr>
              <w:t>e posibles atribuciones al SMS (espacio-espacio) e</w:t>
            </w:r>
            <w:r w:rsidRPr="00187A72">
              <w:rPr>
                <w:lang w:val="es-ES"/>
              </w:rPr>
              <w:t xml:space="preserve">n la gama 1 518-1 675 MHz que figura en el </w:t>
            </w:r>
            <w:r w:rsidR="008016E5" w:rsidRPr="00187A72">
              <w:rPr>
                <w:lang w:val="es-ES"/>
              </w:rPr>
              <w:t xml:space="preserve">Documento </w:t>
            </w:r>
            <w:r w:rsidRPr="00187A72">
              <w:rPr>
                <w:lang w:val="es-ES"/>
              </w:rPr>
              <w:t>CPM19-2/154</w:t>
            </w:r>
            <w:r>
              <w:rPr>
                <w:lang w:val="es-ES"/>
              </w:rPr>
              <w:t xml:space="preserve">, </w:t>
            </w:r>
            <w:r w:rsidRPr="00187A72">
              <w:rPr>
                <w:lang w:val="es-ES"/>
              </w:rPr>
              <w:t xml:space="preserve">que </w:t>
            </w:r>
            <w:r>
              <w:rPr>
                <w:lang w:val="es-ES"/>
              </w:rPr>
              <w:t>únicamente</w:t>
            </w:r>
            <w:r w:rsidRPr="00187A72">
              <w:rPr>
                <w:lang w:val="es-ES"/>
              </w:rPr>
              <w:t xml:space="preserve"> podría apoyar si se abordara </w:t>
            </w:r>
            <w:r>
              <w:rPr>
                <w:lang w:val="es-ES"/>
              </w:rPr>
              <w:t xml:space="preserve">de forma </w:t>
            </w:r>
            <w:r w:rsidR="00EB66A2">
              <w:rPr>
                <w:lang w:val="es-ES"/>
              </w:rPr>
              <w:t>específica</w:t>
            </w:r>
            <w:r w:rsidRPr="00187A72">
              <w:rPr>
                <w:lang w:val="es-ES"/>
              </w:rPr>
              <w:t xml:space="preserve"> la debida protección de los servicios MetAids y Metsat en la gama de 1 668-1 710 MHz</w:t>
            </w:r>
            <w:bookmarkStart w:id="32" w:name="lt_pId426"/>
            <w:bookmarkEnd w:id="31"/>
            <w:r w:rsidR="00FC3EDE" w:rsidRPr="00187A72">
              <w:rPr>
                <w:rFonts w:eastAsia="Calibri"/>
                <w:lang w:val="es-ES"/>
              </w:rPr>
              <w:t>.</w:t>
            </w:r>
            <w:bookmarkEnd w:id="32"/>
          </w:p>
        </w:tc>
      </w:tr>
    </w:tbl>
    <w:p w14:paraId="65448281" w14:textId="77777777" w:rsidR="00E62E93" w:rsidRDefault="00E62E93" w:rsidP="00E62E93"/>
    <w:p w14:paraId="104F6FF9" w14:textId="77777777" w:rsidR="00E62E93" w:rsidRDefault="00E62E93">
      <w:pPr>
        <w:jc w:val="center"/>
      </w:pPr>
      <w:r>
        <w:t>______________</w:t>
      </w:r>
    </w:p>
    <w:sectPr w:rsidR="00E62E9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4FE1" w14:textId="3FD6A4B4" w:rsidR="003A7C3A" w:rsidRDefault="003A7C3A">
      <w:r>
        <w:separator/>
      </w:r>
    </w:p>
  </w:endnote>
  <w:endnote w:type="continuationSeparator" w:id="0">
    <w:p w14:paraId="69F648D5" w14:textId="14549C91" w:rsidR="003A7C3A" w:rsidRDefault="003A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F093" w14:textId="31FDD093" w:rsidR="003A7C3A" w:rsidRDefault="003A7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72253" w14:textId="49C94019" w:rsidR="003A7C3A" w:rsidRPr="00CC37BA" w:rsidRDefault="003A7C3A">
    <w:pPr>
      <w:ind w:right="360"/>
    </w:pPr>
    <w:r>
      <w:fldChar w:fldCharType="begin"/>
    </w:r>
    <w:r w:rsidRPr="00CC37BA">
      <w:instrText xml:space="preserve"> FILENAME \p  \* MERGEFORMAT </w:instrText>
    </w:r>
    <w:r>
      <w:fldChar w:fldCharType="separate"/>
    </w:r>
    <w:r w:rsidR="009D6EB5">
      <w:rPr>
        <w:noProof/>
      </w:rPr>
      <w:t>P:\ESP\ITU-R\CONF-R\CMR19\000\034S.docx</w:t>
    </w:r>
    <w:r>
      <w:fldChar w:fldCharType="end"/>
    </w:r>
    <w:r w:rsidRPr="00CC37BA">
      <w:tab/>
    </w:r>
    <w:r>
      <w:fldChar w:fldCharType="begin"/>
    </w:r>
    <w:r>
      <w:instrText xml:space="preserve"> SAVEDATE \@ DD.MM.YY </w:instrText>
    </w:r>
    <w:r>
      <w:fldChar w:fldCharType="separate"/>
    </w:r>
    <w:r w:rsidR="000320CD">
      <w:rPr>
        <w:noProof/>
      </w:rPr>
      <w:t>14.10.19</w:t>
    </w:r>
    <w:r>
      <w:fldChar w:fldCharType="end"/>
    </w:r>
    <w:r w:rsidRPr="00CC37BA">
      <w:tab/>
    </w:r>
    <w:r>
      <w:fldChar w:fldCharType="begin"/>
    </w:r>
    <w:r>
      <w:instrText xml:space="preserve"> PRINTDATE \@ DD.MM.YY </w:instrText>
    </w:r>
    <w:r>
      <w:fldChar w:fldCharType="separate"/>
    </w:r>
    <w:r w:rsidR="009D6EB5">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2BA0" w14:textId="5252FCE9" w:rsidR="003A7C3A" w:rsidRDefault="003A7C3A" w:rsidP="000E45E1">
    <w:pPr>
      <w:pStyle w:val="Footer"/>
      <w:ind w:right="360"/>
      <w:rPr>
        <w:lang w:val="en-US"/>
      </w:rPr>
    </w:pPr>
    <w:r>
      <w:fldChar w:fldCharType="begin"/>
    </w:r>
    <w:r>
      <w:rPr>
        <w:lang w:val="en-US"/>
      </w:rPr>
      <w:instrText xml:space="preserve"> FILENAME \p  \* MERGEFORMAT </w:instrText>
    </w:r>
    <w:r>
      <w:fldChar w:fldCharType="separate"/>
    </w:r>
    <w:r w:rsidR="009D6EB5">
      <w:rPr>
        <w:lang w:val="en-US"/>
      </w:rPr>
      <w:t>P:\ESP\ITU-R\CONF-R\CMR19\000\034S.docx</w:t>
    </w:r>
    <w:r>
      <w:fldChar w:fldCharType="end"/>
    </w:r>
    <w:r w:rsidR="00CC37BA">
      <w:t xml:space="preserve"> (461672)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4ACB" w14:textId="7FE79E25" w:rsidR="003A7C3A" w:rsidRDefault="003A7C3A" w:rsidP="000E45E1">
    <w:pPr>
      <w:pStyle w:val="Footer"/>
      <w:rPr>
        <w:lang w:val="en-US"/>
      </w:rPr>
    </w:pPr>
    <w:r>
      <w:fldChar w:fldCharType="begin"/>
    </w:r>
    <w:r>
      <w:rPr>
        <w:lang w:val="en-US"/>
      </w:rPr>
      <w:instrText xml:space="preserve"> FILENAME \p  \* MERGEFORMAT </w:instrText>
    </w:r>
    <w:r>
      <w:fldChar w:fldCharType="separate"/>
    </w:r>
    <w:r w:rsidR="009D6EB5">
      <w:rPr>
        <w:lang w:val="en-US"/>
      </w:rPr>
      <w:t>P:\ESP\ITU-R\CONF-R\CMR19\000\034S.docx</w:t>
    </w:r>
    <w:r>
      <w:fldChar w:fldCharType="end"/>
    </w:r>
    <w:r w:rsidR="00CC37BA">
      <w:t xml:space="preserve"> (461672)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2EA4" w14:textId="77777777" w:rsidR="003A7C3A" w:rsidRDefault="003A7C3A">
      <w:r>
        <w:rPr>
          <w:b/>
        </w:rPr>
        <w:t>_______________</w:t>
      </w:r>
    </w:p>
  </w:footnote>
  <w:footnote w:type="continuationSeparator" w:id="0">
    <w:p w14:paraId="38B6187A" w14:textId="6E4156FB" w:rsidR="003A7C3A" w:rsidRDefault="003A7C3A">
      <w:r>
        <w:continuationSeparator/>
      </w:r>
    </w:p>
  </w:footnote>
  <w:footnote w:id="1">
    <w:p w14:paraId="75B9555D" w14:textId="77777777" w:rsidR="003A7C3A" w:rsidRPr="00835D0F" w:rsidRDefault="003A7C3A" w:rsidP="00A43CAF">
      <w:pPr>
        <w:pStyle w:val="FootnoteText"/>
      </w:pPr>
      <w:r>
        <w:rPr>
          <w:rStyle w:val="FootnoteReference"/>
        </w:rPr>
        <w:footnoteRef/>
      </w:r>
      <w:r>
        <w:tab/>
        <w:t>El GEO tiene por objetivo lograr que toda decisión o acción en beneficio de la humanidad se tome de manera informada gracias a la información y las observaciones coordinadas, exhaustivas y constantes de la Tierra. El GEO se concentra en nueve esferas de beneficios sociales: agricultura, biodiversidad, clima, catástrofes, ecosistemas, energía, salud, recursos hídricos y meteorología. El GEO es un firme partidario de la compartición total y abierta de datos a fin de que todos los países puedan beneficiarse de los datos y la información, sin coste alguno para los usuarios. La disponibilidad, fiabilidad y protección de las bandas de frecuencias adecuadas que son necesarias para el funcionamiento de los sistemas de observación de la Tierra reviste una importancia crucial para el GEO, sus 90 países miembros, sus organizaciones colaboradoras y, en última instancia, para todos los ciudadanos.</w:t>
      </w:r>
    </w:p>
  </w:footnote>
  <w:footnote w:id="2">
    <w:p w14:paraId="620CC1A0" w14:textId="77777777" w:rsidR="003A7C3A" w:rsidRPr="003B0E3E" w:rsidRDefault="003A7C3A" w:rsidP="00A43CAF">
      <w:pPr>
        <w:pStyle w:val="FootnoteText"/>
      </w:pPr>
      <w:r>
        <w:rPr>
          <w:rStyle w:val="FootnoteReference"/>
        </w:rPr>
        <w:t>2</w:t>
      </w:r>
      <w:r>
        <w:tab/>
        <w:t>Nota al número</w:t>
      </w:r>
      <w:r>
        <w:rPr>
          <w:b/>
          <w:bCs/>
        </w:rPr>
        <w:t xml:space="preserve"> 5.340</w:t>
      </w:r>
      <w:r>
        <w:t xml:space="preserve"> del Cuadro internacional de atribución de bandas de frecuencias del Reglamento de Radiocomunicaciones.</w:t>
      </w:r>
    </w:p>
  </w:footnote>
  <w:footnote w:id="3">
    <w:p w14:paraId="1E6D063F" w14:textId="77777777" w:rsidR="003A7C3A" w:rsidRPr="002E6A67" w:rsidRDefault="003A7C3A" w:rsidP="002C4609">
      <w:pPr>
        <w:pStyle w:val="FootnoteText"/>
      </w:pPr>
      <w:r>
        <w:rPr>
          <w:rStyle w:val="FootnoteReference"/>
        </w:rPr>
        <w:t>3</w:t>
      </w:r>
      <w:r>
        <w:tab/>
        <w:t>Los radares de apertura sintética (SAR) suministran información complementaria que resulta útil para gestionar inundaciones.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FF4B" w14:textId="3F35F9A0" w:rsidR="003A7C3A" w:rsidRDefault="003A7C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14:paraId="3BEBC77F" w14:textId="544D6DD2" w:rsidR="003A7C3A" w:rsidRDefault="003A7C3A" w:rsidP="00A4450C">
    <w:pPr>
      <w:pStyle w:val="Header"/>
      <w:rPr>
        <w:lang w:val="en-US"/>
      </w:rPr>
    </w:pPr>
    <w:r>
      <w:rPr>
        <w:lang w:val="en-US"/>
      </w:rPr>
      <w:t>CMR19/34-S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00116A9"/>
    <w:multiLevelType w:val="hybridMultilevel"/>
    <w:tmpl w:val="09F6999E"/>
    <w:lvl w:ilvl="0" w:tplc="5302D9CC">
      <w:start w:val="5"/>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B72ECF90">
      <w:start w:val="1"/>
      <w:numFmt w:val="bullet"/>
      <w:pStyle w:val="enumlev4"/>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69BA5006"/>
    <w:multiLevelType w:val="hybridMultilevel"/>
    <w:tmpl w:val="913E5D9A"/>
    <w:lvl w:ilvl="0" w:tplc="040C0003">
      <w:start w:val="1"/>
      <w:numFmt w:val="bullet"/>
      <w:lvlText w:val="o"/>
      <w:lvlJc w:val="left"/>
      <w:pPr>
        <w:ind w:left="1854" w:hanging="360"/>
      </w:pPr>
      <w:rPr>
        <w:rFonts w:ascii="Courier New" w:hAnsi="Courier New" w:cs="Courier New"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90"/>
    <w:rsid w:val="00003066"/>
    <w:rsid w:val="00003EB0"/>
    <w:rsid w:val="00007E19"/>
    <w:rsid w:val="0001744D"/>
    <w:rsid w:val="00022389"/>
    <w:rsid w:val="000320CD"/>
    <w:rsid w:val="00057889"/>
    <w:rsid w:val="000602C1"/>
    <w:rsid w:val="00064BEA"/>
    <w:rsid w:val="00065E66"/>
    <w:rsid w:val="00065EE8"/>
    <w:rsid w:val="00067ADF"/>
    <w:rsid w:val="00075681"/>
    <w:rsid w:val="00083124"/>
    <w:rsid w:val="00087AE8"/>
    <w:rsid w:val="00095455"/>
    <w:rsid w:val="000A0599"/>
    <w:rsid w:val="000A4F7C"/>
    <w:rsid w:val="000B3A68"/>
    <w:rsid w:val="000C3FFF"/>
    <w:rsid w:val="000D1059"/>
    <w:rsid w:val="000E45E1"/>
    <w:rsid w:val="000E5BF9"/>
    <w:rsid w:val="000F0E6D"/>
    <w:rsid w:val="000F2707"/>
    <w:rsid w:val="00100B4C"/>
    <w:rsid w:val="00105886"/>
    <w:rsid w:val="00105AAD"/>
    <w:rsid w:val="00121170"/>
    <w:rsid w:val="0012193E"/>
    <w:rsid w:val="00123CC5"/>
    <w:rsid w:val="00125072"/>
    <w:rsid w:val="00126661"/>
    <w:rsid w:val="00130F77"/>
    <w:rsid w:val="0015142D"/>
    <w:rsid w:val="00151AEF"/>
    <w:rsid w:val="001549FC"/>
    <w:rsid w:val="0015776B"/>
    <w:rsid w:val="0016090C"/>
    <w:rsid w:val="001616DC"/>
    <w:rsid w:val="00163962"/>
    <w:rsid w:val="001675CE"/>
    <w:rsid w:val="0017137D"/>
    <w:rsid w:val="001778F2"/>
    <w:rsid w:val="00180B05"/>
    <w:rsid w:val="001849CA"/>
    <w:rsid w:val="00187A72"/>
    <w:rsid w:val="00190153"/>
    <w:rsid w:val="00191A97"/>
    <w:rsid w:val="0019616A"/>
    <w:rsid w:val="001A3F90"/>
    <w:rsid w:val="001B4637"/>
    <w:rsid w:val="001C164E"/>
    <w:rsid w:val="001C41FA"/>
    <w:rsid w:val="001E2B2D"/>
    <w:rsid w:val="001E2B52"/>
    <w:rsid w:val="001E32E6"/>
    <w:rsid w:val="001E3F27"/>
    <w:rsid w:val="00212035"/>
    <w:rsid w:val="00221DE9"/>
    <w:rsid w:val="00227EF8"/>
    <w:rsid w:val="0023403C"/>
    <w:rsid w:val="00235D48"/>
    <w:rsid w:val="00236D2A"/>
    <w:rsid w:val="00242BA4"/>
    <w:rsid w:val="00244B58"/>
    <w:rsid w:val="0024570A"/>
    <w:rsid w:val="00255F12"/>
    <w:rsid w:val="00260B25"/>
    <w:rsid w:val="00260F78"/>
    <w:rsid w:val="00262C09"/>
    <w:rsid w:val="00266EC8"/>
    <w:rsid w:val="00280126"/>
    <w:rsid w:val="0029038B"/>
    <w:rsid w:val="002A0477"/>
    <w:rsid w:val="002A3828"/>
    <w:rsid w:val="002A791F"/>
    <w:rsid w:val="002B02AA"/>
    <w:rsid w:val="002C1B26"/>
    <w:rsid w:val="002C4609"/>
    <w:rsid w:val="002E57E2"/>
    <w:rsid w:val="002E5A69"/>
    <w:rsid w:val="002E701F"/>
    <w:rsid w:val="002F3370"/>
    <w:rsid w:val="002F7D6A"/>
    <w:rsid w:val="0030654B"/>
    <w:rsid w:val="00320112"/>
    <w:rsid w:val="0032680B"/>
    <w:rsid w:val="003423F6"/>
    <w:rsid w:val="00352896"/>
    <w:rsid w:val="003557DD"/>
    <w:rsid w:val="00357CE4"/>
    <w:rsid w:val="00363A65"/>
    <w:rsid w:val="00373835"/>
    <w:rsid w:val="0037701E"/>
    <w:rsid w:val="00377704"/>
    <w:rsid w:val="003914AD"/>
    <w:rsid w:val="00391E14"/>
    <w:rsid w:val="003A4C57"/>
    <w:rsid w:val="003A7C3A"/>
    <w:rsid w:val="003B4F3C"/>
    <w:rsid w:val="003C2508"/>
    <w:rsid w:val="003C5599"/>
    <w:rsid w:val="003C7796"/>
    <w:rsid w:val="003D0AA3"/>
    <w:rsid w:val="003D4D71"/>
    <w:rsid w:val="003D6FC2"/>
    <w:rsid w:val="003D72EF"/>
    <w:rsid w:val="003E36DA"/>
    <w:rsid w:val="003E4C7B"/>
    <w:rsid w:val="003E5D6D"/>
    <w:rsid w:val="003E7419"/>
    <w:rsid w:val="003F07CF"/>
    <w:rsid w:val="003F2EDE"/>
    <w:rsid w:val="004125A4"/>
    <w:rsid w:val="0041411C"/>
    <w:rsid w:val="00435B8A"/>
    <w:rsid w:val="00437036"/>
    <w:rsid w:val="00441F7E"/>
    <w:rsid w:val="00444A27"/>
    <w:rsid w:val="0044541C"/>
    <w:rsid w:val="004476D1"/>
    <w:rsid w:val="0045080A"/>
    <w:rsid w:val="00454553"/>
    <w:rsid w:val="00455B1F"/>
    <w:rsid w:val="004609B8"/>
    <w:rsid w:val="0046763D"/>
    <w:rsid w:val="00472AAA"/>
    <w:rsid w:val="00474048"/>
    <w:rsid w:val="00474172"/>
    <w:rsid w:val="0047574E"/>
    <w:rsid w:val="00485B3D"/>
    <w:rsid w:val="00490AF7"/>
    <w:rsid w:val="004A1C67"/>
    <w:rsid w:val="004B124A"/>
    <w:rsid w:val="004C45BB"/>
    <w:rsid w:val="004C5DE0"/>
    <w:rsid w:val="004C61C1"/>
    <w:rsid w:val="004D1424"/>
    <w:rsid w:val="004D4E1D"/>
    <w:rsid w:val="004F61F8"/>
    <w:rsid w:val="00504627"/>
    <w:rsid w:val="005107AE"/>
    <w:rsid w:val="005148B0"/>
    <w:rsid w:val="00520D5E"/>
    <w:rsid w:val="005220ED"/>
    <w:rsid w:val="00523D43"/>
    <w:rsid w:val="00527A78"/>
    <w:rsid w:val="00532097"/>
    <w:rsid w:val="00542C43"/>
    <w:rsid w:val="00552C86"/>
    <w:rsid w:val="00560A7D"/>
    <w:rsid w:val="0056358F"/>
    <w:rsid w:val="005724E5"/>
    <w:rsid w:val="00573C96"/>
    <w:rsid w:val="00581B52"/>
    <w:rsid w:val="0058350F"/>
    <w:rsid w:val="00591184"/>
    <w:rsid w:val="005A48F0"/>
    <w:rsid w:val="005A74ED"/>
    <w:rsid w:val="005B3700"/>
    <w:rsid w:val="005C2AEC"/>
    <w:rsid w:val="005D12EF"/>
    <w:rsid w:val="005D7812"/>
    <w:rsid w:val="005F17F4"/>
    <w:rsid w:val="005F2605"/>
    <w:rsid w:val="005F485A"/>
    <w:rsid w:val="005F49AC"/>
    <w:rsid w:val="005F556F"/>
    <w:rsid w:val="005F5B09"/>
    <w:rsid w:val="00617869"/>
    <w:rsid w:val="00627916"/>
    <w:rsid w:val="00640C03"/>
    <w:rsid w:val="00641A4C"/>
    <w:rsid w:val="00642FE5"/>
    <w:rsid w:val="0065566D"/>
    <w:rsid w:val="00660A7D"/>
    <w:rsid w:val="00662BA0"/>
    <w:rsid w:val="00663B49"/>
    <w:rsid w:val="00676A00"/>
    <w:rsid w:val="00683FE7"/>
    <w:rsid w:val="0068737E"/>
    <w:rsid w:val="00690827"/>
    <w:rsid w:val="00692AAE"/>
    <w:rsid w:val="006951C3"/>
    <w:rsid w:val="006A3A06"/>
    <w:rsid w:val="006B0D4E"/>
    <w:rsid w:val="006B1C57"/>
    <w:rsid w:val="006B3C3B"/>
    <w:rsid w:val="006D6E67"/>
    <w:rsid w:val="00701C20"/>
    <w:rsid w:val="00710E88"/>
    <w:rsid w:val="007252CC"/>
    <w:rsid w:val="007354E9"/>
    <w:rsid w:val="007542C0"/>
    <w:rsid w:val="00765578"/>
    <w:rsid w:val="0077084A"/>
    <w:rsid w:val="00777F0D"/>
    <w:rsid w:val="0078531C"/>
    <w:rsid w:val="00791264"/>
    <w:rsid w:val="007916E7"/>
    <w:rsid w:val="007971FA"/>
    <w:rsid w:val="007B3EF5"/>
    <w:rsid w:val="007B4E95"/>
    <w:rsid w:val="007C1ECD"/>
    <w:rsid w:val="007C2317"/>
    <w:rsid w:val="007C7665"/>
    <w:rsid w:val="007D1A88"/>
    <w:rsid w:val="007D330A"/>
    <w:rsid w:val="007D71B6"/>
    <w:rsid w:val="007F5187"/>
    <w:rsid w:val="007F538A"/>
    <w:rsid w:val="0080095D"/>
    <w:rsid w:val="008016E5"/>
    <w:rsid w:val="00802046"/>
    <w:rsid w:val="00810F95"/>
    <w:rsid w:val="00813BFE"/>
    <w:rsid w:val="008159E6"/>
    <w:rsid w:val="00841294"/>
    <w:rsid w:val="0085011E"/>
    <w:rsid w:val="00851C05"/>
    <w:rsid w:val="008526C6"/>
    <w:rsid w:val="00854E4E"/>
    <w:rsid w:val="008567FD"/>
    <w:rsid w:val="008642B4"/>
    <w:rsid w:val="0086628B"/>
    <w:rsid w:val="00866AE6"/>
    <w:rsid w:val="008701D4"/>
    <w:rsid w:val="00871847"/>
    <w:rsid w:val="00876BE7"/>
    <w:rsid w:val="00886CCC"/>
    <w:rsid w:val="00892A2C"/>
    <w:rsid w:val="008B0CE4"/>
    <w:rsid w:val="008B602A"/>
    <w:rsid w:val="008D15C6"/>
    <w:rsid w:val="008E0BC9"/>
    <w:rsid w:val="008E67F1"/>
    <w:rsid w:val="008F2802"/>
    <w:rsid w:val="008F2E0D"/>
    <w:rsid w:val="008F33C4"/>
    <w:rsid w:val="008F3D91"/>
    <w:rsid w:val="008F6B28"/>
    <w:rsid w:val="00907B54"/>
    <w:rsid w:val="00917290"/>
    <w:rsid w:val="0091794C"/>
    <w:rsid w:val="00935BD4"/>
    <w:rsid w:val="00936CAE"/>
    <w:rsid w:val="0094091F"/>
    <w:rsid w:val="00943AAD"/>
    <w:rsid w:val="009538D2"/>
    <w:rsid w:val="00953D24"/>
    <w:rsid w:val="00956E3C"/>
    <w:rsid w:val="0096184E"/>
    <w:rsid w:val="009668DF"/>
    <w:rsid w:val="009677B8"/>
    <w:rsid w:val="00973754"/>
    <w:rsid w:val="00974C1F"/>
    <w:rsid w:val="00983DD0"/>
    <w:rsid w:val="009A599E"/>
    <w:rsid w:val="009B5CB1"/>
    <w:rsid w:val="009C048A"/>
    <w:rsid w:val="009C0BED"/>
    <w:rsid w:val="009C627E"/>
    <w:rsid w:val="009D143D"/>
    <w:rsid w:val="009D4120"/>
    <w:rsid w:val="009D6EB5"/>
    <w:rsid w:val="009E11EC"/>
    <w:rsid w:val="009E41C4"/>
    <w:rsid w:val="009E46C8"/>
    <w:rsid w:val="009F2089"/>
    <w:rsid w:val="009F4902"/>
    <w:rsid w:val="009F6FD5"/>
    <w:rsid w:val="00A0127C"/>
    <w:rsid w:val="00A046F3"/>
    <w:rsid w:val="00A06A15"/>
    <w:rsid w:val="00A118DB"/>
    <w:rsid w:val="00A13489"/>
    <w:rsid w:val="00A1719E"/>
    <w:rsid w:val="00A2007F"/>
    <w:rsid w:val="00A33265"/>
    <w:rsid w:val="00A37A22"/>
    <w:rsid w:val="00A43CAF"/>
    <w:rsid w:val="00A4450C"/>
    <w:rsid w:val="00A567A1"/>
    <w:rsid w:val="00A6120A"/>
    <w:rsid w:val="00A62712"/>
    <w:rsid w:val="00A71E83"/>
    <w:rsid w:val="00A73594"/>
    <w:rsid w:val="00A7376E"/>
    <w:rsid w:val="00A83E58"/>
    <w:rsid w:val="00A875D9"/>
    <w:rsid w:val="00A90765"/>
    <w:rsid w:val="00A91CBE"/>
    <w:rsid w:val="00AA5E6C"/>
    <w:rsid w:val="00AC20B1"/>
    <w:rsid w:val="00AD033D"/>
    <w:rsid w:val="00AD2B7C"/>
    <w:rsid w:val="00AE4CD1"/>
    <w:rsid w:val="00AE5677"/>
    <w:rsid w:val="00AE7821"/>
    <w:rsid w:val="00AF104A"/>
    <w:rsid w:val="00AF2F78"/>
    <w:rsid w:val="00AF32CD"/>
    <w:rsid w:val="00AF5927"/>
    <w:rsid w:val="00B012B8"/>
    <w:rsid w:val="00B248B3"/>
    <w:rsid w:val="00B3168F"/>
    <w:rsid w:val="00B52D55"/>
    <w:rsid w:val="00B711AE"/>
    <w:rsid w:val="00B7282C"/>
    <w:rsid w:val="00B8107D"/>
    <w:rsid w:val="00B85047"/>
    <w:rsid w:val="00B92020"/>
    <w:rsid w:val="00B9299F"/>
    <w:rsid w:val="00B95DD9"/>
    <w:rsid w:val="00B96293"/>
    <w:rsid w:val="00BA0A70"/>
    <w:rsid w:val="00BA5998"/>
    <w:rsid w:val="00BB1EDF"/>
    <w:rsid w:val="00BC393F"/>
    <w:rsid w:val="00BC411E"/>
    <w:rsid w:val="00BD1EEE"/>
    <w:rsid w:val="00BE2E80"/>
    <w:rsid w:val="00BE5EDD"/>
    <w:rsid w:val="00BE6881"/>
    <w:rsid w:val="00BE6A1F"/>
    <w:rsid w:val="00C104EC"/>
    <w:rsid w:val="00C126C4"/>
    <w:rsid w:val="00C17B95"/>
    <w:rsid w:val="00C54AC7"/>
    <w:rsid w:val="00C56AEA"/>
    <w:rsid w:val="00C63EB5"/>
    <w:rsid w:val="00C70128"/>
    <w:rsid w:val="00C75166"/>
    <w:rsid w:val="00C8286D"/>
    <w:rsid w:val="00C918CF"/>
    <w:rsid w:val="00C935A6"/>
    <w:rsid w:val="00C9412D"/>
    <w:rsid w:val="00CA0C06"/>
    <w:rsid w:val="00CB1D78"/>
    <w:rsid w:val="00CC01E0"/>
    <w:rsid w:val="00CC11E8"/>
    <w:rsid w:val="00CC37BA"/>
    <w:rsid w:val="00CD0F0B"/>
    <w:rsid w:val="00CD2606"/>
    <w:rsid w:val="00CD53DD"/>
    <w:rsid w:val="00CD7B9E"/>
    <w:rsid w:val="00CE60D2"/>
    <w:rsid w:val="00D0288A"/>
    <w:rsid w:val="00D04D3F"/>
    <w:rsid w:val="00D15146"/>
    <w:rsid w:val="00D204D4"/>
    <w:rsid w:val="00D33F2E"/>
    <w:rsid w:val="00D37123"/>
    <w:rsid w:val="00D405F7"/>
    <w:rsid w:val="00D42E9B"/>
    <w:rsid w:val="00D42F54"/>
    <w:rsid w:val="00D505DB"/>
    <w:rsid w:val="00D5489E"/>
    <w:rsid w:val="00D72A5D"/>
    <w:rsid w:val="00D755F2"/>
    <w:rsid w:val="00D80FE5"/>
    <w:rsid w:val="00D83153"/>
    <w:rsid w:val="00D83F50"/>
    <w:rsid w:val="00D87790"/>
    <w:rsid w:val="00D945AE"/>
    <w:rsid w:val="00DA5DFF"/>
    <w:rsid w:val="00DC135B"/>
    <w:rsid w:val="00DC629B"/>
    <w:rsid w:val="00DD20B1"/>
    <w:rsid w:val="00DD38BB"/>
    <w:rsid w:val="00DE0E9C"/>
    <w:rsid w:val="00E05783"/>
    <w:rsid w:val="00E05D33"/>
    <w:rsid w:val="00E066EE"/>
    <w:rsid w:val="00E262F1"/>
    <w:rsid w:val="00E336F4"/>
    <w:rsid w:val="00E36E25"/>
    <w:rsid w:val="00E54855"/>
    <w:rsid w:val="00E5662C"/>
    <w:rsid w:val="00E62E93"/>
    <w:rsid w:val="00E63226"/>
    <w:rsid w:val="00E71D14"/>
    <w:rsid w:val="00E84E52"/>
    <w:rsid w:val="00E9311A"/>
    <w:rsid w:val="00E938A2"/>
    <w:rsid w:val="00EA2C19"/>
    <w:rsid w:val="00EB5686"/>
    <w:rsid w:val="00EB66A2"/>
    <w:rsid w:val="00EC4BF6"/>
    <w:rsid w:val="00EE0F08"/>
    <w:rsid w:val="00EE31D3"/>
    <w:rsid w:val="00EE429E"/>
    <w:rsid w:val="00EF4AC4"/>
    <w:rsid w:val="00F0042B"/>
    <w:rsid w:val="00F010A9"/>
    <w:rsid w:val="00F06D1B"/>
    <w:rsid w:val="00F102E0"/>
    <w:rsid w:val="00F113BB"/>
    <w:rsid w:val="00F27451"/>
    <w:rsid w:val="00F3371A"/>
    <w:rsid w:val="00F34391"/>
    <w:rsid w:val="00F37EC3"/>
    <w:rsid w:val="00F42653"/>
    <w:rsid w:val="00F54F02"/>
    <w:rsid w:val="00F631F8"/>
    <w:rsid w:val="00F6413A"/>
    <w:rsid w:val="00F76CD5"/>
    <w:rsid w:val="00F8150C"/>
    <w:rsid w:val="00FB264D"/>
    <w:rsid w:val="00FB37B1"/>
    <w:rsid w:val="00FC3EDE"/>
    <w:rsid w:val="00FC4F96"/>
    <w:rsid w:val="00FD20EE"/>
    <w:rsid w:val="00FD48E1"/>
    <w:rsid w:val="00FE4574"/>
    <w:rsid w:val="00FE6A63"/>
    <w:rsid w:val="00FF0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F39653"/>
  <w15:docId w15:val="{81CD2103-AD64-43EA-BC5E-A36140EA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paragraph" w:styleId="BalloonText">
    <w:name w:val="Balloon Text"/>
    <w:basedOn w:val="Normal"/>
    <w:link w:val="BalloonTextChar"/>
    <w:semiHidden/>
    <w:unhideWhenUsed/>
    <w:rsid w:val="002C46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4609"/>
    <w:rPr>
      <w:rFonts w:ascii="Segoe UI" w:hAnsi="Segoe UI" w:cs="Segoe UI"/>
      <w:sz w:val="18"/>
      <w:szCs w:val="18"/>
      <w:lang w:val="es-ES_tradnl" w:eastAsia="en-US"/>
    </w:rPr>
  </w:style>
  <w:style w:type="character" w:styleId="Hyperlink">
    <w:name w:val="Hyperlink"/>
    <w:basedOn w:val="DefaultParagraphFont"/>
    <w:unhideWhenUsed/>
    <w:rsid w:val="002C4609"/>
    <w:rPr>
      <w:color w:val="0000FF" w:themeColor="hyperlink"/>
      <w:u w:val="single"/>
    </w:rPr>
  </w:style>
  <w:style w:type="character" w:customStyle="1" w:styleId="UnresolvedMention1">
    <w:name w:val="Unresolved Mention1"/>
    <w:basedOn w:val="DefaultParagraphFont"/>
    <w:uiPriority w:val="99"/>
    <w:semiHidden/>
    <w:unhideWhenUsed/>
    <w:rsid w:val="002C4609"/>
    <w:rPr>
      <w:color w:val="605E5C"/>
      <w:shd w:val="clear" w:color="auto" w:fill="E1DFDD"/>
    </w:rPr>
  </w:style>
  <w:style w:type="paragraph" w:customStyle="1" w:styleId="NormalLinespacingDouble">
    <w:name w:val="Normal + Line spacing:  Double"/>
    <w:basedOn w:val="Normal"/>
    <w:rsid w:val="00EE429E"/>
    <w:pPr>
      <w:spacing w:line="480" w:lineRule="auto"/>
    </w:pPr>
    <w:rPr>
      <w:lang w:val="es-ES"/>
    </w:rPr>
  </w:style>
  <w:style w:type="table" w:styleId="TableGrid">
    <w:name w:val="Table Grid"/>
    <w:basedOn w:val="TableNormal"/>
    <w:uiPriority w:val="59"/>
    <w:rsid w:val="00520D5E"/>
    <w:rPr>
      <w:rFonts w:ascii="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BE6881"/>
    <w:pPr>
      <w:tabs>
        <w:tab w:val="clear" w:pos="1134"/>
        <w:tab w:val="clear" w:pos="1871"/>
        <w:tab w:val="clear" w:pos="2268"/>
      </w:tabs>
      <w:overflowPunct/>
      <w:autoSpaceDE/>
      <w:autoSpaceDN/>
      <w:adjustRightInd/>
      <w:jc w:val="both"/>
      <w:textAlignment w:val="auto"/>
    </w:pPr>
    <w:rPr>
      <w:sz w:val="22"/>
      <w:szCs w:val="22"/>
      <w:lang w:val="en-GB" w:eastAsia="fr-FR"/>
    </w:rPr>
  </w:style>
  <w:style w:type="paragraph" w:styleId="ListParagraph">
    <w:name w:val="List Paragraph"/>
    <w:basedOn w:val="Normal"/>
    <w:uiPriority w:val="99"/>
    <w:qFormat/>
    <w:rsid w:val="00D505DB"/>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en-US"/>
    </w:rPr>
  </w:style>
  <w:style w:type="paragraph" w:customStyle="1" w:styleId="enumlev2Left2">
    <w:name w:val="enumlev2 + Left:  2"/>
    <w:aliases w:val="63 cm,First line:  0 cm"/>
    <w:basedOn w:val="enumlev2"/>
    <w:rsid w:val="003F2EDE"/>
    <w:pPr>
      <w:ind w:left="1494" w:firstLine="0"/>
      <w:textAlignment w:val="auto"/>
    </w:pPr>
    <w:rPr>
      <w:lang w:val="en-GB"/>
    </w:rPr>
  </w:style>
  <w:style w:type="paragraph" w:customStyle="1" w:styleId="enumlev4">
    <w:name w:val="enumlev4"/>
    <w:basedOn w:val="ListParagraph"/>
    <w:rsid w:val="00BA0A70"/>
    <w:pPr>
      <w:numPr>
        <w:ilvl w:val="3"/>
        <w:numId w:val="13"/>
      </w:numPr>
      <w:spacing w:before="120" w:after="0"/>
    </w:pPr>
    <w:rPr>
      <w:rFonts w:ascii="Times New Roman" w:hAnsi="Times New Roman" w:cs="Times New Roman"/>
      <w:lang w:val="en-GB" w:eastAsia="ko-KR"/>
    </w:rPr>
  </w:style>
  <w:style w:type="paragraph" w:styleId="Revision">
    <w:name w:val="Revision"/>
    <w:hidden/>
    <w:uiPriority w:val="99"/>
    <w:semiHidden/>
    <w:rsid w:val="00E0578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818">
      <w:bodyDiv w:val="1"/>
      <w:marLeft w:val="0"/>
      <w:marRight w:val="0"/>
      <w:marTop w:val="0"/>
      <w:marBottom w:val="0"/>
      <w:divBdr>
        <w:top w:val="none" w:sz="0" w:space="0" w:color="auto"/>
        <w:left w:val="none" w:sz="0" w:space="0" w:color="auto"/>
        <w:bottom w:val="none" w:sz="0" w:space="0" w:color="auto"/>
        <w:right w:val="none" w:sz="0" w:space="0" w:color="auto"/>
      </w:divBdr>
    </w:div>
    <w:div w:id="342705665">
      <w:bodyDiv w:val="1"/>
      <w:marLeft w:val="0"/>
      <w:marRight w:val="0"/>
      <w:marTop w:val="0"/>
      <w:marBottom w:val="0"/>
      <w:divBdr>
        <w:top w:val="none" w:sz="0" w:space="0" w:color="auto"/>
        <w:left w:val="none" w:sz="0" w:space="0" w:color="auto"/>
        <w:bottom w:val="none" w:sz="0" w:space="0" w:color="auto"/>
        <w:right w:val="none" w:sz="0" w:space="0" w:color="auto"/>
      </w:divBdr>
    </w:div>
    <w:div w:id="346055694">
      <w:bodyDiv w:val="1"/>
      <w:marLeft w:val="0"/>
      <w:marRight w:val="0"/>
      <w:marTop w:val="0"/>
      <w:marBottom w:val="0"/>
      <w:divBdr>
        <w:top w:val="none" w:sz="0" w:space="0" w:color="auto"/>
        <w:left w:val="none" w:sz="0" w:space="0" w:color="auto"/>
        <w:bottom w:val="none" w:sz="0" w:space="0" w:color="auto"/>
        <w:right w:val="none" w:sz="0" w:space="0" w:color="auto"/>
      </w:divBdr>
    </w:div>
    <w:div w:id="660236144">
      <w:bodyDiv w:val="1"/>
      <w:marLeft w:val="0"/>
      <w:marRight w:val="0"/>
      <w:marTop w:val="0"/>
      <w:marBottom w:val="0"/>
      <w:divBdr>
        <w:top w:val="none" w:sz="0" w:space="0" w:color="auto"/>
        <w:left w:val="none" w:sz="0" w:space="0" w:color="auto"/>
        <w:bottom w:val="none" w:sz="0" w:space="0" w:color="auto"/>
        <w:right w:val="none" w:sz="0" w:space="0" w:color="auto"/>
      </w:divBdr>
    </w:div>
    <w:div w:id="662120490">
      <w:bodyDiv w:val="1"/>
      <w:marLeft w:val="0"/>
      <w:marRight w:val="0"/>
      <w:marTop w:val="0"/>
      <w:marBottom w:val="0"/>
      <w:divBdr>
        <w:top w:val="none" w:sz="0" w:space="0" w:color="auto"/>
        <w:left w:val="none" w:sz="0" w:space="0" w:color="auto"/>
        <w:bottom w:val="none" w:sz="0" w:space="0" w:color="auto"/>
        <w:right w:val="none" w:sz="0" w:space="0" w:color="auto"/>
      </w:divBdr>
    </w:div>
    <w:div w:id="662470035">
      <w:bodyDiv w:val="1"/>
      <w:marLeft w:val="0"/>
      <w:marRight w:val="0"/>
      <w:marTop w:val="0"/>
      <w:marBottom w:val="0"/>
      <w:divBdr>
        <w:top w:val="none" w:sz="0" w:space="0" w:color="auto"/>
        <w:left w:val="none" w:sz="0" w:space="0" w:color="auto"/>
        <w:bottom w:val="none" w:sz="0" w:space="0" w:color="auto"/>
        <w:right w:val="none" w:sz="0" w:space="0" w:color="auto"/>
      </w:divBdr>
    </w:div>
    <w:div w:id="670375818">
      <w:bodyDiv w:val="1"/>
      <w:marLeft w:val="0"/>
      <w:marRight w:val="0"/>
      <w:marTop w:val="0"/>
      <w:marBottom w:val="0"/>
      <w:divBdr>
        <w:top w:val="none" w:sz="0" w:space="0" w:color="auto"/>
        <w:left w:val="none" w:sz="0" w:space="0" w:color="auto"/>
        <w:bottom w:val="none" w:sz="0" w:space="0" w:color="auto"/>
        <w:right w:val="none" w:sz="0" w:space="0" w:color="auto"/>
      </w:divBdr>
    </w:div>
    <w:div w:id="899898681">
      <w:bodyDiv w:val="1"/>
      <w:marLeft w:val="0"/>
      <w:marRight w:val="0"/>
      <w:marTop w:val="0"/>
      <w:marBottom w:val="0"/>
      <w:divBdr>
        <w:top w:val="none" w:sz="0" w:space="0" w:color="auto"/>
        <w:left w:val="none" w:sz="0" w:space="0" w:color="auto"/>
        <w:bottom w:val="none" w:sz="0" w:space="0" w:color="auto"/>
        <w:right w:val="none" w:sz="0" w:space="0" w:color="auto"/>
      </w:divBdr>
    </w:div>
    <w:div w:id="952442296">
      <w:bodyDiv w:val="1"/>
      <w:marLeft w:val="0"/>
      <w:marRight w:val="0"/>
      <w:marTop w:val="0"/>
      <w:marBottom w:val="0"/>
      <w:divBdr>
        <w:top w:val="none" w:sz="0" w:space="0" w:color="auto"/>
        <w:left w:val="none" w:sz="0" w:space="0" w:color="auto"/>
        <w:bottom w:val="none" w:sz="0" w:space="0" w:color="auto"/>
        <w:right w:val="none" w:sz="0" w:space="0" w:color="auto"/>
      </w:divBdr>
    </w:div>
    <w:div w:id="972366615">
      <w:bodyDiv w:val="1"/>
      <w:marLeft w:val="0"/>
      <w:marRight w:val="0"/>
      <w:marTop w:val="0"/>
      <w:marBottom w:val="0"/>
      <w:divBdr>
        <w:top w:val="none" w:sz="0" w:space="0" w:color="auto"/>
        <w:left w:val="none" w:sz="0" w:space="0" w:color="auto"/>
        <w:bottom w:val="none" w:sz="0" w:space="0" w:color="auto"/>
        <w:right w:val="none" w:sz="0" w:space="0" w:color="auto"/>
      </w:divBdr>
    </w:div>
    <w:div w:id="1006247608">
      <w:bodyDiv w:val="1"/>
      <w:marLeft w:val="0"/>
      <w:marRight w:val="0"/>
      <w:marTop w:val="0"/>
      <w:marBottom w:val="0"/>
      <w:divBdr>
        <w:top w:val="none" w:sz="0" w:space="0" w:color="auto"/>
        <w:left w:val="none" w:sz="0" w:space="0" w:color="auto"/>
        <w:bottom w:val="none" w:sz="0" w:space="0" w:color="auto"/>
        <w:right w:val="none" w:sz="0" w:space="0" w:color="auto"/>
      </w:divBdr>
    </w:div>
    <w:div w:id="1020279653">
      <w:bodyDiv w:val="1"/>
      <w:marLeft w:val="0"/>
      <w:marRight w:val="0"/>
      <w:marTop w:val="0"/>
      <w:marBottom w:val="0"/>
      <w:divBdr>
        <w:top w:val="none" w:sz="0" w:space="0" w:color="auto"/>
        <w:left w:val="none" w:sz="0" w:space="0" w:color="auto"/>
        <w:bottom w:val="none" w:sz="0" w:space="0" w:color="auto"/>
        <w:right w:val="none" w:sz="0" w:space="0" w:color="auto"/>
      </w:divBdr>
    </w:div>
    <w:div w:id="1044908778">
      <w:bodyDiv w:val="1"/>
      <w:marLeft w:val="0"/>
      <w:marRight w:val="0"/>
      <w:marTop w:val="0"/>
      <w:marBottom w:val="0"/>
      <w:divBdr>
        <w:top w:val="none" w:sz="0" w:space="0" w:color="auto"/>
        <w:left w:val="none" w:sz="0" w:space="0" w:color="auto"/>
        <w:bottom w:val="none" w:sz="0" w:space="0" w:color="auto"/>
        <w:right w:val="none" w:sz="0" w:space="0" w:color="auto"/>
      </w:divBdr>
    </w:div>
    <w:div w:id="1346438662">
      <w:bodyDiv w:val="1"/>
      <w:marLeft w:val="0"/>
      <w:marRight w:val="0"/>
      <w:marTop w:val="0"/>
      <w:marBottom w:val="0"/>
      <w:divBdr>
        <w:top w:val="none" w:sz="0" w:space="0" w:color="auto"/>
        <w:left w:val="none" w:sz="0" w:space="0" w:color="auto"/>
        <w:bottom w:val="none" w:sz="0" w:space="0" w:color="auto"/>
        <w:right w:val="none" w:sz="0" w:space="0" w:color="auto"/>
      </w:divBdr>
    </w:div>
    <w:div w:id="1595700703">
      <w:bodyDiv w:val="1"/>
      <w:marLeft w:val="0"/>
      <w:marRight w:val="0"/>
      <w:marTop w:val="0"/>
      <w:marBottom w:val="0"/>
      <w:divBdr>
        <w:top w:val="none" w:sz="0" w:space="0" w:color="auto"/>
        <w:left w:val="none" w:sz="0" w:space="0" w:color="auto"/>
        <w:bottom w:val="none" w:sz="0" w:space="0" w:color="auto"/>
        <w:right w:val="none" w:sz="0" w:space="0" w:color="auto"/>
      </w:divBdr>
    </w:div>
    <w:div w:id="18235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33C5-A4C3-43C1-9EF1-BDBC0FDA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395</TotalTime>
  <Pages>22</Pages>
  <Words>10217</Words>
  <Characters>54021</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64110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44</cp:revision>
  <cp:lastPrinted>2019-10-14T10:13:00Z</cp:lastPrinted>
  <dcterms:created xsi:type="dcterms:W3CDTF">2019-10-11T12:43:00Z</dcterms:created>
  <dcterms:modified xsi:type="dcterms:W3CDTF">2019-10-15T10:01:00Z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