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B1D82" w:rsidRPr="000531B2" w14:paraId="275F2C4C" w14:textId="77777777" w:rsidTr="0050008E">
        <w:trPr>
          <w:cantSplit/>
        </w:trPr>
        <w:tc>
          <w:tcPr>
            <w:tcW w:w="6911" w:type="dxa"/>
          </w:tcPr>
          <w:p w14:paraId="1D4AE5E7" w14:textId="77777777" w:rsidR="00BB1D82" w:rsidRPr="000531B2" w:rsidRDefault="00851625" w:rsidP="00F10064">
            <w:pPr>
              <w:spacing w:before="400" w:after="48" w:line="240" w:lineRule="atLeast"/>
              <w:rPr>
                <w:rFonts w:ascii="Verdana" w:hAnsi="Verdana"/>
                <w:b/>
                <w:bCs/>
                <w:sz w:val="20"/>
              </w:rPr>
            </w:pPr>
            <w:r w:rsidRPr="000531B2">
              <w:rPr>
                <w:rFonts w:ascii="Verdana" w:hAnsi="Verdana"/>
                <w:b/>
                <w:bCs/>
                <w:sz w:val="20"/>
              </w:rPr>
              <w:t>Conférence mondiale des radiocommunications (CMR-1</w:t>
            </w:r>
            <w:r w:rsidR="00FD7AA3" w:rsidRPr="000531B2">
              <w:rPr>
                <w:rFonts w:ascii="Verdana" w:hAnsi="Verdana"/>
                <w:b/>
                <w:bCs/>
                <w:sz w:val="20"/>
              </w:rPr>
              <w:t>9</w:t>
            </w:r>
            <w:r w:rsidRPr="000531B2">
              <w:rPr>
                <w:rFonts w:ascii="Verdana" w:hAnsi="Verdana"/>
                <w:b/>
                <w:bCs/>
                <w:sz w:val="20"/>
              </w:rPr>
              <w:t>)</w:t>
            </w:r>
            <w:r w:rsidRPr="000531B2">
              <w:rPr>
                <w:rFonts w:ascii="Verdana" w:hAnsi="Verdana"/>
                <w:b/>
                <w:bCs/>
                <w:sz w:val="20"/>
              </w:rPr>
              <w:br/>
            </w:r>
            <w:r w:rsidR="00063A1F" w:rsidRPr="000531B2">
              <w:rPr>
                <w:rFonts w:ascii="Verdana" w:hAnsi="Verdana"/>
                <w:b/>
                <w:bCs/>
                <w:sz w:val="18"/>
                <w:szCs w:val="18"/>
              </w:rPr>
              <w:t xml:space="preserve">Charm el-Cheikh, </w:t>
            </w:r>
            <w:r w:rsidR="00081366" w:rsidRPr="000531B2">
              <w:rPr>
                <w:rFonts w:ascii="Verdana" w:hAnsi="Verdana"/>
                <w:b/>
                <w:bCs/>
                <w:sz w:val="18"/>
                <w:szCs w:val="18"/>
              </w:rPr>
              <w:t>É</w:t>
            </w:r>
            <w:r w:rsidR="00063A1F" w:rsidRPr="000531B2">
              <w:rPr>
                <w:rFonts w:ascii="Verdana" w:hAnsi="Verdana"/>
                <w:b/>
                <w:bCs/>
                <w:sz w:val="18"/>
                <w:szCs w:val="18"/>
              </w:rPr>
              <w:t>gypte</w:t>
            </w:r>
            <w:r w:rsidRPr="000531B2">
              <w:rPr>
                <w:rFonts w:ascii="Verdana" w:hAnsi="Verdana"/>
                <w:b/>
                <w:bCs/>
                <w:sz w:val="18"/>
                <w:szCs w:val="18"/>
              </w:rPr>
              <w:t>,</w:t>
            </w:r>
            <w:r w:rsidR="00E537FF" w:rsidRPr="000531B2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Pr="000531B2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="00FD7AA3" w:rsidRPr="000531B2">
              <w:rPr>
                <w:rFonts w:ascii="Verdana" w:hAnsi="Verdana"/>
                <w:b/>
                <w:bCs/>
                <w:sz w:val="18"/>
                <w:szCs w:val="18"/>
              </w:rPr>
              <w:t xml:space="preserve">8 octobre </w:t>
            </w:r>
            <w:r w:rsidR="00F10064" w:rsidRPr="000531B2">
              <w:rPr>
                <w:rFonts w:ascii="Verdana" w:hAnsi="Verdana"/>
                <w:b/>
                <w:bCs/>
                <w:sz w:val="18"/>
                <w:szCs w:val="18"/>
              </w:rPr>
              <w:t>–</w:t>
            </w:r>
            <w:r w:rsidR="00FD7AA3" w:rsidRPr="000531B2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Pr="000531B2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="00FD7AA3" w:rsidRPr="000531B2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Pr="000531B2">
              <w:rPr>
                <w:rFonts w:ascii="Verdana" w:hAnsi="Verdana"/>
                <w:b/>
                <w:bCs/>
                <w:sz w:val="18"/>
                <w:szCs w:val="18"/>
              </w:rPr>
              <w:t xml:space="preserve"> novembre 201</w:t>
            </w:r>
            <w:r w:rsidR="00FD7AA3" w:rsidRPr="000531B2">
              <w:rPr>
                <w:rFonts w:ascii="Verdana" w:hAnsi="Verdana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3120" w:type="dxa"/>
          </w:tcPr>
          <w:p w14:paraId="5D628397" w14:textId="77777777" w:rsidR="00BB1D82" w:rsidRPr="000531B2" w:rsidRDefault="000A55AE" w:rsidP="002C28A4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0531B2">
              <w:rPr>
                <w:rFonts w:ascii="Verdana" w:hAnsi="Verdana"/>
                <w:b/>
                <w:bCs/>
                <w:noProof/>
                <w:lang w:eastAsia="zh-CN"/>
              </w:rPr>
              <w:drawing>
                <wp:inline distT="0" distB="0" distL="0" distR="0" wp14:anchorId="54484797" wp14:editId="73EF3C1A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0531B2" w14:paraId="6164DC0F" w14:textId="77777777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09331D6E" w14:textId="77777777" w:rsidR="00BB1D82" w:rsidRPr="000531B2" w:rsidRDefault="00BB1D82" w:rsidP="00BB1D82">
            <w:pPr>
              <w:spacing w:before="0" w:after="48" w:line="240" w:lineRule="atLeast"/>
              <w:rPr>
                <w:b/>
                <w:smallCaps/>
                <w:szCs w:val="24"/>
              </w:rPr>
            </w:pPr>
            <w:bookmarkStart w:id="1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08FCB2D2" w14:textId="77777777" w:rsidR="00BB1D82" w:rsidRPr="000531B2" w:rsidRDefault="00BB1D82" w:rsidP="00BB1D82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BB1D82" w:rsidRPr="000531B2" w14:paraId="79BCD988" w14:textId="77777777" w:rsidTr="00BB1D8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755B0702" w14:textId="77777777" w:rsidR="00BB1D82" w:rsidRPr="000531B2" w:rsidRDefault="00BB1D82" w:rsidP="00BB1D82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4028D695" w14:textId="77777777" w:rsidR="00BB1D82" w:rsidRPr="000531B2" w:rsidRDefault="00BB1D82" w:rsidP="00BB1D82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BB1D82" w:rsidRPr="000531B2" w14:paraId="414A8590" w14:textId="77777777" w:rsidTr="00BB1D82">
        <w:trPr>
          <w:cantSplit/>
        </w:trPr>
        <w:tc>
          <w:tcPr>
            <w:tcW w:w="6911" w:type="dxa"/>
          </w:tcPr>
          <w:p w14:paraId="5CF23A94" w14:textId="77777777" w:rsidR="00BB1D82" w:rsidRPr="000531B2" w:rsidRDefault="006D4724" w:rsidP="00BA5BD0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0531B2">
              <w:rPr>
                <w:rFonts w:ascii="Verdana" w:hAnsi="Verdana"/>
                <w:b/>
                <w:sz w:val="20"/>
              </w:rPr>
              <w:t>SÉANCE PLÉNIÈRE</w:t>
            </w:r>
          </w:p>
        </w:tc>
        <w:tc>
          <w:tcPr>
            <w:tcW w:w="3120" w:type="dxa"/>
          </w:tcPr>
          <w:p w14:paraId="53BE297D" w14:textId="77777777" w:rsidR="00BB1D82" w:rsidRPr="000531B2" w:rsidRDefault="006D4724" w:rsidP="00BA5BD0">
            <w:pPr>
              <w:spacing w:before="0"/>
              <w:rPr>
                <w:rFonts w:ascii="Verdana" w:hAnsi="Verdana"/>
                <w:sz w:val="20"/>
              </w:rPr>
            </w:pPr>
            <w:r w:rsidRPr="000531B2">
              <w:rPr>
                <w:rFonts w:ascii="Verdana" w:hAnsi="Verdana"/>
                <w:b/>
                <w:sz w:val="20"/>
              </w:rPr>
              <w:t>Addendum 2 au</w:t>
            </w:r>
            <w:r w:rsidRPr="000531B2">
              <w:rPr>
                <w:rFonts w:ascii="Verdana" w:hAnsi="Verdana"/>
                <w:b/>
                <w:sz w:val="20"/>
              </w:rPr>
              <w:br/>
              <w:t>Document 43</w:t>
            </w:r>
            <w:r w:rsidR="00BB1D82" w:rsidRPr="000531B2">
              <w:rPr>
                <w:rFonts w:ascii="Verdana" w:hAnsi="Verdana"/>
                <w:b/>
                <w:sz w:val="20"/>
              </w:rPr>
              <w:t>-</w:t>
            </w:r>
            <w:r w:rsidRPr="000531B2">
              <w:rPr>
                <w:rFonts w:ascii="Verdana" w:hAnsi="Verdana"/>
                <w:b/>
                <w:sz w:val="20"/>
              </w:rPr>
              <w:t>F</w:t>
            </w:r>
          </w:p>
        </w:tc>
      </w:tr>
      <w:bookmarkEnd w:id="1"/>
      <w:tr w:rsidR="00690C7B" w:rsidRPr="000531B2" w14:paraId="00E6ED79" w14:textId="77777777" w:rsidTr="00BB1D82">
        <w:trPr>
          <w:cantSplit/>
        </w:trPr>
        <w:tc>
          <w:tcPr>
            <w:tcW w:w="6911" w:type="dxa"/>
          </w:tcPr>
          <w:p w14:paraId="62F2C764" w14:textId="77777777" w:rsidR="00690C7B" w:rsidRPr="000531B2" w:rsidRDefault="00690C7B" w:rsidP="00BA5BD0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120" w:type="dxa"/>
          </w:tcPr>
          <w:p w14:paraId="16D83E9E" w14:textId="77777777" w:rsidR="00690C7B" w:rsidRPr="000531B2" w:rsidRDefault="00690C7B" w:rsidP="00BA5BD0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0531B2">
              <w:rPr>
                <w:rFonts w:ascii="Verdana" w:hAnsi="Verdana"/>
                <w:b/>
                <w:sz w:val="20"/>
              </w:rPr>
              <w:t>3 octobre 2019</w:t>
            </w:r>
          </w:p>
        </w:tc>
      </w:tr>
      <w:tr w:rsidR="00690C7B" w:rsidRPr="000531B2" w14:paraId="2BEA5B49" w14:textId="77777777" w:rsidTr="00BB1D82">
        <w:trPr>
          <w:cantSplit/>
        </w:trPr>
        <w:tc>
          <w:tcPr>
            <w:tcW w:w="6911" w:type="dxa"/>
          </w:tcPr>
          <w:p w14:paraId="3630E5AB" w14:textId="77777777" w:rsidR="00690C7B" w:rsidRPr="000531B2" w:rsidRDefault="00690C7B" w:rsidP="00BA5BD0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</w:tcPr>
          <w:p w14:paraId="0CE79922" w14:textId="77777777" w:rsidR="00690C7B" w:rsidRPr="000531B2" w:rsidRDefault="00690C7B" w:rsidP="00BA5BD0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0531B2">
              <w:rPr>
                <w:rFonts w:ascii="Verdana" w:hAnsi="Verdana"/>
                <w:b/>
                <w:sz w:val="20"/>
              </w:rPr>
              <w:t>Original: anglais</w:t>
            </w:r>
          </w:p>
        </w:tc>
      </w:tr>
      <w:tr w:rsidR="00690C7B" w:rsidRPr="000531B2" w14:paraId="5C287B6B" w14:textId="77777777" w:rsidTr="00C11970">
        <w:trPr>
          <w:cantSplit/>
        </w:trPr>
        <w:tc>
          <w:tcPr>
            <w:tcW w:w="10031" w:type="dxa"/>
            <w:gridSpan w:val="2"/>
          </w:tcPr>
          <w:p w14:paraId="58BCC042" w14:textId="77777777" w:rsidR="00690C7B" w:rsidRPr="000531B2" w:rsidRDefault="00690C7B" w:rsidP="00BA5BD0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690C7B" w:rsidRPr="000531B2" w14:paraId="41A46678" w14:textId="77777777" w:rsidTr="0050008E">
        <w:trPr>
          <w:cantSplit/>
        </w:trPr>
        <w:tc>
          <w:tcPr>
            <w:tcW w:w="10031" w:type="dxa"/>
            <w:gridSpan w:val="2"/>
          </w:tcPr>
          <w:p w14:paraId="181390BD" w14:textId="77777777" w:rsidR="00690C7B" w:rsidRPr="000531B2" w:rsidRDefault="00690C7B" w:rsidP="00690C7B">
            <w:pPr>
              <w:pStyle w:val="Source"/>
            </w:pPr>
            <w:bookmarkStart w:id="2" w:name="dsource" w:colFirst="0" w:colLast="0"/>
            <w:r w:rsidRPr="000531B2">
              <w:t>Bulgarie (République de)</w:t>
            </w:r>
          </w:p>
        </w:tc>
      </w:tr>
      <w:tr w:rsidR="00690C7B" w:rsidRPr="000531B2" w14:paraId="0E873186" w14:textId="77777777" w:rsidTr="0050008E">
        <w:trPr>
          <w:cantSplit/>
        </w:trPr>
        <w:tc>
          <w:tcPr>
            <w:tcW w:w="10031" w:type="dxa"/>
            <w:gridSpan w:val="2"/>
          </w:tcPr>
          <w:p w14:paraId="5AFBF231" w14:textId="77777777" w:rsidR="00690C7B" w:rsidRPr="000531B2" w:rsidRDefault="00690C7B" w:rsidP="00690C7B">
            <w:pPr>
              <w:pStyle w:val="Title1"/>
            </w:pPr>
            <w:bookmarkStart w:id="3" w:name="dtitle1" w:colFirst="0" w:colLast="0"/>
            <w:bookmarkEnd w:id="2"/>
            <w:r w:rsidRPr="000531B2">
              <w:t>Propositions pour les travaux de la conférence</w:t>
            </w:r>
          </w:p>
        </w:tc>
      </w:tr>
      <w:tr w:rsidR="00690C7B" w:rsidRPr="000531B2" w14:paraId="18FE1CB7" w14:textId="77777777" w:rsidTr="0050008E">
        <w:trPr>
          <w:cantSplit/>
        </w:trPr>
        <w:tc>
          <w:tcPr>
            <w:tcW w:w="10031" w:type="dxa"/>
            <w:gridSpan w:val="2"/>
          </w:tcPr>
          <w:p w14:paraId="73838E7C" w14:textId="1C03B370" w:rsidR="00690C7B" w:rsidRPr="000531B2" w:rsidRDefault="004E3E38" w:rsidP="009F1376">
            <w:pPr>
              <w:pStyle w:val="Title4"/>
            </w:pPr>
            <w:bookmarkStart w:id="4" w:name="dtitle2" w:colFirst="0" w:colLast="0"/>
            <w:bookmarkEnd w:id="3"/>
            <w:r w:rsidRPr="000531B2">
              <w:t>Demande à la CMR-19 d'envisager l'inclusion dans les Plans des Appendices 30 et</w:t>
            </w:r>
            <w:r w:rsidR="00023963">
              <w:t> </w:t>
            </w:r>
            <w:r w:rsidRPr="000531B2">
              <w:t>30A de 10 assignations en lieu et place des assignations de la Bulgarie figurant dans les Plans</w:t>
            </w:r>
            <w:r w:rsidR="000531B2">
              <w:t>,</w:t>
            </w:r>
            <w:r w:rsidRPr="000531B2">
              <w:t xml:space="preserve"> conformément au § 4.1.27 de l'Article 4 des Appendices 30 et 30A</w:t>
            </w:r>
          </w:p>
        </w:tc>
      </w:tr>
      <w:tr w:rsidR="00690C7B" w:rsidRPr="000531B2" w14:paraId="0EB96336" w14:textId="77777777" w:rsidTr="0050008E">
        <w:trPr>
          <w:cantSplit/>
        </w:trPr>
        <w:tc>
          <w:tcPr>
            <w:tcW w:w="10031" w:type="dxa"/>
            <w:gridSpan w:val="2"/>
          </w:tcPr>
          <w:p w14:paraId="67A06115" w14:textId="77777777" w:rsidR="00690C7B" w:rsidRPr="000531B2" w:rsidRDefault="00690C7B" w:rsidP="00690C7B">
            <w:pPr>
              <w:pStyle w:val="Agendaitem"/>
              <w:rPr>
                <w:lang w:val="fr-FR"/>
              </w:rPr>
            </w:pPr>
            <w:bookmarkStart w:id="5" w:name="dtitle3" w:colFirst="0" w:colLast="0"/>
            <w:bookmarkEnd w:id="4"/>
            <w:r w:rsidRPr="000531B2">
              <w:rPr>
                <w:lang w:val="fr-FR"/>
              </w:rPr>
              <w:t>Point 9.3 de l'ordre du jour</w:t>
            </w:r>
          </w:p>
        </w:tc>
      </w:tr>
    </w:tbl>
    <w:bookmarkEnd w:id="5"/>
    <w:p w14:paraId="791FB667" w14:textId="77777777" w:rsidR="001C0E40" w:rsidRPr="000531B2" w:rsidRDefault="00923A3F" w:rsidP="00023963">
      <w:pPr>
        <w:pStyle w:val="Normalaftertitle"/>
      </w:pPr>
      <w:r w:rsidRPr="000531B2">
        <w:t>9</w:t>
      </w:r>
      <w:r w:rsidRPr="000531B2">
        <w:tab/>
        <w:t>examiner et approuver le rapport du Directeur du Bureau des radiocommunications, conformément à l'article 7 de la Convention:</w:t>
      </w:r>
    </w:p>
    <w:p w14:paraId="50A57891" w14:textId="77777777" w:rsidR="001C0E40" w:rsidRPr="000531B2" w:rsidRDefault="00923A3F" w:rsidP="00461F12">
      <w:r w:rsidRPr="000531B2">
        <w:t>9.3</w:t>
      </w:r>
      <w:r w:rsidRPr="000531B2">
        <w:tab/>
        <w:t>sur la suite donnée à la Résolution </w:t>
      </w:r>
      <w:r w:rsidRPr="000531B2">
        <w:rPr>
          <w:b/>
          <w:bCs/>
        </w:rPr>
        <w:t>80 (Rév.CMR-07)</w:t>
      </w:r>
      <w:r w:rsidRPr="000531B2">
        <w:t>;</w:t>
      </w:r>
    </w:p>
    <w:p w14:paraId="4E8AB280" w14:textId="5671776A" w:rsidR="004E3E38" w:rsidRPr="000531B2" w:rsidRDefault="004E3E38" w:rsidP="00EE5F7A">
      <w:bookmarkStart w:id="6" w:name="lt_pId018"/>
      <w:r w:rsidRPr="000531B2">
        <w:t xml:space="preserve">Le point 9.3 de l'ordre du jour de la CMR-19 concerne la Résolution </w:t>
      </w:r>
      <w:r w:rsidRPr="00B95EE4">
        <w:rPr>
          <w:b/>
          <w:bCs/>
        </w:rPr>
        <w:t>80 (Rév.CMR-07)</w:t>
      </w:r>
      <w:r w:rsidRPr="000531B2">
        <w:t>.</w:t>
      </w:r>
      <w:bookmarkEnd w:id="6"/>
      <w:r w:rsidRPr="000531B2">
        <w:t xml:space="preserve"> </w:t>
      </w:r>
      <w:bookmarkStart w:id="7" w:name="lt_pId019"/>
      <w:r w:rsidRPr="000531B2">
        <w:t>Les points</w:t>
      </w:r>
      <w:r w:rsidR="00B95EE4">
        <w:t> </w:t>
      </w:r>
      <w:r w:rsidRPr="000531B2">
        <w:t xml:space="preserve">1 et 2 du </w:t>
      </w:r>
      <w:r w:rsidRPr="000531B2">
        <w:rPr>
          <w:i/>
        </w:rPr>
        <w:t>décide</w:t>
      </w:r>
      <w:r w:rsidRPr="000531B2">
        <w:t xml:space="preserve"> de cette Résolution traitent de l'application des principes de base énoncés à l'article</w:t>
      </w:r>
      <w:r w:rsidR="009F1376">
        <w:t> </w:t>
      </w:r>
      <w:r w:rsidRPr="000531B2">
        <w:t xml:space="preserve">44 de la Constitution de l'UIT et au numéro 0.3 du Préambule du Règlement des radiocommunications s'agissant de l'utilisation des ressources spectre/orbites. L'Annexe 2 de la Résolution </w:t>
      </w:r>
      <w:r w:rsidRPr="00B95EE4">
        <w:rPr>
          <w:b/>
          <w:bCs/>
        </w:rPr>
        <w:t>80</w:t>
      </w:r>
      <w:r w:rsidRPr="000531B2">
        <w:t xml:space="preserve"> contient des considérations visant à améliorer l'application de ces principes, compte tenu des difficultés décrites dans l'Annexe 1 de la Résolution </w:t>
      </w:r>
      <w:r w:rsidRPr="00B95EE4">
        <w:rPr>
          <w:b/>
          <w:bCs/>
        </w:rPr>
        <w:t>80</w:t>
      </w:r>
      <w:r w:rsidRPr="000531B2">
        <w:t>.</w:t>
      </w:r>
      <w:bookmarkEnd w:id="7"/>
    </w:p>
    <w:p w14:paraId="39EEA7ED" w14:textId="77777777" w:rsidR="004E3E38" w:rsidRPr="000531B2" w:rsidRDefault="004E3E38" w:rsidP="00461F12">
      <w:pPr>
        <w:pStyle w:val="Headingb"/>
      </w:pPr>
      <w:bookmarkStart w:id="8" w:name="lt_pId020"/>
      <w:r w:rsidRPr="009F1376">
        <w:t>Introduction</w:t>
      </w:r>
      <w:bookmarkEnd w:id="8"/>
    </w:p>
    <w:p w14:paraId="13ACF742" w14:textId="2CF97B89" w:rsidR="004E3E38" w:rsidRPr="000531B2" w:rsidRDefault="000531B2" w:rsidP="00461F12">
      <w:bookmarkStart w:id="9" w:name="lt_pId021"/>
      <w:r>
        <w:t>En application</w:t>
      </w:r>
      <w:r w:rsidR="004E3E38" w:rsidRPr="000531B2">
        <w:t xml:space="preserve"> de la décision de la séance plénière de la CMR-12 reproduite dans l'Annexe A du Document 552, l'Administration de la République de Bulgarie demande à la CMR-19 d'envisager l'inclusion dans les Plans des Appendices </w:t>
      </w:r>
      <w:r w:rsidR="004E3E38" w:rsidRPr="000531B2">
        <w:rPr>
          <w:b/>
        </w:rPr>
        <w:t>30</w:t>
      </w:r>
      <w:r w:rsidR="004E3E38" w:rsidRPr="000531B2">
        <w:t xml:space="preserve"> et </w:t>
      </w:r>
      <w:r w:rsidR="004E3E38" w:rsidRPr="000531B2">
        <w:rPr>
          <w:b/>
        </w:rPr>
        <w:t>30A</w:t>
      </w:r>
      <w:r w:rsidR="004E3E38" w:rsidRPr="000531B2">
        <w:t xml:space="preserve"> </w:t>
      </w:r>
      <w:r w:rsidR="009F1376">
        <w:t xml:space="preserve">du RR </w:t>
      </w:r>
      <w:r w:rsidR="004E3E38" w:rsidRPr="000531B2">
        <w:t>de 10 assignations à la position orbitale</w:t>
      </w:r>
      <w:r w:rsidR="00461F12">
        <w:t xml:space="preserve"> </w:t>
      </w:r>
      <w:r w:rsidR="004E3E38" w:rsidRPr="000531B2">
        <w:t xml:space="preserve">1,9° E, en lieu et place des assignations de la Bulgarie figurant dans les Plans </w:t>
      </w:r>
      <w:r>
        <w:t xml:space="preserve">actuels </w:t>
      </w:r>
      <w:r w:rsidR="004E3E38" w:rsidRPr="000531B2">
        <w:t>à 1,2°</w:t>
      </w:r>
      <w:r w:rsidR="00461F12">
        <w:t xml:space="preserve"> </w:t>
      </w:r>
      <w:r w:rsidR="00060C69" w:rsidRPr="000531B2">
        <w:t>W</w:t>
      </w:r>
      <w:r w:rsidR="004E3E38" w:rsidRPr="000531B2">
        <w:t xml:space="preserve">, conformément au § 4.1.27 de l'Article 4 des Appendices </w:t>
      </w:r>
      <w:r w:rsidR="004E3E38" w:rsidRPr="000531B2">
        <w:rPr>
          <w:b/>
        </w:rPr>
        <w:t>30</w:t>
      </w:r>
      <w:r w:rsidR="004E3E38" w:rsidRPr="000531B2">
        <w:t xml:space="preserve"> et </w:t>
      </w:r>
      <w:r w:rsidR="004E3E38" w:rsidRPr="000531B2">
        <w:rPr>
          <w:b/>
        </w:rPr>
        <w:t>30A</w:t>
      </w:r>
      <w:r w:rsidR="009F1376">
        <w:rPr>
          <w:bCs/>
        </w:rPr>
        <w:t xml:space="preserve"> du RR</w:t>
      </w:r>
      <w:r w:rsidR="004E3E38" w:rsidRPr="000531B2">
        <w:t xml:space="preserve"> ainsi qu'au paragraphe d) de la décision de la CMR-12:</w:t>
      </w:r>
      <w:bookmarkEnd w:id="9"/>
    </w:p>
    <w:p w14:paraId="770F22EC" w14:textId="3C47C33A" w:rsidR="003A583E" w:rsidRPr="000531B2" w:rsidRDefault="00605351" w:rsidP="00461F12">
      <w:pPr>
        <w:ind w:left="1134" w:hanging="1134"/>
      </w:pPr>
      <w:r w:rsidRPr="000531B2">
        <w:t>«d)</w:t>
      </w:r>
      <w:r w:rsidRPr="000531B2">
        <w:tab/>
        <w:t xml:space="preserve">qu'une fois appliquée avec succès la procédure prévue à l'Article 4 de l'Appendice </w:t>
      </w:r>
      <w:r w:rsidRPr="000531B2">
        <w:rPr>
          <w:b/>
          <w:bCs/>
        </w:rPr>
        <w:t>30</w:t>
      </w:r>
      <w:r w:rsidRPr="000531B2">
        <w:t xml:space="preserve"> du RR pour les assignations susmentionnées, l'Administration de la Bulgarie demande à la CMR suivante, sans changement à l'Annexe 7 de l'Appendice </w:t>
      </w:r>
      <w:r w:rsidRPr="000531B2">
        <w:rPr>
          <w:b/>
          <w:bCs/>
        </w:rPr>
        <w:t>30</w:t>
      </w:r>
      <w:r w:rsidRPr="000531B2">
        <w:t xml:space="preserve"> du RR, d'examiner la possibilité d'inclure, dans les Plans des Appendices </w:t>
      </w:r>
      <w:r w:rsidRPr="000531B2">
        <w:rPr>
          <w:b/>
          <w:bCs/>
        </w:rPr>
        <w:t>30</w:t>
      </w:r>
      <w:r w:rsidRPr="000531B2">
        <w:t xml:space="preserve"> et </w:t>
      </w:r>
      <w:r w:rsidRPr="000531B2">
        <w:rPr>
          <w:b/>
          <w:bCs/>
        </w:rPr>
        <w:t>30A</w:t>
      </w:r>
      <w:r w:rsidRPr="000531B2">
        <w:t>, jusqu'à 10 assignations en lieu et place de ses assignations figurant dans les Plans, conformément au numéro 4.1.27 de l'Article 4 de l'Appendice </w:t>
      </w:r>
      <w:r w:rsidRPr="000531B2">
        <w:rPr>
          <w:b/>
          <w:bCs/>
        </w:rPr>
        <w:t>30</w:t>
      </w:r>
      <w:r w:rsidRPr="000531B2">
        <w:t xml:space="preserve"> du RR et au numéro 4.1.27 de l'Article 4 de l'Appendice </w:t>
      </w:r>
      <w:r w:rsidRPr="000531B2">
        <w:rPr>
          <w:b/>
          <w:bCs/>
        </w:rPr>
        <w:t>30A</w:t>
      </w:r>
      <w:r w:rsidRPr="000531B2">
        <w:t xml:space="preserve"> du RR.»</w:t>
      </w:r>
    </w:p>
    <w:p w14:paraId="33BA338A" w14:textId="39C982EE" w:rsidR="00605351" w:rsidRPr="000531B2" w:rsidRDefault="004E3E38" w:rsidP="00461F12">
      <w:pPr>
        <w:pStyle w:val="Headingb"/>
      </w:pPr>
      <w:r w:rsidRPr="000531B2">
        <w:lastRenderedPageBreak/>
        <w:t>Considérations générales</w:t>
      </w:r>
    </w:p>
    <w:p w14:paraId="2E5FCB91" w14:textId="5EA8E049" w:rsidR="00FF0819" w:rsidRPr="000531B2" w:rsidRDefault="000531B2" w:rsidP="00EE5F7A">
      <w:bookmarkStart w:id="10" w:name="lt_pId025"/>
      <w:r>
        <w:t>Les</w:t>
      </w:r>
      <w:r w:rsidR="00FF0819" w:rsidRPr="000531B2">
        <w:t xml:space="preserve"> assignations de la Bulgarie à 1,2° W figurant dans le Plan actuel </w:t>
      </w:r>
      <w:r w:rsidR="00F01619">
        <w:t xml:space="preserve">du </w:t>
      </w:r>
      <w:r w:rsidR="00FF0819" w:rsidRPr="000531B2">
        <w:t xml:space="preserve">SRS </w:t>
      </w:r>
      <w:r w:rsidR="00F01619">
        <w:t xml:space="preserve">pour les Régions 1 et 3 </w:t>
      </w:r>
      <w:r w:rsidR="00FF0819" w:rsidRPr="000531B2">
        <w:t>d</w:t>
      </w:r>
      <w:r w:rsidR="00F01619">
        <w:t>ans</w:t>
      </w:r>
      <w:r w:rsidR="00FF0819" w:rsidRPr="000531B2">
        <w:t xml:space="preserve"> l'Appendice </w:t>
      </w:r>
      <w:r w:rsidR="00FF0819" w:rsidRPr="000531B2">
        <w:rPr>
          <w:b/>
        </w:rPr>
        <w:t>30</w:t>
      </w:r>
      <w:r w:rsidR="00FF0819" w:rsidRPr="000531B2">
        <w:t xml:space="preserve"> du RR </w:t>
      </w:r>
      <w:r>
        <w:t>ne peuvent pas être utilisées</w:t>
      </w:r>
      <w:r w:rsidR="00FF0819" w:rsidRPr="000531B2">
        <w:t xml:space="preserve"> pour le déploiement d'un réseau du SRS réel et performant, malgré les valeurs de MPE relativement élevées au niveau des points de mesure, en raison de réseaux à satellite du SRS notifiés et en exploitation </w:t>
      </w:r>
      <w:r>
        <w:t>au titre</w:t>
      </w:r>
      <w:r w:rsidR="00FF0819" w:rsidRPr="000531B2">
        <w:t xml:space="preserve"> de l'Article 4, situés à une position orbitale très proche.</w:t>
      </w:r>
      <w:bookmarkEnd w:id="10"/>
      <w:r w:rsidR="00FF0819" w:rsidRPr="000531B2">
        <w:t xml:space="preserve"> </w:t>
      </w:r>
      <w:bookmarkStart w:id="11" w:name="lt_pId026"/>
      <w:r w:rsidR="00FF0819" w:rsidRPr="000531B2">
        <w:t>L'Administration de la République de Bulgarie ne souhaitait pas non plus causer de difficultés d'exploitation aux opérateurs de satellites déjà installés ni d'interruption de service à une importante communauté d'utilisateurs.</w:t>
      </w:r>
      <w:bookmarkEnd w:id="11"/>
      <w:r w:rsidR="00FF0819" w:rsidRPr="000531B2">
        <w:t xml:space="preserve"> </w:t>
      </w:r>
      <w:bookmarkStart w:id="12" w:name="lt_pId027"/>
      <w:r w:rsidR="00FF0819" w:rsidRPr="000531B2">
        <w:t xml:space="preserve">Elle a donc demandé à la CMR-12, </w:t>
      </w:r>
      <w:r w:rsidR="00F01619">
        <w:t>dans</w:t>
      </w:r>
      <w:r w:rsidR="00FF0819" w:rsidRPr="000531B2">
        <w:t xml:space="preserve"> l'Addendum 3 au Document 58, d'envisager la possibilité de permettre, à titre exceptionnel, l'utilisation de la position orbitale 1,9° E, en vue de soumettre des assignations dans la bande 11,7</w:t>
      </w:r>
      <w:r w:rsidR="00F01619">
        <w:noBreakHyphen/>
      </w:r>
      <w:r w:rsidR="00FF0819" w:rsidRPr="000531B2">
        <w:t xml:space="preserve">12,2 GHz </w:t>
      </w:r>
      <w:r w:rsidR="00F01619">
        <w:t>pour</w:t>
      </w:r>
      <w:r w:rsidR="00FF0819" w:rsidRPr="000531B2">
        <w:t xml:space="preserve"> coordination au titre de l'Article 4 de l'Appendice </w:t>
      </w:r>
      <w:r w:rsidR="00FF0819" w:rsidRPr="000531B2">
        <w:rPr>
          <w:b/>
        </w:rPr>
        <w:t>30</w:t>
      </w:r>
      <w:r w:rsidR="00FF0819" w:rsidRPr="000531B2">
        <w:t xml:space="preserve"> du RR puis notification.</w:t>
      </w:r>
      <w:bookmarkEnd w:id="12"/>
      <w:r w:rsidR="00FF0819" w:rsidRPr="000531B2">
        <w:rPr>
          <w:rFonts w:ascii="Roboto" w:hAnsi="Roboto"/>
          <w:szCs w:val="24"/>
        </w:rPr>
        <w:t xml:space="preserve"> </w:t>
      </w:r>
      <w:bookmarkStart w:id="13" w:name="lt_pId028"/>
      <w:r w:rsidR="00FF0819" w:rsidRPr="00EE5F7A">
        <w:t>La proposition de la Bulgarie a été appuyée par des analyses techniques détaillées</w:t>
      </w:r>
      <w:r w:rsidRPr="00EE5F7A">
        <w:t>, reproduites</w:t>
      </w:r>
      <w:r w:rsidR="00FF0819" w:rsidRPr="00EE5F7A">
        <w:t xml:space="preserve"> dans des documents de plusieurs réunions de l'UIT-R et de la CEPT, ayant démontré et prouvé que, quand bien même la position orbitale 1,9° E est située dans un arc orbital interdit pour les systèmes du SRS dans la Région 1 dans la bande 11,7-12,2 GHz, conformément aux dispositions actuelles de la Section A3 de l'Annexe </w:t>
      </w:r>
      <w:r w:rsidRPr="00EE5F7A">
        <w:t>7</w:t>
      </w:r>
      <w:r w:rsidR="00FF0819" w:rsidRPr="00EE5F7A">
        <w:t xml:space="preserve"> de l'Appendice </w:t>
      </w:r>
      <w:r w:rsidR="00FF0819" w:rsidRPr="00EB3078">
        <w:rPr>
          <w:b/>
          <w:bCs/>
        </w:rPr>
        <w:t>30</w:t>
      </w:r>
      <w:r w:rsidR="00FF0819" w:rsidRPr="00EE5F7A">
        <w:t xml:space="preserve"> du RR, les </w:t>
      </w:r>
      <w:r w:rsidRPr="00EE5F7A">
        <w:t>effets</w:t>
      </w:r>
      <w:r w:rsidR="00FF0819" w:rsidRPr="00EE5F7A">
        <w:t xml:space="preserve"> des brouillages causés au</w:t>
      </w:r>
      <w:r w:rsidR="00F01619" w:rsidRPr="00EE5F7A">
        <w:t>x</w:t>
      </w:r>
      <w:r w:rsidR="00FF0819" w:rsidRPr="00EE5F7A">
        <w:t xml:space="preserve"> réseaux du SFS existants dans la Région 2 seront négligeables pour une p.i.r.e. maximale de 56 dBW et une réduction de 45 dB des lobes latéraux du diagramme de l'antenne d'émission d</w:t>
      </w:r>
      <w:r w:rsidRPr="00EE5F7A">
        <w:t>es</w:t>
      </w:r>
      <w:r w:rsidR="00FF0819" w:rsidRPr="00EE5F7A">
        <w:t xml:space="preserve"> satellite</w:t>
      </w:r>
      <w:r w:rsidRPr="00EE5F7A">
        <w:t>s</w:t>
      </w:r>
      <w:r w:rsidR="00FF0819" w:rsidRPr="00EE5F7A">
        <w:t xml:space="preserve"> du SRS en direction de la Région 2.</w:t>
      </w:r>
      <w:bookmarkEnd w:id="13"/>
    </w:p>
    <w:p w14:paraId="2C114342" w14:textId="17A86313" w:rsidR="00FF0819" w:rsidRPr="000531B2" w:rsidRDefault="00FF0819" w:rsidP="00EE5F7A">
      <w:bookmarkStart w:id="14" w:name="lt_pId029"/>
      <w:r w:rsidRPr="000531B2">
        <w:t>Les conditions approuvées par la CMR-12 (Document 517) et confirmées par la décision de la</w:t>
      </w:r>
      <w:r w:rsidR="00023963">
        <w:t> </w:t>
      </w:r>
      <w:r w:rsidRPr="000531B2">
        <w:t>CMR-12 (Annexe A du Document 552) ont été appliquées par l'</w:t>
      </w:r>
      <w:r w:rsidR="00A91854" w:rsidRPr="000531B2">
        <w:t>Administration</w:t>
      </w:r>
      <w:r w:rsidRPr="000531B2">
        <w:t xml:space="preserve"> bulgare pour la soumission au titre de l'Article 4 de l'Appendice </w:t>
      </w:r>
      <w:r w:rsidRPr="000531B2">
        <w:rPr>
          <w:b/>
        </w:rPr>
        <w:t>30</w:t>
      </w:r>
      <w:r w:rsidRPr="000531B2">
        <w:t xml:space="preserve"> du RR</w:t>
      </w:r>
      <w:r w:rsidRPr="000531B2">
        <w:rPr>
          <w:rStyle w:val="FootnoteReference"/>
          <w:rFonts w:ascii="Roboto" w:hAnsi="Roboto"/>
          <w:szCs w:val="24"/>
        </w:rPr>
        <w:footnoteReference w:id="1"/>
      </w:r>
      <w:r w:rsidRPr="000531B2">
        <w:t xml:space="preserve"> et, une fois la procédure menée à bien, les assignations ont été notifiées et incluses dans la Liste des utilisations additionnelles pour les réseaux du SRS (Partie B)</w:t>
      </w:r>
      <w:r w:rsidRPr="000531B2">
        <w:rPr>
          <w:rStyle w:val="FootnoteReference"/>
          <w:rFonts w:ascii="Roboto" w:hAnsi="Roboto"/>
          <w:szCs w:val="24"/>
        </w:rPr>
        <w:footnoteReference w:id="2"/>
      </w:r>
      <w:r w:rsidRPr="000531B2">
        <w:t>.</w:t>
      </w:r>
      <w:bookmarkEnd w:id="14"/>
      <w:r w:rsidRPr="000531B2">
        <w:t xml:space="preserve"> </w:t>
      </w:r>
      <w:bookmarkStart w:id="17" w:name="lt_pId030"/>
      <w:r w:rsidRPr="000531B2">
        <w:t xml:space="preserve">Les assignations </w:t>
      </w:r>
      <w:r w:rsidR="00900400">
        <w:t xml:space="preserve">des </w:t>
      </w:r>
      <w:r w:rsidRPr="000531B2">
        <w:t xml:space="preserve">liaisons de connexion correspondantes ont aussi été soumises au titre de l'Article 4 de l'Appendice </w:t>
      </w:r>
      <w:r w:rsidRPr="000531B2">
        <w:rPr>
          <w:b/>
        </w:rPr>
        <w:t>30A</w:t>
      </w:r>
      <w:r w:rsidRPr="000531B2">
        <w:t xml:space="preserve"> du RR et incluses dans la Liste </w:t>
      </w:r>
      <w:r w:rsidR="00900400">
        <w:t>de</w:t>
      </w:r>
      <w:r w:rsidR="000531B2">
        <w:t xml:space="preserve"> l'Appendice 30A</w:t>
      </w:r>
      <w:r w:rsidRPr="000531B2">
        <w:t xml:space="preserve"> (Partie B)</w:t>
      </w:r>
      <w:r w:rsidRPr="000531B2">
        <w:rPr>
          <w:rStyle w:val="FootnoteReference"/>
          <w:rFonts w:ascii="Roboto" w:hAnsi="Roboto"/>
          <w:szCs w:val="24"/>
        </w:rPr>
        <w:footnoteReference w:id="3"/>
      </w:r>
      <w:r w:rsidR="000531B2">
        <w:t>,</w:t>
      </w:r>
      <w:r w:rsidRPr="000531B2">
        <w:rPr>
          <w:sz w:val="20"/>
        </w:rPr>
        <w:t xml:space="preserve"> </w:t>
      </w:r>
      <w:r w:rsidRPr="000531B2">
        <w:t xml:space="preserve">une fois la coordination </w:t>
      </w:r>
      <w:r w:rsidR="00900400">
        <w:t>puis</w:t>
      </w:r>
      <w:r w:rsidRPr="000531B2">
        <w:t xml:space="preserve"> la notification menées à bien.</w:t>
      </w:r>
      <w:bookmarkEnd w:id="17"/>
    </w:p>
    <w:p w14:paraId="2D4DFCB1" w14:textId="77777777" w:rsidR="00FF0819" w:rsidRPr="000531B2" w:rsidRDefault="00FF0819" w:rsidP="00461F12">
      <w:pPr>
        <w:pStyle w:val="Headingb"/>
      </w:pPr>
      <w:bookmarkStart w:id="19" w:name="lt_pId031"/>
      <w:r w:rsidRPr="000531B2">
        <w:t>Demande de la Bulgarie à la CMR-19</w:t>
      </w:r>
      <w:bookmarkEnd w:id="19"/>
    </w:p>
    <w:p w14:paraId="7EA25FBF" w14:textId="27C267B8" w:rsidR="00023963" w:rsidRDefault="00FF0819" w:rsidP="00EE5F7A">
      <w:bookmarkStart w:id="20" w:name="lt_pId032"/>
      <w:r w:rsidRPr="000531B2">
        <w:t xml:space="preserve">Compte tenu des résultats des travaux </w:t>
      </w:r>
      <w:r w:rsidR="000531B2">
        <w:t xml:space="preserve">ayant été réalisés après </w:t>
      </w:r>
      <w:r w:rsidRPr="000531B2">
        <w:t xml:space="preserve">la CMR-12 </w:t>
      </w:r>
      <w:r w:rsidR="00900400">
        <w:t>et étant donné que</w:t>
      </w:r>
      <w:r w:rsidRPr="000531B2">
        <w:t xml:space="preserve"> la procédure de l'Article 4 de l'Appendice </w:t>
      </w:r>
      <w:r w:rsidRPr="000531B2">
        <w:rPr>
          <w:b/>
        </w:rPr>
        <w:t>30</w:t>
      </w:r>
      <w:r w:rsidRPr="000531B2">
        <w:t xml:space="preserve"> du RR et la </w:t>
      </w:r>
      <w:r w:rsidR="000531B2">
        <w:t xml:space="preserve">soumission de fiches de </w:t>
      </w:r>
      <w:r w:rsidRPr="000531B2">
        <w:t xml:space="preserve">notification au titre de l'Article 4 de l'Appendice </w:t>
      </w:r>
      <w:r w:rsidRPr="000531B2">
        <w:rPr>
          <w:b/>
        </w:rPr>
        <w:t>30</w:t>
      </w:r>
      <w:r w:rsidRPr="000531B2">
        <w:t xml:space="preserve"> du RR pour des canaux du SRS dans la bande 11,7-12,2 GHz à la position orbitale 1,9° E</w:t>
      </w:r>
      <w:r w:rsidR="00900400">
        <w:t xml:space="preserve"> ont </w:t>
      </w:r>
      <w:r w:rsidRPr="000531B2">
        <w:t>été menées à bien, l'Administration bulgare s'en remet à une décision de la CMR-19 qui permettrait d'inclure 10 de ces canaux ainsi que les canaux des liaisons de connexion correspondant</w:t>
      </w:r>
      <w:r w:rsidR="000531B2">
        <w:t>e</w:t>
      </w:r>
      <w:r w:rsidRPr="000531B2">
        <w:t>s dans le</w:t>
      </w:r>
      <w:r w:rsidR="000531B2">
        <w:t>s</w:t>
      </w:r>
      <w:r w:rsidRPr="000531B2">
        <w:t xml:space="preserve"> Plan</w:t>
      </w:r>
      <w:r w:rsidR="000531B2">
        <w:t>s</w:t>
      </w:r>
      <w:r w:rsidRPr="000531B2">
        <w:t xml:space="preserve"> pour le SRS et </w:t>
      </w:r>
      <w:r w:rsidR="000531B2">
        <w:t>les</w:t>
      </w:r>
      <w:r w:rsidRPr="000531B2">
        <w:t xml:space="preserve"> liaisons de connexion, en tant qu'assignations </w:t>
      </w:r>
      <w:r w:rsidR="00FA7383">
        <w:t>de</w:t>
      </w:r>
      <w:r w:rsidR="000531B2">
        <w:t xml:space="preserve"> la Bulgarie</w:t>
      </w:r>
      <w:r w:rsidRPr="000531B2">
        <w:t>, en lieu et place de</w:t>
      </w:r>
      <w:r w:rsidR="00FA7383">
        <w:t>s</w:t>
      </w:r>
      <w:r w:rsidRPr="000531B2">
        <w:t xml:space="preserve"> assignations existantes dans le</w:t>
      </w:r>
      <w:r w:rsidR="000531B2">
        <w:t>s</w:t>
      </w:r>
      <w:r w:rsidRPr="000531B2">
        <w:t xml:space="preserve"> Plan</w:t>
      </w:r>
      <w:r w:rsidR="00FA7383">
        <w:t>s</w:t>
      </w:r>
      <w:r w:rsidRPr="000531B2">
        <w:t xml:space="preserve"> pour </w:t>
      </w:r>
      <w:r w:rsidRPr="00B95EE4">
        <w:t>le</w:t>
      </w:r>
      <w:r w:rsidR="00B95EE4">
        <w:t> </w:t>
      </w:r>
      <w:r w:rsidRPr="00B95EE4">
        <w:t>SRS</w:t>
      </w:r>
      <w:r w:rsidRPr="000531B2">
        <w:t xml:space="preserve"> et </w:t>
      </w:r>
      <w:r w:rsidR="000531B2">
        <w:t xml:space="preserve">les </w:t>
      </w:r>
      <w:r w:rsidRPr="000531B2">
        <w:t>liaisons de connexion à la position orbitale 1,2° W.</w:t>
      </w:r>
      <w:bookmarkEnd w:id="20"/>
    </w:p>
    <w:p w14:paraId="52820EF3" w14:textId="77777777" w:rsidR="00023963" w:rsidRDefault="00023963" w:rsidP="00EE5F7A"/>
    <w:p w14:paraId="1ABBA62E" w14:textId="31ED7B5D" w:rsidR="0015203F" w:rsidRPr="000531B2" w:rsidRDefault="0015203F" w:rsidP="00023963">
      <w:r w:rsidRPr="000531B2">
        <w:br w:type="page"/>
      </w:r>
    </w:p>
    <w:p w14:paraId="2BE302A9" w14:textId="77777777" w:rsidR="00974D42" w:rsidRPr="000531B2" w:rsidRDefault="00923A3F" w:rsidP="00461F12">
      <w:pPr>
        <w:pStyle w:val="Proposal"/>
      </w:pPr>
      <w:r w:rsidRPr="000531B2">
        <w:lastRenderedPageBreak/>
        <w:tab/>
        <w:t>BUL/43A2/1</w:t>
      </w:r>
    </w:p>
    <w:p w14:paraId="46EDF7AB" w14:textId="154953D8" w:rsidR="00480DA4" w:rsidRPr="000531B2" w:rsidRDefault="00A91854" w:rsidP="00461F12">
      <w:r w:rsidRPr="000531B2">
        <w:t>En</w:t>
      </w:r>
      <w:r w:rsidR="00480DA4" w:rsidRPr="000531B2">
        <w:t xml:space="preserve"> application de la décision de la CMR-12, figurant au paragraphe d) de l'Annexe A du Document</w:t>
      </w:r>
      <w:r w:rsidR="00461F12">
        <w:t> </w:t>
      </w:r>
      <w:r w:rsidR="00480DA4" w:rsidRPr="000531B2">
        <w:t>552 et compte tenu des résultats des trav</w:t>
      </w:r>
      <w:bookmarkStart w:id="21" w:name="_GoBack"/>
      <w:bookmarkEnd w:id="21"/>
      <w:r w:rsidR="00480DA4" w:rsidRPr="000531B2">
        <w:t>aux réalisés par l'Administration de la Bulgarie mentionnés plus haut</w:t>
      </w:r>
      <w:r w:rsidRPr="000531B2">
        <w:t xml:space="preserve"> et portant</w:t>
      </w:r>
      <w:r w:rsidR="00480DA4" w:rsidRPr="000531B2">
        <w:t xml:space="preserve"> sur la soumission, la coordination et la notification des assignations du SRS à 1,9° E dans la bande 11,7-12,2 GHz</w:t>
      </w:r>
      <w:r w:rsidRPr="000531B2">
        <w:t>,</w:t>
      </w:r>
      <w:r w:rsidR="00480DA4" w:rsidRPr="000531B2">
        <w:t xml:space="preserve"> au titre des dispositions de l'Appendice </w:t>
      </w:r>
      <w:r w:rsidR="00480DA4" w:rsidRPr="000531B2">
        <w:rPr>
          <w:b/>
          <w:bCs/>
        </w:rPr>
        <w:t>30</w:t>
      </w:r>
      <w:r w:rsidR="00480DA4" w:rsidRPr="000531B2">
        <w:t xml:space="preserve"> du RR</w:t>
      </w:r>
      <w:r w:rsidR="005738EB">
        <w:t>,</w:t>
      </w:r>
      <w:r w:rsidR="00480DA4" w:rsidRPr="000531B2">
        <w:t xml:space="preserve"> avec les caractéristiques techniques indiquées dans les paragraphes a) et b) de l'Annexe A du Document 552, ainsi que des assignations des liaisons de connexion correspondantes, </w:t>
      </w:r>
      <w:r w:rsidRPr="000531B2">
        <w:t xml:space="preserve">il est proposé à la CMR-19 d'appliquer </w:t>
      </w:r>
      <w:r w:rsidR="00480DA4" w:rsidRPr="000531B2">
        <w:t xml:space="preserve">les dispositions du paragraphe 4.1.27 de l'Article 4 de l'Appendice </w:t>
      </w:r>
      <w:r w:rsidR="00480DA4" w:rsidRPr="000531B2">
        <w:rPr>
          <w:b/>
          <w:bCs/>
        </w:rPr>
        <w:t>30</w:t>
      </w:r>
      <w:r w:rsidR="00480DA4" w:rsidRPr="000531B2">
        <w:t xml:space="preserve">, </w:t>
      </w:r>
      <w:r w:rsidRPr="000531B2">
        <w:t xml:space="preserve">ainsi </w:t>
      </w:r>
      <w:r w:rsidR="00480DA4" w:rsidRPr="000531B2">
        <w:t xml:space="preserve">que les dispositions correspondantes </w:t>
      </w:r>
      <w:r w:rsidR="005738EB">
        <w:t>d</w:t>
      </w:r>
      <w:r w:rsidR="00480DA4" w:rsidRPr="000531B2">
        <w:t xml:space="preserve">u paragraphe 4.1.27 de l'Article 4 de l'Appendice </w:t>
      </w:r>
      <w:r w:rsidR="00480DA4" w:rsidRPr="000531B2">
        <w:rPr>
          <w:b/>
          <w:bCs/>
        </w:rPr>
        <w:t>30A</w:t>
      </w:r>
      <w:r w:rsidR="00480DA4" w:rsidRPr="000531B2">
        <w:t xml:space="preserve">, afin de transférer </w:t>
      </w:r>
      <w:r w:rsidR="00C42BA6">
        <w:t>– depuis les</w:t>
      </w:r>
      <w:r w:rsidR="005738EB">
        <w:t xml:space="preserve"> Listes pour le SRS et les liaisons de connexion vers les Plans pour le</w:t>
      </w:r>
      <w:r w:rsidR="00023963">
        <w:t> </w:t>
      </w:r>
      <w:r w:rsidR="005738EB">
        <w:t xml:space="preserve">SRS et les liaisons de connexion </w:t>
      </w:r>
      <w:r w:rsidR="00C42BA6">
        <w:t xml:space="preserve">– </w:t>
      </w:r>
      <w:r w:rsidRPr="000531B2">
        <w:t>10</w:t>
      </w:r>
      <w:r w:rsidR="00480DA4" w:rsidRPr="000531B2">
        <w:t xml:space="preserve"> assignations </w:t>
      </w:r>
      <w:r w:rsidRPr="000531B2">
        <w:t xml:space="preserve">du SRS </w:t>
      </w:r>
      <w:r w:rsidR="00480DA4" w:rsidRPr="000531B2">
        <w:t>(</w:t>
      </w:r>
      <w:r w:rsidR="005738EB">
        <w:t>canaux</w:t>
      </w:r>
      <w:r w:rsidR="00480DA4" w:rsidRPr="000531B2">
        <w:t xml:space="preserve"> 1, 2, 3, 4, 5, 6, 7, 8, 17 et 18) et les assignations des liaisons de connexion correspondantes (</w:t>
      </w:r>
      <w:r w:rsidR="005738EB">
        <w:t>canaux</w:t>
      </w:r>
      <w:r w:rsidR="00480DA4" w:rsidRPr="000531B2">
        <w:t xml:space="preserve"> 1, 2, 3, 4, 5, 6, 7, 8, 17 et 18)</w:t>
      </w:r>
      <w:r w:rsidR="005738EB">
        <w:t xml:space="preserve">, en tant qu'assignations </w:t>
      </w:r>
      <w:r w:rsidR="00C42BA6">
        <w:t>de</w:t>
      </w:r>
      <w:r w:rsidR="005738EB">
        <w:t xml:space="preserve"> la Bulgarie </w:t>
      </w:r>
      <w:r w:rsidR="00C42BA6">
        <w:t xml:space="preserve">dans les Plans </w:t>
      </w:r>
      <w:r w:rsidR="005738EB">
        <w:t>à 1,9° E,</w:t>
      </w:r>
      <w:r w:rsidR="00C42BA6">
        <w:t xml:space="preserve"> en lieu et place de</w:t>
      </w:r>
      <w:r w:rsidR="005738EB">
        <w:t xml:space="preserve"> celles à 1,2° W.</w:t>
      </w:r>
    </w:p>
    <w:p w14:paraId="39EAEA92" w14:textId="77777777" w:rsidR="007D2B05" w:rsidRDefault="007D2B05" w:rsidP="00411C49">
      <w:pPr>
        <w:pStyle w:val="Reasons"/>
      </w:pPr>
    </w:p>
    <w:p w14:paraId="0435B6AA" w14:textId="77777777" w:rsidR="007D2B05" w:rsidRDefault="007D2B05">
      <w:pPr>
        <w:jc w:val="center"/>
      </w:pPr>
      <w:r>
        <w:t>______________</w:t>
      </w:r>
    </w:p>
    <w:sectPr w:rsidR="007D2B05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815F2D" w14:textId="77777777" w:rsidR="0070076C" w:rsidRDefault="0070076C">
      <w:r>
        <w:separator/>
      </w:r>
    </w:p>
  </w:endnote>
  <w:endnote w:type="continuationSeparator" w:id="0">
    <w:p w14:paraId="1708E2AA" w14:textId="77777777" w:rsidR="0070076C" w:rsidRDefault="00700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oboto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234AE6" w14:textId="58A12A19"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07359A">
      <w:rPr>
        <w:noProof/>
        <w:lang w:val="en-US"/>
      </w:rPr>
      <w:t>P:\FRA\ITU-R\CONF-R\CMR19\000\043ADD02F.docx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7359A">
      <w:rPr>
        <w:noProof/>
      </w:rPr>
      <w:t>16.10.19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7359A">
      <w:rPr>
        <w:noProof/>
      </w:rPr>
      <w:t>16.10.19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BFF7CC" w14:textId="4FB51D02" w:rsidR="00936D25" w:rsidRDefault="007E2DAB" w:rsidP="00923A3F">
    <w:pPr>
      <w:pStyle w:val="Footer"/>
      <w:rPr>
        <w:lang w:val="en-US"/>
      </w:rPr>
    </w:pPr>
    <w:r>
      <w:fldChar w:fldCharType="begin"/>
    </w:r>
    <w:r w:rsidRPr="009F1376">
      <w:rPr>
        <w:lang w:val="en-GB"/>
      </w:rPr>
      <w:instrText xml:space="preserve"> FILENAME \p  \* MERGEFORMAT </w:instrText>
    </w:r>
    <w:r>
      <w:fldChar w:fldCharType="separate"/>
    </w:r>
    <w:r w:rsidR="0007359A">
      <w:rPr>
        <w:lang w:val="en-GB"/>
      </w:rPr>
      <w:t>P:\FRA\ITU-R\CONF-R\CMR19\000\043ADD02F.docx</w:t>
    </w:r>
    <w:r>
      <w:fldChar w:fldCharType="end"/>
    </w:r>
    <w:r w:rsidR="00923A3F" w:rsidRPr="009F1376">
      <w:rPr>
        <w:lang w:val="en-GB"/>
      </w:rPr>
      <w:t xml:space="preserve"> (461845)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7F4C56" w14:textId="5318891A" w:rsidR="00936D25" w:rsidRDefault="007E2DAB" w:rsidP="00923A3F">
    <w:pPr>
      <w:pStyle w:val="Footer"/>
      <w:rPr>
        <w:lang w:val="en-US"/>
      </w:rPr>
    </w:pPr>
    <w:r>
      <w:fldChar w:fldCharType="begin"/>
    </w:r>
    <w:r w:rsidRPr="009F1376">
      <w:rPr>
        <w:lang w:val="en-GB"/>
      </w:rPr>
      <w:instrText xml:space="preserve"> FILENAME \p  \* MERGEFORMAT </w:instrText>
    </w:r>
    <w:r>
      <w:fldChar w:fldCharType="separate"/>
    </w:r>
    <w:r w:rsidR="0007359A">
      <w:rPr>
        <w:lang w:val="en-GB"/>
      </w:rPr>
      <w:t>P:\FRA\ITU-R\CONF-R\CMR19\000\043ADD02F.docx</w:t>
    </w:r>
    <w:r>
      <w:fldChar w:fldCharType="end"/>
    </w:r>
    <w:r w:rsidR="00923A3F" w:rsidRPr="009F1376">
      <w:rPr>
        <w:lang w:val="en-GB"/>
      </w:rPr>
      <w:t xml:space="preserve"> (461845)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E19FE4" w14:textId="77777777" w:rsidR="0070076C" w:rsidRDefault="0070076C">
      <w:r>
        <w:rPr>
          <w:b/>
        </w:rPr>
        <w:t>_______________</w:t>
      </w:r>
    </w:p>
  </w:footnote>
  <w:footnote w:type="continuationSeparator" w:id="0">
    <w:p w14:paraId="2BE04DDE" w14:textId="77777777" w:rsidR="0070076C" w:rsidRDefault="0070076C">
      <w:r>
        <w:continuationSeparator/>
      </w:r>
    </w:p>
  </w:footnote>
  <w:footnote w:id="1">
    <w:p w14:paraId="75DF012D" w14:textId="6E0E7978" w:rsidR="00FF0819" w:rsidRPr="006D4676" w:rsidRDefault="00FF0819" w:rsidP="00B60E82">
      <w:pPr>
        <w:pStyle w:val="FootnoteText"/>
      </w:pPr>
      <w:r w:rsidRPr="006D4676">
        <w:rPr>
          <w:rStyle w:val="FootnoteReference"/>
        </w:rPr>
        <w:footnoteRef/>
      </w:r>
      <w:bookmarkStart w:id="15" w:name="lt_pId036"/>
      <w:r w:rsidR="00023963">
        <w:tab/>
      </w:r>
      <w:r w:rsidRPr="00023963">
        <w:rPr>
          <w:szCs w:val="24"/>
        </w:rPr>
        <w:t>Section spéciale AP30/E/599 (Partie A) annexée à la BR IFIC 2725 du 7 août 2012</w:t>
      </w:r>
      <w:bookmarkEnd w:id="15"/>
      <w:r w:rsidR="00023963">
        <w:rPr>
          <w:szCs w:val="24"/>
        </w:rPr>
        <w:t>.</w:t>
      </w:r>
    </w:p>
  </w:footnote>
  <w:footnote w:id="2">
    <w:p w14:paraId="073D0A65" w14:textId="3C56D7B2" w:rsidR="00FF0819" w:rsidRPr="006D4676" w:rsidRDefault="00FF0819" w:rsidP="00B60E82">
      <w:pPr>
        <w:pStyle w:val="FootnoteText"/>
      </w:pPr>
      <w:r w:rsidRPr="006D4676">
        <w:rPr>
          <w:rStyle w:val="FootnoteReference"/>
        </w:rPr>
        <w:footnoteRef/>
      </w:r>
      <w:bookmarkStart w:id="16" w:name="lt_pId037"/>
      <w:r w:rsidR="00023963">
        <w:tab/>
      </w:r>
      <w:r w:rsidRPr="00023963">
        <w:rPr>
          <w:szCs w:val="24"/>
        </w:rPr>
        <w:t>Section spéciale AP30/E/599 (Partie B) annexée à la BR IFIC 2818 du 26 avril 2018</w:t>
      </w:r>
      <w:bookmarkEnd w:id="16"/>
      <w:r w:rsidR="00023963">
        <w:rPr>
          <w:szCs w:val="24"/>
        </w:rPr>
        <w:t>.</w:t>
      </w:r>
    </w:p>
  </w:footnote>
  <w:footnote w:id="3">
    <w:p w14:paraId="4BC47FA9" w14:textId="0BA6B320" w:rsidR="00FF0819" w:rsidRPr="00023963" w:rsidRDefault="00FF0819" w:rsidP="00B60E82">
      <w:pPr>
        <w:pStyle w:val="FootnoteText"/>
        <w:rPr>
          <w:szCs w:val="24"/>
        </w:rPr>
      </w:pPr>
      <w:r w:rsidRPr="006D4676">
        <w:rPr>
          <w:rStyle w:val="FootnoteReference"/>
        </w:rPr>
        <w:footnoteRef/>
      </w:r>
      <w:bookmarkStart w:id="18" w:name="lt_pId038"/>
      <w:r w:rsidR="00023963">
        <w:tab/>
      </w:r>
      <w:r w:rsidRPr="00023963">
        <w:rPr>
          <w:szCs w:val="24"/>
        </w:rPr>
        <w:t xml:space="preserve">Section spéciale AP30A/E/542 (Partie A) annexée à la BR IFIC 2690 du 22 mars 2011 et </w:t>
      </w:r>
      <w:r w:rsidR="00B95EE4" w:rsidRPr="00023963">
        <w:rPr>
          <w:szCs w:val="24"/>
        </w:rPr>
        <w:t>S</w:t>
      </w:r>
      <w:r w:rsidRPr="00023963">
        <w:rPr>
          <w:szCs w:val="24"/>
        </w:rPr>
        <w:t xml:space="preserve">ection spéciale AP30A/E/542 (Partie B) annexée à la BR IFIC </w:t>
      </w:r>
      <w:r w:rsidR="000531B2" w:rsidRPr="00023963">
        <w:rPr>
          <w:szCs w:val="24"/>
        </w:rPr>
        <w:t>2780</w:t>
      </w:r>
      <w:r w:rsidRPr="00023963">
        <w:rPr>
          <w:szCs w:val="24"/>
        </w:rPr>
        <w:t xml:space="preserve"> du 14 octobre 2014</w:t>
      </w:r>
      <w:bookmarkEnd w:id="18"/>
      <w:r w:rsidR="00023963">
        <w:rPr>
          <w:szCs w:val="24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B9E953" w14:textId="77777777"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7B2C34">
      <w:rPr>
        <w:noProof/>
      </w:rPr>
      <w:t>2</w:t>
    </w:r>
    <w:r>
      <w:fldChar w:fldCharType="end"/>
    </w:r>
  </w:p>
  <w:p w14:paraId="1C38F570" w14:textId="77777777" w:rsidR="004F1F8E" w:rsidRDefault="004F1F8E" w:rsidP="00FD7AA3">
    <w:pPr>
      <w:pStyle w:val="Header"/>
    </w:pPr>
    <w:r>
      <w:t>CMR1</w:t>
    </w:r>
    <w:r w:rsidR="00FD7AA3">
      <w:t>9</w:t>
    </w:r>
    <w:r>
      <w:t>/</w:t>
    </w:r>
    <w:r w:rsidR="006A4B45">
      <w:t>43(Add.2)-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D82"/>
    <w:rsid w:val="00007EC7"/>
    <w:rsid w:val="00010B43"/>
    <w:rsid w:val="00016648"/>
    <w:rsid w:val="00023963"/>
    <w:rsid w:val="0003522F"/>
    <w:rsid w:val="000531B2"/>
    <w:rsid w:val="00060C69"/>
    <w:rsid w:val="00063A1F"/>
    <w:rsid w:val="0007359A"/>
    <w:rsid w:val="00080E2C"/>
    <w:rsid w:val="00081366"/>
    <w:rsid w:val="000863B3"/>
    <w:rsid w:val="000A4755"/>
    <w:rsid w:val="000A55AE"/>
    <w:rsid w:val="000B2E0C"/>
    <w:rsid w:val="000B3D0C"/>
    <w:rsid w:val="001167B9"/>
    <w:rsid w:val="001267A0"/>
    <w:rsid w:val="0015203F"/>
    <w:rsid w:val="00160C64"/>
    <w:rsid w:val="0018169B"/>
    <w:rsid w:val="0019352B"/>
    <w:rsid w:val="001960D0"/>
    <w:rsid w:val="001A11F6"/>
    <w:rsid w:val="001F17E8"/>
    <w:rsid w:val="00204306"/>
    <w:rsid w:val="00232FD2"/>
    <w:rsid w:val="0026554E"/>
    <w:rsid w:val="002A4622"/>
    <w:rsid w:val="002A6F8F"/>
    <w:rsid w:val="002B17E5"/>
    <w:rsid w:val="002C0EBF"/>
    <w:rsid w:val="002C28A4"/>
    <w:rsid w:val="002D7E0A"/>
    <w:rsid w:val="00315AFE"/>
    <w:rsid w:val="003606A6"/>
    <w:rsid w:val="0036650C"/>
    <w:rsid w:val="00393ACD"/>
    <w:rsid w:val="003A583E"/>
    <w:rsid w:val="003E112B"/>
    <w:rsid w:val="003E1D1C"/>
    <w:rsid w:val="003E7B05"/>
    <w:rsid w:val="003F3719"/>
    <w:rsid w:val="003F6F2D"/>
    <w:rsid w:val="00461F12"/>
    <w:rsid w:val="00466211"/>
    <w:rsid w:val="00480DA4"/>
    <w:rsid w:val="00483196"/>
    <w:rsid w:val="004834A9"/>
    <w:rsid w:val="004A7893"/>
    <w:rsid w:val="004D01FC"/>
    <w:rsid w:val="004E28C3"/>
    <w:rsid w:val="004E3E38"/>
    <w:rsid w:val="004F1F8E"/>
    <w:rsid w:val="00500A89"/>
    <w:rsid w:val="00512A32"/>
    <w:rsid w:val="005343DA"/>
    <w:rsid w:val="00560874"/>
    <w:rsid w:val="005738EB"/>
    <w:rsid w:val="00586CF2"/>
    <w:rsid w:val="005A7C75"/>
    <w:rsid w:val="005C3768"/>
    <w:rsid w:val="005C6C3F"/>
    <w:rsid w:val="00605351"/>
    <w:rsid w:val="00613635"/>
    <w:rsid w:val="0062093D"/>
    <w:rsid w:val="00637ECF"/>
    <w:rsid w:val="00647B59"/>
    <w:rsid w:val="00690C7B"/>
    <w:rsid w:val="006A4B45"/>
    <w:rsid w:val="006D4676"/>
    <w:rsid w:val="006D4724"/>
    <w:rsid w:val="006F5FA2"/>
    <w:rsid w:val="0070076C"/>
    <w:rsid w:val="00701BAE"/>
    <w:rsid w:val="00721F04"/>
    <w:rsid w:val="00730E95"/>
    <w:rsid w:val="007426B9"/>
    <w:rsid w:val="00764342"/>
    <w:rsid w:val="00774362"/>
    <w:rsid w:val="007751E0"/>
    <w:rsid w:val="00786598"/>
    <w:rsid w:val="00790C74"/>
    <w:rsid w:val="007A04E8"/>
    <w:rsid w:val="007B2C34"/>
    <w:rsid w:val="007D2B05"/>
    <w:rsid w:val="007E2DAB"/>
    <w:rsid w:val="00830086"/>
    <w:rsid w:val="00834054"/>
    <w:rsid w:val="00851625"/>
    <w:rsid w:val="00863C0A"/>
    <w:rsid w:val="008A3120"/>
    <w:rsid w:val="008A4B97"/>
    <w:rsid w:val="008C5B8E"/>
    <w:rsid w:val="008C5DD5"/>
    <w:rsid w:val="008D41BE"/>
    <w:rsid w:val="008D58D3"/>
    <w:rsid w:val="008E3BC9"/>
    <w:rsid w:val="00900400"/>
    <w:rsid w:val="00923064"/>
    <w:rsid w:val="00923A3F"/>
    <w:rsid w:val="00930FFD"/>
    <w:rsid w:val="00936D25"/>
    <w:rsid w:val="00941EA5"/>
    <w:rsid w:val="009467E9"/>
    <w:rsid w:val="00955FCA"/>
    <w:rsid w:val="00964700"/>
    <w:rsid w:val="00966C16"/>
    <w:rsid w:val="0097143E"/>
    <w:rsid w:val="00974D42"/>
    <w:rsid w:val="0098732F"/>
    <w:rsid w:val="009A045F"/>
    <w:rsid w:val="009A6A2B"/>
    <w:rsid w:val="009C7E7C"/>
    <w:rsid w:val="009F1376"/>
    <w:rsid w:val="00A00473"/>
    <w:rsid w:val="00A03C9B"/>
    <w:rsid w:val="00A37105"/>
    <w:rsid w:val="00A606C3"/>
    <w:rsid w:val="00A83B09"/>
    <w:rsid w:val="00A84541"/>
    <w:rsid w:val="00A91854"/>
    <w:rsid w:val="00AE36A0"/>
    <w:rsid w:val="00B00294"/>
    <w:rsid w:val="00B14E36"/>
    <w:rsid w:val="00B3749C"/>
    <w:rsid w:val="00B60E82"/>
    <w:rsid w:val="00B64FD0"/>
    <w:rsid w:val="00B95EE4"/>
    <w:rsid w:val="00BA5BD0"/>
    <w:rsid w:val="00BB1D82"/>
    <w:rsid w:val="00BD51C5"/>
    <w:rsid w:val="00BF26E7"/>
    <w:rsid w:val="00C42BA6"/>
    <w:rsid w:val="00C53FCA"/>
    <w:rsid w:val="00C76BAF"/>
    <w:rsid w:val="00C814B9"/>
    <w:rsid w:val="00CD516F"/>
    <w:rsid w:val="00D119A7"/>
    <w:rsid w:val="00D25FBA"/>
    <w:rsid w:val="00D32B28"/>
    <w:rsid w:val="00D42954"/>
    <w:rsid w:val="00D63B61"/>
    <w:rsid w:val="00D66EAC"/>
    <w:rsid w:val="00D730DF"/>
    <w:rsid w:val="00D772F0"/>
    <w:rsid w:val="00D77BDC"/>
    <w:rsid w:val="00DC402B"/>
    <w:rsid w:val="00DE0932"/>
    <w:rsid w:val="00E03A27"/>
    <w:rsid w:val="00E049F1"/>
    <w:rsid w:val="00E37A25"/>
    <w:rsid w:val="00E41A77"/>
    <w:rsid w:val="00E537FF"/>
    <w:rsid w:val="00E6539B"/>
    <w:rsid w:val="00E70A31"/>
    <w:rsid w:val="00E723A7"/>
    <w:rsid w:val="00EA3F38"/>
    <w:rsid w:val="00EA5AB6"/>
    <w:rsid w:val="00EB3078"/>
    <w:rsid w:val="00EC7615"/>
    <w:rsid w:val="00ED16AA"/>
    <w:rsid w:val="00ED6B8D"/>
    <w:rsid w:val="00EE3D7B"/>
    <w:rsid w:val="00EE5F7A"/>
    <w:rsid w:val="00EF662E"/>
    <w:rsid w:val="00F01619"/>
    <w:rsid w:val="00F10064"/>
    <w:rsid w:val="00F148F1"/>
    <w:rsid w:val="00F711A7"/>
    <w:rsid w:val="00FA3BBF"/>
    <w:rsid w:val="00FA7383"/>
    <w:rsid w:val="00FC41F8"/>
    <w:rsid w:val="00FD7AA3"/>
    <w:rsid w:val="00FF0819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  <w14:docId w14:val="1EE8518C"/>
  <w15:docId w15:val="{E64EFC77-0A4D-4241-A40B-28A73453A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uiPriority w:val="99"/>
    <w:rPr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uiPriority w:val="99"/>
    <w:qFormat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56087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8C5DD5"/>
    <w:rPr>
      <w:b/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paragraph" w:customStyle="1" w:styleId="Headingsplit">
    <w:name w:val="Heading_split"/>
    <w:basedOn w:val="Headingi"/>
    <w:qFormat/>
    <w:rsid w:val="00ED6B8D"/>
  </w:style>
  <w:style w:type="paragraph" w:customStyle="1" w:styleId="Normalsplit">
    <w:name w:val="Normal_split"/>
    <w:basedOn w:val="Normal"/>
    <w:next w:val="Normal"/>
    <w:qFormat/>
    <w:rsid w:val="00ED6B8D"/>
  </w:style>
  <w:style w:type="character" w:customStyle="1" w:styleId="Provsplit">
    <w:name w:val="Prov_split"/>
    <w:basedOn w:val="DefaultParagraphFont"/>
    <w:uiPriority w:val="1"/>
    <w:qFormat/>
    <w:rsid w:val="00ED6B8D"/>
  </w:style>
  <w:style w:type="paragraph" w:customStyle="1" w:styleId="Tablesplit">
    <w:name w:val="Table_split"/>
    <w:basedOn w:val="Normal"/>
    <w:qFormat/>
    <w:rsid w:val="00ED6B8D"/>
    <w:pPr>
      <w:tabs>
        <w:tab w:val="clear" w:pos="1134"/>
        <w:tab w:val="clear" w:pos="1871"/>
        <w:tab w:val="clear" w:pos="2268"/>
        <w:tab w:val="left" w:pos="7825"/>
      </w:tabs>
      <w:spacing w:before="40" w:after="40"/>
    </w:pPr>
    <w:rPr>
      <w:b/>
      <w:sz w:val="20"/>
      <w:lang w:val="en-GB"/>
    </w:rPr>
  </w:style>
  <w:style w:type="paragraph" w:customStyle="1" w:styleId="MethodHeadingb">
    <w:name w:val="Method_Headingb"/>
    <w:basedOn w:val="Headingb"/>
    <w:qFormat/>
    <w:rsid w:val="009A6A2B"/>
  </w:style>
  <w:style w:type="paragraph" w:customStyle="1" w:styleId="Methodheading1">
    <w:name w:val="Method_heading1"/>
    <w:basedOn w:val="Heading1"/>
    <w:next w:val="Normal"/>
    <w:qFormat/>
    <w:rsid w:val="005A7C75"/>
  </w:style>
  <w:style w:type="paragraph" w:customStyle="1" w:styleId="Methodheading2">
    <w:name w:val="Method_heading2"/>
    <w:basedOn w:val="Heading2"/>
    <w:next w:val="Normal"/>
    <w:qFormat/>
    <w:rsid w:val="005A7C75"/>
  </w:style>
  <w:style w:type="paragraph" w:customStyle="1" w:styleId="Methodheading3">
    <w:name w:val="Method_heading3"/>
    <w:basedOn w:val="Heading3"/>
    <w:next w:val="Normal"/>
    <w:qFormat/>
    <w:rsid w:val="005A7C75"/>
  </w:style>
  <w:style w:type="paragraph" w:customStyle="1" w:styleId="Methodheading4">
    <w:name w:val="Method_heading4"/>
    <w:basedOn w:val="Heading4"/>
    <w:next w:val="Normal"/>
    <w:qFormat/>
    <w:rsid w:val="005A7C75"/>
  </w:style>
  <w:style w:type="character" w:customStyle="1" w:styleId="FootnoteTextChar">
    <w:name w:val="Footnote Text Char"/>
    <w:basedOn w:val="DefaultParagraphFont"/>
    <w:link w:val="FootnoteText"/>
    <w:uiPriority w:val="99"/>
    <w:rsid w:val="00605351"/>
    <w:rPr>
      <w:rFonts w:ascii="Times New Roman" w:hAnsi="Times New Roman"/>
      <w:sz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R16-WRC19-C-0043!A2!MSW-F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Props1.xml><?xml version="1.0" encoding="utf-8"?>
<ds:datastoreItem xmlns:ds="http://schemas.openxmlformats.org/officeDocument/2006/customXml" ds:itemID="{06B15F63-C17A-4B3A-8BA8-7EA960B4DE6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F3B3D37-AB71-4920-BDFB-63B7245E2D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80AF4B-2927-4EF9-B5CD-B4B7E01DD7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BFF73B0-9657-43CC-A542-AB31DFF2D47D}">
  <ds:schemaRefs>
    <ds:schemaRef ds:uri="http://purl.org/dc/dcmitype/"/>
    <ds:schemaRef ds:uri="996b2e75-67fd-4955-a3b0-5ab9934cb50b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elements/1.1/"/>
    <ds:schemaRef ds:uri="32a1a8c5-2265-4ebc-b7a0-2071e2c5c9bb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1121</Words>
  <Characters>5567</Characters>
  <Application>Microsoft Office Word</Application>
  <DocSecurity>0</DocSecurity>
  <Lines>96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R16-WRC19-C-0043!A2!MSW-F</vt:lpstr>
    </vt:vector>
  </TitlesOfParts>
  <Manager>Secrétariat général - Pool</Manager>
  <Company>Union internationale des télécommunications (UIT)</Company>
  <LinksUpToDate>false</LinksUpToDate>
  <CharactersWithSpaces>6667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R16-WRC19-C-0043!A2!MSW-F</dc:title>
  <dc:subject>Conférence mondiale des radiocommunications - 2019</dc:subject>
  <dc:creator>Documents Proposals Manager (DPM)</dc:creator>
  <cp:keywords>DPM_v2019.10.8.1_prod</cp:keywords>
  <dc:description/>
  <cp:lastModifiedBy>Royer, Veronique</cp:lastModifiedBy>
  <cp:revision>21</cp:revision>
  <cp:lastPrinted>2019-10-16T05:53:00Z</cp:lastPrinted>
  <dcterms:created xsi:type="dcterms:W3CDTF">2019-10-14T06:10:00Z</dcterms:created>
  <dcterms:modified xsi:type="dcterms:W3CDTF">2019-10-16T05:54:00Z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