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63B8446" w14:textId="77777777">
        <w:trPr>
          <w:cantSplit/>
        </w:trPr>
        <w:tc>
          <w:tcPr>
            <w:tcW w:w="6911" w:type="dxa"/>
          </w:tcPr>
          <w:p w14:paraId="2A5F229F"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EBFFC37" w14:textId="77777777" w:rsidR="00A066F1" w:rsidRDefault="005F04D8" w:rsidP="003B2284">
            <w:pPr>
              <w:spacing w:before="0" w:line="240" w:lineRule="atLeast"/>
              <w:jc w:val="right"/>
            </w:pPr>
            <w:r>
              <w:rPr>
                <w:noProof/>
                <w:lang w:eastAsia="en-GB"/>
              </w:rPr>
              <w:drawing>
                <wp:inline distT="0" distB="0" distL="0" distR="0" wp14:anchorId="29FCB014" wp14:editId="5DFBB26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EE99956" w14:textId="77777777">
        <w:trPr>
          <w:cantSplit/>
        </w:trPr>
        <w:tc>
          <w:tcPr>
            <w:tcW w:w="6911" w:type="dxa"/>
            <w:tcBorders>
              <w:bottom w:val="single" w:sz="12" w:space="0" w:color="auto"/>
            </w:tcBorders>
          </w:tcPr>
          <w:p w14:paraId="744E576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C7C12C9" w14:textId="77777777" w:rsidR="00A066F1" w:rsidRPr="00617BE4" w:rsidRDefault="00A066F1" w:rsidP="00A066F1">
            <w:pPr>
              <w:spacing w:before="0" w:line="240" w:lineRule="atLeast"/>
              <w:rPr>
                <w:rFonts w:ascii="Verdana" w:hAnsi="Verdana"/>
                <w:szCs w:val="24"/>
              </w:rPr>
            </w:pPr>
          </w:p>
        </w:tc>
      </w:tr>
      <w:tr w:rsidR="00A066F1" w:rsidRPr="00C324A8" w14:paraId="7601109D" w14:textId="77777777">
        <w:trPr>
          <w:cantSplit/>
        </w:trPr>
        <w:tc>
          <w:tcPr>
            <w:tcW w:w="6911" w:type="dxa"/>
            <w:tcBorders>
              <w:top w:val="single" w:sz="12" w:space="0" w:color="auto"/>
            </w:tcBorders>
          </w:tcPr>
          <w:p w14:paraId="22AC5CD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973AEAD" w14:textId="77777777" w:rsidR="00A066F1" w:rsidRPr="00C324A8" w:rsidRDefault="00A066F1" w:rsidP="00A066F1">
            <w:pPr>
              <w:spacing w:before="0" w:line="240" w:lineRule="atLeast"/>
              <w:rPr>
                <w:rFonts w:ascii="Verdana" w:hAnsi="Verdana"/>
                <w:sz w:val="20"/>
              </w:rPr>
            </w:pPr>
          </w:p>
        </w:tc>
      </w:tr>
      <w:tr w:rsidR="00A066F1" w:rsidRPr="00C324A8" w14:paraId="5BF700F9" w14:textId="77777777">
        <w:trPr>
          <w:cantSplit/>
          <w:trHeight w:val="23"/>
        </w:trPr>
        <w:tc>
          <w:tcPr>
            <w:tcW w:w="6911" w:type="dxa"/>
            <w:shd w:val="clear" w:color="auto" w:fill="auto"/>
          </w:tcPr>
          <w:p w14:paraId="21E75B3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3A2E9F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12 to</w:t>
            </w:r>
            <w:r>
              <w:rPr>
                <w:rFonts w:ascii="Verdana" w:hAnsi="Verdana"/>
                <w:b/>
                <w:sz w:val="20"/>
              </w:rPr>
              <w:br/>
              <w:t>Document 47</w:t>
            </w:r>
            <w:r w:rsidR="00A066F1" w:rsidRPr="00841216">
              <w:rPr>
                <w:rFonts w:ascii="Verdana" w:hAnsi="Verdana"/>
                <w:b/>
                <w:sz w:val="20"/>
              </w:rPr>
              <w:t>-</w:t>
            </w:r>
            <w:r w:rsidR="005E10C9" w:rsidRPr="00841216">
              <w:rPr>
                <w:rFonts w:ascii="Verdana" w:hAnsi="Verdana"/>
                <w:b/>
                <w:sz w:val="20"/>
              </w:rPr>
              <w:t>E</w:t>
            </w:r>
          </w:p>
        </w:tc>
      </w:tr>
      <w:tr w:rsidR="00A066F1" w:rsidRPr="00C324A8" w14:paraId="6A3A5E84" w14:textId="77777777">
        <w:trPr>
          <w:cantSplit/>
          <w:trHeight w:val="23"/>
        </w:trPr>
        <w:tc>
          <w:tcPr>
            <w:tcW w:w="6911" w:type="dxa"/>
            <w:shd w:val="clear" w:color="auto" w:fill="auto"/>
          </w:tcPr>
          <w:p w14:paraId="2DED328A"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FB8A90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22DB16F7" w14:textId="77777777">
        <w:trPr>
          <w:cantSplit/>
          <w:trHeight w:val="23"/>
        </w:trPr>
        <w:tc>
          <w:tcPr>
            <w:tcW w:w="6911" w:type="dxa"/>
            <w:shd w:val="clear" w:color="auto" w:fill="auto"/>
          </w:tcPr>
          <w:p w14:paraId="5C48E576"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397D53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7D21E6B" w14:textId="77777777" w:rsidTr="00025864">
        <w:trPr>
          <w:cantSplit/>
          <w:trHeight w:val="23"/>
        </w:trPr>
        <w:tc>
          <w:tcPr>
            <w:tcW w:w="10031" w:type="dxa"/>
            <w:gridSpan w:val="2"/>
            <w:shd w:val="clear" w:color="auto" w:fill="auto"/>
          </w:tcPr>
          <w:p w14:paraId="4A0CCAEF" w14:textId="77777777" w:rsidR="00A066F1" w:rsidRPr="00C324A8" w:rsidRDefault="00A066F1" w:rsidP="00A066F1">
            <w:pPr>
              <w:tabs>
                <w:tab w:val="left" w:pos="993"/>
              </w:tabs>
              <w:spacing w:before="0"/>
              <w:rPr>
                <w:rFonts w:ascii="Verdana" w:hAnsi="Verdana"/>
                <w:b/>
                <w:sz w:val="20"/>
              </w:rPr>
            </w:pPr>
          </w:p>
        </w:tc>
      </w:tr>
      <w:tr w:rsidR="00E55816" w:rsidRPr="00C324A8" w14:paraId="49200870" w14:textId="77777777" w:rsidTr="00025864">
        <w:trPr>
          <w:cantSplit/>
          <w:trHeight w:val="23"/>
        </w:trPr>
        <w:tc>
          <w:tcPr>
            <w:tcW w:w="10031" w:type="dxa"/>
            <w:gridSpan w:val="2"/>
            <w:shd w:val="clear" w:color="auto" w:fill="auto"/>
          </w:tcPr>
          <w:p w14:paraId="02E5E8C9" w14:textId="77777777" w:rsidR="00E55816" w:rsidRDefault="00884D60" w:rsidP="00E55816">
            <w:pPr>
              <w:pStyle w:val="Source"/>
            </w:pPr>
            <w:r>
              <w:t>Australia</w:t>
            </w:r>
          </w:p>
        </w:tc>
      </w:tr>
      <w:tr w:rsidR="00E55816" w:rsidRPr="00C324A8" w14:paraId="631084F1" w14:textId="77777777" w:rsidTr="00025864">
        <w:trPr>
          <w:cantSplit/>
          <w:trHeight w:val="23"/>
        </w:trPr>
        <w:tc>
          <w:tcPr>
            <w:tcW w:w="10031" w:type="dxa"/>
            <w:gridSpan w:val="2"/>
            <w:shd w:val="clear" w:color="auto" w:fill="auto"/>
          </w:tcPr>
          <w:p w14:paraId="6CF08AFA" w14:textId="77777777" w:rsidR="00E55816" w:rsidRDefault="007D5320" w:rsidP="00E55816">
            <w:pPr>
              <w:pStyle w:val="Title1"/>
            </w:pPr>
            <w:r>
              <w:t>proposals for the work of the conference</w:t>
            </w:r>
          </w:p>
        </w:tc>
      </w:tr>
      <w:tr w:rsidR="00E55816" w:rsidRPr="00C324A8" w14:paraId="369C25C2" w14:textId="77777777" w:rsidTr="00025864">
        <w:trPr>
          <w:cantSplit/>
          <w:trHeight w:val="23"/>
        </w:trPr>
        <w:tc>
          <w:tcPr>
            <w:tcW w:w="10031" w:type="dxa"/>
            <w:gridSpan w:val="2"/>
            <w:shd w:val="clear" w:color="auto" w:fill="auto"/>
          </w:tcPr>
          <w:p w14:paraId="0BC8EF97" w14:textId="77777777" w:rsidR="00E55816" w:rsidRDefault="00E55816" w:rsidP="00E55816">
            <w:pPr>
              <w:pStyle w:val="Title2"/>
            </w:pPr>
          </w:p>
        </w:tc>
      </w:tr>
      <w:tr w:rsidR="00A538A6" w:rsidRPr="00C324A8" w14:paraId="751D7FE8" w14:textId="77777777" w:rsidTr="00025864">
        <w:trPr>
          <w:cantSplit/>
          <w:trHeight w:val="23"/>
        </w:trPr>
        <w:tc>
          <w:tcPr>
            <w:tcW w:w="10031" w:type="dxa"/>
            <w:gridSpan w:val="2"/>
            <w:shd w:val="clear" w:color="auto" w:fill="auto"/>
          </w:tcPr>
          <w:p w14:paraId="1F615C45" w14:textId="77777777" w:rsidR="00A538A6" w:rsidRDefault="004B13CB" w:rsidP="004B13CB">
            <w:pPr>
              <w:pStyle w:val="Agendaitem"/>
            </w:pPr>
            <w:r>
              <w:t>Agenda item 1.12</w:t>
            </w:r>
          </w:p>
        </w:tc>
      </w:tr>
    </w:tbl>
    <w:bookmarkEnd w:id="5"/>
    <w:bookmarkEnd w:id="6"/>
    <w:p w14:paraId="07C0D402" w14:textId="77777777" w:rsidR="005118F7" w:rsidRPr="00EC5386" w:rsidRDefault="00C05550" w:rsidP="00AB5478">
      <w:pPr>
        <w:overflowPunct/>
        <w:autoSpaceDE/>
        <w:autoSpaceDN/>
        <w:adjustRightInd/>
        <w:textAlignment w:val="auto"/>
        <w:rPr>
          <w:lang w:val="en-US"/>
        </w:rPr>
      </w:pPr>
      <w:r w:rsidRPr="00656311">
        <w:rPr>
          <w:lang w:val="en-US"/>
        </w:rPr>
        <w:t>1.12</w:t>
      </w:r>
      <w:r w:rsidRPr="00656311">
        <w:rPr>
          <w:lang w:val="en-US"/>
        </w:rPr>
        <w:tab/>
        <w:t xml:space="preserve">to consider possible global or regional harmonized frequency bands, to the maximum extent possible, for the implementation of evolving Intelligent Transport Systems (ITS) under existing mobile-service allocations, in accordance with Resolution </w:t>
      </w:r>
      <w:r w:rsidRPr="00656311">
        <w:rPr>
          <w:b/>
          <w:bCs/>
          <w:lang w:val="en-US"/>
        </w:rPr>
        <w:t>237 (WRC-15)</w:t>
      </w:r>
      <w:r w:rsidRPr="00656311">
        <w:rPr>
          <w:lang w:val="en-US"/>
        </w:rPr>
        <w:t>;</w:t>
      </w:r>
    </w:p>
    <w:p w14:paraId="0B91F36C" w14:textId="77777777" w:rsidR="00C05550" w:rsidRPr="00C05550" w:rsidRDefault="00C05550" w:rsidP="006474F9">
      <w:pPr>
        <w:pStyle w:val="Heading1"/>
      </w:pPr>
      <w:r w:rsidRPr="00C05550">
        <w:t>1</w:t>
      </w:r>
      <w:r w:rsidRPr="00C05550">
        <w:tab/>
        <w:t>Introduction</w:t>
      </w:r>
    </w:p>
    <w:p w14:paraId="57C8240A" w14:textId="77777777" w:rsidR="00C5224C" w:rsidRDefault="00C05550" w:rsidP="00C5224C">
      <w:r w:rsidRPr="00CE6ABC">
        <w:t xml:space="preserve">Throughout the WRC-19 study cycle, </w:t>
      </w:r>
      <w:r>
        <w:t>ITU-R Working Party 5A (WP 5A) has developed s</w:t>
      </w:r>
      <w:r w:rsidRPr="00CE6ABC">
        <w:t xml:space="preserve">everal ITU-R Reports and Recommendations </w:t>
      </w:r>
      <w:r>
        <w:t>to</w:t>
      </w:r>
      <w:r w:rsidRPr="00CE6ABC">
        <w:t xml:space="preserve"> support of this agenda item, </w:t>
      </w:r>
      <w:r>
        <w:t>including:</w:t>
      </w:r>
    </w:p>
    <w:p w14:paraId="61C39631" w14:textId="1BD3462A" w:rsidR="00C05550" w:rsidRDefault="00C5224C" w:rsidP="00C5224C">
      <w:pPr>
        <w:pStyle w:val="enumlev1"/>
      </w:pPr>
      <w:r>
        <w:t>•</w:t>
      </w:r>
      <w:r>
        <w:tab/>
      </w:r>
      <w:hyperlink r:id="rId13" w:history="1">
        <w:r w:rsidR="00C05550" w:rsidRPr="003529BD">
          <w:rPr>
            <w:rStyle w:val="Hyperlink"/>
          </w:rPr>
          <w:t>Recommendation ITU</w:t>
        </w:r>
        <w:r w:rsidR="00C05550" w:rsidRPr="003529BD">
          <w:rPr>
            <w:rStyle w:val="Hyperlink"/>
          </w:rPr>
          <w:noBreakHyphen/>
          <w:t>R M.2121</w:t>
        </w:r>
      </w:hyperlink>
      <w:r w:rsidR="00C05550">
        <w:t xml:space="preserve"> – </w:t>
      </w:r>
      <w:r w:rsidR="00C05550" w:rsidRPr="00676E23">
        <w:rPr>
          <w:i/>
        </w:rPr>
        <w:t>Harmonization of frequency bands for Intelligent Transport Systems in the mobile service</w:t>
      </w:r>
      <w:r w:rsidR="00C05550">
        <w:t xml:space="preserve"> – to provide </w:t>
      </w:r>
      <w:r w:rsidR="00C05550" w:rsidRPr="00676E23">
        <w:t xml:space="preserve">guidance </w:t>
      </w:r>
      <w:r w:rsidR="00C05550">
        <w:t xml:space="preserve">and encourage administrations to use the harmonised frequency bands contained within its Annex, for </w:t>
      </w:r>
      <w:r w:rsidR="00C05550" w:rsidRPr="00676E23">
        <w:t xml:space="preserve">ITS </w:t>
      </w:r>
      <w:r w:rsidR="00C05550">
        <w:t xml:space="preserve">applications </w:t>
      </w:r>
      <w:r w:rsidR="00C05550" w:rsidRPr="00676E23">
        <w:t>pertaining to the exchange of information to improve traffic managem</w:t>
      </w:r>
      <w:r w:rsidR="00C05550">
        <w:t>ent and to assist safe driving; and</w:t>
      </w:r>
    </w:p>
    <w:p w14:paraId="2765C346" w14:textId="53DF911A" w:rsidR="00C05550" w:rsidRPr="00C5224C" w:rsidRDefault="00C5224C" w:rsidP="00C5224C">
      <w:pPr>
        <w:pStyle w:val="enumlev1"/>
      </w:pPr>
      <w:r>
        <w:t>•</w:t>
      </w:r>
      <w:r>
        <w:tab/>
      </w:r>
      <w:hyperlink r:id="rId14" w:history="1">
        <w:r w:rsidR="00C05550" w:rsidRPr="003529BD">
          <w:rPr>
            <w:rStyle w:val="Hyperlink"/>
          </w:rPr>
          <w:t>Report ITU M.2445</w:t>
        </w:r>
      </w:hyperlink>
      <w:r w:rsidR="00C05550">
        <w:t xml:space="preserve"> – </w:t>
      </w:r>
      <w:r w:rsidR="00C05550" w:rsidRPr="00676E23">
        <w:rPr>
          <w:i/>
        </w:rPr>
        <w:t>Intelligent transport systems (ITS) usage</w:t>
      </w:r>
      <w:r w:rsidR="00C05550">
        <w:rPr>
          <w:i/>
        </w:rPr>
        <w:t xml:space="preserve"> – </w:t>
      </w:r>
      <w:r w:rsidR="00C05550" w:rsidRPr="00B153DE">
        <w:t>identifies current and planned usage of ITS technologies, frequency bands, status of standardi</w:t>
      </w:r>
      <w:r w:rsidR="00C05550">
        <w:t>s</w:t>
      </w:r>
      <w:r w:rsidR="00C05550" w:rsidRPr="00B153DE">
        <w:t>ation, applications and deployments</w:t>
      </w:r>
      <w:r w:rsidR="00C05550">
        <w:t xml:space="preserve">, for </w:t>
      </w:r>
      <w:r w:rsidR="00C05550" w:rsidRPr="00B153DE">
        <w:t>ITS applications such as vehicle-to-infrastructure, vehicle-to-vehicle, vehicle-to-pedestrian communications for traffic safety related and traffic efficiency applications</w:t>
      </w:r>
      <w:r w:rsidR="00C05550">
        <w:t>,</w:t>
      </w:r>
      <w:r w:rsidR="00C05550" w:rsidRPr="00B153DE">
        <w:t xml:space="preserve"> as well as electronic tolling systems and automotive </w:t>
      </w:r>
      <w:r w:rsidR="00C05550">
        <w:t xml:space="preserve">radars for collision avoidance. This Report </w:t>
      </w:r>
      <w:r w:rsidR="00C05550" w:rsidRPr="00CE6ABC">
        <w:t>indicat</w:t>
      </w:r>
      <w:r w:rsidR="00C05550">
        <w:t>es</w:t>
      </w:r>
      <w:r w:rsidR="00C05550" w:rsidRPr="00CE6ABC">
        <w:t xml:space="preserve"> </w:t>
      </w:r>
      <w:r w:rsidR="00C05550">
        <w:t>that the frequency band 5 850-5 </w:t>
      </w:r>
      <w:r w:rsidR="00C05550" w:rsidRPr="00CE6ABC">
        <w:t xml:space="preserve">925 MHz, or parts thereof, has been </w:t>
      </w:r>
      <w:r w:rsidR="00C05550">
        <w:t xml:space="preserve">widely </w:t>
      </w:r>
      <w:r w:rsidR="00C05550" w:rsidRPr="00CE6ABC">
        <w:t xml:space="preserve">designated for the implementation of evolving ITS by </w:t>
      </w:r>
      <w:r w:rsidR="00C05550">
        <w:t xml:space="preserve">many </w:t>
      </w:r>
      <w:r w:rsidR="00C05550" w:rsidRPr="00CE6ABC">
        <w:t xml:space="preserve">administrations </w:t>
      </w:r>
      <w:r w:rsidR="00C05550">
        <w:t>across all three R</w:t>
      </w:r>
      <w:r w:rsidR="00C05550" w:rsidRPr="00CE6ABC">
        <w:t>egions.</w:t>
      </w:r>
      <w:r w:rsidR="00C05550">
        <w:t xml:space="preserve"> </w:t>
      </w:r>
    </w:p>
    <w:p w14:paraId="0601165F" w14:textId="77777777" w:rsidR="00C05550" w:rsidRPr="00DF3B02" w:rsidRDefault="00C05550" w:rsidP="00C05550">
      <w:r w:rsidRPr="00DF3B02">
        <w:t>The C</w:t>
      </w:r>
      <w:r>
        <w:t xml:space="preserve">onference </w:t>
      </w:r>
      <w:r w:rsidRPr="00DF3B02">
        <w:t>P</w:t>
      </w:r>
      <w:r>
        <w:t xml:space="preserve">reparatory </w:t>
      </w:r>
      <w:r w:rsidRPr="00DF3B02">
        <w:t>M</w:t>
      </w:r>
      <w:r>
        <w:t>eeting</w:t>
      </w:r>
      <w:r w:rsidRPr="00DF3B02">
        <w:t xml:space="preserve"> </w:t>
      </w:r>
      <w:r>
        <w:t xml:space="preserve">(CPM) </w:t>
      </w:r>
      <w:r w:rsidRPr="00DF3B02">
        <w:t>Report</w:t>
      </w:r>
      <w:r>
        <w:t xml:space="preserve"> to WRC-19 presents three methods to satisfy this</w:t>
      </w:r>
      <w:r w:rsidRPr="00DF3B02">
        <w:t xml:space="preserve"> agenda Item:</w:t>
      </w:r>
    </w:p>
    <w:p w14:paraId="72C3E7FE" w14:textId="045C3B5A" w:rsidR="00C05550" w:rsidRPr="00C5224C" w:rsidRDefault="00C5224C" w:rsidP="00C5224C">
      <w:pPr>
        <w:pStyle w:val="enumlev1"/>
      </w:pPr>
      <w:r w:rsidRPr="00C5224C">
        <w:t>•</w:t>
      </w:r>
      <w:r w:rsidRPr="00C5224C">
        <w:tab/>
      </w:r>
      <w:r w:rsidR="00C05550" w:rsidRPr="00C5224C">
        <w:t>Method A: No change to the Radio Regulations;</w:t>
      </w:r>
    </w:p>
    <w:p w14:paraId="60A7DEED" w14:textId="5D88457C" w:rsidR="00C05550" w:rsidRPr="00C5224C" w:rsidRDefault="00C5224C" w:rsidP="00C5224C">
      <w:pPr>
        <w:pStyle w:val="enumlev1"/>
      </w:pPr>
      <w:r w:rsidRPr="00C5224C">
        <w:t>•</w:t>
      </w:r>
      <w:r w:rsidRPr="00C5224C">
        <w:tab/>
      </w:r>
      <w:r w:rsidR="00C05550" w:rsidRPr="00C5224C">
        <w:t>Method B: No change to the Table of Frequency Allocations in the Radio Regulations, and add a new WRC Resolution to encourage administrations to use the specified globally and regionally harmonised frequency bands for ITS applications. Other harmonized frequency band(s) for evolving ITS applications refer to the most recent version of Recommendation ITU</w:t>
      </w:r>
      <w:r w:rsidR="00C05550" w:rsidRPr="00C5224C">
        <w:noBreakHyphen/>
        <w:t>R M.2121; and</w:t>
      </w:r>
    </w:p>
    <w:p w14:paraId="23201A6B" w14:textId="512272B4" w:rsidR="00C05550" w:rsidRPr="00C5224C" w:rsidRDefault="00C5224C" w:rsidP="00C5224C">
      <w:pPr>
        <w:pStyle w:val="enumlev1"/>
      </w:pPr>
      <w:r w:rsidRPr="00C5224C">
        <w:lastRenderedPageBreak/>
        <w:t>•</w:t>
      </w:r>
      <w:r w:rsidRPr="00C5224C">
        <w:tab/>
        <w:t>M</w:t>
      </w:r>
      <w:r w:rsidR="00C05550" w:rsidRPr="00C5224C">
        <w:t>ethod C: No change to the Table of Frequency Allocations in the Radio Regulations, and add a new WRC Resolution to encourage administrations to use globally and regionally harmoni</w:t>
      </w:r>
      <w:r>
        <w:t>z</w:t>
      </w:r>
      <w:r w:rsidR="00C05550" w:rsidRPr="00C5224C">
        <w:t>ed frequency bands for evolving ITS applications by referring to the most recent version of Recommendation ITU-R M.2121.</w:t>
      </w:r>
    </w:p>
    <w:p w14:paraId="21A23910" w14:textId="77777777" w:rsidR="00C05550" w:rsidRPr="00BC7C7C" w:rsidRDefault="00C05550" w:rsidP="00C05550">
      <w:r>
        <w:t>Under</w:t>
      </w:r>
      <w:r w:rsidRPr="00BC7C7C">
        <w:t xml:space="preserve"> all Methods Resolution </w:t>
      </w:r>
      <w:r w:rsidRPr="00BC7C7C">
        <w:rPr>
          <w:b/>
        </w:rPr>
        <w:t>237 (WRC-15)</w:t>
      </w:r>
      <w:r w:rsidRPr="00BC7C7C">
        <w:t xml:space="preserve"> </w:t>
      </w:r>
      <w:r>
        <w:t>is to</w:t>
      </w:r>
      <w:r w:rsidRPr="00BC7C7C">
        <w:t xml:space="preserve"> be suppressed.</w:t>
      </w:r>
    </w:p>
    <w:p w14:paraId="6773EB82" w14:textId="03E4E1E6" w:rsidR="00C05550" w:rsidRDefault="00C05550" w:rsidP="00C05550">
      <w:r>
        <w:t>Australia’s view is that harmoni</w:t>
      </w:r>
      <w:r w:rsidR="00894770">
        <w:t>z</w:t>
      </w:r>
      <w:bookmarkStart w:id="7" w:name="_GoBack"/>
      <w:bookmarkEnd w:id="7"/>
      <w:r>
        <w:t>ation of radiocommunication applications should not be a mandatory requirement via the Radio Regulations, and should not be specified in an ITU-R Resolution. S</w:t>
      </w:r>
      <w:r w:rsidRPr="001A3E92">
        <w:t>pectrum harmonisation is best achieved by development of ITU-R Recommendations, supported by relevant new and/or revised ITU-R Reports.</w:t>
      </w:r>
      <w:r>
        <w:t xml:space="preserve"> This provides flexibility required for evolving ITS applications.</w:t>
      </w:r>
    </w:p>
    <w:p w14:paraId="651ECC1E" w14:textId="77777777" w:rsidR="00C05550" w:rsidRPr="009913E5" w:rsidRDefault="00C05550" w:rsidP="00C05550">
      <w:r>
        <w:t>Additionally, the</w:t>
      </w:r>
      <w:r w:rsidRPr="009913E5">
        <w:t xml:space="preserve"> selection of preferred ITS technology is solely a matter for national administrations, </w:t>
      </w:r>
      <w:r>
        <w:t xml:space="preserve">and </w:t>
      </w:r>
      <w:r w:rsidRPr="009913E5">
        <w:t xml:space="preserve">is beyond the scope of Resolution </w:t>
      </w:r>
      <w:r w:rsidRPr="009913E5">
        <w:rPr>
          <w:b/>
        </w:rPr>
        <w:t>237 (WRC-15)</w:t>
      </w:r>
      <w:r>
        <w:t xml:space="preserve">. It </w:t>
      </w:r>
      <w:r w:rsidRPr="009913E5">
        <w:t>should not be addressed in any</w:t>
      </w:r>
      <w:r>
        <w:t xml:space="preserve"> potential ITU-R</w:t>
      </w:r>
      <w:r w:rsidRPr="009913E5">
        <w:t xml:space="preserve"> Resolution or Recommendation</w:t>
      </w:r>
      <w:r>
        <w:t>.</w:t>
      </w:r>
    </w:p>
    <w:p w14:paraId="69897855" w14:textId="77777777" w:rsidR="00C05550" w:rsidRPr="00C05550" w:rsidRDefault="00C05550" w:rsidP="006474F9">
      <w:pPr>
        <w:pStyle w:val="Heading1"/>
      </w:pPr>
      <w:r w:rsidRPr="00C05550">
        <w:t>2</w:t>
      </w:r>
      <w:r w:rsidRPr="00C05550">
        <w:tab/>
        <w:t>Proposals</w:t>
      </w:r>
    </w:p>
    <w:p w14:paraId="59DA4220" w14:textId="45715B92" w:rsidR="00C05550" w:rsidRDefault="00C05550" w:rsidP="00C05550">
      <w:r w:rsidRPr="00961278">
        <w:t>A</w:t>
      </w:r>
      <w:r w:rsidR="00123E85">
        <w:t>u</w:t>
      </w:r>
      <w:r w:rsidRPr="00961278">
        <w:t xml:space="preserve">stralia proposes no </w:t>
      </w:r>
      <w:r>
        <w:t xml:space="preserve">regulatory </w:t>
      </w:r>
      <w:r w:rsidRPr="00961278">
        <w:t>change for this agenda item</w:t>
      </w:r>
      <w:r>
        <w:t>,</w:t>
      </w:r>
      <w:r w:rsidRPr="00961278">
        <w:t xml:space="preserve"> as follows:</w:t>
      </w:r>
    </w:p>
    <w:p w14:paraId="25279906" w14:textId="77777777" w:rsidR="00241FA2" w:rsidRDefault="00241FA2" w:rsidP="00C05550"/>
    <w:p w14:paraId="7B263505" w14:textId="77777777" w:rsidR="008860C1" w:rsidRDefault="00C05550">
      <w:pPr>
        <w:pStyle w:val="Proposal"/>
      </w:pPr>
      <w:r>
        <w:rPr>
          <w:u w:val="single"/>
        </w:rPr>
        <w:t>NOC</w:t>
      </w:r>
      <w:r>
        <w:tab/>
        <w:t>AUS/47A12/1</w:t>
      </w:r>
    </w:p>
    <w:p w14:paraId="03CD09B7" w14:textId="77777777" w:rsidR="00C05550" w:rsidRPr="0042498F" w:rsidRDefault="00C05550" w:rsidP="00C05550">
      <w:pPr>
        <w:pStyle w:val="Volumetitle"/>
      </w:pPr>
      <w:r w:rsidRPr="0042498F">
        <w:t>ARTICLES</w:t>
      </w:r>
    </w:p>
    <w:p w14:paraId="6BFA5F8F" w14:textId="77777777" w:rsidR="00C05550" w:rsidRDefault="00C05550" w:rsidP="00C05550">
      <w:pPr>
        <w:pStyle w:val="Reasons"/>
      </w:pPr>
      <w:r>
        <w:rPr>
          <w:b/>
        </w:rPr>
        <w:t>Reasons:</w:t>
      </w:r>
      <w:r>
        <w:tab/>
        <w:t>No change to ARTICLES within Volume 1 of the Radio Regulations is appropriate or necessary to satisfy this agenda item.</w:t>
      </w:r>
    </w:p>
    <w:p w14:paraId="7F30E5FC" w14:textId="77777777" w:rsidR="008860C1" w:rsidRDefault="00C05550">
      <w:pPr>
        <w:pStyle w:val="Proposal"/>
      </w:pPr>
      <w:r>
        <w:rPr>
          <w:u w:val="single"/>
        </w:rPr>
        <w:t>NOC</w:t>
      </w:r>
      <w:r>
        <w:tab/>
        <w:t>AUS/47A12/2</w:t>
      </w:r>
    </w:p>
    <w:p w14:paraId="11F3EA43" w14:textId="77777777" w:rsidR="00C05550" w:rsidRPr="0042498F" w:rsidRDefault="00C05550" w:rsidP="00C05550">
      <w:pPr>
        <w:pStyle w:val="Volumetitle"/>
      </w:pPr>
      <w:r w:rsidRPr="0042498F">
        <w:t>APPENDICES</w:t>
      </w:r>
    </w:p>
    <w:p w14:paraId="556ECD9A" w14:textId="77777777" w:rsidR="00C05550" w:rsidRDefault="00C05550" w:rsidP="00C05550">
      <w:pPr>
        <w:pStyle w:val="Reasons"/>
      </w:pPr>
      <w:r>
        <w:rPr>
          <w:b/>
        </w:rPr>
        <w:t>Reasons:</w:t>
      </w:r>
      <w:r>
        <w:tab/>
        <w:t>No change to APPENDICES within Volume 2 of the Radio Regulations is appropriate or necessary to satisfy this agenda item.</w:t>
      </w:r>
    </w:p>
    <w:p w14:paraId="16D26ECE" w14:textId="77777777" w:rsidR="008860C1" w:rsidRDefault="00C05550">
      <w:pPr>
        <w:pStyle w:val="Proposal"/>
      </w:pPr>
      <w:r>
        <w:t>SUP</w:t>
      </w:r>
      <w:r>
        <w:tab/>
        <w:t>AUS/47A12/3</w:t>
      </w:r>
    </w:p>
    <w:p w14:paraId="21F190DB" w14:textId="77777777" w:rsidR="007B1885" w:rsidRPr="00755316" w:rsidRDefault="00C05550" w:rsidP="007B1885">
      <w:pPr>
        <w:pStyle w:val="ResNo"/>
      </w:pPr>
      <w:bookmarkStart w:id="8" w:name="_Toc450048690"/>
      <w:r w:rsidRPr="00755316">
        <w:rPr>
          <w:caps w:val="0"/>
        </w:rPr>
        <w:t xml:space="preserve">RESOLUTION </w:t>
      </w:r>
      <w:r w:rsidRPr="0074399C">
        <w:rPr>
          <w:rStyle w:val="href"/>
          <w:caps w:val="0"/>
        </w:rPr>
        <w:t>237</w:t>
      </w:r>
      <w:r w:rsidRPr="00755316">
        <w:rPr>
          <w:caps w:val="0"/>
        </w:rPr>
        <w:t xml:space="preserve"> (WRC-15)</w:t>
      </w:r>
      <w:bookmarkEnd w:id="8"/>
    </w:p>
    <w:p w14:paraId="4B4EE7FE" w14:textId="77777777" w:rsidR="007B1885" w:rsidRPr="00755316" w:rsidRDefault="00C05550" w:rsidP="007B1885">
      <w:pPr>
        <w:pStyle w:val="Restitle"/>
        <w:rPr>
          <w:rFonts w:eastAsia="SimSun"/>
          <w:lang w:eastAsia="ja-JP"/>
        </w:rPr>
      </w:pPr>
      <w:bookmarkStart w:id="9" w:name="_Toc450048691"/>
      <w:r w:rsidRPr="00755316">
        <w:t>Intelligent Transport Systems</w:t>
      </w:r>
      <w:r w:rsidRPr="00755316">
        <w:rPr>
          <w:rFonts w:eastAsia="SimSun"/>
          <w:lang w:eastAsia="ja-JP"/>
        </w:rPr>
        <w:t xml:space="preserve"> applications</w:t>
      </w:r>
      <w:bookmarkEnd w:id="9"/>
    </w:p>
    <w:p w14:paraId="2D26CB39" w14:textId="77777777" w:rsidR="008860C1" w:rsidRDefault="00C05550">
      <w:pPr>
        <w:pStyle w:val="Reasons"/>
      </w:pPr>
      <w:r>
        <w:rPr>
          <w:b/>
        </w:rPr>
        <w:t>Reasons:</w:t>
      </w:r>
      <w:r>
        <w:tab/>
        <w:t>No longer required post WRC-19.</w:t>
      </w:r>
    </w:p>
    <w:p w14:paraId="444F1C47" w14:textId="77777777" w:rsidR="00C05550" w:rsidRDefault="00C05550" w:rsidP="00C05550">
      <w:pPr>
        <w:jc w:val="center"/>
      </w:pPr>
      <w:r>
        <w:t>______________</w:t>
      </w:r>
    </w:p>
    <w:sectPr w:rsidR="00C05550">
      <w:headerReference w:type="default" r:id="rId15"/>
      <w:footerReference w:type="even" r:id="rId16"/>
      <w:footerReference w:type="defaul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5C65A" w14:textId="77777777" w:rsidR="00AE514B" w:rsidRDefault="00AE514B">
      <w:r>
        <w:separator/>
      </w:r>
    </w:p>
  </w:endnote>
  <w:endnote w:type="continuationSeparator" w:id="0">
    <w:p w14:paraId="4B9955EC"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1947" w14:textId="77777777" w:rsidR="00E45D05" w:rsidRDefault="00E45D05">
    <w:pPr>
      <w:framePr w:wrap="around" w:vAnchor="text" w:hAnchor="margin" w:xAlign="right" w:y="1"/>
    </w:pPr>
    <w:r>
      <w:fldChar w:fldCharType="begin"/>
    </w:r>
    <w:r>
      <w:instrText xml:space="preserve">PAGE  </w:instrText>
    </w:r>
    <w:r>
      <w:fldChar w:fldCharType="end"/>
    </w:r>
  </w:p>
  <w:p w14:paraId="6344A6B6" w14:textId="4CDDF93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059F1">
      <w:rPr>
        <w:noProof/>
        <w:lang w:val="en-US"/>
      </w:rPr>
      <w:t>P:\ENG\ITU-R\CONF-R\CMR19\000\047ADD12e.docx</w:t>
    </w:r>
    <w:r>
      <w:fldChar w:fldCharType="end"/>
    </w:r>
    <w:r w:rsidRPr="0041348E">
      <w:rPr>
        <w:lang w:val="en-US"/>
      </w:rPr>
      <w:tab/>
    </w:r>
    <w:r>
      <w:fldChar w:fldCharType="begin"/>
    </w:r>
    <w:r>
      <w:instrText xml:space="preserve"> SAVEDATE \@ DD.MM.YY </w:instrText>
    </w:r>
    <w:r>
      <w:fldChar w:fldCharType="separate"/>
    </w:r>
    <w:r w:rsidR="006059F1">
      <w:rPr>
        <w:noProof/>
      </w:rPr>
      <w:t>17.10.19</w:t>
    </w:r>
    <w:r>
      <w:fldChar w:fldCharType="end"/>
    </w:r>
    <w:r w:rsidRPr="0041348E">
      <w:rPr>
        <w:lang w:val="en-US"/>
      </w:rPr>
      <w:tab/>
    </w:r>
    <w:r>
      <w:fldChar w:fldCharType="begin"/>
    </w:r>
    <w:r>
      <w:instrText xml:space="preserve"> PRINTDATE \@ DD.MM.YY </w:instrText>
    </w:r>
    <w:r>
      <w:fldChar w:fldCharType="separate"/>
    </w:r>
    <w:r w:rsidR="006059F1">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502A3" w14:textId="396E0691" w:rsidR="00E45D05" w:rsidRDefault="00E45D05" w:rsidP="009B1EA1">
    <w:pPr>
      <w:pStyle w:val="Footer"/>
    </w:pPr>
    <w:r>
      <w:fldChar w:fldCharType="begin"/>
    </w:r>
    <w:r w:rsidRPr="0041348E">
      <w:rPr>
        <w:lang w:val="en-US"/>
      </w:rPr>
      <w:instrText xml:space="preserve"> FILENAME \p  \* MERGEFORMAT </w:instrText>
    </w:r>
    <w:r>
      <w:fldChar w:fldCharType="separate"/>
    </w:r>
    <w:r w:rsidR="006059F1">
      <w:rPr>
        <w:lang w:val="en-US"/>
      </w:rPr>
      <w:t>P:\ENG\ITU-R\CONF-R\CMR19\000\047ADD12e.docx</w:t>
    </w:r>
    <w:r>
      <w:fldChar w:fldCharType="end"/>
    </w:r>
    <w:r w:rsidR="003811A7">
      <w:t xml:space="preserve"> (461943)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FA0E" w14:textId="643416B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059F1">
      <w:rPr>
        <w:lang w:val="en-US"/>
      </w:rPr>
      <w:t>P:\ENG\ITU-R\CONF-R\CMR19\000\047ADD12e.docx</w:t>
    </w:r>
    <w:r>
      <w:fldChar w:fldCharType="end"/>
    </w:r>
    <w:r w:rsidR="003811A7">
      <w:t xml:space="preserve"> (461943)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7E9AB" w14:textId="77777777" w:rsidR="00AE514B" w:rsidRDefault="00AE514B">
      <w:r>
        <w:rPr>
          <w:b/>
        </w:rPr>
        <w:t>_______________</w:t>
      </w:r>
    </w:p>
  </w:footnote>
  <w:footnote w:type="continuationSeparator" w:id="0">
    <w:p w14:paraId="7F2353B0"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8AD0" w14:textId="77777777" w:rsidR="00E45D05" w:rsidRDefault="00A066F1" w:rsidP="00187BD9">
    <w:pPr>
      <w:pStyle w:val="Header"/>
    </w:pPr>
    <w:r>
      <w:fldChar w:fldCharType="begin"/>
    </w:r>
    <w:r>
      <w:instrText xml:space="preserve"> PAGE  \* MERGEFORMAT </w:instrText>
    </w:r>
    <w:r>
      <w:fldChar w:fldCharType="separate"/>
    </w:r>
    <w:r w:rsidR="00144FF3">
      <w:rPr>
        <w:noProof/>
      </w:rPr>
      <w:t>2</w:t>
    </w:r>
    <w:r>
      <w:fldChar w:fldCharType="end"/>
    </w:r>
  </w:p>
  <w:p w14:paraId="380F0F0D" w14:textId="77777777" w:rsidR="00A066F1" w:rsidRPr="00A066F1" w:rsidRDefault="00187BD9" w:rsidP="00241FA2">
    <w:pPr>
      <w:pStyle w:val="Header"/>
    </w:pPr>
    <w:r>
      <w:t>CMR1</w:t>
    </w:r>
    <w:r w:rsidR="00202756">
      <w:t>9</w:t>
    </w:r>
    <w:r w:rsidR="00A066F1">
      <w:t>/</w:t>
    </w:r>
    <w:bookmarkStart w:id="10" w:name="OLE_LINK1"/>
    <w:bookmarkStart w:id="11" w:name="OLE_LINK2"/>
    <w:bookmarkStart w:id="12" w:name="OLE_LINK3"/>
    <w:r w:rsidR="00EB55C6">
      <w:t>47(Add.12)</w:t>
    </w:r>
    <w:bookmarkEnd w:id="10"/>
    <w:bookmarkEnd w:id="11"/>
    <w:bookmarkEnd w:id="1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D5E7BA9"/>
    <w:multiLevelType w:val="hybridMultilevel"/>
    <w:tmpl w:val="365EFD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58967E4"/>
    <w:multiLevelType w:val="hybridMultilevel"/>
    <w:tmpl w:val="A20C4246"/>
    <w:lvl w:ilvl="0" w:tplc="0C090001">
      <w:start w:val="1"/>
      <w:numFmt w:val="bullet"/>
      <w:lvlText w:val=""/>
      <w:lvlJc w:val="left"/>
      <w:pPr>
        <w:ind w:left="360" w:hanging="360"/>
      </w:pPr>
      <w:rPr>
        <w:rFonts w:ascii="Symbol" w:hAnsi="Symbol" w:hint="default"/>
      </w:rPr>
    </w:lvl>
    <w:lvl w:ilvl="1" w:tplc="609A7E38">
      <w:numFmt w:val="bullet"/>
      <w:lvlText w:val="−"/>
      <w:lvlJc w:val="left"/>
      <w:pPr>
        <w:ind w:left="1860" w:hanging="114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4DC1CC2"/>
    <w:multiLevelType w:val="hybridMultilevel"/>
    <w:tmpl w:val="0A9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D49D1"/>
    <w:multiLevelType w:val="hybridMultilevel"/>
    <w:tmpl w:val="23D61A8A"/>
    <w:lvl w:ilvl="0" w:tplc="583E97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3E85"/>
    <w:rsid w:val="00126F2E"/>
    <w:rsid w:val="00144FF3"/>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11A7"/>
    <w:rsid w:val="00384088"/>
    <w:rsid w:val="003852CE"/>
    <w:rsid w:val="0039169B"/>
    <w:rsid w:val="00397022"/>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059F1"/>
    <w:rsid w:val="00615426"/>
    <w:rsid w:val="00616219"/>
    <w:rsid w:val="00645B7D"/>
    <w:rsid w:val="006474F9"/>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860C1"/>
    <w:rsid w:val="0089477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2336F"/>
    <w:rsid w:val="00B40888"/>
    <w:rsid w:val="00B639E9"/>
    <w:rsid w:val="00B817CD"/>
    <w:rsid w:val="00B81A7D"/>
    <w:rsid w:val="00B94AD0"/>
    <w:rsid w:val="00BB3A95"/>
    <w:rsid w:val="00BD6CCE"/>
    <w:rsid w:val="00C0018F"/>
    <w:rsid w:val="00C05550"/>
    <w:rsid w:val="00C16A5A"/>
    <w:rsid w:val="00C20466"/>
    <w:rsid w:val="00C214ED"/>
    <w:rsid w:val="00C234E6"/>
    <w:rsid w:val="00C324A8"/>
    <w:rsid w:val="00C5224C"/>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85EB2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unhideWhenUsed/>
    <w:rsid w:val="00C05550"/>
    <w:rPr>
      <w:color w:val="0000FF" w:themeColor="hyperlink"/>
      <w:u w:val="single"/>
    </w:rPr>
  </w:style>
  <w:style w:type="paragraph" w:styleId="ListParagraph">
    <w:name w:val="List Paragraph"/>
    <w:basedOn w:val="Normal"/>
    <w:uiPriority w:val="34"/>
    <w:qFormat/>
    <w:rsid w:val="00C05550"/>
    <w:pPr>
      <w:ind w:left="720"/>
      <w:contextualSpacing/>
    </w:pPr>
  </w:style>
  <w:style w:type="character" w:customStyle="1" w:styleId="enumlev1Char">
    <w:name w:val="enumlev1 Char"/>
    <w:basedOn w:val="DefaultParagraphFont"/>
    <w:link w:val="enumlev1"/>
    <w:qFormat/>
    <w:rsid w:val="00C05550"/>
    <w:rPr>
      <w:rFonts w:ascii="Times New Roman" w:hAnsi="Times New Roman"/>
      <w:sz w:val="24"/>
      <w:lang w:val="en-GB" w:eastAsia="en-US"/>
    </w:rPr>
  </w:style>
  <w:style w:type="character" w:styleId="FollowedHyperlink">
    <w:name w:val="FollowedHyperlink"/>
    <w:basedOn w:val="DefaultParagraphFont"/>
    <w:semiHidden/>
    <w:unhideWhenUsed/>
    <w:rsid w:val="00144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rec/itu-r/rec/m/R-REC-M.2121-0-201901-I!!PDF-E.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opb/rep/R-REP-M.2445-2018-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4A0F-A2C7-4525-986A-26683BB56E10}">
  <ds:schemaRefs>
    <ds:schemaRef ds:uri="996b2e75-67fd-4955-a3b0-5ab9934cb50b"/>
    <ds:schemaRef ds:uri="32a1a8c5-2265-4ebc-b7a0-2071e2c5c9bb"/>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44E274E-78B0-41AE-8C54-204A3D93BA7A}">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58FB72-CC07-4F91-8F53-5BEEAFBB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2</Pages>
  <Words>530</Words>
  <Characters>3234</Characters>
  <Application>Microsoft Office Word</Application>
  <DocSecurity>0</DocSecurity>
  <Lines>75</Lines>
  <Paragraphs>33</Paragraphs>
  <ScaleCrop>false</ScaleCrop>
  <HeadingPairs>
    <vt:vector size="2" baseType="variant">
      <vt:variant>
        <vt:lpstr>Title</vt:lpstr>
      </vt:variant>
      <vt:variant>
        <vt:i4>1</vt:i4>
      </vt:variant>
    </vt:vector>
  </HeadingPairs>
  <TitlesOfParts>
    <vt:vector size="1" baseType="lpstr">
      <vt:lpstr>R16-WRC19-C-0047!A12!MSW-E</vt:lpstr>
    </vt:vector>
  </TitlesOfParts>
  <Manager>General Secretariat - Pool</Manager>
  <Company>International Telecommunication Union (ITU)</Company>
  <LinksUpToDate>false</LinksUpToDate>
  <CharactersWithSpaces>3742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R16-WRC19-C-0047!A12!MSW-E</dc:title>
  <dc:subject>World Radiocommunication Conference - 2019</dc:subject>
  <dc:creator>Documents Proposals Manager (DPM)</dc:creator>
  <cp:keywords>DPM_v2019.10.3.1_prod</cp:keywords>
  <dc:description>Uploaded on 2015.07.06</dc:description>
  <cp:lastModifiedBy>English</cp:lastModifiedBy>
  <cp:revision>9</cp:revision>
  <cp:lastPrinted>2019-10-17T13:13:00Z</cp:lastPrinted>
  <dcterms:created xsi:type="dcterms:W3CDTF">2019-10-15T07:23:00Z</dcterms:created>
  <dcterms:modified xsi:type="dcterms:W3CDTF">2019-10-17T13:16:00Z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