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7340C" w14:paraId="5D783511" w14:textId="77777777" w:rsidTr="0050008E">
        <w:trPr>
          <w:cantSplit/>
        </w:trPr>
        <w:tc>
          <w:tcPr>
            <w:tcW w:w="6911" w:type="dxa"/>
          </w:tcPr>
          <w:p w14:paraId="7CF0076E" w14:textId="77777777" w:rsidR="0090121B" w:rsidRPr="0087340C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7340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87340C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87340C">
              <w:rPr>
                <w:rFonts w:ascii="Verdana" w:hAnsi="Verdana" w:cs="Times"/>
                <w:b/>
                <w:position w:val="6"/>
                <w:sz w:val="20"/>
              </w:rPr>
              <w:t>-1</w:t>
            </w:r>
            <w:r w:rsidR="00C44E9E" w:rsidRPr="0087340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7340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7340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7340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F5A122E" w14:textId="77777777" w:rsidR="0090121B" w:rsidRPr="0087340C" w:rsidRDefault="00DA71A3" w:rsidP="00CE7431">
            <w:pPr>
              <w:spacing w:before="0" w:line="240" w:lineRule="atLeast"/>
              <w:jc w:val="right"/>
            </w:pPr>
            <w:r w:rsidRPr="0087340C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C943F65" wp14:editId="2E50CE0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7340C" w14:paraId="30EA59A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98BC84" w14:textId="77777777" w:rsidR="0090121B" w:rsidRPr="0087340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851102" w14:textId="77777777" w:rsidR="0090121B" w:rsidRPr="0087340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7340C" w14:paraId="13B285D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7D88E0" w14:textId="77777777" w:rsidR="0090121B" w:rsidRPr="0087340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F8B7DD" w14:textId="77777777" w:rsidR="0090121B" w:rsidRPr="0087340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7340C" w14:paraId="3E80CDEB" w14:textId="77777777" w:rsidTr="0090121B">
        <w:trPr>
          <w:cantSplit/>
        </w:trPr>
        <w:tc>
          <w:tcPr>
            <w:tcW w:w="6911" w:type="dxa"/>
          </w:tcPr>
          <w:p w14:paraId="42C603F7" w14:textId="77777777" w:rsidR="0090121B" w:rsidRPr="0087340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87340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192F9AA" w14:textId="77777777" w:rsidR="0090121B" w:rsidRPr="0087340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340C">
              <w:rPr>
                <w:rFonts w:ascii="Verdana" w:hAnsi="Verdana"/>
                <w:b/>
                <w:sz w:val="18"/>
                <w:szCs w:val="18"/>
              </w:rPr>
              <w:t>Addéndum</w:t>
            </w:r>
            <w:proofErr w:type="spellEnd"/>
            <w:r w:rsidRPr="0087340C">
              <w:rPr>
                <w:rFonts w:ascii="Verdana" w:hAnsi="Verdana"/>
                <w:b/>
                <w:sz w:val="18"/>
                <w:szCs w:val="18"/>
              </w:rPr>
              <w:t xml:space="preserve"> 1 al</w:t>
            </w:r>
            <w:r w:rsidRPr="0087340C">
              <w:rPr>
                <w:rFonts w:ascii="Verdana" w:hAnsi="Verdana"/>
                <w:b/>
                <w:sz w:val="18"/>
                <w:szCs w:val="18"/>
              </w:rPr>
              <w:br/>
              <w:t>Documento 49(</w:t>
            </w:r>
            <w:proofErr w:type="spellStart"/>
            <w:r w:rsidRPr="0087340C">
              <w:rPr>
                <w:rFonts w:ascii="Verdana" w:hAnsi="Verdana"/>
                <w:b/>
                <w:sz w:val="18"/>
                <w:szCs w:val="18"/>
              </w:rPr>
              <w:t>Add.19</w:t>
            </w:r>
            <w:proofErr w:type="spellEnd"/>
            <w:r w:rsidRPr="0087340C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90121B" w:rsidRPr="0087340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7340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87340C" w14:paraId="17ADECFD" w14:textId="77777777" w:rsidTr="0090121B">
        <w:trPr>
          <w:cantSplit/>
        </w:trPr>
        <w:tc>
          <w:tcPr>
            <w:tcW w:w="6911" w:type="dxa"/>
          </w:tcPr>
          <w:p w14:paraId="6E687E12" w14:textId="77777777" w:rsidR="000A5B9A" w:rsidRPr="008734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9B9603E" w14:textId="77777777" w:rsidR="000A5B9A" w:rsidRPr="008734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7340C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87340C" w14:paraId="2FA13A28" w14:textId="77777777" w:rsidTr="0090121B">
        <w:trPr>
          <w:cantSplit/>
        </w:trPr>
        <w:tc>
          <w:tcPr>
            <w:tcW w:w="6911" w:type="dxa"/>
          </w:tcPr>
          <w:p w14:paraId="06695DCF" w14:textId="77777777" w:rsidR="000A5B9A" w:rsidRPr="008734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3409502" w14:textId="77777777" w:rsidR="000A5B9A" w:rsidRPr="008734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7340C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87340C" w14:paraId="6C3EC04A" w14:textId="77777777" w:rsidTr="006744FC">
        <w:trPr>
          <w:cantSplit/>
        </w:trPr>
        <w:tc>
          <w:tcPr>
            <w:tcW w:w="10031" w:type="dxa"/>
            <w:gridSpan w:val="2"/>
          </w:tcPr>
          <w:p w14:paraId="5740CE7F" w14:textId="77777777" w:rsidR="000A5B9A" w:rsidRPr="008734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7340C" w14:paraId="16F47C1B" w14:textId="77777777" w:rsidTr="0050008E">
        <w:trPr>
          <w:cantSplit/>
        </w:trPr>
        <w:tc>
          <w:tcPr>
            <w:tcW w:w="10031" w:type="dxa"/>
            <w:gridSpan w:val="2"/>
          </w:tcPr>
          <w:p w14:paraId="3E63D523" w14:textId="77777777" w:rsidR="000A5B9A" w:rsidRPr="0087340C" w:rsidRDefault="000A5B9A" w:rsidP="000A5B9A">
            <w:pPr>
              <w:pStyle w:val="Source"/>
            </w:pPr>
            <w:bookmarkStart w:id="1" w:name="dsource" w:colFirst="0" w:colLast="0"/>
            <w:proofErr w:type="spellStart"/>
            <w:r w:rsidRPr="0087340C">
              <w:t>Viet</w:t>
            </w:r>
            <w:proofErr w:type="spellEnd"/>
            <w:r w:rsidRPr="0087340C">
              <w:t xml:space="preserve"> </w:t>
            </w:r>
            <w:proofErr w:type="spellStart"/>
            <w:r w:rsidRPr="0087340C">
              <w:t>Nam</w:t>
            </w:r>
            <w:proofErr w:type="spellEnd"/>
            <w:r w:rsidRPr="0087340C">
              <w:t xml:space="preserve"> (República Socialista de)</w:t>
            </w:r>
          </w:p>
        </w:tc>
      </w:tr>
      <w:tr w:rsidR="000A5B9A" w:rsidRPr="0087340C" w14:paraId="75D1E3A5" w14:textId="77777777" w:rsidTr="0050008E">
        <w:trPr>
          <w:cantSplit/>
        </w:trPr>
        <w:tc>
          <w:tcPr>
            <w:tcW w:w="10031" w:type="dxa"/>
            <w:gridSpan w:val="2"/>
          </w:tcPr>
          <w:p w14:paraId="3C49C9DC" w14:textId="77777777" w:rsidR="000A5B9A" w:rsidRPr="0087340C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87340C">
              <w:t>Propuestas para los trabajos de la Conferencia</w:t>
            </w:r>
          </w:p>
        </w:tc>
      </w:tr>
      <w:tr w:rsidR="000A5B9A" w:rsidRPr="0087340C" w14:paraId="64F04852" w14:textId="77777777" w:rsidTr="0050008E">
        <w:trPr>
          <w:cantSplit/>
        </w:trPr>
        <w:tc>
          <w:tcPr>
            <w:tcW w:w="10031" w:type="dxa"/>
            <w:gridSpan w:val="2"/>
          </w:tcPr>
          <w:p w14:paraId="10173245" w14:textId="77777777" w:rsidR="000A5B9A" w:rsidRPr="0087340C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87340C" w14:paraId="108AA026" w14:textId="77777777" w:rsidTr="0050008E">
        <w:trPr>
          <w:cantSplit/>
        </w:trPr>
        <w:tc>
          <w:tcPr>
            <w:tcW w:w="10031" w:type="dxa"/>
            <w:gridSpan w:val="2"/>
          </w:tcPr>
          <w:p w14:paraId="71136806" w14:textId="77777777" w:rsidR="000A5B9A" w:rsidRPr="0087340C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87340C">
              <w:t>Punto 7(A) del orden del día</w:t>
            </w:r>
          </w:p>
        </w:tc>
      </w:tr>
    </w:tbl>
    <w:bookmarkEnd w:id="4"/>
    <w:p w14:paraId="312E8FEC" w14:textId="22A4F7E4" w:rsidR="001C0E40" w:rsidRPr="0087340C" w:rsidRDefault="00546418" w:rsidP="0007622F">
      <w:r w:rsidRPr="0087340C">
        <w:t>7</w:t>
      </w:r>
      <w:r w:rsidRPr="0087340C">
        <w:tab/>
        <w:t xml:space="preserve">considerar posibles modificaciones y otras opciones para responder a lo dispuesto en la Resolución 86 (Rev. Marrakech, 2002) de la Conferencia de Plenipotenciarios: </w:t>
      </w:r>
      <w:r w:rsidR="009252B0" w:rsidRPr="0087340C">
        <w:t>«</w:t>
      </w:r>
      <w:r w:rsidRPr="0087340C">
        <w:t>Procedimientos de publicación anticipada, de coordinación, de notificación y de inscripción de asignaciones de frecuencias de redes de satélite</w:t>
      </w:r>
      <w:r w:rsidR="009252B0" w:rsidRPr="0087340C">
        <w:t>»</w:t>
      </w:r>
      <w:r w:rsidRPr="0087340C">
        <w:t xml:space="preserve"> de conformidad con la Resolución </w:t>
      </w:r>
      <w:r w:rsidRPr="0087340C">
        <w:rPr>
          <w:b/>
          <w:bCs/>
        </w:rPr>
        <w:t>86 (</w:t>
      </w:r>
      <w:proofErr w:type="spellStart"/>
      <w:r w:rsidRPr="0087340C">
        <w:rPr>
          <w:b/>
          <w:bCs/>
        </w:rPr>
        <w:t>Rev.CMR</w:t>
      </w:r>
      <w:proofErr w:type="spellEnd"/>
      <w:r w:rsidRPr="0087340C">
        <w:rPr>
          <w:b/>
          <w:bCs/>
        </w:rPr>
        <w:t>-07</w:t>
      </w:r>
      <w:r w:rsidRPr="0087340C">
        <w:rPr>
          <w:b/>
        </w:rPr>
        <w:t xml:space="preserve">) </w:t>
      </w:r>
      <w:r w:rsidRPr="0087340C">
        <w:rPr>
          <w:bCs/>
        </w:rPr>
        <w:t>para facilitar el uso racional, eficiente y económico de las radiofrecuencias y órbitas asociadas, incluida la órbita de los satélites geoestacionarios</w:t>
      </w:r>
      <w:r w:rsidRPr="0087340C">
        <w:t>;</w:t>
      </w:r>
    </w:p>
    <w:p w14:paraId="62541A76" w14:textId="77777777" w:rsidR="001C0E40" w:rsidRPr="0087340C" w:rsidRDefault="00546418" w:rsidP="0007622F">
      <w:r w:rsidRPr="0087340C">
        <w:t>7(A)</w:t>
      </w:r>
      <w:r w:rsidRPr="0087340C">
        <w:tab/>
        <w:t xml:space="preserve">Tema A – Puesta en servicio de asignaciones de frecuencias a todos los sistemas no </w:t>
      </w:r>
      <w:proofErr w:type="spellStart"/>
      <w:r w:rsidRPr="0087340C">
        <w:t>OSG</w:t>
      </w:r>
      <w:proofErr w:type="spellEnd"/>
      <w:r w:rsidRPr="0087340C">
        <w:t xml:space="preserve">, y examen de un enfoque basado en objetivos intermedios para el despliegue de los sistemas no </w:t>
      </w:r>
      <w:proofErr w:type="spellStart"/>
      <w:r w:rsidRPr="0087340C">
        <w:t>OSG</w:t>
      </w:r>
      <w:proofErr w:type="spellEnd"/>
      <w:r w:rsidRPr="0087340C">
        <w:t xml:space="preserve"> en ciertas bandas de frecuencias y servicios</w:t>
      </w:r>
    </w:p>
    <w:p w14:paraId="443C94C5" w14:textId="2CA6A3DC" w:rsidR="00E513B0" w:rsidRPr="0087340C" w:rsidRDefault="00E513B0" w:rsidP="0007622F">
      <w:pPr>
        <w:pStyle w:val="Headingb"/>
        <w:rPr>
          <w:rFonts w:eastAsiaTheme="minorEastAsia"/>
          <w:lang w:eastAsia="ko-KR"/>
        </w:rPr>
      </w:pPr>
      <w:r w:rsidRPr="0087340C">
        <w:rPr>
          <w:rFonts w:eastAsiaTheme="minorEastAsia"/>
          <w:lang w:eastAsia="ko-KR"/>
        </w:rPr>
        <w:t>Introduc</w:t>
      </w:r>
      <w:r w:rsidR="0007622F" w:rsidRPr="0087340C">
        <w:rPr>
          <w:rFonts w:eastAsiaTheme="minorEastAsia"/>
          <w:lang w:eastAsia="ko-KR"/>
        </w:rPr>
        <w:t>ción</w:t>
      </w:r>
    </w:p>
    <w:p w14:paraId="63243516" w14:textId="4E80D117" w:rsidR="00E513B0" w:rsidRPr="0087340C" w:rsidRDefault="0007622F" w:rsidP="0007622F">
      <w:pPr>
        <w:rPr>
          <w:rFonts w:eastAsiaTheme="minorEastAsia"/>
        </w:rPr>
      </w:pPr>
      <w:proofErr w:type="spellStart"/>
      <w:r w:rsidRPr="0087340C">
        <w:rPr>
          <w:rFonts w:eastAsiaTheme="minorEastAsia"/>
        </w:rPr>
        <w:t>Viet</w:t>
      </w:r>
      <w:proofErr w:type="spellEnd"/>
      <w:r w:rsidRPr="0087340C">
        <w:rPr>
          <w:rFonts w:eastAsiaTheme="minorEastAsia"/>
        </w:rPr>
        <w:t xml:space="preserve"> </w:t>
      </w:r>
      <w:proofErr w:type="spellStart"/>
      <w:r w:rsidRPr="0087340C">
        <w:rPr>
          <w:rFonts w:eastAsiaTheme="minorEastAsia"/>
        </w:rPr>
        <w:t>Nam</w:t>
      </w:r>
      <w:proofErr w:type="spellEnd"/>
      <w:r w:rsidRPr="0087340C">
        <w:rPr>
          <w:rFonts w:eastAsiaTheme="minorEastAsia"/>
        </w:rPr>
        <w:t xml:space="preserve"> opina lo siguiente sobre los aspectos fundamentales de este tema:</w:t>
      </w:r>
    </w:p>
    <w:p w14:paraId="7F157FEE" w14:textId="095C6866" w:rsidR="00E513B0" w:rsidRPr="0087340C" w:rsidRDefault="0007622F" w:rsidP="0007622F">
      <w:pPr>
        <w:pStyle w:val="Headingb"/>
        <w:rPr>
          <w:rFonts w:eastAsiaTheme="minorEastAsia"/>
        </w:rPr>
      </w:pPr>
      <w:r w:rsidRPr="0087340C">
        <w:rPr>
          <w:rFonts w:eastAsiaTheme="minorEastAsia"/>
        </w:rPr>
        <w:t xml:space="preserve">Definición de </w:t>
      </w:r>
      <w:r w:rsidR="00151589" w:rsidRPr="0087340C">
        <w:rPr>
          <w:rFonts w:eastAsiaTheme="minorEastAsia"/>
        </w:rPr>
        <w:t>puesta en servicio</w:t>
      </w:r>
    </w:p>
    <w:p w14:paraId="76D9BFB9" w14:textId="6A5FAFC4" w:rsidR="00E513B0" w:rsidRPr="0087340C" w:rsidRDefault="0007622F" w:rsidP="0007622F">
      <w:proofErr w:type="spellStart"/>
      <w:r w:rsidRPr="0087340C">
        <w:t>Viet</w:t>
      </w:r>
      <w:proofErr w:type="spellEnd"/>
      <w:r w:rsidRPr="0087340C">
        <w:t xml:space="preserve"> </w:t>
      </w:r>
      <w:proofErr w:type="spellStart"/>
      <w:r w:rsidRPr="0087340C">
        <w:t>Nam</w:t>
      </w:r>
      <w:proofErr w:type="spellEnd"/>
      <w:r w:rsidRPr="0087340C">
        <w:t xml:space="preserve"> opina que la definición de puesta en servicio (</w:t>
      </w:r>
      <w:proofErr w:type="spellStart"/>
      <w:r w:rsidRPr="0087340C">
        <w:t>PeS</w:t>
      </w:r>
      <w:proofErr w:type="spellEnd"/>
      <w:r w:rsidRPr="0087340C">
        <w:t xml:space="preserve">) de asignaciones de frecuencias a sistemas no </w:t>
      </w:r>
      <w:proofErr w:type="spellStart"/>
      <w:r w:rsidRPr="0087340C">
        <w:t>OSG</w:t>
      </w:r>
      <w:proofErr w:type="spellEnd"/>
      <w:r w:rsidRPr="0087340C">
        <w:t xml:space="preserve"> debe</w:t>
      </w:r>
      <w:r w:rsidR="00FA48C0" w:rsidRPr="0087340C">
        <w:t>ría</w:t>
      </w:r>
      <w:r w:rsidRPr="0087340C">
        <w:t xml:space="preserve"> ajustarse a la práctica recogida actualmente en las Reglas de Procedimiento, </w:t>
      </w:r>
      <w:r w:rsidR="000164A1" w:rsidRPr="0087340C">
        <w:t>las cuales prevén el</w:t>
      </w:r>
      <w:r w:rsidR="00FA48C0" w:rsidRPr="0087340C">
        <w:t xml:space="preserve"> mantenimiento de</w:t>
      </w:r>
      <w:r w:rsidRPr="0087340C">
        <w:t xml:space="preserve"> un per</w:t>
      </w:r>
      <w:r w:rsidR="009252B0" w:rsidRPr="0087340C">
        <w:t>i</w:t>
      </w:r>
      <w:r w:rsidRPr="0087340C">
        <w:t>odo</w:t>
      </w:r>
      <w:r w:rsidR="00151589" w:rsidRPr="0087340C">
        <w:t xml:space="preserve"> </w:t>
      </w:r>
      <w:r w:rsidRPr="0087340C">
        <w:t xml:space="preserve">continuo de 90 días para las asignaciones de frecuencias al </w:t>
      </w:r>
      <w:proofErr w:type="spellStart"/>
      <w:r w:rsidRPr="0087340C">
        <w:t>SFS</w:t>
      </w:r>
      <w:proofErr w:type="spellEnd"/>
      <w:r w:rsidRPr="0087340C">
        <w:t xml:space="preserve">, SMS y el </w:t>
      </w:r>
      <w:proofErr w:type="spellStart"/>
      <w:r w:rsidRPr="0087340C">
        <w:t>SRS</w:t>
      </w:r>
      <w:proofErr w:type="spellEnd"/>
      <w:r w:rsidRPr="0087340C">
        <w:t>, y ningún per</w:t>
      </w:r>
      <w:r w:rsidR="009252B0" w:rsidRPr="0087340C">
        <w:t>i</w:t>
      </w:r>
      <w:r w:rsidRPr="0087340C">
        <w:t>odo fijo para las asignaciones de frecuencias a otros servicios.</w:t>
      </w:r>
    </w:p>
    <w:p w14:paraId="4F8816E1" w14:textId="3D29B5AD" w:rsidR="00363A65" w:rsidRPr="0087340C" w:rsidRDefault="0007622F" w:rsidP="00151589">
      <w:pPr>
        <w:rPr>
          <w:rFonts w:eastAsia="MS Mincho"/>
          <w:lang w:eastAsia="ja-JP"/>
        </w:rPr>
      </w:pPr>
      <w:r w:rsidRPr="0087340C">
        <w:t xml:space="preserve">Con respecto </w:t>
      </w:r>
      <w:r w:rsidR="00151589" w:rsidRPr="0087340C">
        <w:t>a</w:t>
      </w:r>
      <w:r w:rsidR="00587869" w:rsidRPr="0087340C">
        <w:t xml:space="preserve"> </w:t>
      </w:r>
      <w:r w:rsidR="00151589" w:rsidRPr="0087340C">
        <w:t>l</w:t>
      </w:r>
      <w:r w:rsidR="00587869" w:rsidRPr="0087340C">
        <w:t xml:space="preserve">as disposiciones reglamentarias en materia de </w:t>
      </w:r>
      <w:proofErr w:type="spellStart"/>
      <w:r w:rsidR="00587869" w:rsidRPr="0087340C">
        <w:t>PeS</w:t>
      </w:r>
      <w:proofErr w:type="spellEnd"/>
      <w:r w:rsidR="00587869" w:rsidRPr="0087340C">
        <w:t xml:space="preserve"> del</w:t>
      </w:r>
      <w:r w:rsidRPr="0087340C">
        <w:t xml:space="preserve"> número </w:t>
      </w:r>
      <w:proofErr w:type="spellStart"/>
      <w:r w:rsidRPr="0087340C">
        <w:rPr>
          <w:b/>
          <w:bCs/>
        </w:rPr>
        <w:t>11.44C</w:t>
      </w:r>
      <w:proofErr w:type="spellEnd"/>
      <w:r w:rsidR="00151589" w:rsidRPr="0087340C">
        <w:t>, relativo a los planos</w:t>
      </w:r>
      <w:r w:rsidRPr="0087340C">
        <w:t xml:space="preserve"> orbitales notificados, </w:t>
      </w:r>
      <w:proofErr w:type="spellStart"/>
      <w:r w:rsidRPr="0087340C">
        <w:t>Viet</w:t>
      </w:r>
      <w:proofErr w:type="spellEnd"/>
      <w:r w:rsidRPr="0087340C">
        <w:t xml:space="preserve"> </w:t>
      </w:r>
      <w:proofErr w:type="spellStart"/>
      <w:r w:rsidRPr="0087340C">
        <w:t>Nam</w:t>
      </w:r>
      <w:proofErr w:type="spellEnd"/>
      <w:r w:rsidRPr="0087340C">
        <w:t xml:space="preserve"> podría apoyar la Opción 2, </w:t>
      </w:r>
      <w:r w:rsidR="00151589" w:rsidRPr="0087340C">
        <w:t>tal y como se describe en el Informe de la RPC</w:t>
      </w:r>
      <w:r w:rsidRPr="0087340C">
        <w:t xml:space="preserve"> a la </w:t>
      </w:r>
      <w:proofErr w:type="spellStart"/>
      <w:r w:rsidRPr="0087340C">
        <w:t>CMR</w:t>
      </w:r>
      <w:proofErr w:type="spellEnd"/>
      <w:r w:rsidRPr="0087340C">
        <w:t>-19.</w:t>
      </w:r>
    </w:p>
    <w:p w14:paraId="32E292CD" w14:textId="1AD14F8F" w:rsidR="008750A8" w:rsidRPr="0087340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340C">
        <w:br w:type="page"/>
      </w:r>
    </w:p>
    <w:p w14:paraId="0D94B0F7" w14:textId="7CB55B10" w:rsidR="00546418" w:rsidRPr="0087340C" w:rsidRDefault="00870182" w:rsidP="00B82647">
      <w:pPr>
        <w:pStyle w:val="Headingb"/>
        <w:rPr>
          <w:rFonts w:eastAsiaTheme="minorEastAsia"/>
        </w:rPr>
      </w:pPr>
      <w:r w:rsidRPr="0087340C">
        <w:lastRenderedPageBreak/>
        <w:t>Enfoque basado en objetivos intermedios</w:t>
      </w:r>
    </w:p>
    <w:p w14:paraId="1C559C6B" w14:textId="77777777" w:rsidR="00546418" w:rsidRPr="0087340C" w:rsidRDefault="00546418" w:rsidP="0098727A">
      <w:pPr>
        <w:spacing w:before="0"/>
        <w:jc w:val="both"/>
        <w:rPr>
          <w:rFonts w:eastAsiaTheme="minorEastAsia"/>
          <w:b/>
          <w:bCs/>
          <w:u w:val="single"/>
        </w:rPr>
      </w:pPr>
    </w:p>
    <w:tbl>
      <w:tblPr>
        <w:tblStyle w:val="ECCTable-redheader2"/>
        <w:tblW w:w="7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686"/>
        <w:gridCol w:w="2106"/>
      </w:tblGrid>
      <w:tr w:rsidR="00546418" w:rsidRPr="0087340C" w14:paraId="60F30A8B" w14:textId="77777777" w:rsidTr="0013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1B5E808D" w14:textId="5FF075CC" w:rsidR="00546418" w:rsidRPr="0087340C" w:rsidRDefault="00B82647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Cs/>
                <w:color w:val="000000" w:themeColor="text1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Objetivos intermedios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1376663C" w14:textId="377ADD7A" w:rsidR="00546418" w:rsidRPr="0087340C" w:rsidRDefault="00B82647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Cs/>
                <w:color w:val="000000" w:themeColor="text1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Plazo</w:t>
            </w:r>
            <w:r w:rsidR="00FA48C0" w:rsidRPr="0087340C">
              <w:rPr>
                <w:bCs/>
                <w:color w:val="000000" w:themeColor="text1"/>
                <w:sz w:val="20"/>
                <w:lang w:eastAsia="de-DE"/>
              </w:rPr>
              <w:t>s</w:t>
            </w:r>
            <w:r w:rsidRPr="0087340C">
              <w:rPr>
                <w:bCs/>
                <w:color w:val="000000" w:themeColor="text1"/>
                <w:sz w:val="20"/>
                <w:lang w:eastAsia="de-DE"/>
              </w:rPr>
              <w:t xml:space="preserve"> de </w:t>
            </w:r>
            <w:r w:rsidR="00FA48C0" w:rsidRPr="0087340C">
              <w:rPr>
                <w:bCs/>
                <w:color w:val="000000" w:themeColor="text1"/>
                <w:sz w:val="20"/>
                <w:lang w:eastAsia="de-DE"/>
              </w:rPr>
              <w:t>los</w:t>
            </w:r>
            <w:r w:rsidRPr="0087340C">
              <w:rPr>
                <w:bCs/>
                <w:color w:val="000000" w:themeColor="text1"/>
                <w:sz w:val="20"/>
                <w:lang w:eastAsia="de-DE"/>
              </w:rPr>
              <w:t xml:space="preserve"> objetivo</w:t>
            </w:r>
            <w:r w:rsidR="00FA48C0" w:rsidRPr="0087340C">
              <w:rPr>
                <w:bCs/>
                <w:color w:val="000000" w:themeColor="text1"/>
                <w:sz w:val="20"/>
                <w:lang w:eastAsia="de-DE"/>
              </w:rPr>
              <w:t>s</w:t>
            </w:r>
          </w:p>
          <w:p w14:paraId="403CCA70" w14:textId="7AFFE432" w:rsidR="00546418" w:rsidRPr="0087340C" w:rsidRDefault="00B82647" w:rsidP="00A26FD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 xml:space="preserve">(número de años una vez concluido el plazo reglamentario de siete años o después del 1 de enero de 2021, </w:t>
            </w:r>
            <w:r w:rsidR="00FA48C0" w:rsidRPr="0087340C">
              <w:rPr>
                <w:bCs/>
                <w:color w:val="000000" w:themeColor="text1"/>
                <w:sz w:val="20"/>
                <w:lang w:eastAsia="de-DE"/>
              </w:rPr>
              <w:t>si esta fecha es posterior</w:t>
            </w:r>
            <w:r w:rsidRPr="0087340C">
              <w:rPr>
                <w:bCs/>
                <w:color w:val="000000" w:themeColor="text1"/>
                <w:sz w:val="20"/>
                <w:lang w:eastAsia="de-DE"/>
              </w:rPr>
              <w:t>)</w:t>
            </w:r>
          </w:p>
        </w:tc>
        <w:tc>
          <w:tcPr>
            <w:tcW w:w="2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772EFED4" w14:textId="48238F88" w:rsidR="00546418" w:rsidRPr="0087340C" w:rsidRDefault="00B82647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Cs/>
                <w:color w:val="000000" w:themeColor="text1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% mínimo requerido de satélites desplegados para lograr l</w:t>
            </w:r>
            <w:r w:rsidR="00FA48C0" w:rsidRPr="0087340C">
              <w:rPr>
                <w:bCs/>
                <w:color w:val="000000" w:themeColor="text1"/>
                <w:sz w:val="20"/>
                <w:lang w:eastAsia="de-DE"/>
              </w:rPr>
              <w:t>os</w:t>
            </w:r>
            <w:r w:rsidRPr="0087340C">
              <w:rPr>
                <w:bCs/>
                <w:color w:val="000000" w:themeColor="text1"/>
                <w:sz w:val="20"/>
                <w:lang w:eastAsia="de-DE"/>
              </w:rPr>
              <w:t xml:space="preserve"> objetivo</w:t>
            </w:r>
            <w:r w:rsidR="00FA48C0" w:rsidRPr="0087340C">
              <w:rPr>
                <w:bCs/>
                <w:color w:val="000000" w:themeColor="text1"/>
                <w:sz w:val="20"/>
                <w:lang w:eastAsia="de-DE"/>
              </w:rPr>
              <w:t>s</w:t>
            </w:r>
          </w:p>
        </w:tc>
      </w:tr>
      <w:tr w:rsidR="00546418" w:rsidRPr="0087340C" w14:paraId="1E350D94" w14:textId="77777777" w:rsidTr="0013428B">
        <w:trPr>
          <w:trHeight w:val="75"/>
        </w:trPr>
        <w:tc>
          <w:tcPr>
            <w:tcW w:w="1669" w:type="dxa"/>
          </w:tcPr>
          <w:p w14:paraId="66E85654" w14:textId="71088F4F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>1</w:t>
            </w:r>
            <w:r w:rsidR="00B82647" w:rsidRPr="0087340C">
              <w:rPr>
                <w:sz w:val="20"/>
                <w:szCs w:val="22"/>
                <w:lang w:eastAsia="de-DE"/>
              </w:rPr>
              <w:t>º</w:t>
            </w:r>
          </w:p>
        </w:tc>
        <w:tc>
          <w:tcPr>
            <w:tcW w:w="3686" w:type="dxa"/>
          </w:tcPr>
          <w:p w14:paraId="7A44BA91" w14:textId="41B25EC8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 xml:space="preserve">2 </w:t>
            </w:r>
            <w:r w:rsidR="00B82647" w:rsidRPr="0087340C">
              <w:rPr>
                <w:sz w:val="20"/>
                <w:szCs w:val="22"/>
                <w:lang w:eastAsia="de-DE"/>
              </w:rPr>
              <w:t>años</w:t>
            </w:r>
          </w:p>
        </w:tc>
        <w:tc>
          <w:tcPr>
            <w:tcW w:w="2106" w:type="dxa"/>
          </w:tcPr>
          <w:p w14:paraId="39B635A7" w14:textId="77777777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>10%</w:t>
            </w:r>
          </w:p>
        </w:tc>
      </w:tr>
      <w:tr w:rsidR="00546418" w:rsidRPr="0087340C" w14:paraId="68530F8C" w14:textId="77777777" w:rsidTr="0013428B">
        <w:trPr>
          <w:trHeight w:val="75"/>
        </w:trPr>
        <w:tc>
          <w:tcPr>
            <w:tcW w:w="1669" w:type="dxa"/>
          </w:tcPr>
          <w:p w14:paraId="7456AC4C" w14:textId="55DD8545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>2</w:t>
            </w:r>
            <w:r w:rsidR="00B82647" w:rsidRPr="0087340C">
              <w:rPr>
                <w:sz w:val="20"/>
                <w:szCs w:val="22"/>
                <w:vertAlign w:val="superscript"/>
                <w:lang w:eastAsia="de-DE"/>
              </w:rPr>
              <w:t>º</w:t>
            </w:r>
          </w:p>
        </w:tc>
        <w:tc>
          <w:tcPr>
            <w:tcW w:w="3686" w:type="dxa"/>
          </w:tcPr>
          <w:p w14:paraId="3C1CCF07" w14:textId="39FBA0F1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 xml:space="preserve">4 </w:t>
            </w:r>
            <w:r w:rsidR="00B82647" w:rsidRPr="0087340C">
              <w:rPr>
                <w:sz w:val="20"/>
                <w:szCs w:val="22"/>
                <w:lang w:eastAsia="de-DE"/>
              </w:rPr>
              <w:t>años</w:t>
            </w:r>
          </w:p>
        </w:tc>
        <w:tc>
          <w:tcPr>
            <w:tcW w:w="2106" w:type="dxa"/>
          </w:tcPr>
          <w:p w14:paraId="383F1D47" w14:textId="77777777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>40%</w:t>
            </w:r>
          </w:p>
        </w:tc>
      </w:tr>
      <w:tr w:rsidR="00546418" w:rsidRPr="0087340C" w14:paraId="1DCC03DE" w14:textId="77777777" w:rsidTr="0013428B">
        <w:trPr>
          <w:trHeight w:val="75"/>
        </w:trPr>
        <w:tc>
          <w:tcPr>
            <w:tcW w:w="1669" w:type="dxa"/>
          </w:tcPr>
          <w:p w14:paraId="55885722" w14:textId="4EBEB24B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>3</w:t>
            </w:r>
            <w:r w:rsidR="00B82647" w:rsidRPr="0087340C">
              <w:rPr>
                <w:sz w:val="20"/>
                <w:szCs w:val="22"/>
                <w:vertAlign w:val="superscript"/>
                <w:lang w:eastAsia="de-DE"/>
              </w:rPr>
              <w:t>º</w:t>
            </w:r>
          </w:p>
        </w:tc>
        <w:tc>
          <w:tcPr>
            <w:tcW w:w="3686" w:type="dxa"/>
          </w:tcPr>
          <w:p w14:paraId="6A83950E" w14:textId="69B6863A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 xml:space="preserve">7 </w:t>
            </w:r>
            <w:r w:rsidR="00B82647" w:rsidRPr="0087340C">
              <w:rPr>
                <w:sz w:val="20"/>
                <w:szCs w:val="22"/>
                <w:lang w:eastAsia="de-DE"/>
              </w:rPr>
              <w:t>años</w:t>
            </w:r>
          </w:p>
        </w:tc>
        <w:tc>
          <w:tcPr>
            <w:tcW w:w="2106" w:type="dxa"/>
          </w:tcPr>
          <w:p w14:paraId="54FA34E4" w14:textId="77777777" w:rsidR="00546418" w:rsidRPr="0087340C" w:rsidRDefault="00546418" w:rsidP="00B826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  <w:lang w:eastAsia="de-DE"/>
              </w:rPr>
            </w:pPr>
            <w:r w:rsidRPr="0087340C">
              <w:rPr>
                <w:sz w:val="20"/>
                <w:szCs w:val="22"/>
                <w:lang w:eastAsia="de-DE"/>
              </w:rPr>
              <w:t>100%</w:t>
            </w:r>
          </w:p>
        </w:tc>
      </w:tr>
    </w:tbl>
    <w:p w14:paraId="751F8A1D" w14:textId="77777777" w:rsidR="0087340C" w:rsidRDefault="0087340C" w:rsidP="0087340C">
      <w:pPr>
        <w:pStyle w:val="Note"/>
        <w:spacing w:before="0"/>
      </w:pPr>
    </w:p>
    <w:p w14:paraId="1221A073" w14:textId="37709EE4" w:rsidR="00546418" w:rsidRPr="0087340C" w:rsidRDefault="00546418" w:rsidP="00B82647">
      <w:pPr>
        <w:pStyle w:val="Note"/>
      </w:pPr>
      <w:r w:rsidRPr="0087340C">
        <w:t>Not</w:t>
      </w:r>
      <w:r w:rsidR="00B82647" w:rsidRPr="0087340C">
        <w:t>a</w:t>
      </w:r>
      <w:r w:rsidRPr="0087340C">
        <w:t>:</w:t>
      </w:r>
      <w:r w:rsidR="0087340C">
        <w:t xml:space="preserve"> </w:t>
      </w:r>
      <w:r w:rsidR="00B82647" w:rsidRPr="0087340C">
        <w:t xml:space="preserve">La </w:t>
      </w:r>
      <w:proofErr w:type="spellStart"/>
      <w:r w:rsidR="00B82647" w:rsidRPr="0087340C">
        <w:t>CMR</w:t>
      </w:r>
      <w:proofErr w:type="spellEnd"/>
      <w:r w:rsidR="00B82647" w:rsidRPr="0087340C">
        <w:t xml:space="preserve">-19, al examinar los plazos de los objetivos intermedios y los factores de despliegue conexos del cuadro </w:t>
      </w:r>
      <w:r w:rsidR="00B82647" w:rsidRPr="0087340C">
        <w:rPr>
          <w:i/>
          <w:iCs/>
        </w:rPr>
        <w:t>supra</w:t>
      </w:r>
      <w:r w:rsidR="00B82647" w:rsidRPr="0087340C">
        <w:t xml:space="preserve">, podría considerar la posibilidad de otorgar cierto grado de flexibilidad a los operadores de satélites no </w:t>
      </w:r>
      <w:proofErr w:type="spellStart"/>
      <w:r w:rsidR="00B82647" w:rsidRPr="0087340C">
        <w:t>OSG</w:t>
      </w:r>
      <w:proofErr w:type="spellEnd"/>
      <w:r w:rsidR="00B82647" w:rsidRPr="0087340C">
        <w:t xml:space="preserve"> que no logren alcanzar los porcentajes asociados al primer </w:t>
      </w:r>
      <w:r w:rsidR="00A75685" w:rsidRPr="0087340C">
        <w:t>o</w:t>
      </w:r>
      <w:r w:rsidR="00B82647" w:rsidRPr="0087340C">
        <w:t xml:space="preserve"> al segundo objetivos, </w:t>
      </w:r>
      <w:r w:rsidR="001714D4" w:rsidRPr="0087340C">
        <w:t>dad</w:t>
      </w:r>
      <w:r w:rsidR="00FA48C0" w:rsidRPr="0087340C">
        <w:t>a la necesidad de lograrlos</w:t>
      </w:r>
      <w:r w:rsidR="001714D4" w:rsidRPr="0087340C">
        <w:t xml:space="preserve"> en el marco del objetivo</w:t>
      </w:r>
      <w:r w:rsidR="000164A1" w:rsidRPr="0087340C">
        <w:t xml:space="preserve"> siguiente</w:t>
      </w:r>
      <w:r w:rsidR="001714D4" w:rsidRPr="0087340C">
        <w:t>.</w:t>
      </w:r>
    </w:p>
    <w:p w14:paraId="2F15188C" w14:textId="74E53D51" w:rsidR="00546418" w:rsidRPr="0087340C" w:rsidRDefault="00A75685" w:rsidP="00B82647">
      <w:pPr>
        <w:pStyle w:val="Headingb"/>
        <w:rPr>
          <w:rFonts w:eastAsiaTheme="minorEastAsia"/>
        </w:rPr>
      </w:pPr>
      <w:r w:rsidRPr="0087340C">
        <w:rPr>
          <w:rFonts w:eastAsiaTheme="minorEastAsia"/>
        </w:rPr>
        <w:t>Puesta en servicio - Tolerancias vinculadas a los valores orbitales característicos</w:t>
      </w:r>
    </w:p>
    <w:p w14:paraId="3900F148" w14:textId="53197974" w:rsidR="00546418" w:rsidRDefault="00A75685" w:rsidP="00B82647">
      <w:proofErr w:type="spellStart"/>
      <w:r w:rsidRPr="0087340C">
        <w:t>Viet</w:t>
      </w:r>
      <w:proofErr w:type="spellEnd"/>
      <w:r w:rsidRPr="0087340C">
        <w:t xml:space="preserve"> </w:t>
      </w:r>
      <w:proofErr w:type="spellStart"/>
      <w:r w:rsidRPr="0087340C">
        <w:t>Nam</w:t>
      </w:r>
      <w:proofErr w:type="spellEnd"/>
      <w:r w:rsidRPr="0087340C">
        <w:t xml:space="preserve"> no apoya la aplicación de valores de tolerancia en esta fase, ya que</w:t>
      </w:r>
      <w:r w:rsidR="00546418" w:rsidRPr="0087340C">
        <w:t>, durante el presente ciclo de estudios, el UIT-R no ha elaborado fundamentos técnicos para determinar el grado de desviación que podrían tolerar las características de los planos orbitales notificados y las características de los planos orbitales asociados a cualquier estación espacial desplegada.</w:t>
      </w:r>
    </w:p>
    <w:p w14:paraId="13552D29" w14:textId="173843DD" w:rsidR="00B45FC8" w:rsidRPr="00B45FC8" w:rsidRDefault="00B45FC8" w:rsidP="00B82647">
      <w:pPr>
        <w:rPr>
          <w:b/>
          <w:lang w:val="en-US"/>
        </w:rPr>
      </w:pPr>
      <w:r w:rsidRPr="00B45FC8">
        <w:rPr>
          <w:lang w:val="en-US"/>
        </w:rPr>
        <w:br w:type="page"/>
      </w:r>
    </w:p>
    <w:p w14:paraId="6A3ACE59" w14:textId="6D746785" w:rsidR="00546418" w:rsidRPr="0087340C" w:rsidRDefault="00546418" w:rsidP="00B82647">
      <w:pPr>
        <w:pStyle w:val="Headingb"/>
        <w:rPr>
          <w:rFonts w:eastAsiaTheme="minorEastAsia"/>
          <w:lang w:eastAsia="ko-KR"/>
        </w:rPr>
      </w:pPr>
      <w:r w:rsidRPr="0087340C">
        <w:rPr>
          <w:rFonts w:eastAsiaTheme="minorEastAsia"/>
          <w:lang w:eastAsia="ko-KR"/>
        </w:rPr>
        <w:t>Prop</w:t>
      </w:r>
      <w:r w:rsidR="00A75685" w:rsidRPr="0087340C">
        <w:rPr>
          <w:rFonts w:eastAsiaTheme="minorEastAsia"/>
          <w:lang w:eastAsia="ko-KR"/>
        </w:rPr>
        <w:t>uestas</w:t>
      </w:r>
    </w:p>
    <w:p w14:paraId="7F8ED649" w14:textId="77777777" w:rsidR="00870182" w:rsidRPr="0087340C" w:rsidRDefault="00870182" w:rsidP="00870182">
      <w:pPr>
        <w:pStyle w:val="Proposal"/>
      </w:pPr>
      <w:r w:rsidRPr="0087340C">
        <w:tab/>
      </w:r>
      <w:proofErr w:type="spellStart"/>
      <w:r w:rsidRPr="0087340C">
        <w:t>VTN</w:t>
      </w:r>
      <w:proofErr w:type="spellEnd"/>
      <w:r w:rsidRPr="0087340C">
        <w:t>/</w:t>
      </w:r>
      <w:proofErr w:type="spellStart"/>
      <w:r w:rsidRPr="0087340C">
        <w:t>49A19A1</w:t>
      </w:r>
      <w:proofErr w:type="spellEnd"/>
      <w:r w:rsidRPr="0087340C">
        <w:t>/1</w:t>
      </w:r>
    </w:p>
    <w:p w14:paraId="25BFAA27" w14:textId="2745B1C1" w:rsidR="00870182" w:rsidRPr="0087340C" w:rsidRDefault="00B82647" w:rsidP="00870182">
      <w:pPr>
        <w:pStyle w:val="Headingb"/>
      </w:pPr>
      <w:r w:rsidRPr="0087340C">
        <w:t>Enfoque basado en objetivos intermedios</w:t>
      </w:r>
    </w:p>
    <w:p w14:paraId="44EF68EB" w14:textId="77777777" w:rsidR="00870182" w:rsidRPr="0087340C" w:rsidRDefault="00870182" w:rsidP="0098727A">
      <w:pPr>
        <w:spacing w:before="0"/>
        <w:rPr>
          <w:rFonts w:eastAsiaTheme="minorEastAsia"/>
        </w:rPr>
      </w:pPr>
    </w:p>
    <w:tbl>
      <w:tblPr>
        <w:tblStyle w:val="ECCTable-redheader"/>
        <w:tblW w:w="7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686"/>
        <w:gridCol w:w="2106"/>
      </w:tblGrid>
      <w:tr w:rsidR="00FA48C0" w:rsidRPr="0087340C" w14:paraId="087924B5" w14:textId="77777777" w:rsidTr="00E8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2F98D58A" w14:textId="1DB36777" w:rsidR="00FA48C0" w:rsidRPr="0087340C" w:rsidRDefault="00FA48C0" w:rsidP="00FA48C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Cs/>
                <w:color w:val="000000" w:themeColor="text1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Objetivos intermedios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77EA6E00" w14:textId="77777777" w:rsidR="00FA48C0" w:rsidRPr="0087340C" w:rsidRDefault="00FA48C0" w:rsidP="00FA48C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Cs/>
                <w:color w:val="000000" w:themeColor="text1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Plazos de los objetivos</w:t>
            </w:r>
          </w:p>
          <w:p w14:paraId="0F03B1A2" w14:textId="64904575" w:rsidR="00FA48C0" w:rsidRPr="00B45FC8" w:rsidRDefault="00FA48C0" w:rsidP="00FA48C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 w:val="0"/>
                <w:bCs/>
                <w:color w:val="FFFFFF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(número de años una vez concluido el plazo reglamentario de siete años o después del 1 de enero de 2021, si esta fecha es posterior)</w:t>
            </w:r>
            <w:bookmarkStart w:id="5" w:name="_GoBack"/>
            <w:bookmarkEnd w:id="5"/>
          </w:p>
        </w:tc>
        <w:tc>
          <w:tcPr>
            <w:tcW w:w="2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5" w:color="auto" w:fill="auto"/>
          </w:tcPr>
          <w:p w14:paraId="1BC24FB9" w14:textId="10BC0A0F" w:rsidR="00FA48C0" w:rsidRPr="0087340C" w:rsidRDefault="00FA48C0" w:rsidP="00FA48C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bCs/>
                <w:color w:val="000000" w:themeColor="text1"/>
                <w:sz w:val="20"/>
                <w:lang w:eastAsia="de-DE"/>
              </w:rPr>
            </w:pPr>
            <w:r w:rsidRPr="0087340C">
              <w:rPr>
                <w:bCs/>
                <w:color w:val="000000" w:themeColor="text1"/>
                <w:sz w:val="20"/>
                <w:lang w:eastAsia="de-DE"/>
              </w:rPr>
              <w:t>% mínimo requerido de satélites desplegados para lograr los objetivos</w:t>
            </w:r>
          </w:p>
        </w:tc>
      </w:tr>
      <w:tr w:rsidR="00870182" w:rsidRPr="0087340C" w14:paraId="386EF34B" w14:textId="77777777" w:rsidTr="00E87A57">
        <w:trPr>
          <w:trHeight w:val="75"/>
        </w:trPr>
        <w:tc>
          <w:tcPr>
            <w:tcW w:w="1669" w:type="dxa"/>
          </w:tcPr>
          <w:p w14:paraId="2A81E595" w14:textId="0F8C6770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>1</w:t>
            </w:r>
            <w:r w:rsidR="00B82647" w:rsidRPr="0087340C">
              <w:rPr>
                <w:sz w:val="20"/>
                <w:szCs w:val="22"/>
                <w:vertAlign w:val="superscript"/>
              </w:rPr>
              <w:t>º</w:t>
            </w:r>
          </w:p>
        </w:tc>
        <w:tc>
          <w:tcPr>
            <w:tcW w:w="3686" w:type="dxa"/>
          </w:tcPr>
          <w:p w14:paraId="545156F3" w14:textId="5AA1FBBA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 xml:space="preserve">2 </w:t>
            </w:r>
            <w:r w:rsidR="00B82647" w:rsidRPr="0087340C">
              <w:rPr>
                <w:sz w:val="20"/>
                <w:szCs w:val="22"/>
              </w:rPr>
              <w:t>años</w:t>
            </w:r>
          </w:p>
        </w:tc>
        <w:tc>
          <w:tcPr>
            <w:tcW w:w="2106" w:type="dxa"/>
          </w:tcPr>
          <w:p w14:paraId="4F818F9A" w14:textId="77777777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>10%</w:t>
            </w:r>
          </w:p>
        </w:tc>
      </w:tr>
      <w:tr w:rsidR="00870182" w:rsidRPr="0087340C" w14:paraId="0A1A7DF1" w14:textId="77777777" w:rsidTr="00E87A57">
        <w:trPr>
          <w:trHeight w:val="75"/>
        </w:trPr>
        <w:tc>
          <w:tcPr>
            <w:tcW w:w="1669" w:type="dxa"/>
          </w:tcPr>
          <w:p w14:paraId="137850C0" w14:textId="44CD9F1B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>2</w:t>
            </w:r>
            <w:r w:rsidR="00B82647" w:rsidRPr="0087340C">
              <w:rPr>
                <w:sz w:val="20"/>
                <w:szCs w:val="22"/>
              </w:rPr>
              <w:t>º</w:t>
            </w:r>
          </w:p>
        </w:tc>
        <w:tc>
          <w:tcPr>
            <w:tcW w:w="3686" w:type="dxa"/>
          </w:tcPr>
          <w:p w14:paraId="09BE9AB0" w14:textId="09B54BFE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 xml:space="preserve">4 </w:t>
            </w:r>
            <w:r w:rsidR="00B82647" w:rsidRPr="0087340C">
              <w:rPr>
                <w:sz w:val="20"/>
                <w:szCs w:val="22"/>
              </w:rPr>
              <w:t>años</w:t>
            </w:r>
          </w:p>
        </w:tc>
        <w:tc>
          <w:tcPr>
            <w:tcW w:w="2106" w:type="dxa"/>
          </w:tcPr>
          <w:p w14:paraId="7041099B" w14:textId="77777777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>40%</w:t>
            </w:r>
          </w:p>
        </w:tc>
      </w:tr>
      <w:tr w:rsidR="00870182" w:rsidRPr="0087340C" w14:paraId="7E8B1360" w14:textId="77777777" w:rsidTr="00E87A57">
        <w:trPr>
          <w:trHeight w:val="75"/>
        </w:trPr>
        <w:tc>
          <w:tcPr>
            <w:tcW w:w="1669" w:type="dxa"/>
          </w:tcPr>
          <w:p w14:paraId="355E3921" w14:textId="024E716B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>3</w:t>
            </w:r>
            <w:r w:rsidR="00B82647" w:rsidRPr="0087340C">
              <w:rPr>
                <w:sz w:val="20"/>
                <w:szCs w:val="22"/>
                <w:vertAlign w:val="superscript"/>
              </w:rPr>
              <w:t>º</w:t>
            </w:r>
          </w:p>
        </w:tc>
        <w:tc>
          <w:tcPr>
            <w:tcW w:w="3686" w:type="dxa"/>
          </w:tcPr>
          <w:p w14:paraId="7AC271C3" w14:textId="71409D0F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 xml:space="preserve">7 </w:t>
            </w:r>
            <w:r w:rsidR="00B82647" w:rsidRPr="0087340C">
              <w:rPr>
                <w:sz w:val="20"/>
                <w:szCs w:val="22"/>
              </w:rPr>
              <w:t>años</w:t>
            </w:r>
          </w:p>
        </w:tc>
        <w:tc>
          <w:tcPr>
            <w:tcW w:w="2106" w:type="dxa"/>
          </w:tcPr>
          <w:p w14:paraId="109350AF" w14:textId="77777777" w:rsidR="00870182" w:rsidRPr="0087340C" w:rsidRDefault="00870182" w:rsidP="00E87A5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szCs w:val="22"/>
              </w:rPr>
            </w:pPr>
            <w:r w:rsidRPr="0087340C">
              <w:rPr>
                <w:sz w:val="20"/>
                <w:szCs w:val="22"/>
              </w:rPr>
              <w:t>100%</w:t>
            </w:r>
          </w:p>
        </w:tc>
      </w:tr>
    </w:tbl>
    <w:p w14:paraId="7FDDE6F5" w14:textId="77777777" w:rsidR="0087340C" w:rsidRDefault="0087340C" w:rsidP="00870182">
      <w:pPr>
        <w:pStyle w:val="Note"/>
      </w:pPr>
    </w:p>
    <w:p w14:paraId="39721880" w14:textId="7EF253AA" w:rsidR="00870182" w:rsidRPr="0087340C" w:rsidRDefault="00870182" w:rsidP="00AC4BE4">
      <w:pPr>
        <w:pStyle w:val="Note"/>
      </w:pPr>
      <w:r w:rsidRPr="0087340C">
        <w:t>Not</w:t>
      </w:r>
      <w:r w:rsidR="00A75685" w:rsidRPr="0087340C">
        <w:t>a</w:t>
      </w:r>
      <w:r w:rsidRPr="0087340C">
        <w:t>:</w:t>
      </w:r>
      <w:r w:rsidR="0087340C">
        <w:t xml:space="preserve"> </w:t>
      </w:r>
      <w:r w:rsidR="00A75685" w:rsidRPr="0087340C">
        <w:t xml:space="preserve">La </w:t>
      </w:r>
      <w:proofErr w:type="spellStart"/>
      <w:r w:rsidR="00A75685" w:rsidRPr="0087340C">
        <w:t>CMR</w:t>
      </w:r>
      <w:proofErr w:type="spellEnd"/>
      <w:r w:rsidR="00A75685" w:rsidRPr="0087340C">
        <w:t xml:space="preserve">-19, al examinar los plazos de los objetivos intermedios y los factores de despliegue conexos del cuadro </w:t>
      </w:r>
      <w:r w:rsidR="00A75685" w:rsidRPr="0087340C">
        <w:rPr>
          <w:i/>
          <w:iCs/>
        </w:rPr>
        <w:t>supra</w:t>
      </w:r>
      <w:r w:rsidR="00A75685" w:rsidRPr="0087340C">
        <w:t xml:space="preserve">, podría considerar la posibilidad de otorgar cierto grado de flexibilidad a los operadores de satélites no </w:t>
      </w:r>
      <w:proofErr w:type="spellStart"/>
      <w:r w:rsidR="00A75685" w:rsidRPr="0087340C">
        <w:t>OSG</w:t>
      </w:r>
      <w:proofErr w:type="spellEnd"/>
      <w:r w:rsidR="00A75685" w:rsidRPr="0087340C">
        <w:t xml:space="preserve"> que no logren alcanzar los porcentajes asociados al primer o al segundo objetivos, </w:t>
      </w:r>
      <w:r w:rsidR="00FA48C0" w:rsidRPr="0087340C">
        <w:t>dada la necesidad de lograrlos en el marco del objetivo</w:t>
      </w:r>
      <w:r w:rsidR="000164A1" w:rsidRPr="0087340C">
        <w:t xml:space="preserve"> siguiente</w:t>
      </w:r>
      <w:r w:rsidR="00FA48C0" w:rsidRPr="0087340C">
        <w:t>.</w:t>
      </w:r>
    </w:p>
    <w:p w14:paraId="25D4172D" w14:textId="77777777" w:rsidR="0098727A" w:rsidRPr="0087340C" w:rsidRDefault="00A75685" w:rsidP="00411C49">
      <w:pPr>
        <w:pStyle w:val="Reasons"/>
      </w:pPr>
      <w:r w:rsidRPr="0087340C">
        <w:rPr>
          <w:b/>
        </w:rPr>
        <w:t>Motivos</w:t>
      </w:r>
      <w:r w:rsidR="00870182" w:rsidRPr="0087340C">
        <w:rPr>
          <w:b/>
        </w:rPr>
        <w:t>:</w:t>
      </w:r>
      <w:r w:rsidR="00870182" w:rsidRPr="0087340C">
        <w:tab/>
      </w:r>
      <w:r w:rsidRPr="0087340C">
        <w:t xml:space="preserve">Satisfacer el Tema A del punto 7 del orden del día de la </w:t>
      </w:r>
      <w:proofErr w:type="spellStart"/>
      <w:r w:rsidRPr="0087340C">
        <w:t>CMR</w:t>
      </w:r>
      <w:proofErr w:type="spellEnd"/>
      <w:r w:rsidRPr="0087340C">
        <w:t>-19.</w:t>
      </w:r>
    </w:p>
    <w:p w14:paraId="5489DFEE" w14:textId="77777777" w:rsidR="0098727A" w:rsidRPr="0087340C" w:rsidRDefault="0098727A">
      <w:pPr>
        <w:jc w:val="center"/>
      </w:pPr>
      <w:r w:rsidRPr="0087340C">
        <w:t>______________</w:t>
      </w:r>
    </w:p>
    <w:sectPr w:rsidR="0098727A" w:rsidRPr="0087340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07B1" w14:textId="77777777" w:rsidR="003C0613" w:rsidRDefault="003C0613">
      <w:r>
        <w:separator/>
      </w:r>
    </w:p>
  </w:endnote>
  <w:endnote w:type="continuationSeparator" w:id="0">
    <w:p w14:paraId="11DA42EE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E6C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7AD44" w14:textId="466AB8B8" w:rsidR="0077084A" w:rsidRPr="00E26B84" w:rsidRDefault="0077084A">
    <w:pPr>
      <w:ind w:right="360"/>
    </w:pPr>
    <w:r>
      <w:fldChar w:fldCharType="begin"/>
    </w:r>
    <w:r w:rsidRPr="00E26B84">
      <w:instrText xml:space="preserve"> FILENAME \p  \* MERGEFORMAT </w:instrText>
    </w:r>
    <w:r>
      <w:fldChar w:fldCharType="separate"/>
    </w:r>
    <w:r w:rsidR="00B45FC8">
      <w:rPr>
        <w:noProof/>
      </w:rPr>
      <w:t>P:\ESP\ITU-R\CONF-R\CMR19\000\049ADD19ADD01S.docx</w:t>
    </w:r>
    <w:r>
      <w:fldChar w:fldCharType="end"/>
    </w:r>
    <w:r w:rsidRPr="00E26B84">
      <w:tab/>
    </w:r>
    <w:r>
      <w:fldChar w:fldCharType="begin"/>
    </w:r>
    <w:r>
      <w:instrText xml:space="preserve"> SAVEDATE \@ DD.MM.YY </w:instrText>
    </w:r>
    <w:r>
      <w:fldChar w:fldCharType="separate"/>
    </w:r>
    <w:r w:rsidR="00B45FC8">
      <w:rPr>
        <w:noProof/>
      </w:rPr>
      <w:t>23.10.19</w:t>
    </w:r>
    <w:r>
      <w:fldChar w:fldCharType="end"/>
    </w:r>
    <w:r w:rsidRPr="00E26B84">
      <w:tab/>
    </w:r>
    <w:r>
      <w:fldChar w:fldCharType="begin"/>
    </w:r>
    <w:r>
      <w:instrText xml:space="preserve"> PRINTDATE \@ DD.MM.YY </w:instrText>
    </w:r>
    <w:r>
      <w:fldChar w:fldCharType="separate"/>
    </w:r>
    <w:r w:rsidR="00B45FC8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A96C" w14:textId="51D77DE5" w:rsidR="006F7D1F" w:rsidRPr="006F7D1F" w:rsidRDefault="006F7D1F" w:rsidP="006F7D1F">
    <w:pPr>
      <w:pStyle w:val="Footer"/>
    </w:pPr>
    <w:fldSimple w:instr=" FILENAME \p  \* MERGEFORMAT ">
      <w:r w:rsidR="00B45FC8">
        <w:t>P:\ESP\ITU-R\CONF-R\CMR19\000\049ADD19ADD01S.docx</w:t>
      </w:r>
    </w:fldSimple>
    <w:r w:rsidRPr="006F7D1F">
      <w:t xml:space="preserve"> (462057)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11CF" w14:textId="1A9F0AF7" w:rsidR="006F7D1F" w:rsidRPr="00546418" w:rsidRDefault="006F7D1F" w:rsidP="006F7D1F">
    <w:pPr>
      <w:pStyle w:val="Footer"/>
      <w:rPr>
        <w:lang w:val="en-US"/>
      </w:rPr>
    </w:pPr>
    <w:r w:rsidRPr="006F7D1F">
      <w:rPr>
        <w:lang w:val="en-US"/>
      </w:rPr>
      <w:fldChar w:fldCharType="begin"/>
    </w:r>
    <w:r w:rsidRPr="006F7D1F">
      <w:rPr>
        <w:lang w:val="en-US"/>
      </w:rPr>
      <w:instrText xml:space="preserve"> FILENAME \p  \* MERGEFORMAT </w:instrText>
    </w:r>
    <w:r w:rsidRPr="006F7D1F">
      <w:rPr>
        <w:lang w:val="en-US"/>
      </w:rPr>
      <w:fldChar w:fldCharType="separate"/>
    </w:r>
    <w:r w:rsidR="00B45FC8">
      <w:rPr>
        <w:lang w:val="en-US"/>
      </w:rPr>
      <w:t>P:\ESP\ITU-R\CONF-R\CMR19\000\049ADD19ADD01S.docx</w:t>
    </w:r>
    <w:r w:rsidRPr="006F7D1F">
      <w:rPr>
        <w:lang w:val="en-US"/>
      </w:rPr>
      <w:fldChar w:fldCharType="end"/>
    </w:r>
    <w:r w:rsidRPr="006F7D1F">
      <w:rPr>
        <w:lang w:val="en-US"/>
      </w:rPr>
      <w:t xml:space="preserve"> (</w:t>
    </w:r>
    <w:r>
      <w:rPr>
        <w:lang w:val="en-US"/>
      </w:rPr>
      <w:t>462057</w:t>
    </w:r>
    <w:r w:rsidRPr="006F7D1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945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5BA89E3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F2D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23CD24" w14:textId="77777777" w:rsidR="0077084A" w:rsidRDefault="008750A8" w:rsidP="00C44E9E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C44E9E">
      <w:rPr>
        <w:lang w:val="en-US"/>
      </w:rPr>
      <w:t>9</w:t>
    </w:r>
    <w:proofErr w:type="spellEnd"/>
    <w:r>
      <w:rPr>
        <w:lang w:val="en-US"/>
      </w:rPr>
      <w:t>/</w:t>
    </w:r>
    <w:r w:rsidR="00702F3D">
      <w:t>49(</w:t>
    </w:r>
    <w:proofErr w:type="spellStart"/>
    <w:r w:rsidR="00702F3D">
      <w:t>Add.</w:t>
    </w:r>
    <w:proofErr w:type="gramStart"/>
    <w:r w:rsidR="00702F3D">
      <w:t>19</w:t>
    </w:r>
    <w:proofErr w:type="spellEnd"/>
    <w:r w:rsidR="00702F3D">
      <w:t>)(</w:t>
    </w:r>
    <w:proofErr w:type="spellStart"/>
    <w:proofErr w:type="gramEnd"/>
    <w:r w:rsidR="00702F3D">
      <w:t>Add.1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64A1"/>
    <w:rsid w:val="0002785D"/>
    <w:rsid w:val="0007622F"/>
    <w:rsid w:val="00087AE8"/>
    <w:rsid w:val="000A5B9A"/>
    <w:rsid w:val="000E5BF9"/>
    <w:rsid w:val="000F0E6D"/>
    <w:rsid w:val="00121170"/>
    <w:rsid w:val="00123CC5"/>
    <w:rsid w:val="0015142D"/>
    <w:rsid w:val="00151589"/>
    <w:rsid w:val="001616DC"/>
    <w:rsid w:val="00163962"/>
    <w:rsid w:val="001714D4"/>
    <w:rsid w:val="00191A97"/>
    <w:rsid w:val="0019729C"/>
    <w:rsid w:val="001A083F"/>
    <w:rsid w:val="001C41FA"/>
    <w:rsid w:val="001E2B52"/>
    <w:rsid w:val="001E3F27"/>
    <w:rsid w:val="001E7D42"/>
    <w:rsid w:val="00236148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25D0"/>
    <w:rsid w:val="003248A9"/>
    <w:rsid w:val="00324FFA"/>
    <w:rsid w:val="0032680B"/>
    <w:rsid w:val="0034649F"/>
    <w:rsid w:val="00363A65"/>
    <w:rsid w:val="003A1BAD"/>
    <w:rsid w:val="003B1E8C"/>
    <w:rsid w:val="003C0613"/>
    <w:rsid w:val="003C2508"/>
    <w:rsid w:val="003D0AA3"/>
    <w:rsid w:val="003E2086"/>
    <w:rsid w:val="003F7F66"/>
    <w:rsid w:val="004007E4"/>
    <w:rsid w:val="00411974"/>
    <w:rsid w:val="00440B3A"/>
    <w:rsid w:val="0044375A"/>
    <w:rsid w:val="0045384C"/>
    <w:rsid w:val="00454553"/>
    <w:rsid w:val="00472A86"/>
    <w:rsid w:val="004B124A"/>
    <w:rsid w:val="004B3095"/>
    <w:rsid w:val="004D2C7C"/>
    <w:rsid w:val="004E3235"/>
    <w:rsid w:val="005133B5"/>
    <w:rsid w:val="00524392"/>
    <w:rsid w:val="00532097"/>
    <w:rsid w:val="00546418"/>
    <w:rsid w:val="0058350F"/>
    <w:rsid w:val="00583C7E"/>
    <w:rsid w:val="00587869"/>
    <w:rsid w:val="0059098E"/>
    <w:rsid w:val="005C5B6D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F7D1F"/>
    <w:rsid w:val="00701C20"/>
    <w:rsid w:val="00702F3D"/>
    <w:rsid w:val="0070518E"/>
    <w:rsid w:val="007354E9"/>
    <w:rsid w:val="007424E8"/>
    <w:rsid w:val="0074579D"/>
    <w:rsid w:val="00765578"/>
    <w:rsid w:val="00766333"/>
    <w:rsid w:val="0077031D"/>
    <w:rsid w:val="0077084A"/>
    <w:rsid w:val="007952C7"/>
    <w:rsid w:val="007C0B95"/>
    <w:rsid w:val="007C2317"/>
    <w:rsid w:val="007D330A"/>
    <w:rsid w:val="00866AE6"/>
    <w:rsid w:val="00870182"/>
    <w:rsid w:val="0087340C"/>
    <w:rsid w:val="008750A8"/>
    <w:rsid w:val="008D3316"/>
    <w:rsid w:val="008E5AF2"/>
    <w:rsid w:val="0090121B"/>
    <w:rsid w:val="009144C9"/>
    <w:rsid w:val="009252B0"/>
    <w:rsid w:val="0094091F"/>
    <w:rsid w:val="00962171"/>
    <w:rsid w:val="00973754"/>
    <w:rsid w:val="0098727A"/>
    <w:rsid w:val="0099341E"/>
    <w:rsid w:val="009C0BED"/>
    <w:rsid w:val="009E11EC"/>
    <w:rsid w:val="00A021CC"/>
    <w:rsid w:val="00A118DB"/>
    <w:rsid w:val="00A26FD4"/>
    <w:rsid w:val="00A4450C"/>
    <w:rsid w:val="00A75685"/>
    <w:rsid w:val="00AA5E6C"/>
    <w:rsid w:val="00AC4BE4"/>
    <w:rsid w:val="00AE5677"/>
    <w:rsid w:val="00AE658F"/>
    <w:rsid w:val="00AF2F78"/>
    <w:rsid w:val="00B14609"/>
    <w:rsid w:val="00B239FA"/>
    <w:rsid w:val="00B372AB"/>
    <w:rsid w:val="00B413F2"/>
    <w:rsid w:val="00B45FC8"/>
    <w:rsid w:val="00B47331"/>
    <w:rsid w:val="00B52D55"/>
    <w:rsid w:val="00B82647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400D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3E5F"/>
    <w:rsid w:val="00E262F1"/>
    <w:rsid w:val="00E26B84"/>
    <w:rsid w:val="00E3176A"/>
    <w:rsid w:val="00E36CE4"/>
    <w:rsid w:val="00E513B0"/>
    <w:rsid w:val="00E54754"/>
    <w:rsid w:val="00E56BD3"/>
    <w:rsid w:val="00E71D14"/>
    <w:rsid w:val="00EA77F0"/>
    <w:rsid w:val="00EA7A91"/>
    <w:rsid w:val="00F32316"/>
    <w:rsid w:val="00F66597"/>
    <w:rsid w:val="00F675D0"/>
    <w:rsid w:val="00F8150C"/>
    <w:rsid w:val="00FA48C0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77AD01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customStyle="1" w:styleId="ECCTable-redheader2">
    <w:name w:val="ECC Table - red header2"/>
    <w:basedOn w:val="TableNormal"/>
    <w:uiPriority w:val="99"/>
    <w:rsid w:val="00546418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  <w:vAlign w:val="center"/>
      </w:tcPr>
    </w:tblStylePr>
  </w:style>
  <w:style w:type="paragraph" w:styleId="BalloonText">
    <w:name w:val="Balloon Text"/>
    <w:basedOn w:val="Normal"/>
    <w:link w:val="BalloonTextChar"/>
    <w:semiHidden/>
    <w:unhideWhenUsed/>
    <w:rsid w:val="005464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6418"/>
    <w:rPr>
      <w:rFonts w:ascii="Segoe UI" w:hAnsi="Segoe UI" w:cs="Segoe UI"/>
      <w:sz w:val="18"/>
      <w:szCs w:val="18"/>
      <w:lang w:val="es-ES_tradnl" w:eastAsia="en-US"/>
    </w:rPr>
  </w:style>
  <w:style w:type="character" w:styleId="Hyperlink">
    <w:name w:val="Hyperlink"/>
    <w:basedOn w:val="DefaultParagraphFont"/>
    <w:unhideWhenUsed/>
    <w:rsid w:val="000762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22F"/>
    <w:rPr>
      <w:color w:val="605E5C"/>
      <w:shd w:val="clear" w:color="auto" w:fill="E1DFDD"/>
    </w:rPr>
  </w:style>
  <w:style w:type="table" w:customStyle="1" w:styleId="ECCTable-redheader">
    <w:name w:val="ECC Table - red header"/>
    <w:basedOn w:val="TableNormal"/>
    <w:uiPriority w:val="99"/>
    <w:rsid w:val="00870182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A65382-2382-429D-AFFD-3F3EECD4DE2E}">
  <ds:schemaRefs>
    <ds:schemaRef ds:uri="http://purl.org/dc/terms/"/>
    <ds:schemaRef ds:uri="http://www.w3.org/XML/1998/namespace"/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111DFA-4B14-475F-96B5-6596955A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607</Words>
  <Characters>3256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R16-WRC19-C-0049!A19-A1!MSW-S</vt:lpstr>
    </vt:vector>
  </TitlesOfParts>
  <Manager>Secretaría General - Pool</Manager>
  <Company>Unión Internacional de Telecomunicaciones (UIT)</Company>
  <LinksUpToDate>false</LinksUpToDate>
  <CharactersWithSpaces>3840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R16-WRC19-C-0049!A19-A1!MSW-S</dc:title>
  <dc:subject>Conferencia Mundial de Radiocomunicaciones - 2019</dc:subject>
  <dc:creator>Documents Proposals Manager (DPM)</dc:creator>
  <cp:keywords>DPM_v2019.10.8.1_prod</cp:keywords>
  <dc:description/>
  <cp:lastModifiedBy>Spanish1</cp:lastModifiedBy>
  <cp:revision>13</cp:revision>
  <cp:lastPrinted>2019-10-23T01:16:00Z</cp:lastPrinted>
  <dcterms:created xsi:type="dcterms:W3CDTF">2019-10-14T11:34:00Z</dcterms:created>
  <dcterms:modified xsi:type="dcterms:W3CDTF">2019-10-23T03:24:00Z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