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F5B10" w14:paraId="77FF3805" w14:textId="77777777" w:rsidTr="0050008E">
        <w:trPr>
          <w:cantSplit/>
        </w:trPr>
        <w:tc>
          <w:tcPr>
            <w:tcW w:w="6911" w:type="dxa"/>
          </w:tcPr>
          <w:p w14:paraId="4A31284D" w14:textId="77777777" w:rsidR="0090121B" w:rsidRPr="003F5B10" w:rsidRDefault="005D46FB" w:rsidP="003F5B10">
            <w:pPr>
              <w:spacing w:before="400" w:after="48"/>
              <w:rPr>
                <w:rFonts w:ascii="Verdana" w:hAnsi="Verdana"/>
                <w:position w:val="6"/>
              </w:rPr>
            </w:pPr>
            <w:r w:rsidRPr="003F5B1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F5B1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F5B1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F5B1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F5B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AE400CA" w14:textId="77777777" w:rsidR="0090121B" w:rsidRPr="003F5B10" w:rsidRDefault="00DA71A3" w:rsidP="003F5B10">
            <w:pPr>
              <w:spacing w:before="0"/>
              <w:jc w:val="right"/>
            </w:pPr>
            <w:r w:rsidRPr="003F5B10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09E3ADE4" wp14:editId="7E92ACF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F5B10" w14:paraId="2A36F2B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151493" w14:textId="77777777" w:rsidR="0090121B" w:rsidRPr="003F5B10" w:rsidRDefault="0090121B" w:rsidP="003F5B10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C30F83" w14:textId="77777777" w:rsidR="0090121B" w:rsidRPr="003F5B10" w:rsidRDefault="0090121B" w:rsidP="003F5B1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F5B10" w14:paraId="7C2DAF4E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099C44" w14:textId="77777777" w:rsidR="0090121B" w:rsidRPr="003F5B10" w:rsidRDefault="0090121B" w:rsidP="003F5B1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BC8B03" w14:textId="77777777" w:rsidR="0090121B" w:rsidRPr="003F5B10" w:rsidRDefault="0090121B" w:rsidP="003F5B1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F5B10" w14:paraId="5BAE79DE" w14:textId="77777777" w:rsidTr="0090121B">
        <w:trPr>
          <w:cantSplit/>
        </w:trPr>
        <w:tc>
          <w:tcPr>
            <w:tcW w:w="6911" w:type="dxa"/>
          </w:tcPr>
          <w:p w14:paraId="7FAB2C88" w14:textId="77777777" w:rsidR="0090121B" w:rsidRPr="003F5B10" w:rsidRDefault="001E7D42" w:rsidP="003F5B10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F5B1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4D85E81" w14:textId="77777777" w:rsidR="0090121B" w:rsidRPr="003F5B10" w:rsidRDefault="00AE658F" w:rsidP="003F5B10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F5B10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3F5B10">
              <w:rPr>
                <w:rFonts w:ascii="Verdana" w:hAnsi="Verdana"/>
                <w:b/>
                <w:sz w:val="18"/>
                <w:szCs w:val="18"/>
              </w:rPr>
              <w:br/>
              <w:t>Documento 54(Add.19)</w:t>
            </w:r>
            <w:r w:rsidR="0090121B" w:rsidRPr="003F5B1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F5B1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F5B10" w14:paraId="76F8E7AF" w14:textId="77777777" w:rsidTr="0090121B">
        <w:trPr>
          <w:cantSplit/>
        </w:trPr>
        <w:tc>
          <w:tcPr>
            <w:tcW w:w="6911" w:type="dxa"/>
          </w:tcPr>
          <w:p w14:paraId="4F860EEB" w14:textId="77777777" w:rsidR="000A5B9A" w:rsidRPr="003F5B10" w:rsidRDefault="000A5B9A" w:rsidP="003F5B1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4F71BF8" w14:textId="77777777" w:rsidR="000A5B9A" w:rsidRPr="003F5B10" w:rsidRDefault="000A5B9A" w:rsidP="003F5B1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5B10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3F5B10" w14:paraId="2E66BA4E" w14:textId="77777777" w:rsidTr="0090121B">
        <w:trPr>
          <w:cantSplit/>
        </w:trPr>
        <w:tc>
          <w:tcPr>
            <w:tcW w:w="6911" w:type="dxa"/>
          </w:tcPr>
          <w:p w14:paraId="45DD28AC" w14:textId="77777777" w:rsidR="000A5B9A" w:rsidRPr="003F5B10" w:rsidRDefault="000A5B9A" w:rsidP="003F5B1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06E3150" w14:textId="77777777" w:rsidR="000A5B9A" w:rsidRPr="003F5B10" w:rsidRDefault="000A5B9A" w:rsidP="003F5B1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5B1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F5B10" w14:paraId="2403758E" w14:textId="77777777" w:rsidTr="006744FC">
        <w:trPr>
          <w:cantSplit/>
        </w:trPr>
        <w:tc>
          <w:tcPr>
            <w:tcW w:w="10031" w:type="dxa"/>
            <w:gridSpan w:val="2"/>
          </w:tcPr>
          <w:p w14:paraId="36061FEC" w14:textId="77777777" w:rsidR="000A5B9A" w:rsidRPr="003F5B10" w:rsidRDefault="000A5B9A" w:rsidP="003F5B10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F5B10" w14:paraId="244D9A9F" w14:textId="77777777" w:rsidTr="0050008E">
        <w:trPr>
          <w:cantSplit/>
        </w:trPr>
        <w:tc>
          <w:tcPr>
            <w:tcW w:w="10031" w:type="dxa"/>
            <w:gridSpan w:val="2"/>
          </w:tcPr>
          <w:p w14:paraId="33C193BD" w14:textId="77777777" w:rsidR="000A5B9A" w:rsidRPr="003F5B10" w:rsidRDefault="000A5B9A" w:rsidP="003F5B10">
            <w:pPr>
              <w:pStyle w:val="Source"/>
            </w:pPr>
            <w:bookmarkStart w:id="1" w:name="dsource" w:colFirst="0" w:colLast="0"/>
            <w:r w:rsidRPr="003F5B10">
              <w:t>Samoa (Estado Independiente de)/Singapur (República de)</w:t>
            </w:r>
          </w:p>
        </w:tc>
      </w:tr>
      <w:tr w:rsidR="000A5B9A" w:rsidRPr="003F5B10" w14:paraId="154427FD" w14:textId="77777777" w:rsidTr="0050008E">
        <w:trPr>
          <w:cantSplit/>
        </w:trPr>
        <w:tc>
          <w:tcPr>
            <w:tcW w:w="10031" w:type="dxa"/>
            <w:gridSpan w:val="2"/>
          </w:tcPr>
          <w:p w14:paraId="50317AE3" w14:textId="77777777" w:rsidR="000A5B9A" w:rsidRPr="003F5B10" w:rsidRDefault="000A5B9A" w:rsidP="003F5B10">
            <w:pPr>
              <w:pStyle w:val="Title1"/>
            </w:pPr>
            <w:bookmarkStart w:id="2" w:name="dtitle1" w:colFirst="0" w:colLast="0"/>
            <w:bookmarkEnd w:id="1"/>
            <w:r w:rsidRPr="003F5B10">
              <w:t>Propuestas para los trabajos de la Conferencia</w:t>
            </w:r>
          </w:p>
        </w:tc>
      </w:tr>
      <w:tr w:rsidR="000A5B9A" w:rsidRPr="003F5B10" w14:paraId="1FB22641" w14:textId="77777777" w:rsidTr="0050008E">
        <w:trPr>
          <w:cantSplit/>
        </w:trPr>
        <w:tc>
          <w:tcPr>
            <w:tcW w:w="10031" w:type="dxa"/>
            <w:gridSpan w:val="2"/>
          </w:tcPr>
          <w:p w14:paraId="72BEE05C" w14:textId="77777777" w:rsidR="000A5B9A" w:rsidRPr="003F5B10" w:rsidRDefault="000A5B9A" w:rsidP="003F5B10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F5B10" w14:paraId="0D777E2A" w14:textId="77777777" w:rsidTr="0050008E">
        <w:trPr>
          <w:cantSplit/>
        </w:trPr>
        <w:tc>
          <w:tcPr>
            <w:tcW w:w="10031" w:type="dxa"/>
            <w:gridSpan w:val="2"/>
          </w:tcPr>
          <w:p w14:paraId="107256C5" w14:textId="77777777" w:rsidR="000A5B9A" w:rsidRPr="003F5B10" w:rsidRDefault="000A5B9A" w:rsidP="003F5B10">
            <w:pPr>
              <w:pStyle w:val="Agendaitem"/>
            </w:pPr>
            <w:bookmarkStart w:id="4" w:name="dtitle3" w:colFirst="0" w:colLast="0"/>
            <w:bookmarkEnd w:id="3"/>
            <w:r w:rsidRPr="003F5B10">
              <w:t>Punto 7(G) del orden del día</w:t>
            </w:r>
          </w:p>
        </w:tc>
      </w:tr>
    </w:tbl>
    <w:bookmarkEnd w:id="4"/>
    <w:p w14:paraId="3C2FC662" w14:textId="77E15235" w:rsidR="001C0E40" w:rsidRPr="003F5B10" w:rsidRDefault="00515B8A" w:rsidP="003F5B10">
      <w:r w:rsidRPr="003F5B10">
        <w:t>7</w:t>
      </w:r>
      <w:r w:rsidRPr="003F5B10">
        <w:tab/>
        <w:t xml:space="preserve">considerar posibles modificaciones y otras opciones para responder a lo </w:t>
      </w:r>
      <w:r w:rsidR="003F5B10" w:rsidRPr="003F5B10">
        <w:t>dispuesto en la Resolución </w:t>
      </w:r>
      <w:r w:rsidRPr="003F5B10">
        <w:t>86 (Rev. Marrakech, 2002) de la Con</w:t>
      </w:r>
      <w:r w:rsidR="00B27EB4" w:rsidRPr="003F5B10">
        <w:t>ferencia de Plenipotenciarios: «</w:t>
      </w:r>
      <w:r w:rsidRPr="003F5B10">
        <w:t>Procedimientos de publicación anticipada, de coordinación, de notificación y de inscripción de asignaciones de f</w:t>
      </w:r>
      <w:r w:rsidR="00B27EB4" w:rsidRPr="003F5B10">
        <w:t>recuencias de redes de satélite»</w:t>
      </w:r>
      <w:r w:rsidRPr="003F5B10">
        <w:t xml:space="preserve"> de conformidad co</w:t>
      </w:r>
      <w:r w:rsidR="00073A89" w:rsidRPr="003F5B10">
        <w:t>n la Resolución </w:t>
      </w:r>
      <w:r w:rsidRPr="003F5B10">
        <w:rPr>
          <w:b/>
          <w:bCs/>
        </w:rPr>
        <w:t>86 (Rev.CMR-07</w:t>
      </w:r>
      <w:r w:rsidRPr="003F5B10">
        <w:rPr>
          <w:b/>
        </w:rPr>
        <w:t xml:space="preserve">) </w:t>
      </w:r>
      <w:r w:rsidRPr="003F5B10">
        <w:rPr>
          <w:bCs/>
        </w:rPr>
        <w:t>para facilitar el uso racional, eficiente y económico de las radiofrecuencias y órbitas asociadas, incluida la órbita de los satélites geoestacionarios</w:t>
      </w:r>
      <w:r w:rsidRPr="003F5B10">
        <w:t>;</w:t>
      </w:r>
    </w:p>
    <w:p w14:paraId="0FDA6F20" w14:textId="77777777" w:rsidR="001C0E40" w:rsidRPr="003F5B10" w:rsidRDefault="00515B8A" w:rsidP="003F5B10">
      <w:r w:rsidRPr="003F5B10">
        <w:t>7(G)</w:t>
      </w:r>
      <w:r w:rsidRPr="003F5B10">
        <w:tab/>
        <w:t>Tema G – Actualización de la situación de referencia para las rede</w:t>
      </w:r>
      <w:r w:rsidR="00073A89" w:rsidRPr="003F5B10">
        <w:t>s de las Regiones </w:t>
      </w:r>
      <w:r w:rsidRPr="003F5B10">
        <w:t xml:space="preserve">1 </w:t>
      </w:r>
      <w:r w:rsidR="00073A89" w:rsidRPr="003F5B10">
        <w:t>y 3 con arreglo a los Apéndices </w:t>
      </w:r>
      <w:r w:rsidRPr="003F5B10">
        <w:rPr>
          <w:b/>
          <w:bCs/>
        </w:rPr>
        <w:t>30</w:t>
      </w:r>
      <w:r w:rsidRPr="003F5B10">
        <w:t xml:space="preserve"> y </w:t>
      </w:r>
      <w:r w:rsidRPr="003F5B10">
        <w:rPr>
          <w:b/>
          <w:bCs/>
        </w:rPr>
        <w:t>30A</w:t>
      </w:r>
      <w:r w:rsidRPr="003F5B10">
        <w:t xml:space="preserve"> del RR cuando las asignaciones inscritas a título provisional se convierten en asignaciones inscritas definitivas</w:t>
      </w:r>
    </w:p>
    <w:p w14:paraId="49E5EA14" w14:textId="77777777" w:rsidR="003C46D4" w:rsidRPr="003F5B10" w:rsidRDefault="002A05B4" w:rsidP="003F5B10">
      <w:pPr>
        <w:pStyle w:val="Headingb"/>
      </w:pPr>
      <w:r w:rsidRPr="003F5B10">
        <w:t>Introducción</w:t>
      </w:r>
    </w:p>
    <w:p w14:paraId="1451D7BC" w14:textId="41CAEF80" w:rsidR="003C46D4" w:rsidRPr="003F5B10" w:rsidRDefault="002A05B4" w:rsidP="003F5B10">
      <w:r w:rsidRPr="003F5B10">
        <w:t>E</w:t>
      </w:r>
      <w:r w:rsidR="003C46D4" w:rsidRPr="003F5B10">
        <w:t xml:space="preserve">n el caso de </w:t>
      </w:r>
      <w:r w:rsidRPr="003F5B10">
        <w:t>l</w:t>
      </w:r>
      <w:r w:rsidR="003C46D4" w:rsidRPr="003F5B10">
        <w:t xml:space="preserve">a inscripción </w:t>
      </w:r>
      <w:r w:rsidRPr="003F5B10">
        <w:t xml:space="preserve">de asignaciones </w:t>
      </w:r>
      <w:r w:rsidR="003C46D4" w:rsidRPr="003F5B10">
        <w:t xml:space="preserve">en la Lista con requisitos de coordinación pendientes, </w:t>
      </w:r>
      <w:r w:rsidRPr="003F5B10">
        <w:t>esta inscripción será provisional y la inscripción en la Lista sólo dejará de ser provisional y se convertirá en definitiva cuando se informe a la Oficina de que la nueva asignación que fig</w:t>
      </w:r>
      <w:r w:rsidR="003F5B10" w:rsidRPr="003F5B10">
        <w:t>ura en la Lista de las Regiones </w:t>
      </w:r>
      <w:r w:rsidRPr="003F5B10">
        <w:t xml:space="preserve">1 y 3 se ha utilizado, junto con la asignación que suscitó el desacuerdo, durante por lo menos cuatro meses, sin que se haya formulado reclamación alguna por interferencias perjudiciales, tal como se indica en el </w:t>
      </w:r>
      <w:r w:rsidR="003F5B10" w:rsidRPr="003F5B10">
        <w:t>§ </w:t>
      </w:r>
      <w:r w:rsidR="00AB3FB5">
        <w:t>4.1.18 de los Apéndices </w:t>
      </w:r>
      <w:r w:rsidRPr="003F5B10">
        <w:rPr>
          <w:b/>
          <w:bCs/>
        </w:rPr>
        <w:t>30</w:t>
      </w:r>
      <w:r w:rsidRPr="003F5B10">
        <w:t xml:space="preserve"> y </w:t>
      </w:r>
      <w:r w:rsidRPr="003F5B10">
        <w:rPr>
          <w:b/>
          <w:bCs/>
        </w:rPr>
        <w:t>30A</w:t>
      </w:r>
      <w:r w:rsidRPr="003F5B10">
        <w:t xml:space="preserve"> del RR</w:t>
      </w:r>
      <w:r w:rsidR="003C46D4" w:rsidRPr="003F5B10">
        <w:t>.</w:t>
      </w:r>
    </w:p>
    <w:p w14:paraId="22CE124D" w14:textId="23D9B4C7" w:rsidR="003C46D4" w:rsidRPr="003F5B10" w:rsidRDefault="009D617D" w:rsidP="003F5B10">
      <w:r w:rsidRPr="003F5B10">
        <w:t>A</w:t>
      </w:r>
      <w:r w:rsidR="003C46D4" w:rsidRPr="003F5B10">
        <w:t>l inscribir asignaciones a una red a título provisional en la Lista, no se actualiza la situación de referencia de las redes que son objeto de interferencia con las que no se ha llevado a cabo la coordinación</w:t>
      </w:r>
      <w:r w:rsidRPr="003F5B10">
        <w:t>, con arreglo en lo dispuesto en el § 4.1.18</w:t>
      </w:r>
      <w:r w:rsidRPr="003F5B10">
        <w:rPr>
          <w:i/>
          <w:iCs/>
        </w:rPr>
        <w:t>bis</w:t>
      </w:r>
      <w:r w:rsidR="003C46D4" w:rsidRPr="003F5B10">
        <w:t>. S</w:t>
      </w:r>
      <w:r w:rsidR="003F5B10" w:rsidRPr="003F5B10">
        <w:t>in embargo, en los Apéndices </w:t>
      </w:r>
      <w:r w:rsidR="003C46D4" w:rsidRPr="003F5B10">
        <w:rPr>
          <w:b/>
          <w:bCs/>
        </w:rPr>
        <w:t>30</w:t>
      </w:r>
      <w:r w:rsidR="003F5B10" w:rsidRPr="003F5B10">
        <w:t xml:space="preserve"> y </w:t>
      </w:r>
      <w:r w:rsidR="003C46D4" w:rsidRPr="003F5B10">
        <w:rPr>
          <w:b/>
          <w:bCs/>
        </w:rPr>
        <w:t>30A</w:t>
      </w:r>
      <w:r w:rsidR="003C46D4" w:rsidRPr="003F5B10">
        <w:t xml:space="preserve"> del RR no se especifica actualmente si la Oficina deberá actualizar la situación de referencia de la red con la que subsiste desacuerdo</w:t>
      </w:r>
      <w:bookmarkStart w:id="5" w:name="_GoBack"/>
      <w:bookmarkEnd w:id="5"/>
      <w:r w:rsidR="003C46D4" w:rsidRPr="003F5B10">
        <w:t xml:space="preserve"> si las asignaciones inscritas a título provisional se modifican para que pasen a inscribirse definitivamente; la Oficina aún no ha tenido que afrontar una situación de estas características.</w:t>
      </w:r>
    </w:p>
    <w:p w14:paraId="56A0E6FE" w14:textId="77777777" w:rsidR="00A43773" w:rsidRPr="003F5B10" w:rsidRDefault="003C46D4" w:rsidP="003F5B10">
      <w:pPr>
        <w:rPr>
          <w:color w:val="000000" w:themeColor="text1"/>
        </w:rPr>
      </w:pPr>
      <w:r w:rsidRPr="003F5B10">
        <w:t>Dependiendo de la situación de referencia inicial de la red afectada y de la situación de referencia que existiría al tener en cuenta la interferencia de la red para la que no se ha otorgado el acuerdo, cabe observar que los efectos con respecto a su protección frente a presentaciones ulteriores variarán en función de si se actualiza o no la situación de referencia</w:t>
      </w:r>
      <w:r w:rsidRPr="003F5B10">
        <w:rPr>
          <w:color w:val="000000" w:themeColor="text1"/>
        </w:rPr>
        <w:t>.</w:t>
      </w:r>
    </w:p>
    <w:p w14:paraId="75CA8200" w14:textId="2D006E66" w:rsidR="00A43773" w:rsidRPr="003F5B10" w:rsidRDefault="009D617D" w:rsidP="003F5B10">
      <w:pPr>
        <w:rPr>
          <w:color w:val="000000" w:themeColor="text1"/>
        </w:rPr>
      </w:pPr>
      <w:r w:rsidRPr="003F5B10">
        <w:lastRenderedPageBreak/>
        <w:t>Con el objeto de abordar este tema, uno de los m</w:t>
      </w:r>
      <w:r w:rsidR="003F5B10" w:rsidRPr="003F5B10">
        <w:t>étodos identificados, el Método </w:t>
      </w:r>
      <w:r w:rsidRPr="003F5B10">
        <w:t xml:space="preserve">G1, </w:t>
      </w:r>
      <w:r w:rsidR="00A43773" w:rsidRPr="003F5B10">
        <w:t>prescribe que cuando se haya incluido una r</w:t>
      </w:r>
      <w:r w:rsidR="003F5B10" w:rsidRPr="003F5B10">
        <w:t>ed en la Lista con arreglo al § </w:t>
      </w:r>
      <w:r w:rsidR="00A43773" w:rsidRPr="003F5B10">
        <w:t>4.1.18 y la inscripción de las correspondientes asignaciones pase de ser provisional a definitiva mientras subsista desacuerdo, la situación de referencia de la red que es objeto de interferencia deberá actualizarse previa consulta con la administración afectada, y solo con el acuerdo de la misma. A tal efecto, est</w:t>
      </w:r>
      <w:r w:rsidR="003F5B10" w:rsidRPr="003F5B10">
        <w:t>e método propone modificar el § </w:t>
      </w:r>
      <w:r w:rsidR="00A43773" w:rsidRPr="003F5B10">
        <w:t>4.1.18</w:t>
      </w:r>
      <w:r w:rsidR="00A43773" w:rsidRPr="003F5B10">
        <w:rPr>
          <w:i/>
          <w:iCs/>
        </w:rPr>
        <w:t>bis</w:t>
      </w:r>
      <w:r w:rsidR="003F5B10" w:rsidRPr="003F5B10">
        <w:t xml:space="preserve"> de los Apéndices </w:t>
      </w:r>
      <w:r w:rsidR="00A43773" w:rsidRPr="008B1AE3">
        <w:rPr>
          <w:b/>
          <w:bCs/>
        </w:rPr>
        <w:t>30</w:t>
      </w:r>
      <w:r w:rsidR="00A43773" w:rsidRPr="003F5B10">
        <w:t xml:space="preserve"> y </w:t>
      </w:r>
      <w:r w:rsidR="00A43773" w:rsidRPr="008B1AE3">
        <w:rPr>
          <w:b/>
          <w:bCs/>
        </w:rPr>
        <w:t>30A</w:t>
      </w:r>
      <w:r w:rsidR="00A43773" w:rsidRPr="003F5B10">
        <w:t xml:space="preserve"> del RR.</w:t>
      </w:r>
    </w:p>
    <w:p w14:paraId="74EA3122" w14:textId="77777777" w:rsidR="003C46D4" w:rsidRPr="003F5B10" w:rsidRDefault="009D617D" w:rsidP="003F5B10">
      <w:pPr>
        <w:pStyle w:val="Headingb"/>
      </w:pPr>
      <w:r w:rsidRPr="003F5B10">
        <w:t>Propuestas</w:t>
      </w:r>
    </w:p>
    <w:p w14:paraId="576BDE5C" w14:textId="5A158C62" w:rsidR="00363A65" w:rsidRPr="003F5B10" w:rsidRDefault="003C46D4" w:rsidP="003F5B10">
      <w:r w:rsidRPr="003F5B10">
        <w:t xml:space="preserve">Samoa </w:t>
      </w:r>
      <w:r w:rsidR="009D617D" w:rsidRPr="003F5B10">
        <w:t>y</w:t>
      </w:r>
      <w:r w:rsidRPr="003F5B10">
        <w:t xml:space="preserve"> </w:t>
      </w:r>
      <w:r w:rsidR="009D617D" w:rsidRPr="003F5B10">
        <w:t>Singapur</w:t>
      </w:r>
      <w:r w:rsidR="003F5B10" w:rsidRPr="003F5B10">
        <w:t xml:space="preserve"> apoyan el Método </w:t>
      </w:r>
      <w:r w:rsidRPr="003F5B10">
        <w:t xml:space="preserve">G1 </w:t>
      </w:r>
      <w:r w:rsidR="009D617D" w:rsidRPr="003F5B10">
        <w:t xml:space="preserve">recogido en el Informe de la RPC, que propone modificar el </w:t>
      </w:r>
      <w:r w:rsidR="003F5B10" w:rsidRPr="003F5B10">
        <w:rPr>
          <w:bCs/>
        </w:rPr>
        <w:t>§ </w:t>
      </w:r>
      <w:r w:rsidRPr="003F5B10">
        <w:rPr>
          <w:bCs/>
        </w:rPr>
        <w:t>4.1.18</w:t>
      </w:r>
      <w:r w:rsidRPr="003F5B10">
        <w:rPr>
          <w:bCs/>
          <w:i/>
        </w:rPr>
        <w:t>bis</w:t>
      </w:r>
      <w:r w:rsidRPr="003F5B10">
        <w:rPr>
          <w:bCs/>
        </w:rPr>
        <w:t xml:space="preserve"> </w:t>
      </w:r>
      <w:r w:rsidR="003F5B10" w:rsidRPr="003F5B10">
        <w:t>de los Apéndices </w:t>
      </w:r>
      <w:r w:rsidRPr="003F5B10">
        <w:rPr>
          <w:b/>
        </w:rPr>
        <w:t>30</w:t>
      </w:r>
      <w:r w:rsidRPr="003F5B10">
        <w:t xml:space="preserve"> </w:t>
      </w:r>
      <w:r w:rsidR="009D617D" w:rsidRPr="003F5B10">
        <w:t>y</w:t>
      </w:r>
      <w:r w:rsidRPr="003F5B10">
        <w:t xml:space="preserve"> </w:t>
      </w:r>
      <w:r w:rsidRPr="003F5B10">
        <w:rPr>
          <w:b/>
        </w:rPr>
        <w:t>30A</w:t>
      </w:r>
      <w:r w:rsidR="009D617D" w:rsidRPr="003F5B10">
        <w:rPr>
          <w:bCs/>
        </w:rPr>
        <w:t xml:space="preserve"> del RR</w:t>
      </w:r>
      <w:r w:rsidRPr="003F5B10">
        <w:rPr>
          <w:bCs/>
        </w:rPr>
        <w:t>,</w:t>
      </w:r>
      <w:r w:rsidR="009D617D" w:rsidRPr="003F5B10">
        <w:rPr>
          <w:bCs/>
        </w:rPr>
        <w:t xml:space="preserve"> de tal manera que </w:t>
      </w:r>
      <w:r w:rsidR="006433D2" w:rsidRPr="003F5B10">
        <w:rPr>
          <w:bCs/>
        </w:rPr>
        <w:t>la situación de referencia de la red que es objeto de interferencia se actualice previa consulta con la administración afectada, y sólo con el acuerdo de la misma</w:t>
      </w:r>
      <w:r w:rsidRPr="003F5B10">
        <w:t>.</w:t>
      </w:r>
    </w:p>
    <w:p w14:paraId="603E56BF" w14:textId="77777777" w:rsidR="008750A8" w:rsidRPr="003F5B10" w:rsidRDefault="008750A8" w:rsidP="003F5B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5B10">
        <w:br w:type="page"/>
      </w:r>
    </w:p>
    <w:p w14:paraId="5292C9BB" w14:textId="77777777" w:rsidR="00B063AE" w:rsidRPr="003F5B10" w:rsidRDefault="00515B8A" w:rsidP="003F5B10">
      <w:pPr>
        <w:pStyle w:val="AppendixNo"/>
        <w:rPr>
          <w:vertAlign w:val="superscript"/>
        </w:rPr>
      </w:pPr>
      <w:r w:rsidRPr="003F5B10">
        <w:lastRenderedPageBreak/>
        <w:t xml:space="preserve">APÉNDICE </w:t>
      </w:r>
      <w:r w:rsidRPr="003F5B10">
        <w:rPr>
          <w:rStyle w:val="href"/>
          <w:color w:val="000000"/>
        </w:rPr>
        <w:t xml:space="preserve">30 </w:t>
      </w:r>
      <w:r w:rsidRPr="003F5B10">
        <w:t>(</w:t>
      </w:r>
      <w:r w:rsidRPr="003F5B10">
        <w:rPr>
          <w:caps w:val="0"/>
        </w:rPr>
        <w:t>REV</w:t>
      </w:r>
      <w:r w:rsidRPr="003F5B10">
        <w:t>.CMR-15)</w:t>
      </w:r>
      <w:r w:rsidR="00A43773" w:rsidRPr="003F5B10">
        <w:rPr>
          <w:rStyle w:val="FootnoteReference"/>
        </w:rPr>
        <w:footnoteReference w:customMarkFollows="1" w:id="1"/>
        <w:t>*</w:t>
      </w:r>
    </w:p>
    <w:p w14:paraId="6451FDCC" w14:textId="77777777" w:rsidR="00B063AE" w:rsidRPr="003F5B10" w:rsidRDefault="00515B8A" w:rsidP="003F5B10">
      <w:pPr>
        <w:pStyle w:val="Appendixtitle"/>
        <w:rPr>
          <w:b w:val="0"/>
          <w:bCs/>
          <w:color w:val="000000"/>
          <w:sz w:val="16"/>
        </w:rPr>
      </w:pPr>
      <w:r w:rsidRPr="003F5B10">
        <w:rPr>
          <w:color w:val="000000"/>
        </w:rPr>
        <w:t>Disposiciones aplicables a todos los servicios y Planes y Lista</w:t>
      </w:r>
      <w:r w:rsidR="00B27EB4" w:rsidRPr="003F5B10">
        <w:rPr>
          <w:rStyle w:val="FootnoteReference"/>
          <w:b w:val="0"/>
          <w:color w:val="000000"/>
        </w:rPr>
        <w:footnoteReference w:customMarkFollows="1" w:id="2"/>
        <w:t>1</w:t>
      </w:r>
      <w:r w:rsidRPr="003F5B10">
        <w:rPr>
          <w:color w:val="000000"/>
        </w:rPr>
        <w:t xml:space="preserve"> asociados</w:t>
      </w:r>
      <w:r w:rsidRPr="003F5B10">
        <w:rPr>
          <w:color w:val="000000"/>
        </w:rPr>
        <w:br/>
        <w:t>para el servicio de radiodifusión por satélite en las bandas de</w:t>
      </w:r>
      <w:r w:rsidRPr="003F5B10">
        <w:rPr>
          <w:color w:val="000000"/>
        </w:rPr>
        <w:br/>
        <w:t>frecuencias 11,7</w:t>
      </w:r>
      <w:r w:rsidRPr="003F5B10">
        <w:rPr>
          <w:color w:val="000000"/>
        </w:rPr>
        <w:noBreakHyphen/>
        <w:t>12,2 GHz (en la Región 3), 11,7-12,5 GHz</w:t>
      </w:r>
      <w:r w:rsidRPr="003F5B10">
        <w:rPr>
          <w:color w:val="000000"/>
        </w:rPr>
        <w:br/>
        <w:t>            (en la Región 1) y 12,2</w:t>
      </w:r>
      <w:r w:rsidRPr="003F5B10">
        <w:rPr>
          <w:color w:val="000000"/>
        </w:rPr>
        <w:noBreakHyphen/>
        <w:t>12,7 GHz (en la Región 2)</w:t>
      </w:r>
      <w:r w:rsidRPr="003F5B10">
        <w:rPr>
          <w:b w:val="0"/>
          <w:bCs/>
          <w:color w:val="000000"/>
          <w:sz w:val="16"/>
        </w:rPr>
        <w:t>     </w:t>
      </w:r>
      <w:r w:rsidRPr="003F5B10">
        <w:rPr>
          <w:rFonts w:ascii="Times New Roman"/>
          <w:b w:val="0"/>
          <w:bCs/>
          <w:color w:val="000000"/>
          <w:sz w:val="16"/>
        </w:rPr>
        <w:t>(CMR</w:t>
      </w:r>
      <w:r w:rsidRPr="003F5B10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38826668" w14:textId="77777777" w:rsidR="00B063AE" w:rsidRPr="003F5B10" w:rsidRDefault="00515B8A" w:rsidP="003F5B10">
      <w:pPr>
        <w:pStyle w:val="AppArtNo"/>
        <w:rPr>
          <w:color w:val="000000"/>
        </w:rPr>
      </w:pPr>
      <w:r w:rsidRPr="003F5B10">
        <w:rPr>
          <w:color w:val="000000"/>
        </w:rPr>
        <w:t>                  </w:t>
      </w:r>
      <w:r w:rsidRPr="006C3563">
        <w:t>ARTÍCULO 4</w:t>
      </w:r>
      <w:r w:rsidRPr="003F5B10">
        <w:rPr>
          <w:color w:val="000000"/>
          <w:sz w:val="16"/>
        </w:rPr>
        <w:t>  </w:t>
      </w:r>
      <w:proofErr w:type="gramStart"/>
      <w:r w:rsidRPr="003F5B10">
        <w:rPr>
          <w:color w:val="000000"/>
          <w:sz w:val="16"/>
        </w:rPr>
        <w:t>   (</w:t>
      </w:r>
      <w:proofErr w:type="gramEnd"/>
      <w:r w:rsidRPr="003F5B10">
        <w:rPr>
          <w:color w:val="000000"/>
          <w:sz w:val="16"/>
        </w:rPr>
        <w:t>Rev.CMR</w:t>
      </w:r>
      <w:r w:rsidRPr="003F5B10">
        <w:rPr>
          <w:color w:val="000000"/>
          <w:sz w:val="16"/>
        </w:rPr>
        <w:noBreakHyphen/>
        <w:t>15)</w:t>
      </w:r>
    </w:p>
    <w:p w14:paraId="7D9F81D0" w14:textId="77777777" w:rsidR="00B063AE" w:rsidRPr="003F5B10" w:rsidRDefault="00515B8A" w:rsidP="003F5B10">
      <w:pPr>
        <w:pStyle w:val="AppArttitle"/>
        <w:rPr>
          <w:color w:val="000000"/>
        </w:rPr>
      </w:pPr>
      <w:r w:rsidRPr="006C3563">
        <w:t>Procedimientos para las modificaciones del Plan de la Región 2</w:t>
      </w:r>
      <w:r w:rsidRPr="006C3563">
        <w:br/>
        <w:t>o para los usos adicionales en las Regiones 1 y 3</w:t>
      </w:r>
      <w:r w:rsidR="00B27EB4" w:rsidRPr="003F5B10">
        <w:rPr>
          <w:rStyle w:val="FootnoteReference"/>
          <w:b w:val="0"/>
          <w:color w:val="000000"/>
        </w:rPr>
        <w:footnoteReference w:customMarkFollows="1" w:id="3"/>
        <w:t>3</w:t>
      </w:r>
    </w:p>
    <w:p w14:paraId="6B440730" w14:textId="77777777" w:rsidR="00B063AE" w:rsidRPr="003F5B10" w:rsidRDefault="00515B8A" w:rsidP="003F5B10">
      <w:pPr>
        <w:pStyle w:val="Heading2"/>
      </w:pPr>
      <w:r w:rsidRPr="003F5B10">
        <w:t>4.1</w:t>
      </w:r>
      <w:r w:rsidRPr="003F5B10">
        <w:tab/>
        <w:t>Disposiciones aplicables a las Regiones 1 y 3</w:t>
      </w:r>
    </w:p>
    <w:p w14:paraId="2BD4BBBE" w14:textId="77777777" w:rsidR="00050C98" w:rsidRPr="003F5B10" w:rsidRDefault="00515B8A" w:rsidP="003F5B10">
      <w:pPr>
        <w:pStyle w:val="Proposal"/>
      </w:pPr>
      <w:r w:rsidRPr="003F5B10">
        <w:t>MOD</w:t>
      </w:r>
      <w:r w:rsidRPr="003F5B10">
        <w:tab/>
        <w:t>SMO/SNG/54A19A7/1</w:t>
      </w:r>
      <w:r w:rsidRPr="003F5B10">
        <w:rPr>
          <w:vanish/>
          <w:color w:val="7F7F7F" w:themeColor="text1" w:themeTint="80"/>
          <w:vertAlign w:val="superscript"/>
        </w:rPr>
        <w:t>#50099</w:t>
      </w:r>
    </w:p>
    <w:p w14:paraId="1B3332E1" w14:textId="0524F5D1" w:rsidR="00B571EC" w:rsidRDefault="00515B8A" w:rsidP="00AB3FB5">
      <w:pPr>
        <w:rPr>
          <w:spacing w:val="-2"/>
          <w:sz w:val="16"/>
        </w:rPr>
      </w:pPr>
      <w:r w:rsidRPr="00AB3FB5">
        <w:rPr>
          <w:rStyle w:val="Provsplit"/>
          <w:iCs/>
          <w:lang w:val="fr-FR"/>
        </w:rPr>
        <w:t>4.1.18</w:t>
      </w:r>
      <w:r w:rsidRPr="00AB3FB5">
        <w:rPr>
          <w:rStyle w:val="Provsplit"/>
          <w:i/>
          <w:iCs/>
          <w:lang w:val="fr-FR"/>
        </w:rPr>
        <w:t>bis</w:t>
      </w:r>
      <w:r w:rsidRPr="003F5B10">
        <w:tab/>
        <w:t xml:space="preserve">Cuando solicite la aplicación del § 4.1.18, la administración notificante se comprometerá a cumplir los requisitos del § 4.1.20 y a facilitar a la administración a la que se aplica el § 4.1.18, con copia </w:t>
      </w:r>
      <w:proofErr w:type="gramStart"/>
      <w:r w:rsidRPr="003F5B10">
        <w:t>a</w:t>
      </w:r>
      <w:proofErr w:type="gramEnd"/>
      <w:r w:rsidRPr="003F5B10">
        <w:t xml:space="preserve"> la Oficina, la descripción de las medidas que se compromete a adoptar para cumplir estos requisitos. Una vez que se inscribe una asignación en la Lista con carácter provisional con arreglo a las disposiciones del § 4.1.18, el cálculo del margen de protección equivalente (MPE)</w:t>
      </w:r>
      <w:r w:rsidRPr="003F5B10">
        <w:rPr>
          <w:rStyle w:val="FootnoteReference"/>
        </w:rPr>
        <w:t>9</w:t>
      </w:r>
      <w:r w:rsidRPr="003F5B10">
        <w:t xml:space="preserve"> de una asignación en la Lista de las Regiones 1 y 3 o para la que se haya iniciado el procedimiento del Artículo 4 y que hubiese suscitado el desacuerdo, no tendrá en cuenta la interferencia producida por la asignación a la que se han aplicado las disposiciones del § 4.1.18.</w:t>
      </w:r>
      <w:ins w:id="6" w:author="Roy, Jesus" w:date="2018-08-09T15:42:00Z">
        <w:r w:rsidRPr="003F5B10">
          <w:rPr>
            <w:spacing w:val="-2"/>
          </w:rPr>
          <w:t xml:space="preserve"> </w:t>
        </w:r>
      </w:ins>
      <w:ins w:id="7" w:author="Roy, Jesus" w:date="2018-08-09T15:43:00Z">
        <w:r w:rsidRPr="003F5B10">
          <w:rPr>
            <w:spacing w:val="-2"/>
          </w:rPr>
          <w:t>Al modificar la inscripción</w:t>
        </w:r>
      </w:ins>
      <w:ins w:id="8" w:author="Spanish" w:date="2019-03-15T14:33:00Z">
        <w:r w:rsidRPr="003F5B10">
          <w:rPr>
            <w:spacing w:val="-2"/>
          </w:rPr>
          <w:t xml:space="preserve"> </w:t>
        </w:r>
      </w:ins>
      <w:ins w:id="9" w:author="Roy, Jesus" w:date="2018-08-09T15:42:00Z">
        <w:r w:rsidRPr="003F5B10">
          <w:rPr>
            <w:spacing w:val="-2"/>
          </w:rPr>
          <w:t xml:space="preserve">de una asignación </w:t>
        </w:r>
      </w:ins>
      <w:ins w:id="10" w:author="Roy, Jesus" w:date="2018-08-09T16:03:00Z">
        <w:r w:rsidRPr="003F5B10">
          <w:rPr>
            <w:spacing w:val="-2"/>
          </w:rPr>
          <w:t>incluida</w:t>
        </w:r>
      </w:ins>
      <w:ins w:id="11" w:author="Roy, Jesus" w:date="2018-08-09T15:42:00Z">
        <w:r w:rsidRPr="003F5B10">
          <w:rPr>
            <w:spacing w:val="-2"/>
          </w:rPr>
          <w:t xml:space="preserve"> en la Lista </w:t>
        </w:r>
      </w:ins>
      <w:ins w:id="12" w:author="Roy, Jesus" w:date="2018-08-09T15:43:00Z">
        <w:r w:rsidRPr="003F5B10">
          <w:rPr>
            <w:spacing w:val="-2"/>
          </w:rPr>
          <w:t>para que pase</w:t>
        </w:r>
      </w:ins>
      <w:ins w:id="13" w:author="Roy, Jesus" w:date="2018-08-09T15:42:00Z">
        <w:r w:rsidRPr="003F5B10">
          <w:rPr>
            <w:spacing w:val="-2"/>
          </w:rPr>
          <w:t xml:space="preserve"> de </w:t>
        </w:r>
      </w:ins>
      <w:ins w:id="14" w:author="Roy, Jesus" w:date="2018-08-09T15:43:00Z">
        <w:r w:rsidRPr="003F5B10">
          <w:rPr>
            <w:spacing w:val="-2"/>
          </w:rPr>
          <w:t xml:space="preserve">ser </w:t>
        </w:r>
      </w:ins>
      <w:ins w:id="15" w:author="Roy, Jesus" w:date="2018-08-09T15:42:00Z">
        <w:r w:rsidRPr="003F5B10">
          <w:rPr>
            <w:spacing w:val="-2"/>
          </w:rPr>
          <w:t>provisional a definitiv</w:t>
        </w:r>
      </w:ins>
      <w:ins w:id="16" w:author="Roy, Jesus" w:date="2018-08-09T15:43:00Z">
        <w:r w:rsidRPr="003F5B10">
          <w:rPr>
            <w:spacing w:val="-2"/>
          </w:rPr>
          <w:t>a</w:t>
        </w:r>
      </w:ins>
      <w:ins w:id="17" w:author="Roy, Jesus" w:date="2018-08-09T15:42:00Z">
        <w:r w:rsidRPr="003F5B10">
          <w:rPr>
            <w:spacing w:val="-2"/>
          </w:rPr>
          <w:t xml:space="preserve"> </w:t>
        </w:r>
      </w:ins>
      <w:ins w:id="18" w:author="Roy, Jesus" w:date="2018-08-11T21:44:00Z">
        <w:r w:rsidRPr="003F5B10">
          <w:rPr>
            <w:spacing w:val="-2"/>
          </w:rPr>
          <w:t xml:space="preserve">con arreglo al </w:t>
        </w:r>
      </w:ins>
      <w:ins w:id="19" w:author="Roy, Jesus" w:date="2018-08-09T15:42:00Z">
        <w:r w:rsidRPr="003F5B10">
          <w:rPr>
            <w:spacing w:val="-2"/>
          </w:rPr>
          <w:t>§</w:t>
        </w:r>
      </w:ins>
      <w:ins w:id="20" w:author="Spanish" w:date="2019-03-15T14:33:00Z">
        <w:r w:rsidRPr="003F5B10">
          <w:rPr>
            <w:spacing w:val="-2"/>
          </w:rPr>
          <w:t> </w:t>
        </w:r>
      </w:ins>
      <w:ins w:id="21" w:author="Roy, Jesus" w:date="2018-08-09T15:42:00Z">
        <w:r w:rsidRPr="003F5B10">
          <w:rPr>
            <w:spacing w:val="-2"/>
          </w:rPr>
          <w:t xml:space="preserve">4.1.18, pero </w:t>
        </w:r>
      </w:ins>
      <w:ins w:id="22" w:author="Roy, Jesus" w:date="2018-08-09T16:09:00Z">
        <w:r w:rsidRPr="003F5B10">
          <w:rPr>
            <w:spacing w:val="-2"/>
          </w:rPr>
          <w:t>subsist</w:t>
        </w:r>
      </w:ins>
      <w:ins w:id="23" w:author="Roy, Jesus" w:date="2018-08-11T21:44:00Z">
        <w:r w:rsidRPr="003F5B10">
          <w:rPr>
            <w:spacing w:val="-2"/>
          </w:rPr>
          <w:t>a</w:t>
        </w:r>
      </w:ins>
      <w:ins w:id="24" w:author="Roy, Jesus" w:date="2018-08-09T16:09:00Z">
        <w:r w:rsidRPr="003F5B10">
          <w:rPr>
            <w:spacing w:val="-2"/>
          </w:rPr>
          <w:t xml:space="preserve"> el</w:t>
        </w:r>
      </w:ins>
      <w:ins w:id="25" w:author="Roy, Jesus" w:date="2018-08-09T15:44:00Z">
        <w:r w:rsidRPr="003F5B10">
          <w:rPr>
            <w:spacing w:val="-2"/>
          </w:rPr>
          <w:t xml:space="preserve"> </w:t>
        </w:r>
      </w:ins>
      <w:ins w:id="26" w:author="Roy, Jesus" w:date="2018-08-09T15:42:00Z">
        <w:r w:rsidRPr="003F5B10">
          <w:rPr>
            <w:spacing w:val="-2"/>
          </w:rPr>
          <w:t xml:space="preserve">desacuerdo entre las administraciones, la Oficina consultará con la administración responsable de las asignaciones que </w:t>
        </w:r>
      </w:ins>
      <w:ins w:id="27" w:author="Roy, Jesus" w:date="2018-08-09T15:44:00Z">
        <w:r w:rsidRPr="003F5B10">
          <w:rPr>
            <w:spacing w:val="-2"/>
          </w:rPr>
          <w:t>suscitaron</w:t>
        </w:r>
      </w:ins>
      <w:ins w:id="28" w:author="Roy, Jesus" w:date="2018-08-09T15:42:00Z">
        <w:r w:rsidRPr="003F5B10">
          <w:rPr>
            <w:spacing w:val="-2"/>
          </w:rPr>
          <w:t xml:space="preserve"> el desacuerdo y </w:t>
        </w:r>
      </w:ins>
      <w:ins w:id="29" w:author="Roy, Jesus" w:date="2018-08-09T16:05:00Z">
        <w:r w:rsidRPr="003F5B10">
          <w:rPr>
            <w:spacing w:val="-2"/>
          </w:rPr>
          <w:t xml:space="preserve">solo </w:t>
        </w:r>
      </w:ins>
      <w:ins w:id="30" w:author="Roy, Jesus" w:date="2018-08-09T15:42:00Z">
        <w:r w:rsidRPr="003F5B10">
          <w:rPr>
            <w:spacing w:val="-2"/>
          </w:rPr>
          <w:t>actualizará el</w:t>
        </w:r>
      </w:ins>
      <w:ins w:id="31" w:author="Spanish" w:date="2019-10-17T15:04:00Z">
        <w:r w:rsidR="006C3563">
          <w:rPr>
            <w:spacing w:val="-2"/>
          </w:rPr>
          <w:t> </w:t>
        </w:r>
      </w:ins>
      <w:ins w:id="32" w:author="Spanish" w:date="2019-03-28T12:01:00Z">
        <w:r w:rsidRPr="003F5B10">
          <w:rPr>
            <w:spacing w:val="-2"/>
          </w:rPr>
          <w:t>MPE</w:t>
        </w:r>
      </w:ins>
      <w:ins w:id="33" w:author="Roy, Jesus" w:date="2018-08-09T15:42:00Z">
        <w:r w:rsidRPr="003F5B10">
          <w:rPr>
            <w:spacing w:val="-2"/>
          </w:rPr>
          <w:t xml:space="preserve"> para tener en cuenta la interferencia producida por la asignación para la </w:t>
        </w:r>
      </w:ins>
      <w:ins w:id="34" w:author="Roy, Jesus" w:date="2018-08-09T15:45:00Z">
        <w:r w:rsidRPr="003F5B10">
          <w:rPr>
            <w:spacing w:val="-2"/>
          </w:rPr>
          <w:t>que</w:t>
        </w:r>
      </w:ins>
      <w:ins w:id="35" w:author="Roy, Jesus" w:date="2018-08-09T15:42:00Z">
        <w:r w:rsidRPr="003F5B10">
          <w:rPr>
            <w:spacing w:val="-2"/>
          </w:rPr>
          <w:t xml:space="preserve"> se han aplicado las disposiciones del § 4.1.18 con el acuerdo de la administración responsable de las asignaciones que </w:t>
        </w:r>
      </w:ins>
      <w:ins w:id="36" w:author="Roy, Jesus" w:date="2018-08-09T15:45:00Z">
        <w:r w:rsidRPr="003F5B10">
          <w:rPr>
            <w:spacing w:val="-2"/>
          </w:rPr>
          <w:t>suscitaron</w:t>
        </w:r>
      </w:ins>
      <w:ins w:id="37" w:author="Roy, Jesus" w:date="2018-08-09T15:42:00Z">
        <w:r w:rsidRPr="003F5B10">
          <w:rPr>
            <w:spacing w:val="-2"/>
          </w:rPr>
          <w:t xml:space="preserve"> el desacuerdo</w:t>
        </w:r>
      </w:ins>
      <w:ins w:id="38" w:author="NOR" w:date="2018-03-24T08:33:00Z">
        <w:r w:rsidRPr="003F5B10">
          <w:rPr>
            <w:spacing w:val="-2"/>
          </w:rPr>
          <w:t>.</w:t>
        </w:r>
      </w:ins>
      <w:r w:rsidRPr="003F5B10">
        <w:rPr>
          <w:spacing w:val="-2"/>
          <w:sz w:val="16"/>
        </w:rPr>
        <w:t>     (CMR</w:t>
      </w:r>
      <w:r w:rsidRPr="003F5B10">
        <w:rPr>
          <w:spacing w:val="-2"/>
          <w:sz w:val="16"/>
        </w:rPr>
        <w:noBreakHyphen/>
      </w:r>
      <w:del w:id="39" w:author="NOR" w:date="2018-03-24T08:33:00Z">
        <w:r w:rsidRPr="003F5B10">
          <w:rPr>
            <w:spacing w:val="-2"/>
            <w:sz w:val="16"/>
          </w:rPr>
          <w:delText>03</w:delText>
        </w:r>
      </w:del>
      <w:ins w:id="40" w:author="NOR" w:date="2018-03-24T08:34:00Z">
        <w:r w:rsidRPr="003F5B10">
          <w:rPr>
            <w:spacing w:val="-2"/>
            <w:sz w:val="16"/>
          </w:rPr>
          <w:t>19</w:t>
        </w:r>
      </w:ins>
      <w:r w:rsidRPr="003F5B10">
        <w:rPr>
          <w:spacing w:val="-2"/>
          <w:sz w:val="16"/>
        </w:rPr>
        <w:t>)</w:t>
      </w:r>
    </w:p>
    <w:p w14:paraId="4775759F" w14:textId="77777777" w:rsidR="00AB3FB5" w:rsidRPr="003F5B10" w:rsidRDefault="00AB3FB5" w:rsidP="00AB3FB5">
      <w:pPr>
        <w:pStyle w:val="Reasons"/>
      </w:pPr>
    </w:p>
    <w:p w14:paraId="1633A6D3" w14:textId="77777777" w:rsidR="00B063AE" w:rsidRPr="003F5B10" w:rsidRDefault="00515B8A" w:rsidP="003F5B10">
      <w:pPr>
        <w:pStyle w:val="Heading2"/>
      </w:pPr>
      <w:r w:rsidRPr="003F5B10">
        <w:t>4.2</w:t>
      </w:r>
      <w:r w:rsidRPr="003F5B10">
        <w:tab/>
        <w:t>Disposiciones aplicables a la Región 2</w:t>
      </w:r>
    </w:p>
    <w:p w14:paraId="5693B242" w14:textId="77777777" w:rsidR="00050C98" w:rsidRPr="003F5B10" w:rsidRDefault="00515B8A" w:rsidP="003F5B10">
      <w:pPr>
        <w:pStyle w:val="Proposal"/>
      </w:pPr>
      <w:r w:rsidRPr="003F5B10">
        <w:rPr>
          <w:u w:val="single"/>
        </w:rPr>
        <w:t>NOC</w:t>
      </w:r>
      <w:r w:rsidRPr="003F5B10">
        <w:tab/>
        <w:t>SMO/SNG/54A19A7/2</w:t>
      </w:r>
      <w:r w:rsidRPr="003F5B10">
        <w:rPr>
          <w:vanish/>
          <w:color w:val="7F7F7F" w:themeColor="text1" w:themeTint="80"/>
          <w:vertAlign w:val="superscript"/>
        </w:rPr>
        <w:t>#50100</w:t>
      </w:r>
    </w:p>
    <w:p w14:paraId="7B2A845C" w14:textId="59F68C5A" w:rsidR="00B571EC" w:rsidRDefault="00515B8A" w:rsidP="00AB3FB5">
      <w:pPr>
        <w:rPr>
          <w:rStyle w:val="Provsplit"/>
          <w:iCs/>
          <w:lang w:val="fr-FR"/>
        </w:rPr>
      </w:pPr>
      <w:r w:rsidRPr="00AB3FB5">
        <w:rPr>
          <w:rStyle w:val="Provsplit"/>
          <w:iCs/>
          <w:lang w:val="fr-FR"/>
        </w:rPr>
        <w:t>4.2.21A</w:t>
      </w:r>
    </w:p>
    <w:p w14:paraId="62734A0F" w14:textId="77777777" w:rsidR="002670AF" w:rsidRPr="008B1AE3" w:rsidRDefault="002670AF" w:rsidP="002670AF">
      <w:pPr>
        <w:pStyle w:val="Reasons"/>
      </w:pPr>
    </w:p>
    <w:p w14:paraId="2924BD54" w14:textId="77777777" w:rsidR="00B063AE" w:rsidRPr="003F5B10" w:rsidRDefault="00515B8A" w:rsidP="003F5B10">
      <w:pPr>
        <w:pStyle w:val="AppendixNo"/>
        <w:rPr>
          <w:rStyle w:val="FootnoteReference"/>
        </w:rPr>
      </w:pPr>
      <w:r w:rsidRPr="003F5B10">
        <w:t xml:space="preserve">APÉNDICE </w:t>
      </w:r>
      <w:r w:rsidRPr="003F5B10">
        <w:rPr>
          <w:rStyle w:val="href"/>
          <w:color w:val="000000"/>
        </w:rPr>
        <w:t xml:space="preserve">30A </w:t>
      </w:r>
      <w:r w:rsidRPr="003F5B10">
        <w:t>(</w:t>
      </w:r>
      <w:r w:rsidRPr="003F5B10">
        <w:rPr>
          <w:caps w:val="0"/>
        </w:rPr>
        <w:t>REV</w:t>
      </w:r>
      <w:r w:rsidRPr="003F5B10">
        <w:t>.CMR-15)</w:t>
      </w:r>
      <w:r w:rsidR="00BC3417" w:rsidRPr="003F5B10">
        <w:rPr>
          <w:rStyle w:val="FootnoteReference"/>
        </w:rPr>
        <w:footnoteReference w:customMarkFollows="1" w:id="4"/>
        <w:t>*</w:t>
      </w:r>
    </w:p>
    <w:p w14:paraId="017FF565" w14:textId="77777777" w:rsidR="00B063AE" w:rsidRPr="003F5B10" w:rsidRDefault="00515B8A" w:rsidP="003F5B10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3F5B10">
        <w:rPr>
          <w:color w:val="000000"/>
        </w:rPr>
        <w:t>Disposiciones y Planes asociados y Lista</w:t>
      </w:r>
      <w:r w:rsidR="0035096B" w:rsidRPr="003F5B10">
        <w:rPr>
          <w:rStyle w:val="FootnoteReference"/>
          <w:b w:val="0"/>
          <w:color w:val="000000"/>
        </w:rPr>
        <w:footnoteReference w:customMarkFollows="1" w:id="5"/>
        <w:t>1</w:t>
      </w:r>
      <w:r w:rsidRPr="003F5B10">
        <w:rPr>
          <w:color w:val="000000"/>
        </w:rPr>
        <w:t xml:space="preserve"> para los enlaces de conexión del</w:t>
      </w:r>
      <w:r w:rsidRPr="003F5B10">
        <w:rPr>
          <w:color w:val="000000"/>
        </w:rPr>
        <w:br/>
        <w:t>servicio de radiodifusión por satélite (11,7</w:t>
      </w:r>
      <w:r w:rsidRPr="003F5B10">
        <w:rPr>
          <w:color w:val="000000"/>
        </w:rPr>
        <w:noBreakHyphen/>
        <w:t>12,5 GHz en la Región 1,</w:t>
      </w:r>
      <w:r w:rsidRPr="003F5B10">
        <w:rPr>
          <w:color w:val="000000"/>
        </w:rPr>
        <w:br/>
        <w:t>12,2</w:t>
      </w:r>
      <w:r w:rsidRPr="003F5B10">
        <w:rPr>
          <w:color w:val="000000"/>
        </w:rPr>
        <w:noBreakHyphen/>
        <w:t>12,7 GHz en la Región 2 y 11,7</w:t>
      </w:r>
      <w:r w:rsidRPr="003F5B10">
        <w:rPr>
          <w:color w:val="000000"/>
        </w:rPr>
        <w:noBreakHyphen/>
        <w:t>12,2 GHz en la Región 3) en</w:t>
      </w:r>
      <w:r w:rsidRPr="003F5B10">
        <w:rPr>
          <w:color w:val="000000"/>
        </w:rPr>
        <w:br/>
        <w:t>las bandas de frecuencias 14,5-14,8 GHz</w:t>
      </w:r>
      <w:r w:rsidR="0035096B" w:rsidRPr="003F5B10">
        <w:rPr>
          <w:rStyle w:val="FootnoteReference"/>
          <w:b w:val="0"/>
          <w:color w:val="000000"/>
        </w:rPr>
        <w:footnoteReference w:customMarkFollows="1" w:id="6"/>
        <w:t>2</w:t>
      </w:r>
      <w:r w:rsidRPr="003F5B10">
        <w:rPr>
          <w:color w:val="000000"/>
        </w:rPr>
        <w:t xml:space="preserve"> y 17,3</w:t>
      </w:r>
      <w:r w:rsidRPr="003F5B10">
        <w:rPr>
          <w:color w:val="000000"/>
        </w:rPr>
        <w:noBreakHyphen/>
        <w:t>18,1 GHz en</w:t>
      </w:r>
      <w:r w:rsidRPr="003F5B10">
        <w:rPr>
          <w:color w:val="000000"/>
        </w:rPr>
        <w:br/>
        <w:t>las Regiones 1 y 3, y 17,3</w:t>
      </w:r>
      <w:r w:rsidRPr="003F5B10">
        <w:rPr>
          <w:color w:val="000000"/>
        </w:rPr>
        <w:noBreakHyphen/>
        <w:t>17,8 GHz en la Región 2</w:t>
      </w:r>
      <w:r w:rsidRPr="003F5B10">
        <w:rPr>
          <w:b w:val="0"/>
          <w:bCs/>
          <w:color w:val="000000"/>
          <w:sz w:val="20"/>
        </w:rPr>
        <w:t>     </w:t>
      </w:r>
      <w:r w:rsidRPr="003F5B10">
        <w:rPr>
          <w:rFonts w:asciiTheme="majorBidi" w:hAnsiTheme="majorBidi" w:cstheme="majorBidi"/>
          <w:b w:val="0"/>
          <w:bCs/>
          <w:sz w:val="16"/>
        </w:rPr>
        <w:t>(CMR</w:t>
      </w:r>
      <w:r w:rsidRPr="003F5B10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24F5C7CF" w14:textId="77777777" w:rsidR="00B063AE" w:rsidRPr="003F5B10" w:rsidRDefault="00515B8A" w:rsidP="003F5B10">
      <w:pPr>
        <w:pStyle w:val="AppArtNo"/>
        <w:rPr>
          <w:color w:val="000000"/>
        </w:rPr>
      </w:pPr>
      <w:r w:rsidRPr="003F5B10">
        <w:rPr>
          <w:color w:val="000000"/>
        </w:rPr>
        <w:t>                   ARTÍCULO 4</w:t>
      </w:r>
      <w:r w:rsidRPr="003F5B10">
        <w:rPr>
          <w:color w:val="000000"/>
          <w:sz w:val="16"/>
        </w:rPr>
        <w:t>     (</w:t>
      </w:r>
      <w:r w:rsidRPr="003F5B10">
        <w:rPr>
          <w:caps w:val="0"/>
          <w:color w:val="000000"/>
          <w:sz w:val="16"/>
        </w:rPr>
        <w:t>REV.</w:t>
      </w:r>
      <w:r w:rsidRPr="003F5B10">
        <w:rPr>
          <w:color w:val="000000"/>
          <w:sz w:val="16"/>
        </w:rPr>
        <w:t>CMR</w:t>
      </w:r>
      <w:r w:rsidRPr="003F5B10">
        <w:rPr>
          <w:color w:val="000000"/>
          <w:sz w:val="16"/>
        </w:rPr>
        <w:noBreakHyphen/>
        <w:t>15)</w:t>
      </w:r>
    </w:p>
    <w:p w14:paraId="03FF18CF" w14:textId="77777777" w:rsidR="00B063AE" w:rsidRPr="003F5B10" w:rsidRDefault="00515B8A" w:rsidP="003F5B10">
      <w:pPr>
        <w:pStyle w:val="AppArttitle"/>
        <w:rPr>
          <w:color w:val="000000"/>
        </w:rPr>
      </w:pPr>
      <w:r w:rsidRPr="003F5B10">
        <w:rPr>
          <w:color w:val="000000"/>
        </w:rPr>
        <w:t>Procedimientos para las modificaciones del Plan para los enlaces</w:t>
      </w:r>
      <w:r w:rsidRPr="003F5B10">
        <w:rPr>
          <w:color w:val="000000"/>
        </w:rPr>
        <w:br/>
        <w:t>de conexión en la Región 2 o para los usos adicionales</w:t>
      </w:r>
      <w:r w:rsidRPr="003F5B10">
        <w:rPr>
          <w:color w:val="000000"/>
        </w:rPr>
        <w:br/>
        <w:t>en las Regiones 1 y 3</w:t>
      </w:r>
    </w:p>
    <w:p w14:paraId="6C677C8C" w14:textId="77777777" w:rsidR="00B063AE" w:rsidRPr="003F5B10" w:rsidRDefault="00515B8A" w:rsidP="003F5B10">
      <w:pPr>
        <w:pStyle w:val="Heading2"/>
        <w:rPr>
          <w:rFonts w:eastAsia="SimSun"/>
        </w:rPr>
      </w:pPr>
      <w:r w:rsidRPr="003F5B10">
        <w:rPr>
          <w:rFonts w:eastAsia="SimSun"/>
        </w:rPr>
        <w:t>4.1</w:t>
      </w:r>
      <w:r w:rsidRPr="003F5B10">
        <w:rPr>
          <w:rFonts w:eastAsia="SimSun"/>
        </w:rPr>
        <w:tab/>
        <w:t>Disposiciones aplicables a las Regiones 1 y 3</w:t>
      </w:r>
    </w:p>
    <w:p w14:paraId="59220A05" w14:textId="77777777" w:rsidR="00050C98" w:rsidRPr="003F5B10" w:rsidRDefault="00515B8A" w:rsidP="003F5B10">
      <w:pPr>
        <w:pStyle w:val="Proposal"/>
      </w:pPr>
      <w:r w:rsidRPr="003F5B10">
        <w:t>MOD</w:t>
      </w:r>
      <w:r w:rsidRPr="003F5B10">
        <w:tab/>
        <w:t>SMO/SNG/54A19A7/3</w:t>
      </w:r>
      <w:r w:rsidRPr="003F5B10">
        <w:rPr>
          <w:vanish/>
          <w:color w:val="7F7F7F" w:themeColor="text1" w:themeTint="80"/>
          <w:vertAlign w:val="superscript"/>
        </w:rPr>
        <w:t>#50101</w:t>
      </w:r>
    </w:p>
    <w:p w14:paraId="09E74D7E" w14:textId="77777777" w:rsidR="00B571EC" w:rsidRPr="003F5B10" w:rsidRDefault="00515B8A" w:rsidP="00AB3FB5">
      <w:pPr>
        <w:rPr>
          <w:sz w:val="16"/>
        </w:rPr>
      </w:pPr>
      <w:r w:rsidRPr="00AB3FB5">
        <w:rPr>
          <w:rStyle w:val="Provsplit"/>
          <w:iCs/>
          <w:lang w:val="fr-FR"/>
        </w:rPr>
        <w:t>4.1.18</w:t>
      </w:r>
      <w:r w:rsidRPr="00AB3FB5">
        <w:rPr>
          <w:rStyle w:val="Provsplit"/>
          <w:i/>
          <w:iCs/>
          <w:lang w:val="fr-FR"/>
        </w:rPr>
        <w:t>bis</w:t>
      </w:r>
      <w:r w:rsidRPr="003F5B10">
        <w:tab/>
        <w:t xml:space="preserve">Cuando solicite la aplicación del § 4.1.18, la administración notificante se comprometerá a cumplir los requisitos del § 4.1.20 y facilitar a la administración a la que se aplica el § 4.1.18, con copia </w:t>
      </w:r>
      <w:proofErr w:type="gramStart"/>
      <w:r w:rsidRPr="003F5B10">
        <w:t>a</w:t>
      </w:r>
      <w:proofErr w:type="gramEnd"/>
      <w:r w:rsidRPr="003F5B10">
        <w:t xml:space="preserve"> la Oficina, la descripción de las medidas que se compromete a adoptar para cumplir estos requisitos. Una vez que se inscribe una asignación en la Lista para los enlaces de conexión con carácter provisional con arreglo a las disposiciones del § 4.1.18, el cálculo del margen de protección equivalente (MPE)</w:t>
      </w:r>
      <w:r w:rsidRPr="003F5B10">
        <w:rPr>
          <w:rStyle w:val="FootnoteReference"/>
          <w:color w:val="000000"/>
        </w:rPr>
        <w:t>11</w:t>
      </w:r>
      <w:r w:rsidRPr="003F5B10">
        <w:t xml:space="preserve"> de una asignación en la Lista para los enlaces de conexión de las Regiones 1 y 3 o para la que se haya iniciado el procedimiento del Artículo 4 y que hubiese suscitado el desacuerdo, no tendrá en cuenta la interferencia producida por la asignación a la que se han aplicado las disposiciones del § 4.1.18.</w:t>
      </w:r>
      <w:ins w:id="41" w:author="NOR" w:date="2018-03-24T08:40:00Z">
        <w:r w:rsidRPr="003F5B10">
          <w:t xml:space="preserve"> </w:t>
        </w:r>
      </w:ins>
      <w:ins w:id="42" w:author="Roy, Jesus" w:date="2018-08-09T16:03:00Z">
        <w:r w:rsidRPr="003F5B10">
          <w:rPr>
            <w:spacing w:val="-2"/>
          </w:rPr>
          <w:t xml:space="preserve">Al modificar la inscripción de una asignación incluida en la Lista para que pase de ser provisional a definitiva de conformidad con el § 4.1.18, pero </w:t>
        </w:r>
      </w:ins>
      <w:ins w:id="43" w:author="Roy, Jesus" w:date="2018-08-09T16:09:00Z">
        <w:r w:rsidRPr="003F5B10">
          <w:rPr>
            <w:spacing w:val="-2"/>
          </w:rPr>
          <w:t>subsist</w:t>
        </w:r>
      </w:ins>
      <w:ins w:id="44" w:author="Roy, Jesus" w:date="2018-08-11T21:46:00Z">
        <w:r w:rsidRPr="003F5B10">
          <w:rPr>
            <w:spacing w:val="-2"/>
          </w:rPr>
          <w:t>a</w:t>
        </w:r>
      </w:ins>
      <w:ins w:id="45" w:author="Roy, Jesus" w:date="2018-08-09T16:09:00Z">
        <w:r w:rsidRPr="003F5B10">
          <w:rPr>
            <w:spacing w:val="-2"/>
          </w:rPr>
          <w:t xml:space="preserve"> el </w:t>
        </w:r>
      </w:ins>
      <w:ins w:id="46" w:author="Roy, Jesus" w:date="2018-08-09T16:03:00Z">
        <w:r w:rsidRPr="003F5B10">
          <w:rPr>
            <w:spacing w:val="-2"/>
          </w:rPr>
          <w:t xml:space="preserve">desacuerdo entre las administraciones, la Oficina consultará con la administración responsable de las asignaciones que suscitaron el desacuerdo y </w:t>
        </w:r>
      </w:ins>
      <w:ins w:id="47" w:author="Roy, Jesus" w:date="2018-08-09T16:05:00Z">
        <w:r w:rsidRPr="003F5B10">
          <w:rPr>
            <w:spacing w:val="-2"/>
          </w:rPr>
          <w:t xml:space="preserve">solo </w:t>
        </w:r>
      </w:ins>
      <w:ins w:id="48" w:author="Roy, Jesus" w:date="2018-08-09T16:03:00Z">
        <w:r w:rsidRPr="003F5B10">
          <w:rPr>
            <w:spacing w:val="-2"/>
          </w:rPr>
          <w:t xml:space="preserve">actualizará el </w:t>
        </w:r>
      </w:ins>
      <w:ins w:id="49" w:author="Spanish" w:date="2019-03-28T12:02:00Z">
        <w:r w:rsidRPr="003F5B10">
          <w:rPr>
            <w:spacing w:val="-2"/>
          </w:rPr>
          <w:t>MPE</w:t>
        </w:r>
      </w:ins>
      <w:ins w:id="50" w:author="Roy, Jesus" w:date="2018-08-09T16:03:00Z">
        <w:r w:rsidRPr="003F5B10">
          <w:rPr>
            <w:spacing w:val="-2"/>
          </w:rPr>
          <w:t xml:space="preserve"> para tener en cuenta la interferencia producida por la asignación para la que se han aplicado las disposiciones del § 4.1.18 con el acuerdo de la administración responsable de las asignaciones que suscitaron el desacuerdo</w:t>
        </w:r>
      </w:ins>
      <w:ins w:id="51" w:author="NOR" w:date="2018-03-24T08:40:00Z">
        <w:r w:rsidRPr="003F5B10">
          <w:t>.</w:t>
        </w:r>
      </w:ins>
      <w:r w:rsidRPr="003F5B10">
        <w:rPr>
          <w:sz w:val="16"/>
        </w:rPr>
        <w:t>     (CMR</w:t>
      </w:r>
      <w:r w:rsidRPr="003F5B10">
        <w:rPr>
          <w:sz w:val="16"/>
        </w:rPr>
        <w:noBreakHyphen/>
      </w:r>
      <w:del w:id="52" w:author="NOR" w:date="2018-03-24T08:40:00Z">
        <w:r w:rsidRPr="003F5B10" w:rsidDel="00F07DD2">
          <w:rPr>
            <w:sz w:val="16"/>
          </w:rPr>
          <w:delText>03</w:delText>
        </w:r>
      </w:del>
      <w:ins w:id="53" w:author="NOR" w:date="2018-03-24T08:40:00Z">
        <w:r w:rsidRPr="003F5B10">
          <w:rPr>
            <w:sz w:val="16"/>
          </w:rPr>
          <w:t>19</w:t>
        </w:r>
      </w:ins>
      <w:r w:rsidRPr="003F5B10">
        <w:rPr>
          <w:sz w:val="16"/>
        </w:rPr>
        <w:t>)</w:t>
      </w:r>
    </w:p>
    <w:p w14:paraId="09948EED" w14:textId="77777777" w:rsidR="00050C98" w:rsidRPr="003F5B10" w:rsidRDefault="00050C98" w:rsidP="003F5B10">
      <w:pPr>
        <w:pStyle w:val="Reasons"/>
      </w:pPr>
    </w:p>
    <w:p w14:paraId="233BDDC3" w14:textId="77777777" w:rsidR="00B063AE" w:rsidRPr="003F5B10" w:rsidRDefault="00515B8A" w:rsidP="003F5B10">
      <w:pPr>
        <w:pStyle w:val="Heading2"/>
        <w:rPr>
          <w:rFonts w:eastAsia="SimSun"/>
        </w:rPr>
      </w:pPr>
      <w:r w:rsidRPr="003F5B10">
        <w:rPr>
          <w:rFonts w:eastAsia="SimSun"/>
        </w:rPr>
        <w:t>4.2</w:t>
      </w:r>
      <w:r w:rsidRPr="003F5B10">
        <w:rPr>
          <w:rFonts w:eastAsia="SimSun"/>
        </w:rPr>
        <w:tab/>
        <w:t>Disposiciones aplicables a la Región 2</w:t>
      </w:r>
    </w:p>
    <w:p w14:paraId="4AB73624" w14:textId="77777777" w:rsidR="00050C98" w:rsidRPr="003F5B10" w:rsidRDefault="00515B8A" w:rsidP="003F5B10">
      <w:pPr>
        <w:pStyle w:val="Proposal"/>
      </w:pPr>
      <w:r w:rsidRPr="003F5B10">
        <w:rPr>
          <w:u w:val="single"/>
        </w:rPr>
        <w:t>NOC</w:t>
      </w:r>
      <w:r w:rsidRPr="003F5B10">
        <w:tab/>
        <w:t>SMO/SNG/54A19A7/4</w:t>
      </w:r>
      <w:r w:rsidRPr="003F5B10">
        <w:rPr>
          <w:vanish/>
          <w:color w:val="7F7F7F" w:themeColor="text1" w:themeTint="80"/>
          <w:vertAlign w:val="superscript"/>
        </w:rPr>
        <w:t>#50102</w:t>
      </w:r>
    </w:p>
    <w:p w14:paraId="71A4D4AC" w14:textId="77777777" w:rsidR="00B571EC" w:rsidRPr="00AB3FB5" w:rsidRDefault="00515B8A" w:rsidP="00AB3FB5">
      <w:pPr>
        <w:rPr>
          <w:rStyle w:val="Artdef"/>
        </w:rPr>
      </w:pPr>
      <w:r w:rsidRPr="00AB3FB5">
        <w:rPr>
          <w:rStyle w:val="Provsplit"/>
          <w:iCs/>
          <w:lang w:val="fr-FR"/>
        </w:rPr>
        <w:t>4.2.21A</w:t>
      </w:r>
    </w:p>
    <w:p w14:paraId="5B7FC344" w14:textId="77777777" w:rsidR="0035096B" w:rsidRPr="003F5B10" w:rsidRDefault="0035096B" w:rsidP="003F5B10">
      <w:pPr>
        <w:pStyle w:val="Reasons"/>
      </w:pPr>
    </w:p>
    <w:p w14:paraId="4F730069" w14:textId="77777777" w:rsidR="00050C98" w:rsidRPr="003F5B10" w:rsidRDefault="0035096B" w:rsidP="003F5B10">
      <w:pPr>
        <w:jc w:val="center"/>
      </w:pPr>
      <w:r w:rsidRPr="003F5B10">
        <w:t>______________</w:t>
      </w:r>
    </w:p>
    <w:sectPr w:rsidR="00050C98" w:rsidRPr="003F5B1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B98C" w14:textId="77777777" w:rsidR="003C0613" w:rsidRDefault="003C0613">
      <w:r>
        <w:separator/>
      </w:r>
    </w:p>
  </w:endnote>
  <w:endnote w:type="continuationSeparator" w:id="0">
    <w:p w14:paraId="5D03FC61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301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7C575" w14:textId="60E1F58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51AF3">
      <w:rPr>
        <w:noProof/>
        <w:lang w:val="en-US"/>
      </w:rPr>
      <w:t>P:\ESP\ITU-R\CONF-R\CMR19\000\054ADD19ADD07S.docx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AF3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1AF3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202E" w14:textId="10CDEA3D" w:rsidR="0077084A" w:rsidRPr="003F5B10" w:rsidRDefault="003F5B10" w:rsidP="003F5B10">
    <w:pPr>
      <w:pStyle w:val="Footer"/>
      <w:rPr>
        <w:lang w:val="en-US"/>
      </w:rPr>
    </w:pPr>
    <w:r>
      <w:fldChar w:fldCharType="begin"/>
    </w:r>
    <w:r w:rsidRPr="003F5B10">
      <w:rPr>
        <w:lang w:val="en-US"/>
      </w:rPr>
      <w:instrText xml:space="preserve"> FILENAME \p  \* MERGEFORMAT </w:instrText>
    </w:r>
    <w:r>
      <w:fldChar w:fldCharType="separate"/>
    </w:r>
    <w:r w:rsidR="00551AF3">
      <w:rPr>
        <w:lang w:val="en-US"/>
      </w:rPr>
      <w:t>P:\ESP\ITU-R\CONF-R\CMR19\000\054ADD19ADD07S.docx</w:t>
    </w:r>
    <w:r>
      <w:fldChar w:fldCharType="end"/>
    </w:r>
    <w:r>
      <w:rPr>
        <w:lang w:val="en-US"/>
      </w:rPr>
      <w:t xml:space="preserve"> (462034</w:t>
    </w:r>
    <w:r w:rsidRPr="003F5B10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B76B" w14:textId="7D4A956F" w:rsidR="0077084A" w:rsidRPr="003C46D4" w:rsidRDefault="003F5B10" w:rsidP="003F5B10">
    <w:pPr>
      <w:pStyle w:val="Footer"/>
      <w:rPr>
        <w:lang w:val="en-US"/>
      </w:rPr>
    </w:pPr>
    <w:r w:rsidRPr="003F5B10">
      <w:rPr>
        <w:lang w:val="en-US"/>
      </w:rPr>
      <w:fldChar w:fldCharType="begin"/>
    </w:r>
    <w:r w:rsidRPr="003F5B10">
      <w:rPr>
        <w:lang w:val="en-US"/>
      </w:rPr>
      <w:instrText xml:space="preserve"> FILENAME \p  \* MERGEFORMAT </w:instrText>
    </w:r>
    <w:r w:rsidRPr="003F5B10">
      <w:rPr>
        <w:lang w:val="en-US"/>
      </w:rPr>
      <w:fldChar w:fldCharType="separate"/>
    </w:r>
    <w:r w:rsidR="00551AF3">
      <w:rPr>
        <w:lang w:val="en-US"/>
      </w:rPr>
      <w:t>P:\ESP\ITU-R\CONF-R\CMR19\000\054ADD19ADD07S.docx</w:t>
    </w:r>
    <w:r w:rsidRPr="003F5B10">
      <w:rPr>
        <w:lang w:val="en-US"/>
      </w:rPr>
      <w:fldChar w:fldCharType="end"/>
    </w:r>
    <w:r>
      <w:rPr>
        <w:lang w:val="en-US"/>
      </w:rPr>
      <w:t xml:space="preserve"> (462034</w:t>
    </w:r>
    <w:r w:rsidRPr="003F5B10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FA3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BE83E75" w14:textId="77777777" w:rsidR="003C0613" w:rsidRDefault="003C0613">
      <w:r>
        <w:continuationSeparator/>
      </w:r>
    </w:p>
  </w:footnote>
  <w:footnote w:id="1">
    <w:p w14:paraId="3937AFBB" w14:textId="77777777" w:rsidR="00A43773" w:rsidRPr="00A43773" w:rsidRDefault="00A43773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285D5B9F" w14:textId="77777777" w:rsidR="00B27EB4" w:rsidRDefault="00B27EB4" w:rsidP="00B27EB4">
      <w:pPr>
        <w:pStyle w:val="FootnoteText"/>
        <w:rPr>
          <w:sz w:val="16"/>
          <w:lang w:val="es-ES"/>
        </w:rPr>
      </w:pPr>
      <w:r>
        <w:rPr>
          <w:rStyle w:val="FootnoteReference"/>
        </w:rPr>
        <w:t>1</w:t>
      </w:r>
      <w:r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</w:t>
      </w:r>
      <w:proofErr w:type="gramStart"/>
      <w:r w:rsidRPr="00605F62">
        <w:rPr>
          <w:b/>
          <w:szCs w:val="24"/>
          <w:lang w:val="es-ES"/>
        </w:rPr>
        <w:t>2000)</w:t>
      </w:r>
      <w:r w:rsidRPr="001B0C91">
        <w:rPr>
          <w:szCs w:val="24"/>
        </w:rPr>
        <w:t>*</w:t>
      </w:r>
      <w:proofErr w:type="gramEnd"/>
      <w:r w:rsidRPr="001B0C91">
        <w:rPr>
          <w:szCs w:val="24"/>
        </w:rPr>
        <w:t>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2090AF91" w14:textId="77777777" w:rsidR="00B27EB4" w:rsidRPr="00605F62" w:rsidRDefault="00B27EB4" w:rsidP="00B27EB4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69AC081E" w14:textId="77777777" w:rsidR="00B27EB4" w:rsidRPr="00B27EB4" w:rsidRDefault="00B27EB4">
      <w:pPr>
        <w:pStyle w:val="FootnoteText"/>
        <w:rPr>
          <w:szCs w:val="24"/>
          <w:lang w:val="es-ES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07C05AD1" w14:textId="050BD894" w:rsidR="00B27EB4" w:rsidRPr="00B27EB4" w:rsidRDefault="00B27EB4">
      <w:pPr>
        <w:pStyle w:val="FootnoteText"/>
        <w:rPr>
          <w:lang w:val="es-ES"/>
        </w:rPr>
      </w:pPr>
      <w:r>
        <w:rPr>
          <w:rStyle w:val="FootnoteReference"/>
        </w:rPr>
        <w:t>3</w:t>
      </w:r>
      <w:r>
        <w:tab/>
      </w:r>
      <w:r w:rsidRPr="001B0C91">
        <w:rPr>
          <w:szCs w:val="24"/>
        </w:rPr>
        <w:t>Se aplican las</w:t>
      </w:r>
      <w:r w:rsidR="00AB3FB5">
        <w:rPr>
          <w:szCs w:val="24"/>
        </w:rPr>
        <w:t xml:space="preserve"> disposiciones de la Resolución 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7968B753" w14:textId="77777777" w:rsidR="00BC3417" w:rsidRPr="00BC3417" w:rsidRDefault="00BC3417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35096B">
        <w:tab/>
        <w:t>S</w:t>
      </w:r>
      <w:proofErr w:type="spellStart"/>
      <w:r w:rsidRPr="007000BD">
        <w:rPr>
          <w:szCs w:val="24"/>
          <w:lang w:val="es-ES"/>
        </w:rPr>
        <w:t>iempre</w:t>
      </w:r>
      <w:proofErr w:type="spellEnd"/>
      <w:r w:rsidRPr="007000BD">
        <w:rPr>
          <w:szCs w:val="24"/>
          <w:lang w:val="es-ES"/>
        </w:rPr>
        <w:t xml:space="preserve">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5">
    <w:p w14:paraId="414DDC38" w14:textId="77777777" w:rsidR="0035096B" w:rsidRPr="00D9062E" w:rsidRDefault="0035096B" w:rsidP="0035096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</w:t>
      </w:r>
      <w:proofErr w:type="gramStart"/>
      <w:r w:rsidRPr="007000BD">
        <w:rPr>
          <w:b/>
          <w:bCs/>
          <w:szCs w:val="24"/>
          <w:lang w:val="es-ES"/>
        </w:rPr>
        <w:t>2000)</w:t>
      </w:r>
      <w:r>
        <w:rPr>
          <w:szCs w:val="24"/>
          <w:lang w:val="es-ES"/>
        </w:rPr>
        <w:t>*</w:t>
      </w:r>
      <w:proofErr w:type="gramEnd"/>
      <w:r>
        <w:rPr>
          <w:szCs w:val="24"/>
          <w:lang w:val="es-ES"/>
        </w:rPr>
        <w:t>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63062DED" w14:textId="77777777" w:rsidR="0035096B" w:rsidRPr="0035096B" w:rsidRDefault="0035096B" w:rsidP="0035096B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6">
    <w:p w14:paraId="7F1CD847" w14:textId="77777777" w:rsidR="0035096B" w:rsidRPr="001B0C91" w:rsidRDefault="0035096B" w:rsidP="0035096B">
      <w:pPr>
        <w:pStyle w:val="FootnoteText"/>
        <w:rPr>
          <w:szCs w:val="24"/>
        </w:rPr>
      </w:pPr>
      <w:r>
        <w:rPr>
          <w:rStyle w:val="FootnoteReference"/>
        </w:rPr>
        <w:t>2</w:t>
      </w:r>
      <w:r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10A20D50" w14:textId="77777777" w:rsidR="0035096B" w:rsidRPr="0035096B" w:rsidRDefault="0035096B" w:rsidP="0035096B">
      <w:pPr>
        <w:pStyle w:val="FootnoteText"/>
        <w:rPr>
          <w:lang w:val="es-ES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88FC" w14:textId="79AFF03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1AE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BA0E5E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54(Add.</w:t>
    </w:r>
    <w:proofErr w:type="gramStart"/>
    <w:r w:rsidR="00702F3D">
      <w:t>19)(</w:t>
    </w:r>
    <w:proofErr w:type="gramEnd"/>
    <w:r w:rsidR="00702F3D">
      <w:t>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y, Jesus">
    <w15:presenceInfo w15:providerId="AD" w15:userId="S-1-5-21-8740799-900759487-1415713722-15635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0C98"/>
    <w:rsid w:val="00073A89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7FFE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70AF"/>
    <w:rsid w:val="002A05B4"/>
    <w:rsid w:val="002A791F"/>
    <w:rsid w:val="002C1A52"/>
    <w:rsid w:val="002C1B26"/>
    <w:rsid w:val="002C5D6C"/>
    <w:rsid w:val="002E701F"/>
    <w:rsid w:val="003248A9"/>
    <w:rsid w:val="00324FFA"/>
    <w:rsid w:val="0032680B"/>
    <w:rsid w:val="0035096B"/>
    <w:rsid w:val="00363A65"/>
    <w:rsid w:val="003B1E8C"/>
    <w:rsid w:val="003C0613"/>
    <w:rsid w:val="003C2508"/>
    <w:rsid w:val="003C46D4"/>
    <w:rsid w:val="003D0AA3"/>
    <w:rsid w:val="003E2086"/>
    <w:rsid w:val="003E6474"/>
    <w:rsid w:val="003F5B10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15B8A"/>
    <w:rsid w:val="00524392"/>
    <w:rsid w:val="00532097"/>
    <w:rsid w:val="00551AF3"/>
    <w:rsid w:val="00571094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33D2"/>
    <w:rsid w:val="00662BA0"/>
    <w:rsid w:val="0067344B"/>
    <w:rsid w:val="00684A94"/>
    <w:rsid w:val="00692AAE"/>
    <w:rsid w:val="006C0E38"/>
    <w:rsid w:val="006C3563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B1AE3"/>
    <w:rsid w:val="008D3316"/>
    <w:rsid w:val="008E5AF2"/>
    <w:rsid w:val="0090121B"/>
    <w:rsid w:val="009144C9"/>
    <w:rsid w:val="0094091F"/>
    <w:rsid w:val="00962171"/>
    <w:rsid w:val="00973754"/>
    <w:rsid w:val="009C0BED"/>
    <w:rsid w:val="009D617D"/>
    <w:rsid w:val="009E11EC"/>
    <w:rsid w:val="00A021CC"/>
    <w:rsid w:val="00A118DB"/>
    <w:rsid w:val="00A43773"/>
    <w:rsid w:val="00A4450C"/>
    <w:rsid w:val="00AA5E6C"/>
    <w:rsid w:val="00AB3FB5"/>
    <w:rsid w:val="00AE5677"/>
    <w:rsid w:val="00AE658F"/>
    <w:rsid w:val="00AF2F78"/>
    <w:rsid w:val="00B239FA"/>
    <w:rsid w:val="00B27EB4"/>
    <w:rsid w:val="00B30779"/>
    <w:rsid w:val="00B372AB"/>
    <w:rsid w:val="00B47331"/>
    <w:rsid w:val="00B52D55"/>
    <w:rsid w:val="00B8288C"/>
    <w:rsid w:val="00B86034"/>
    <w:rsid w:val="00BC3417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0F36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3D01B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16E18-221E-4F06-AA43-C7A19AE9E40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3E1FF9-11CA-43FE-8CF0-F24B64C0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1240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R16-WRC19-C-0054!A19-A7!MSW-S</vt:lpstr>
    </vt:vector>
  </TitlesOfParts>
  <Manager>Secretaría General - Pool</Manager>
  <Company>Unión Internacional de Telecomunicaciones (UIT)</Company>
  <LinksUpToDate>false</LinksUpToDate>
  <CharactersWithSpaces>7649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R16-WRC19-C-0054!A19-A7!MSW-S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7</cp:revision>
  <cp:lastPrinted>2019-10-17T13:06:00Z</cp:lastPrinted>
  <dcterms:created xsi:type="dcterms:W3CDTF">2019-10-15T11:53:00Z</dcterms:created>
  <dcterms:modified xsi:type="dcterms:W3CDTF">2019-10-17T13:12:00Z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