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751A7" w14:paraId="4045EF54" w14:textId="77777777" w:rsidTr="0050008E">
        <w:trPr>
          <w:cantSplit/>
        </w:trPr>
        <w:tc>
          <w:tcPr>
            <w:tcW w:w="6911" w:type="dxa"/>
          </w:tcPr>
          <w:p w14:paraId="38780058" w14:textId="77777777" w:rsidR="00BB1D82" w:rsidRPr="005751A7" w:rsidRDefault="00851625" w:rsidP="005378AF">
            <w:pPr>
              <w:spacing w:before="400" w:after="48"/>
              <w:rPr>
                <w:rFonts w:ascii="Verdana" w:hAnsi="Verdana"/>
                <w:b/>
                <w:bCs/>
                <w:sz w:val="20"/>
                <w:lang w:val="fr-CH"/>
              </w:rPr>
            </w:pPr>
            <w:r w:rsidRPr="005751A7">
              <w:rPr>
                <w:rFonts w:ascii="Verdana" w:hAnsi="Verdana"/>
                <w:b/>
                <w:bCs/>
                <w:sz w:val="20"/>
                <w:lang w:val="fr-CH"/>
              </w:rPr>
              <w:t>Conférence mondiale des radiocommunications (CMR-1</w:t>
            </w:r>
            <w:r w:rsidR="00FD7AA3" w:rsidRPr="005751A7">
              <w:rPr>
                <w:rFonts w:ascii="Verdana" w:hAnsi="Verdana"/>
                <w:b/>
                <w:bCs/>
                <w:sz w:val="20"/>
                <w:lang w:val="fr-CH"/>
              </w:rPr>
              <w:t>9</w:t>
            </w:r>
            <w:r w:rsidRPr="005751A7">
              <w:rPr>
                <w:rFonts w:ascii="Verdana" w:hAnsi="Verdana"/>
                <w:b/>
                <w:bCs/>
                <w:sz w:val="20"/>
                <w:lang w:val="fr-CH"/>
              </w:rPr>
              <w:t>)</w:t>
            </w:r>
            <w:r w:rsidRPr="005751A7">
              <w:rPr>
                <w:rFonts w:ascii="Verdana" w:hAnsi="Verdana"/>
                <w:b/>
                <w:bCs/>
                <w:sz w:val="20"/>
                <w:lang w:val="fr-CH"/>
              </w:rPr>
              <w:br/>
            </w:r>
            <w:r w:rsidR="00063A1F" w:rsidRPr="005751A7">
              <w:rPr>
                <w:rFonts w:ascii="Verdana" w:hAnsi="Verdana"/>
                <w:b/>
                <w:bCs/>
                <w:sz w:val="18"/>
                <w:szCs w:val="18"/>
                <w:lang w:val="fr-CH"/>
              </w:rPr>
              <w:t xml:space="preserve">Charm el-Cheikh, </w:t>
            </w:r>
            <w:r w:rsidR="00081366" w:rsidRPr="005751A7">
              <w:rPr>
                <w:rFonts w:ascii="Verdana" w:hAnsi="Verdana"/>
                <w:b/>
                <w:bCs/>
                <w:sz w:val="18"/>
                <w:szCs w:val="18"/>
                <w:lang w:val="fr-CH"/>
              </w:rPr>
              <w:t>É</w:t>
            </w:r>
            <w:r w:rsidR="00063A1F" w:rsidRPr="005751A7">
              <w:rPr>
                <w:rFonts w:ascii="Verdana" w:hAnsi="Verdana"/>
                <w:b/>
                <w:bCs/>
                <w:sz w:val="18"/>
                <w:szCs w:val="18"/>
                <w:lang w:val="fr-CH"/>
              </w:rPr>
              <w:t>gypte</w:t>
            </w:r>
            <w:r w:rsidRPr="005751A7">
              <w:rPr>
                <w:rFonts w:ascii="Verdana" w:hAnsi="Verdana"/>
                <w:b/>
                <w:bCs/>
                <w:sz w:val="18"/>
                <w:szCs w:val="18"/>
                <w:lang w:val="fr-CH"/>
              </w:rPr>
              <w:t>,</w:t>
            </w:r>
            <w:r w:rsidR="00E537FF" w:rsidRPr="005751A7">
              <w:rPr>
                <w:rFonts w:ascii="Verdana" w:hAnsi="Verdana"/>
                <w:b/>
                <w:bCs/>
                <w:sz w:val="18"/>
                <w:szCs w:val="18"/>
                <w:lang w:val="fr-CH"/>
              </w:rPr>
              <w:t xml:space="preserve"> </w:t>
            </w:r>
            <w:r w:rsidRPr="005751A7">
              <w:rPr>
                <w:rFonts w:ascii="Verdana" w:hAnsi="Verdana"/>
                <w:b/>
                <w:bCs/>
                <w:sz w:val="18"/>
                <w:szCs w:val="18"/>
                <w:lang w:val="fr-CH"/>
              </w:rPr>
              <w:t>2</w:t>
            </w:r>
            <w:r w:rsidR="00FD7AA3" w:rsidRPr="005751A7">
              <w:rPr>
                <w:rFonts w:ascii="Verdana" w:hAnsi="Verdana"/>
                <w:b/>
                <w:bCs/>
                <w:sz w:val="18"/>
                <w:szCs w:val="18"/>
                <w:lang w:val="fr-CH"/>
              </w:rPr>
              <w:t xml:space="preserve">8 octobre </w:t>
            </w:r>
            <w:r w:rsidR="00F10064" w:rsidRPr="005751A7">
              <w:rPr>
                <w:rFonts w:ascii="Verdana" w:hAnsi="Verdana"/>
                <w:b/>
                <w:bCs/>
                <w:sz w:val="18"/>
                <w:szCs w:val="18"/>
                <w:lang w:val="fr-CH"/>
              </w:rPr>
              <w:t>–</w:t>
            </w:r>
            <w:r w:rsidR="00FD7AA3" w:rsidRPr="005751A7">
              <w:rPr>
                <w:rFonts w:ascii="Verdana" w:hAnsi="Verdana"/>
                <w:b/>
                <w:bCs/>
                <w:sz w:val="18"/>
                <w:szCs w:val="18"/>
                <w:lang w:val="fr-CH"/>
              </w:rPr>
              <w:t xml:space="preserve"> </w:t>
            </w:r>
            <w:r w:rsidRPr="005751A7">
              <w:rPr>
                <w:rFonts w:ascii="Verdana" w:hAnsi="Verdana"/>
                <w:b/>
                <w:bCs/>
                <w:sz w:val="18"/>
                <w:szCs w:val="18"/>
                <w:lang w:val="fr-CH"/>
              </w:rPr>
              <w:t>2</w:t>
            </w:r>
            <w:r w:rsidR="00FD7AA3" w:rsidRPr="005751A7">
              <w:rPr>
                <w:rFonts w:ascii="Verdana" w:hAnsi="Verdana"/>
                <w:b/>
                <w:bCs/>
                <w:sz w:val="18"/>
                <w:szCs w:val="18"/>
                <w:lang w:val="fr-CH"/>
              </w:rPr>
              <w:t>2</w:t>
            </w:r>
            <w:r w:rsidRPr="005751A7">
              <w:rPr>
                <w:rFonts w:ascii="Verdana" w:hAnsi="Verdana"/>
                <w:b/>
                <w:bCs/>
                <w:sz w:val="18"/>
                <w:szCs w:val="18"/>
                <w:lang w:val="fr-CH"/>
              </w:rPr>
              <w:t xml:space="preserve"> novembre 201</w:t>
            </w:r>
            <w:r w:rsidR="00FD7AA3" w:rsidRPr="005751A7">
              <w:rPr>
                <w:rFonts w:ascii="Verdana" w:hAnsi="Verdana"/>
                <w:b/>
                <w:bCs/>
                <w:sz w:val="18"/>
                <w:szCs w:val="18"/>
                <w:lang w:val="fr-CH"/>
              </w:rPr>
              <w:t>9</w:t>
            </w:r>
          </w:p>
        </w:tc>
        <w:tc>
          <w:tcPr>
            <w:tcW w:w="3120" w:type="dxa"/>
          </w:tcPr>
          <w:p w14:paraId="6EB21113" w14:textId="77777777" w:rsidR="00BB1D82" w:rsidRPr="005751A7" w:rsidRDefault="000A55AE" w:rsidP="005378AF">
            <w:pPr>
              <w:spacing w:before="0"/>
              <w:jc w:val="right"/>
              <w:rPr>
                <w:lang w:val="fr-CH"/>
              </w:rPr>
            </w:pPr>
            <w:bookmarkStart w:id="0" w:name="ditulogo"/>
            <w:bookmarkEnd w:id="0"/>
            <w:r w:rsidRPr="005751A7">
              <w:rPr>
                <w:rFonts w:ascii="Verdana" w:hAnsi="Verdana"/>
                <w:b/>
                <w:bCs/>
                <w:noProof/>
                <w:lang w:val="fr-CH" w:eastAsia="zh-CN"/>
              </w:rPr>
              <w:drawing>
                <wp:inline distT="0" distB="0" distL="0" distR="0" wp14:anchorId="44E2485E" wp14:editId="37FF1AB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751A7" w14:paraId="1C389E61" w14:textId="77777777" w:rsidTr="0050008E">
        <w:trPr>
          <w:cantSplit/>
        </w:trPr>
        <w:tc>
          <w:tcPr>
            <w:tcW w:w="6911" w:type="dxa"/>
            <w:tcBorders>
              <w:bottom w:val="single" w:sz="12" w:space="0" w:color="auto"/>
            </w:tcBorders>
          </w:tcPr>
          <w:p w14:paraId="55FB32DF" w14:textId="77777777" w:rsidR="00BB1D82" w:rsidRPr="005751A7" w:rsidRDefault="00BB1D82" w:rsidP="005378AF">
            <w:pPr>
              <w:spacing w:before="0" w:after="48"/>
              <w:rPr>
                <w:b/>
                <w:smallCaps/>
                <w:szCs w:val="24"/>
                <w:lang w:val="fr-CH"/>
              </w:rPr>
            </w:pPr>
            <w:bookmarkStart w:id="1" w:name="dhead"/>
          </w:p>
        </w:tc>
        <w:tc>
          <w:tcPr>
            <w:tcW w:w="3120" w:type="dxa"/>
            <w:tcBorders>
              <w:bottom w:val="single" w:sz="12" w:space="0" w:color="auto"/>
            </w:tcBorders>
          </w:tcPr>
          <w:p w14:paraId="20DB682F" w14:textId="77777777" w:rsidR="00BB1D82" w:rsidRPr="005751A7" w:rsidRDefault="00BB1D82" w:rsidP="005378AF">
            <w:pPr>
              <w:spacing w:before="0"/>
              <w:rPr>
                <w:rFonts w:ascii="Verdana" w:hAnsi="Verdana"/>
                <w:szCs w:val="24"/>
                <w:lang w:val="fr-CH"/>
              </w:rPr>
            </w:pPr>
          </w:p>
        </w:tc>
      </w:tr>
      <w:tr w:rsidR="00BB1D82" w:rsidRPr="005751A7" w14:paraId="2768A4D6" w14:textId="77777777" w:rsidTr="00BB1D82">
        <w:trPr>
          <w:cantSplit/>
        </w:trPr>
        <w:tc>
          <w:tcPr>
            <w:tcW w:w="6911" w:type="dxa"/>
            <w:tcBorders>
              <w:top w:val="single" w:sz="12" w:space="0" w:color="auto"/>
            </w:tcBorders>
          </w:tcPr>
          <w:p w14:paraId="4320B7C5" w14:textId="77777777" w:rsidR="00BB1D82" w:rsidRPr="005751A7" w:rsidRDefault="00BB1D82" w:rsidP="005378AF">
            <w:pPr>
              <w:spacing w:before="0" w:after="48"/>
              <w:rPr>
                <w:rFonts w:ascii="Verdana" w:hAnsi="Verdana"/>
                <w:b/>
                <w:smallCaps/>
                <w:sz w:val="20"/>
                <w:lang w:val="fr-CH"/>
              </w:rPr>
            </w:pPr>
          </w:p>
        </w:tc>
        <w:tc>
          <w:tcPr>
            <w:tcW w:w="3120" w:type="dxa"/>
            <w:tcBorders>
              <w:top w:val="single" w:sz="12" w:space="0" w:color="auto"/>
            </w:tcBorders>
          </w:tcPr>
          <w:p w14:paraId="5936D3CF" w14:textId="77777777" w:rsidR="00BB1D82" w:rsidRPr="005751A7" w:rsidRDefault="00BB1D82" w:rsidP="005378AF">
            <w:pPr>
              <w:spacing w:before="0"/>
              <w:rPr>
                <w:rFonts w:ascii="Verdana" w:hAnsi="Verdana"/>
                <w:sz w:val="20"/>
                <w:lang w:val="fr-CH"/>
              </w:rPr>
            </w:pPr>
          </w:p>
        </w:tc>
      </w:tr>
      <w:tr w:rsidR="00BB1D82" w:rsidRPr="005751A7" w14:paraId="01B26D23" w14:textId="77777777" w:rsidTr="00BB1D82">
        <w:trPr>
          <w:cantSplit/>
        </w:trPr>
        <w:tc>
          <w:tcPr>
            <w:tcW w:w="6911" w:type="dxa"/>
          </w:tcPr>
          <w:p w14:paraId="74886A26" w14:textId="77777777" w:rsidR="00BB1D82" w:rsidRPr="005751A7" w:rsidRDefault="006D4724" w:rsidP="005378AF">
            <w:pPr>
              <w:spacing w:before="0"/>
              <w:rPr>
                <w:rFonts w:ascii="Verdana" w:hAnsi="Verdana"/>
                <w:b/>
                <w:sz w:val="20"/>
                <w:lang w:val="fr-CH"/>
              </w:rPr>
            </w:pPr>
            <w:r w:rsidRPr="005751A7">
              <w:rPr>
                <w:rFonts w:ascii="Verdana" w:hAnsi="Verdana"/>
                <w:b/>
                <w:sz w:val="20"/>
                <w:lang w:val="fr-CH"/>
              </w:rPr>
              <w:t>SÉANCE PLÉNIÈRE</w:t>
            </w:r>
          </w:p>
        </w:tc>
        <w:tc>
          <w:tcPr>
            <w:tcW w:w="3120" w:type="dxa"/>
          </w:tcPr>
          <w:p w14:paraId="305D2DCA" w14:textId="77777777" w:rsidR="00BB1D82" w:rsidRPr="005751A7" w:rsidRDefault="006D4724" w:rsidP="005378AF">
            <w:pPr>
              <w:spacing w:before="0"/>
              <w:rPr>
                <w:rFonts w:ascii="Verdana" w:hAnsi="Verdana"/>
                <w:sz w:val="20"/>
                <w:lang w:val="fr-CH"/>
              </w:rPr>
            </w:pPr>
            <w:r w:rsidRPr="005751A7">
              <w:rPr>
                <w:rFonts w:ascii="Verdana" w:hAnsi="Verdana"/>
                <w:b/>
                <w:sz w:val="20"/>
                <w:lang w:val="fr-CH"/>
              </w:rPr>
              <w:t>Addendum 24 au</w:t>
            </w:r>
            <w:r w:rsidRPr="005751A7">
              <w:rPr>
                <w:rFonts w:ascii="Verdana" w:hAnsi="Verdana"/>
                <w:b/>
                <w:sz w:val="20"/>
                <w:lang w:val="fr-CH"/>
              </w:rPr>
              <w:br/>
              <w:t>Document 54</w:t>
            </w:r>
            <w:r w:rsidR="00BB1D82" w:rsidRPr="005751A7">
              <w:rPr>
                <w:rFonts w:ascii="Verdana" w:hAnsi="Verdana"/>
                <w:b/>
                <w:sz w:val="20"/>
                <w:lang w:val="fr-CH"/>
              </w:rPr>
              <w:t>-</w:t>
            </w:r>
            <w:r w:rsidRPr="005751A7">
              <w:rPr>
                <w:rFonts w:ascii="Verdana" w:hAnsi="Verdana"/>
                <w:b/>
                <w:sz w:val="20"/>
                <w:lang w:val="fr-CH"/>
              </w:rPr>
              <w:t>F</w:t>
            </w:r>
          </w:p>
        </w:tc>
      </w:tr>
      <w:bookmarkEnd w:id="1"/>
      <w:tr w:rsidR="00690C7B" w:rsidRPr="005751A7" w14:paraId="2772D5B5" w14:textId="77777777" w:rsidTr="00BB1D82">
        <w:trPr>
          <w:cantSplit/>
        </w:trPr>
        <w:tc>
          <w:tcPr>
            <w:tcW w:w="6911" w:type="dxa"/>
          </w:tcPr>
          <w:p w14:paraId="35118785" w14:textId="77777777" w:rsidR="00690C7B" w:rsidRPr="005751A7" w:rsidRDefault="00690C7B" w:rsidP="005378AF">
            <w:pPr>
              <w:spacing w:before="0"/>
              <w:rPr>
                <w:rFonts w:ascii="Verdana" w:hAnsi="Verdana"/>
                <w:b/>
                <w:sz w:val="20"/>
                <w:lang w:val="fr-CH"/>
              </w:rPr>
            </w:pPr>
          </w:p>
        </w:tc>
        <w:tc>
          <w:tcPr>
            <w:tcW w:w="3120" w:type="dxa"/>
          </w:tcPr>
          <w:p w14:paraId="7C88CECF" w14:textId="77777777" w:rsidR="00690C7B" w:rsidRPr="005751A7" w:rsidRDefault="00690C7B" w:rsidP="005378AF">
            <w:pPr>
              <w:spacing w:before="0"/>
              <w:rPr>
                <w:rFonts w:ascii="Verdana" w:hAnsi="Verdana"/>
                <w:b/>
                <w:sz w:val="20"/>
                <w:lang w:val="fr-CH"/>
              </w:rPr>
            </w:pPr>
            <w:r w:rsidRPr="005751A7">
              <w:rPr>
                <w:rFonts w:ascii="Verdana" w:hAnsi="Verdana"/>
                <w:b/>
                <w:sz w:val="20"/>
                <w:lang w:val="fr-CH"/>
              </w:rPr>
              <w:t>7 octobre 2019</w:t>
            </w:r>
          </w:p>
        </w:tc>
      </w:tr>
      <w:tr w:rsidR="00690C7B" w:rsidRPr="005751A7" w14:paraId="7457973D" w14:textId="77777777" w:rsidTr="00BB1D82">
        <w:trPr>
          <w:cantSplit/>
        </w:trPr>
        <w:tc>
          <w:tcPr>
            <w:tcW w:w="6911" w:type="dxa"/>
          </w:tcPr>
          <w:p w14:paraId="7B7D59FD" w14:textId="77777777" w:rsidR="00690C7B" w:rsidRPr="005751A7" w:rsidRDefault="00690C7B" w:rsidP="005378AF">
            <w:pPr>
              <w:spacing w:before="0" w:after="48"/>
              <w:rPr>
                <w:rFonts w:ascii="Verdana" w:hAnsi="Verdana"/>
                <w:b/>
                <w:smallCaps/>
                <w:sz w:val="20"/>
                <w:lang w:val="fr-CH"/>
              </w:rPr>
            </w:pPr>
          </w:p>
        </w:tc>
        <w:tc>
          <w:tcPr>
            <w:tcW w:w="3120" w:type="dxa"/>
          </w:tcPr>
          <w:p w14:paraId="12F24BEE" w14:textId="77777777" w:rsidR="00690C7B" w:rsidRPr="005751A7" w:rsidRDefault="00690C7B" w:rsidP="005378AF">
            <w:pPr>
              <w:spacing w:before="0"/>
              <w:rPr>
                <w:rFonts w:ascii="Verdana" w:hAnsi="Verdana"/>
                <w:b/>
                <w:sz w:val="20"/>
                <w:lang w:val="fr-CH"/>
              </w:rPr>
            </w:pPr>
            <w:r w:rsidRPr="005751A7">
              <w:rPr>
                <w:rFonts w:ascii="Verdana" w:hAnsi="Verdana"/>
                <w:b/>
                <w:sz w:val="20"/>
                <w:lang w:val="fr-CH"/>
              </w:rPr>
              <w:t>Original: anglais</w:t>
            </w:r>
          </w:p>
        </w:tc>
      </w:tr>
      <w:tr w:rsidR="00690C7B" w:rsidRPr="005751A7" w14:paraId="67A485C5" w14:textId="77777777" w:rsidTr="00C11970">
        <w:trPr>
          <w:cantSplit/>
        </w:trPr>
        <w:tc>
          <w:tcPr>
            <w:tcW w:w="10031" w:type="dxa"/>
            <w:gridSpan w:val="2"/>
          </w:tcPr>
          <w:p w14:paraId="5F51FEB0" w14:textId="77777777" w:rsidR="00690C7B" w:rsidRPr="005751A7" w:rsidRDefault="00690C7B" w:rsidP="005378AF">
            <w:pPr>
              <w:spacing w:before="0"/>
              <w:rPr>
                <w:rFonts w:ascii="Verdana" w:hAnsi="Verdana"/>
                <w:b/>
                <w:sz w:val="20"/>
                <w:lang w:val="fr-CH"/>
              </w:rPr>
            </w:pPr>
          </w:p>
        </w:tc>
      </w:tr>
      <w:tr w:rsidR="00690C7B" w:rsidRPr="005751A7" w14:paraId="56CCE25F" w14:textId="77777777" w:rsidTr="0050008E">
        <w:trPr>
          <w:cantSplit/>
        </w:trPr>
        <w:tc>
          <w:tcPr>
            <w:tcW w:w="10031" w:type="dxa"/>
            <w:gridSpan w:val="2"/>
          </w:tcPr>
          <w:p w14:paraId="2DACBC9F" w14:textId="77777777" w:rsidR="00690C7B" w:rsidRPr="005751A7" w:rsidRDefault="00690C7B" w:rsidP="005378AF">
            <w:pPr>
              <w:pStyle w:val="Source"/>
              <w:rPr>
                <w:lang w:val="fr-CH"/>
              </w:rPr>
            </w:pPr>
            <w:bookmarkStart w:id="2" w:name="dsource" w:colFirst="0" w:colLast="0"/>
            <w:r w:rsidRPr="005751A7">
              <w:rPr>
                <w:lang w:val="fr-CH"/>
              </w:rPr>
              <w:t>Samoa (Etat indépendant du)/Singapour (République de)</w:t>
            </w:r>
          </w:p>
        </w:tc>
      </w:tr>
      <w:tr w:rsidR="00690C7B" w:rsidRPr="005751A7" w14:paraId="03ACFEB0" w14:textId="77777777" w:rsidTr="0050008E">
        <w:trPr>
          <w:cantSplit/>
        </w:trPr>
        <w:tc>
          <w:tcPr>
            <w:tcW w:w="10031" w:type="dxa"/>
            <w:gridSpan w:val="2"/>
          </w:tcPr>
          <w:p w14:paraId="0D1542B6" w14:textId="77777777" w:rsidR="00690C7B" w:rsidRPr="005751A7" w:rsidRDefault="00690C7B" w:rsidP="005378AF">
            <w:pPr>
              <w:pStyle w:val="Title1"/>
              <w:rPr>
                <w:lang w:val="fr-CH"/>
              </w:rPr>
            </w:pPr>
            <w:bookmarkStart w:id="3" w:name="dtitle1" w:colFirst="0" w:colLast="0"/>
            <w:bookmarkEnd w:id="2"/>
            <w:r w:rsidRPr="005751A7">
              <w:rPr>
                <w:lang w:val="fr-CH"/>
              </w:rPr>
              <w:t>Propositions pour les travaux de la conférence</w:t>
            </w:r>
          </w:p>
        </w:tc>
      </w:tr>
      <w:tr w:rsidR="00690C7B" w:rsidRPr="005751A7" w14:paraId="5F943F09" w14:textId="77777777" w:rsidTr="0050008E">
        <w:trPr>
          <w:cantSplit/>
        </w:trPr>
        <w:tc>
          <w:tcPr>
            <w:tcW w:w="10031" w:type="dxa"/>
            <w:gridSpan w:val="2"/>
          </w:tcPr>
          <w:p w14:paraId="1EB34CC1" w14:textId="77777777" w:rsidR="00690C7B" w:rsidRPr="005751A7" w:rsidRDefault="00690C7B" w:rsidP="005378AF">
            <w:pPr>
              <w:pStyle w:val="Title2"/>
              <w:rPr>
                <w:lang w:val="fr-CH"/>
              </w:rPr>
            </w:pPr>
            <w:bookmarkStart w:id="4" w:name="dtitle2" w:colFirst="0" w:colLast="0"/>
            <w:bookmarkEnd w:id="3"/>
          </w:p>
        </w:tc>
      </w:tr>
      <w:tr w:rsidR="00690C7B" w:rsidRPr="005751A7" w14:paraId="0A85D868" w14:textId="77777777" w:rsidTr="0050008E">
        <w:trPr>
          <w:cantSplit/>
        </w:trPr>
        <w:tc>
          <w:tcPr>
            <w:tcW w:w="10031" w:type="dxa"/>
            <w:gridSpan w:val="2"/>
          </w:tcPr>
          <w:p w14:paraId="55431B94" w14:textId="77777777" w:rsidR="00690C7B" w:rsidRPr="005751A7" w:rsidRDefault="00690C7B" w:rsidP="005378AF">
            <w:pPr>
              <w:pStyle w:val="Agendaitem"/>
            </w:pPr>
            <w:bookmarkStart w:id="5" w:name="dtitle3" w:colFirst="0" w:colLast="0"/>
            <w:bookmarkEnd w:id="4"/>
            <w:r w:rsidRPr="005751A7">
              <w:t>Point 10 de l'ordre du jour</w:t>
            </w:r>
          </w:p>
        </w:tc>
      </w:tr>
    </w:tbl>
    <w:bookmarkEnd w:id="5"/>
    <w:p w14:paraId="4BCBC6E0" w14:textId="2DA1BB7F" w:rsidR="001C0E40" w:rsidRPr="005751A7" w:rsidRDefault="00F819CA" w:rsidP="001904AF">
      <w:pPr>
        <w:pStyle w:val="Normalaftertitle"/>
        <w:rPr>
          <w:lang w:val="fr-CH"/>
        </w:rPr>
      </w:pPr>
      <w:r w:rsidRPr="005751A7">
        <w:rPr>
          <w:lang w:val="fr-CH"/>
        </w:rPr>
        <w:t>10</w:t>
      </w:r>
      <w:r w:rsidRPr="005751A7">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8A746B" w:rsidRPr="005751A7">
        <w:rPr>
          <w:lang w:val="fr-CH"/>
        </w:rPr>
        <w:t>.</w:t>
      </w:r>
    </w:p>
    <w:p w14:paraId="67E04AD4" w14:textId="79615C44" w:rsidR="005751A7" w:rsidRDefault="005751A7" w:rsidP="001904AF">
      <w:pPr>
        <w:pStyle w:val="Title4"/>
        <w:rPr>
          <w:lang w:val="fr-CH"/>
        </w:rPr>
      </w:pPr>
      <w:r>
        <w:rPr>
          <w:lang w:val="fr-CH"/>
        </w:rPr>
        <w:t>Proposition visant à examiner les résultats des études sur la compatibilité des</w:t>
      </w:r>
      <w:r w:rsidR="001904AF">
        <w:rPr>
          <w:lang w:val="fr-CH"/>
        </w:rPr>
        <w:t> </w:t>
      </w:r>
      <w:r>
        <w:rPr>
          <w:lang w:val="fr-CH"/>
        </w:rPr>
        <w:t>liaisons entre satellites, dans le sens Terre vers espace dans la bande 27,5</w:t>
      </w:r>
      <w:r w:rsidR="001904AF">
        <w:rPr>
          <w:lang w:val="fr-CH"/>
        </w:rPr>
        <w:noBreakHyphen/>
      </w:r>
      <w:r>
        <w:rPr>
          <w:lang w:val="fr-CH"/>
        </w:rPr>
        <w:t>30</w:t>
      </w:r>
      <w:r w:rsidR="001904AF">
        <w:rPr>
          <w:lang w:val="fr-CH"/>
        </w:rPr>
        <w:t> </w:t>
      </w:r>
      <w:r>
        <w:rPr>
          <w:lang w:val="fr-CH"/>
        </w:rPr>
        <w:t xml:space="preserve">GHz et dans le sens espace vers Terre dans les bandes </w:t>
      </w:r>
      <w:r w:rsidR="001904AF">
        <w:rPr>
          <w:lang w:val="fr-CH"/>
        </w:rPr>
        <w:br/>
      </w:r>
      <w:r>
        <w:rPr>
          <w:lang w:val="fr-CH"/>
        </w:rPr>
        <w:t xml:space="preserve">de fréquences </w:t>
      </w:r>
      <w:r w:rsidRPr="005751A7">
        <w:rPr>
          <w:lang w:val="fr-CH"/>
        </w:rPr>
        <w:t>17</w:t>
      </w:r>
      <w:r>
        <w:rPr>
          <w:lang w:val="fr-CH"/>
        </w:rPr>
        <w:t>,</w:t>
      </w:r>
      <w:r w:rsidRPr="005751A7">
        <w:rPr>
          <w:lang w:val="fr-CH"/>
        </w:rPr>
        <w:t>7-18</w:t>
      </w:r>
      <w:r>
        <w:rPr>
          <w:lang w:val="fr-CH"/>
        </w:rPr>
        <w:t>,</w:t>
      </w:r>
      <w:r w:rsidRPr="005751A7">
        <w:rPr>
          <w:lang w:val="fr-CH"/>
        </w:rPr>
        <w:t>6 GHz</w:t>
      </w:r>
      <w:r>
        <w:rPr>
          <w:lang w:val="fr-CH"/>
        </w:rPr>
        <w:t xml:space="preserve"> et </w:t>
      </w:r>
      <w:r w:rsidRPr="005751A7">
        <w:rPr>
          <w:lang w:val="fr-CH"/>
        </w:rPr>
        <w:t>18</w:t>
      </w:r>
      <w:r>
        <w:rPr>
          <w:lang w:val="fr-CH"/>
        </w:rPr>
        <w:t>,</w:t>
      </w:r>
      <w:r w:rsidRPr="005751A7">
        <w:rPr>
          <w:lang w:val="fr-CH"/>
        </w:rPr>
        <w:t>8-20</w:t>
      </w:r>
      <w:r>
        <w:rPr>
          <w:lang w:val="fr-CH"/>
        </w:rPr>
        <w:t>,</w:t>
      </w:r>
      <w:r w:rsidRPr="005751A7">
        <w:rPr>
          <w:lang w:val="fr-CH"/>
        </w:rPr>
        <w:t>2 GHz</w:t>
      </w:r>
      <w:r w:rsidR="00CD74DD">
        <w:rPr>
          <w:lang w:val="fr-CH"/>
        </w:rPr>
        <w:t>,</w:t>
      </w:r>
      <w:r>
        <w:rPr>
          <w:lang w:val="fr-CH"/>
        </w:rPr>
        <w:t xml:space="preserve"> avec les autres </w:t>
      </w:r>
      <w:r w:rsidR="001904AF">
        <w:rPr>
          <w:lang w:val="fr-CH"/>
        </w:rPr>
        <w:br/>
      </w:r>
      <w:r>
        <w:rPr>
          <w:lang w:val="fr-CH"/>
        </w:rPr>
        <w:t>opérations du SFS et les autres services</w:t>
      </w:r>
    </w:p>
    <w:p w14:paraId="58E51118" w14:textId="7CA96946" w:rsidR="003A583E" w:rsidRPr="005751A7" w:rsidRDefault="005751A7" w:rsidP="005378AF">
      <w:pPr>
        <w:pStyle w:val="Headingb"/>
        <w:rPr>
          <w:lang w:val="fr-CH"/>
        </w:rPr>
      </w:pPr>
      <w:r w:rsidRPr="005751A7">
        <w:rPr>
          <w:lang w:val="fr-CH"/>
        </w:rPr>
        <w:t>Considérations générales</w:t>
      </w:r>
    </w:p>
    <w:p w14:paraId="4E417708" w14:textId="404118C7" w:rsidR="008A746B" w:rsidRPr="005751A7" w:rsidRDefault="005751A7" w:rsidP="005378AF">
      <w:pPr>
        <w:rPr>
          <w:lang w:val="fr-CH"/>
        </w:rPr>
      </w:pPr>
      <w:r>
        <w:rPr>
          <w:bCs/>
          <w:lang w:val="fr-CH"/>
        </w:rPr>
        <w:t xml:space="preserve">Aux termes du numéro </w:t>
      </w:r>
      <w:r w:rsidR="008A746B" w:rsidRPr="005751A7">
        <w:rPr>
          <w:b/>
          <w:lang w:val="fr-CH"/>
        </w:rPr>
        <w:t>1.</w:t>
      </w:r>
      <w:r>
        <w:rPr>
          <w:b/>
          <w:lang w:val="fr-CH"/>
        </w:rPr>
        <w:t xml:space="preserve">21 </w:t>
      </w:r>
      <w:r>
        <w:rPr>
          <w:bCs/>
          <w:lang w:val="fr-CH"/>
        </w:rPr>
        <w:t xml:space="preserve">du Règlement des radiocommunications, le </w:t>
      </w:r>
      <w:r w:rsidR="008A746B" w:rsidRPr="005751A7">
        <w:rPr>
          <w:bCs/>
          <w:lang w:val="fr-CH"/>
        </w:rPr>
        <w:t>service</w:t>
      </w:r>
      <w:r w:rsidR="008A746B" w:rsidRPr="005751A7">
        <w:rPr>
          <w:lang w:val="fr-CH"/>
        </w:rPr>
        <w:t xml:space="preserve"> fixe par satellite</w:t>
      </w:r>
      <w:r>
        <w:rPr>
          <w:lang w:val="fr-CH"/>
        </w:rPr>
        <w:t xml:space="preserve"> (SFS) est défini comme suit</w:t>
      </w:r>
      <w:r w:rsidR="008A746B" w:rsidRPr="005751A7">
        <w:rPr>
          <w:lang w:val="fr-CH"/>
        </w:rPr>
        <w:t>:</w:t>
      </w:r>
    </w:p>
    <w:p w14:paraId="49D756D5" w14:textId="61BF806B" w:rsidR="008A746B" w:rsidRPr="005751A7" w:rsidRDefault="008A746B" w:rsidP="005378AF">
      <w:pPr>
        <w:rPr>
          <w:lang w:val="fr-CH"/>
        </w:rPr>
      </w:pPr>
      <w:r w:rsidRPr="005751A7">
        <w:rPr>
          <w:lang w:val="fr-CH"/>
        </w:rPr>
        <w:t>«</w:t>
      </w:r>
      <w:r w:rsidRPr="005751A7">
        <w:rPr>
          <w:i/>
          <w:iCs/>
          <w:lang w:val="fr-CH"/>
        </w:rPr>
        <w:t>Service de radiocommunication entre stations terriennes situées en des emplacements donnés lorsqu'il est fait usage d'un ou de plusieurs satellites; l'emplacement donné peut être un point fixe déterminé ou tout point fixe situé dans des zones déterminées; dans certains cas, ce service comprend des liaisons entre satellites, qui peuvent également être assurées au sein du service inter</w:t>
      </w:r>
      <w:r w:rsidR="00A43575">
        <w:rPr>
          <w:i/>
          <w:iCs/>
          <w:lang w:val="fr-CH"/>
        </w:rPr>
        <w:noBreakHyphen/>
      </w:r>
      <w:r w:rsidRPr="005751A7">
        <w:rPr>
          <w:i/>
          <w:iCs/>
          <w:lang w:val="fr-CH"/>
        </w:rPr>
        <w:t>satellites; le service fixe par satellite peut en outre comprendre des liaisons de connexion pour d'autres services de radiocommunication spatiale</w:t>
      </w:r>
      <w:r w:rsidRPr="005751A7">
        <w:rPr>
          <w:lang w:val="fr-CH"/>
        </w:rPr>
        <w:t>.»</w:t>
      </w:r>
    </w:p>
    <w:p w14:paraId="376B6FA8" w14:textId="5FB5C3E8" w:rsidR="00A5341A" w:rsidRPr="005751A7" w:rsidRDefault="005751A7" w:rsidP="005378AF">
      <w:pPr>
        <w:rPr>
          <w:lang w:val="fr-CH"/>
        </w:rPr>
      </w:pPr>
      <w:r>
        <w:rPr>
          <w:lang w:val="fr-CH"/>
        </w:rPr>
        <w:t xml:space="preserve">Les </w:t>
      </w:r>
      <w:r w:rsidR="00CD74DD">
        <w:rPr>
          <w:lang w:val="fr-CH"/>
        </w:rPr>
        <w:t>«</w:t>
      </w:r>
      <w:r>
        <w:rPr>
          <w:lang w:val="fr-CH"/>
        </w:rPr>
        <w:t>certains cas</w:t>
      </w:r>
      <w:r w:rsidR="00CD74DD">
        <w:rPr>
          <w:lang w:val="fr-CH"/>
        </w:rPr>
        <w:t>»</w:t>
      </w:r>
      <w:r>
        <w:rPr>
          <w:lang w:val="fr-CH"/>
        </w:rPr>
        <w:t xml:space="preserve"> dans lesquels le SFS comprend des liaisons entre satellites ne sont définis ni dans le Règlement des radiocommunications ni dans les publications de l'UIT associées.</w:t>
      </w:r>
      <w:r w:rsidR="00BD1C09">
        <w:rPr>
          <w:lang w:val="fr-CH"/>
        </w:rPr>
        <w:t xml:space="preserve"> Pourtant, la possibilité que des liaisons entre satellites relèvent du SFS existe bien.</w:t>
      </w:r>
      <w:r>
        <w:rPr>
          <w:lang w:val="fr-CH"/>
        </w:rPr>
        <w:t xml:space="preserve"> </w:t>
      </w:r>
    </w:p>
    <w:p w14:paraId="268CF4EE" w14:textId="60C36EE0" w:rsidR="00A5341A" w:rsidRPr="005751A7" w:rsidRDefault="00A5341A" w:rsidP="005378AF">
      <w:pPr>
        <w:rPr>
          <w:lang w:val="fr-CH"/>
        </w:rPr>
      </w:pPr>
      <w:r w:rsidRPr="005751A7">
        <w:rPr>
          <w:lang w:val="fr-CH"/>
        </w:rPr>
        <w:t xml:space="preserve">Comme indiqué par le Directeur du Bureau des radiocommunications dans son rapport à la seconde session de la RPC en vue de la CMR-19, depuis 2014, 27 soumissions de renseignements pour la publication anticipée ont été présentées concernant des systèmes à satellites non OSG au titre du numéro </w:t>
      </w:r>
      <w:r w:rsidRPr="005751A7">
        <w:rPr>
          <w:b/>
          <w:bCs/>
          <w:lang w:val="fr-CH"/>
        </w:rPr>
        <w:t>4.4</w:t>
      </w:r>
      <w:r w:rsidRPr="005751A7">
        <w:rPr>
          <w:lang w:val="fr-CH"/>
        </w:rPr>
        <w:t xml:space="preserve"> du Règlement des radiocommunications, en vue de l'utilisation, par un service spatial ne bénéficiant pas d'attributions, de bandes de fréquences attribuées à un autre service spatial. Voir le </w:t>
      </w:r>
      <w:r w:rsidRPr="005751A7">
        <w:rPr>
          <w:lang w:val="fr-CH"/>
        </w:rPr>
        <w:lastRenderedPageBreak/>
        <w:t>Document CPM19-2/17, § 3.1.3.2 (Avant-projet de Rapport du directeur à la CMR-19 sur les activités du secteur des radiocommunications)</w:t>
      </w:r>
      <w:r w:rsidR="00A811FE" w:rsidRPr="005751A7">
        <w:rPr>
          <w:rStyle w:val="FootnoteReference"/>
          <w:lang w:val="fr-CH"/>
        </w:rPr>
        <w:footnoteReference w:id="1"/>
      </w:r>
      <w:r w:rsidRPr="005751A7">
        <w:rPr>
          <w:lang w:val="fr-CH"/>
        </w:rPr>
        <w:t>. Les renseignements de notification ont par la suite été soumis pour les assignations de fréquence de trois de ces systèmes. Il est souligné dans le projet de rapport du Directeur «qu'aucun cas de brouillages préjudiciables causés par ces assignations de fréquence à un service quelconque d'une autre administration n'a été signalé au BR» (Document CPM19-2/17, § 3.1.3.2)</w:t>
      </w:r>
      <w:r w:rsidR="00322DBC" w:rsidRPr="005751A7">
        <w:rPr>
          <w:vertAlign w:val="superscript"/>
          <w:lang w:val="fr-CH"/>
        </w:rPr>
        <w:t>*</w:t>
      </w:r>
      <w:r w:rsidRPr="005751A7">
        <w:rPr>
          <w:lang w:val="fr-CH"/>
        </w:rPr>
        <w:t>.</w:t>
      </w:r>
    </w:p>
    <w:p w14:paraId="199A9987" w14:textId="12B20E72" w:rsidR="009A17FA" w:rsidRPr="005751A7" w:rsidRDefault="009A17FA" w:rsidP="005378AF">
      <w:pPr>
        <w:rPr>
          <w:lang w:val="fr-CH"/>
        </w:rPr>
      </w:pPr>
      <w:r w:rsidRPr="005751A7">
        <w:rPr>
          <w:lang w:val="fr-CH"/>
        </w:rPr>
        <w:t>Comme l'a reconnu le Directeur du Bureau des radiocommunications, la difficulté consiste à trouver un moyen de reconnaître ces utilisations dans le Règlement des radiocommunications, compte tenu si possible des conditions techniques découlant des études de l'UIT-R.</w:t>
      </w:r>
      <w:r w:rsidR="00BD1C09">
        <w:rPr>
          <w:lang w:val="fr-CH"/>
        </w:rPr>
        <w:t xml:space="preserve"> </w:t>
      </w:r>
      <w:r w:rsidRPr="005751A7">
        <w:rPr>
          <w:lang w:val="fr-CH"/>
        </w:rPr>
        <w:t>Étant donné que les bandes de fréquences attribuées au service fixe par satellite et au service mobile par satellite sont utilisées pour les liaisons entre les stations spatiales et les stations terriennes, il est nécessaire d'analyser l'utilisation des mêmes bandes pour les liaisons entre satellites, afin de garantir la compatibilité et d'éviter les brouillages préjudiciables.</w:t>
      </w:r>
      <w:r w:rsidR="00A811FE" w:rsidRPr="005751A7">
        <w:rPr>
          <w:lang w:val="fr-CH"/>
        </w:rPr>
        <w:t xml:space="preserve"> Il est probable que le scénario de partage différera en fonction de la variation des caractéristiques orbitales des satellites non OSG.</w:t>
      </w:r>
    </w:p>
    <w:p w14:paraId="6BADEACA" w14:textId="0C6DE51B" w:rsidR="00BD1C09" w:rsidRDefault="009E0630" w:rsidP="001904AF">
      <w:pPr>
        <w:spacing w:after="480"/>
        <w:rPr>
          <w:iCs/>
          <w:lang w:val="fr-CH"/>
        </w:rPr>
      </w:pPr>
      <w:r>
        <w:rPr>
          <w:iCs/>
          <w:lang w:val="fr-CH"/>
        </w:rPr>
        <w:t xml:space="preserve">Les </w:t>
      </w:r>
      <w:r w:rsidR="00FA79AB">
        <w:rPr>
          <w:iCs/>
          <w:lang w:val="fr-CH"/>
        </w:rPr>
        <w:t xml:space="preserve">liaisons entre satellites </w:t>
      </w:r>
      <w:r w:rsidR="001665AE">
        <w:rPr>
          <w:iCs/>
          <w:lang w:val="fr-CH"/>
        </w:rPr>
        <w:t xml:space="preserve">faisant l'objet de la proposition </w:t>
      </w:r>
      <w:r>
        <w:rPr>
          <w:iCs/>
          <w:lang w:val="fr-CH"/>
        </w:rPr>
        <w:t>devrai</w:t>
      </w:r>
      <w:r w:rsidR="00B927BA">
        <w:rPr>
          <w:iCs/>
          <w:lang w:val="fr-CH"/>
        </w:rPr>
        <w:t>en</w:t>
      </w:r>
      <w:r>
        <w:rPr>
          <w:iCs/>
          <w:lang w:val="fr-CH"/>
        </w:rPr>
        <w:t>t être</w:t>
      </w:r>
      <w:r w:rsidR="00FA79AB">
        <w:rPr>
          <w:iCs/>
          <w:lang w:val="fr-CH"/>
        </w:rPr>
        <w:t xml:space="preserve"> </w:t>
      </w:r>
      <w:r>
        <w:rPr>
          <w:iCs/>
          <w:lang w:val="fr-CH"/>
        </w:rPr>
        <w:t>exploitées dans le</w:t>
      </w:r>
      <w:r w:rsidR="00B927BA">
        <w:rPr>
          <w:iCs/>
          <w:lang w:val="fr-CH"/>
        </w:rPr>
        <w:t>s</w:t>
      </w:r>
      <w:r>
        <w:rPr>
          <w:iCs/>
          <w:lang w:val="fr-CH"/>
        </w:rPr>
        <w:t xml:space="preserve"> sens</w:t>
      </w:r>
      <w:r w:rsidR="00FA79AB">
        <w:rPr>
          <w:iCs/>
          <w:lang w:val="fr-CH"/>
        </w:rPr>
        <w:t xml:space="preserve"> identifié</w:t>
      </w:r>
      <w:r w:rsidR="00B927BA">
        <w:rPr>
          <w:iCs/>
          <w:lang w:val="fr-CH"/>
        </w:rPr>
        <w:t>s</w:t>
      </w:r>
      <w:r w:rsidR="00FA79AB">
        <w:rPr>
          <w:iCs/>
          <w:lang w:val="fr-CH"/>
        </w:rPr>
        <w:t xml:space="preserve"> dans l'Article </w:t>
      </w:r>
      <w:r w:rsidR="00FA79AB">
        <w:rPr>
          <w:b/>
          <w:bCs/>
          <w:iCs/>
          <w:lang w:val="fr-CH"/>
        </w:rPr>
        <w:t xml:space="preserve">5 </w:t>
      </w:r>
      <w:r w:rsidR="00FA79AB">
        <w:rPr>
          <w:iCs/>
          <w:lang w:val="fr-CH"/>
        </w:rPr>
        <w:t xml:space="preserve">du Règlement des radiocommunications </w:t>
      </w:r>
      <w:r w:rsidR="00B927BA">
        <w:rPr>
          <w:iCs/>
          <w:lang w:val="fr-CH"/>
        </w:rPr>
        <w:t xml:space="preserve">de l'UIT </w:t>
      </w:r>
      <w:r w:rsidR="00FA79AB">
        <w:rPr>
          <w:iCs/>
          <w:lang w:val="fr-CH"/>
        </w:rPr>
        <w:t>pour les bandes de fréquences 27,5</w:t>
      </w:r>
      <w:r>
        <w:rPr>
          <w:iCs/>
          <w:lang w:val="fr-CH"/>
        </w:rPr>
        <w:t xml:space="preserve">-30 GHz (Terre vers espace) et 17,7-18,6 GHZ </w:t>
      </w:r>
      <w:r w:rsidR="00B927BA">
        <w:rPr>
          <w:iCs/>
          <w:lang w:val="fr-CH"/>
        </w:rPr>
        <w:t xml:space="preserve">et 18,8-20,2 GHz </w:t>
      </w:r>
      <w:r>
        <w:rPr>
          <w:iCs/>
          <w:lang w:val="fr-CH"/>
        </w:rPr>
        <w:t xml:space="preserve">(espace vers Terre). En outre, une liaison entre satellites ne devrait être autorisée </w:t>
      </w:r>
      <w:r w:rsidR="00B927BA">
        <w:rPr>
          <w:iCs/>
          <w:lang w:val="fr-CH"/>
        </w:rPr>
        <w:t>comme indiqué par les</w:t>
      </w:r>
      <w:r>
        <w:rPr>
          <w:iCs/>
          <w:lang w:val="fr-CH"/>
        </w:rPr>
        <w:t xml:space="preserve"> flèches vertes dans la figure ci-dessous, </w:t>
      </w:r>
      <w:r w:rsidR="00B927BA">
        <w:rPr>
          <w:iCs/>
          <w:lang w:val="fr-CH"/>
        </w:rPr>
        <w:t>que</w:t>
      </w:r>
      <w:r>
        <w:rPr>
          <w:iCs/>
          <w:lang w:val="fr-CH"/>
        </w:rPr>
        <w:t xml:space="preserve"> lorsque les satellites se trouvent à l'intérieur </w:t>
      </w:r>
      <w:r w:rsidR="000915B1">
        <w:rPr>
          <w:iCs/>
          <w:lang w:val="fr-CH"/>
        </w:rPr>
        <w:t>du cône formé par le</w:t>
      </w:r>
      <w:r>
        <w:rPr>
          <w:iCs/>
          <w:lang w:val="fr-CH"/>
        </w:rPr>
        <w:t xml:space="preserve"> satellite </w:t>
      </w:r>
      <w:r w:rsidR="000915B1">
        <w:rPr>
          <w:iCs/>
          <w:lang w:val="fr-CH"/>
        </w:rPr>
        <w:t xml:space="preserve">duquel part la liaison et le contour à la surface de la Terre pour un angle d'élévation de zéro degré depuis ce satellite. Dans un souci de clarté, les liaisons correspondant aux flèches rouges dans la figure ci-dessous ne </w:t>
      </w:r>
      <w:r w:rsidR="00B927BA">
        <w:rPr>
          <w:iCs/>
          <w:lang w:val="fr-CH"/>
        </w:rPr>
        <w:t>sont</w:t>
      </w:r>
      <w:r w:rsidR="000915B1">
        <w:rPr>
          <w:iCs/>
          <w:lang w:val="fr-CH"/>
        </w:rPr>
        <w:t xml:space="preserve"> pas autorisées selon la présente proposition.</w:t>
      </w:r>
    </w:p>
    <w:p w14:paraId="7EC2A930" w14:textId="4F421C27" w:rsidR="00534943" w:rsidRPr="005751A7" w:rsidRDefault="005378AF" w:rsidP="001904AF">
      <w:pPr>
        <w:jc w:val="center"/>
        <w:rPr>
          <w:lang w:val="fr-CH"/>
        </w:rPr>
      </w:pPr>
      <w:r w:rsidRPr="005378AF">
        <w:rPr>
          <w:noProof/>
        </w:rPr>
        <mc:AlternateContent>
          <mc:Choice Requires="wps">
            <w:drawing>
              <wp:anchor distT="0" distB="0" distL="114300" distR="114300" simplePos="0" relativeHeight="251659264" behindDoc="0" locked="0" layoutInCell="1" allowOverlap="1" wp14:anchorId="7F5F2D5E" wp14:editId="325AC63C">
                <wp:simplePos x="0" y="0"/>
                <wp:positionH relativeFrom="margin">
                  <wp:align>center</wp:align>
                </wp:positionH>
                <wp:positionV relativeFrom="paragraph">
                  <wp:posOffset>2765273</wp:posOffset>
                </wp:positionV>
                <wp:extent cx="532614" cy="361646"/>
                <wp:effectExtent l="0" t="0" r="1270" b="635"/>
                <wp:wrapNone/>
                <wp:docPr id="8" name="TextBox 2"/>
                <wp:cNvGraphicFramePr/>
                <a:graphic xmlns:a="http://schemas.openxmlformats.org/drawingml/2006/main">
                  <a:graphicData uri="http://schemas.microsoft.com/office/word/2010/wordprocessingShape">
                    <wps:wsp>
                      <wps:cNvSpPr txBox="1"/>
                      <wps:spPr>
                        <a:xfrm>
                          <a:off x="0" y="0"/>
                          <a:ext cx="532614" cy="361646"/>
                        </a:xfrm>
                        <a:prstGeom prst="rect">
                          <a:avLst/>
                        </a:prstGeom>
                        <a:solidFill>
                          <a:srgbClr val="4472C4"/>
                        </a:solidFill>
                      </wps:spPr>
                      <wps:txbx>
                        <w:txbxContent>
                          <w:p w14:paraId="1FC4390F" w14:textId="77777777" w:rsidR="005378AF" w:rsidRDefault="005378AF" w:rsidP="005378AF">
                            <w:pPr>
                              <w:rPr>
                                <w:szCs w:val="24"/>
                              </w:rPr>
                            </w:pPr>
                            <w:r>
                              <w:rPr>
                                <w:rFonts w:asciiTheme="minorHAnsi" w:hAnsi="Calibri" w:cstheme="minorBidi"/>
                                <w:color w:val="FFFFFF" w:themeColor="background1"/>
                                <w:kern w:val="24"/>
                                <w:lang w:val="fr-CH"/>
                              </w:rPr>
                              <w:t>Terre</w:t>
                            </w:r>
                          </w:p>
                        </w:txbxContent>
                      </wps:txbx>
                      <wps:bodyPr wrap="square" rtlCol="0">
                        <a:noAutofit/>
                      </wps:bodyPr>
                    </wps:wsp>
                  </a:graphicData>
                </a:graphic>
                <wp14:sizeRelV relativeFrom="margin">
                  <wp14:pctHeight>0</wp14:pctHeight>
                </wp14:sizeRelV>
              </wp:anchor>
            </w:drawing>
          </mc:Choice>
          <mc:Fallback>
            <w:pict>
              <v:shapetype w14:anchorId="7F5F2D5E" id="_x0000_t202" coordsize="21600,21600" o:spt="202" path="m,l,21600r21600,l21600,xe">
                <v:stroke joinstyle="miter"/>
                <v:path gradientshapeok="t" o:connecttype="rect"/>
              </v:shapetype>
              <v:shape id="TextBox 2" o:spid="_x0000_s1026" type="#_x0000_t202" style="position:absolute;left:0;text-align:left;margin-left:0;margin-top:217.75pt;width:41.95pt;height:28.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" fillcolor="#4472c4" stroked="f">
                <v:textbox>
                  <w:txbxContent>
                    <w:p w14:paraId="1FC4390F" w14:textId="77777777" w:rsidR="005378AF" w:rsidRDefault="005378AF" w:rsidP="005378AF">
                      <w:pPr>
                        <w:rPr>
                          <w:szCs w:val="24"/>
                        </w:rPr>
                      </w:pPr>
                      <w:r>
                        <w:rPr>
                          <w:rFonts w:asciiTheme="minorHAnsi" w:hAnsi="Calibri" w:cstheme="minorBidi"/>
                          <w:color w:val="FFFFFF" w:themeColor="background1"/>
                          <w:kern w:val="24"/>
                          <w:lang w:val="fr-CH"/>
                        </w:rPr>
                        <w:t>Terre</w:t>
                      </w:r>
                    </w:p>
                  </w:txbxContent>
                </v:textbox>
                <w10:wrap anchorx="margin"/>
              </v:shape>
            </w:pict>
          </mc:Fallback>
        </mc:AlternateContent>
      </w:r>
      <w:r w:rsidR="00322DBC" w:rsidRPr="005751A7">
        <w:rPr>
          <w:noProof/>
          <w:lang w:val="fr-CH" w:eastAsia="zh-CN"/>
        </w:rPr>
        <w:drawing>
          <wp:inline distT="0" distB="0" distL="0" distR="0" wp14:anchorId="733AB7DF" wp14:editId="3887081F">
            <wp:extent cx="3017520" cy="3361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520" cy="3361292"/>
                    </a:xfrm>
                    <a:prstGeom prst="rect">
                      <a:avLst/>
                    </a:prstGeom>
                  </pic:spPr>
                </pic:pic>
              </a:graphicData>
            </a:graphic>
          </wp:inline>
        </w:drawing>
      </w:r>
    </w:p>
    <w:p w14:paraId="5EF20AB3" w14:textId="77777777" w:rsidR="001904AF" w:rsidRDefault="001904AF" w:rsidP="001904AF">
      <w:pPr>
        <w:spacing w:before="360"/>
        <w:rPr>
          <w:lang w:val="fr-CH"/>
        </w:rPr>
      </w:pPr>
      <w:r>
        <w:rPr>
          <w:lang w:val="fr-CH"/>
        </w:rPr>
        <w:br w:type="page"/>
      </w:r>
    </w:p>
    <w:p w14:paraId="55FCE6EF" w14:textId="5E64DFFE" w:rsidR="00322DBC" w:rsidRPr="005751A7" w:rsidRDefault="00322DBC" w:rsidP="001904AF">
      <w:pPr>
        <w:spacing w:before="360"/>
        <w:rPr>
          <w:lang w:val="fr-CH"/>
        </w:rPr>
      </w:pPr>
      <w:r w:rsidRPr="005751A7">
        <w:rPr>
          <w:lang w:val="fr-CH"/>
        </w:rPr>
        <w:t>Les études préliminaires effectuées par de l'UIT-R ont permis de mettre en évidence les facteurs à prendre en considération lors de l'analyse de la compatibilité entre</w:t>
      </w:r>
      <w:r w:rsidR="001665AE">
        <w:rPr>
          <w:lang w:val="fr-CH"/>
        </w:rPr>
        <w:t xml:space="preserve"> </w:t>
      </w:r>
      <w:r w:rsidRPr="005751A7">
        <w:rPr>
          <w:lang w:val="fr-CH"/>
        </w:rPr>
        <w:t xml:space="preserve">les liaisons </w:t>
      </w:r>
      <w:r w:rsidR="001665AE">
        <w:rPr>
          <w:lang w:val="fr-CH"/>
        </w:rPr>
        <w:t>de</w:t>
      </w:r>
      <w:r w:rsidRPr="005751A7">
        <w:rPr>
          <w:lang w:val="fr-CH"/>
        </w:rPr>
        <w:t xml:space="preserve"> satellite non OSG et </w:t>
      </w:r>
      <w:r w:rsidR="001665AE">
        <w:rPr>
          <w:lang w:val="fr-CH"/>
        </w:rPr>
        <w:t>à</w:t>
      </w:r>
      <w:r w:rsidRPr="005751A7">
        <w:rPr>
          <w:lang w:val="fr-CH"/>
        </w:rPr>
        <w:t xml:space="preserve"> satellite OSG</w:t>
      </w:r>
      <w:r w:rsidR="001665AE">
        <w:rPr>
          <w:lang w:val="fr-CH"/>
        </w:rPr>
        <w:t>,</w:t>
      </w:r>
      <w:r w:rsidRPr="005751A7">
        <w:rPr>
          <w:lang w:val="fr-CH"/>
        </w:rPr>
        <w:t xml:space="preserve"> dans le sens Terre vers espace dans la bande de fréquences 27,5-30 GHz et dans le sens espace vers Terre dans les bandes de fréquences 17,7</w:t>
      </w:r>
      <w:r w:rsidR="00E86992">
        <w:rPr>
          <w:lang w:val="fr-CH"/>
        </w:rPr>
        <w:t>-18,6 GHz et 18,8</w:t>
      </w:r>
      <w:r w:rsidRPr="005751A7">
        <w:rPr>
          <w:lang w:val="fr-CH"/>
        </w:rPr>
        <w:t>-20,2 GHz</w:t>
      </w:r>
      <w:r w:rsidR="001665AE">
        <w:rPr>
          <w:lang w:val="fr-CH"/>
        </w:rPr>
        <w:t>,</w:t>
      </w:r>
      <w:r w:rsidRPr="005751A7">
        <w:rPr>
          <w:lang w:val="fr-CH"/>
        </w:rPr>
        <w:t xml:space="preserve"> et </w:t>
      </w:r>
      <w:r w:rsidR="001665AE">
        <w:rPr>
          <w:lang w:val="fr-CH"/>
        </w:rPr>
        <w:t>d'autres opérations</w:t>
      </w:r>
      <w:r w:rsidRPr="005751A7">
        <w:rPr>
          <w:lang w:val="fr-CH"/>
        </w:rPr>
        <w:t xml:space="preserve"> du SFS et d'autres services. La poursuite et l'achèvement de ces études, pour qu'elles englobent les liaisons entre </w:t>
      </w:r>
      <w:r w:rsidR="001665AE">
        <w:rPr>
          <w:lang w:val="fr-CH"/>
        </w:rPr>
        <w:t xml:space="preserve">des </w:t>
      </w:r>
      <w:r w:rsidRPr="005751A7">
        <w:rPr>
          <w:lang w:val="fr-CH"/>
        </w:rPr>
        <w:t>satellites non OSG</w:t>
      </w:r>
      <w:r w:rsidR="001665AE">
        <w:rPr>
          <w:lang w:val="fr-CH"/>
        </w:rPr>
        <w:t xml:space="preserve"> et d'autres satellites</w:t>
      </w:r>
      <w:r w:rsidRPr="005751A7">
        <w:rPr>
          <w:lang w:val="fr-CH"/>
        </w:rPr>
        <w:t xml:space="preserve">, permettront d'élaborer un texte réglementaire approprié de l'UIT-R, l'objectif étant de définir les cas dans lesquels ces transmissions peuvent être assurées, et de déterminer s'il est possible de reconnaître les liaisons compatibles en apportant les modifications voulues aux attributions du SFS </w:t>
      </w:r>
      <w:r w:rsidR="00E86992">
        <w:rPr>
          <w:lang w:val="fr-CH"/>
        </w:rPr>
        <w:t xml:space="preserve">figurant </w:t>
      </w:r>
      <w:r w:rsidRPr="005751A7">
        <w:rPr>
          <w:lang w:val="fr-CH"/>
        </w:rPr>
        <w:t xml:space="preserve">dans l'Article </w:t>
      </w:r>
      <w:r w:rsidRPr="00E86992">
        <w:rPr>
          <w:b/>
          <w:bCs/>
          <w:lang w:val="fr-CH"/>
        </w:rPr>
        <w:t>5</w:t>
      </w:r>
      <w:r w:rsidR="00E86992">
        <w:rPr>
          <w:lang w:val="fr-CH"/>
        </w:rPr>
        <w:t xml:space="preserve"> visées par les études</w:t>
      </w:r>
      <w:r w:rsidRPr="005751A7">
        <w:rPr>
          <w:lang w:val="fr-CH"/>
        </w:rPr>
        <w:t>.</w:t>
      </w:r>
    </w:p>
    <w:p w14:paraId="61923FA5" w14:textId="2BC83F8D" w:rsidR="00322DBC" w:rsidRPr="005751A7" w:rsidRDefault="00322DBC" w:rsidP="005378AF">
      <w:pPr>
        <w:pStyle w:val="Headingb"/>
        <w:rPr>
          <w:lang w:val="fr-CH"/>
        </w:rPr>
      </w:pPr>
      <w:r w:rsidRPr="005751A7">
        <w:rPr>
          <w:lang w:val="fr-CH"/>
        </w:rPr>
        <w:t>Propos</w:t>
      </w:r>
      <w:r w:rsidR="00CF2C3E">
        <w:rPr>
          <w:lang w:val="fr-CH"/>
        </w:rPr>
        <w:t>itions</w:t>
      </w:r>
    </w:p>
    <w:p w14:paraId="2655E0FD" w14:textId="3107B152" w:rsidR="00322DBC" w:rsidRPr="005751A7" w:rsidRDefault="00CF2C3E" w:rsidP="005378AF">
      <w:pPr>
        <w:rPr>
          <w:lang w:val="fr-CH"/>
        </w:rPr>
      </w:pPr>
      <w:r>
        <w:rPr>
          <w:lang w:val="fr-CH"/>
        </w:rPr>
        <w:t xml:space="preserve">Le </w:t>
      </w:r>
      <w:r w:rsidR="00322DBC" w:rsidRPr="005751A7">
        <w:rPr>
          <w:lang w:val="fr-CH"/>
        </w:rPr>
        <w:t xml:space="preserve">Samoa </w:t>
      </w:r>
      <w:r>
        <w:rPr>
          <w:lang w:val="fr-CH"/>
        </w:rPr>
        <w:t>et</w:t>
      </w:r>
      <w:r w:rsidR="00322DBC" w:rsidRPr="005751A7">
        <w:rPr>
          <w:lang w:val="fr-CH"/>
        </w:rPr>
        <w:t xml:space="preserve"> Singapo</w:t>
      </w:r>
      <w:r>
        <w:rPr>
          <w:lang w:val="fr-CH"/>
        </w:rPr>
        <w:t>u</w:t>
      </w:r>
      <w:r w:rsidR="00322DBC" w:rsidRPr="005751A7">
        <w:rPr>
          <w:lang w:val="fr-CH"/>
        </w:rPr>
        <w:t>r</w:t>
      </w:r>
      <w:r>
        <w:rPr>
          <w:lang w:val="fr-CH"/>
        </w:rPr>
        <w:t xml:space="preserve"> proposent d'étudier les liaisons entre satellites (entre système</w:t>
      </w:r>
      <w:r w:rsidR="001665AE">
        <w:rPr>
          <w:lang w:val="fr-CH"/>
        </w:rPr>
        <w:t>s</w:t>
      </w:r>
      <w:r>
        <w:rPr>
          <w:lang w:val="fr-CH"/>
        </w:rPr>
        <w:t xml:space="preserve"> non OSG et de système non OSG à système OSG) relevant du SFS afin d'élaborer des mesures techniques/réglementaires pour faciliter ces services dans les bandes </w:t>
      </w:r>
      <w:r w:rsidR="00322DBC" w:rsidRPr="005751A7">
        <w:rPr>
          <w:lang w:val="fr-CH"/>
        </w:rPr>
        <w:t>27</w:t>
      </w:r>
      <w:r>
        <w:rPr>
          <w:lang w:val="fr-CH"/>
        </w:rPr>
        <w:t>,5</w:t>
      </w:r>
      <w:r w:rsidR="00322DBC" w:rsidRPr="005751A7">
        <w:rPr>
          <w:lang w:val="fr-CH"/>
        </w:rPr>
        <w:t>-30 GHz (</w:t>
      </w:r>
      <w:r>
        <w:rPr>
          <w:lang w:val="fr-CH"/>
        </w:rPr>
        <w:t>Terre vers espace</w:t>
      </w:r>
      <w:r w:rsidR="00322DBC" w:rsidRPr="005751A7">
        <w:rPr>
          <w:lang w:val="fr-CH"/>
        </w:rPr>
        <w:t xml:space="preserve">) </w:t>
      </w:r>
      <w:r>
        <w:rPr>
          <w:lang w:val="fr-CH"/>
        </w:rPr>
        <w:t>et</w:t>
      </w:r>
      <w:r w:rsidR="00322DBC" w:rsidRPr="005751A7">
        <w:rPr>
          <w:lang w:val="fr-CH"/>
        </w:rPr>
        <w:t xml:space="preserve"> 17</w:t>
      </w:r>
      <w:r>
        <w:rPr>
          <w:lang w:val="fr-CH"/>
        </w:rPr>
        <w:t>,</w:t>
      </w:r>
      <w:r w:rsidR="00322DBC" w:rsidRPr="005751A7">
        <w:rPr>
          <w:lang w:val="fr-CH"/>
        </w:rPr>
        <w:t>7-18</w:t>
      </w:r>
      <w:r>
        <w:rPr>
          <w:lang w:val="fr-CH"/>
        </w:rPr>
        <w:t>,</w:t>
      </w:r>
      <w:r w:rsidR="00322DBC" w:rsidRPr="005751A7">
        <w:rPr>
          <w:lang w:val="fr-CH"/>
        </w:rPr>
        <w:t>6 GHz</w:t>
      </w:r>
      <w:r>
        <w:rPr>
          <w:lang w:val="fr-CH"/>
        </w:rPr>
        <w:t xml:space="preserve"> et</w:t>
      </w:r>
      <w:r w:rsidR="00322DBC" w:rsidRPr="005751A7">
        <w:rPr>
          <w:lang w:val="fr-CH"/>
        </w:rPr>
        <w:t xml:space="preserve"> 18</w:t>
      </w:r>
      <w:r>
        <w:rPr>
          <w:lang w:val="fr-CH"/>
        </w:rPr>
        <w:t>,</w:t>
      </w:r>
      <w:r w:rsidR="00322DBC" w:rsidRPr="005751A7">
        <w:rPr>
          <w:lang w:val="fr-CH"/>
        </w:rPr>
        <w:t>8-20</w:t>
      </w:r>
      <w:r>
        <w:rPr>
          <w:lang w:val="fr-CH"/>
        </w:rPr>
        <w:t>,</w:t>
      </w:r>
      <w:r w:rsidR="00322DBC" w:rsidRPr="005751A7">
        <w:rPr>
          <w:lang w:val="fr-CH"/>
        </w:rPr>
        <w:t>2 GHz (</w:t>
      </w:r>
      <w:r>
        <w:rPr>
          <w:lang w:val="fr-CH"/>
        </w:rPr>
        <w:t>espace vers Terre</w:t>
      </w:r>
      <w:r w:rsidR="00322DBC" w:rsidRPr="005751A7">
        <w:rPr>
          <w:lang w:val="fr-CH"/>
        </w:rPr>
        <w:t>).</w:t>
      </w:r>
    </w:p>
    <w:p w14:paraId="04180299" w14:textId="02191057" w:rsidR="00322DBC" w:rsidRPr="005751A7" w:rsidRDefault="00CF2C3E" w:rsidP="005378AF">
      <w:pPr>
        <w:rPr>
          <w:lang w:val="fr-CH"/>
        </w:rPr>
      </w:pPr>
      <w:r>
        <w:rPr>
          <w:iCs/>
          <w:lang w:val="fr-CH"/>
        </w:rPr>
        <w:t xml:space="preserve">Cette proposition est présentée selon le modèle </w:t>
      </w:r>
      <w:r w:rsidR="001665AE">
        <w:rPr>
          <w:iCs/>
          <w:lang w:val="fr-CH"/>
        </w:rPr>
        <w:t>donné dans</w:t>
      </w:r>
      <w:r>
        <w:rPr>
          <w:iCs/>
          <w:lang w:val="fr-CH"/>
        </w:rPr>
        <w:t xml:space="preserve"> l'Annexe 2 de la Résolution </w:t>
      </w:r>
      <w:r w:rsidR="00322DBC" w:rsidRPr="005751A7">
        <w:rPr>
          <w:b/>
          <w:lang w:val="fr-CH"/>
        </w:rPr>
        <w:t>804 (R</w:t>
      </w:r>
      <w:r>
        <w:rPr>
          <w:b/>
          <w:lang w:val="fr-CH"/>
        </w:rPr>
        <w:t>é</w:t>
      </w:r>
      <w:r w:rsidR="00322DBC" w:rsidRPr="005751A7">
        <w:rPr>
          <w:b/>
          <w:lang w:val="fr-CH"/>
        </w:rPr>
        <w:t>v.</w:t>
      </w:r>
      <w:r w:rsidR="004E5B75" w:rsidRPr="005751A7">
        <w:rPr>
          <w:b/>
          <w:lang w:val="fr-CH"/>
        </w:rPr>
        <w:t>CMR</w:t>
      </w:r>
      <w:r w:rsidR="00322DBC" w:rsidRPr="005751A7">
        <w:rPr>
          <w:b/>
          <w:lang w:val="fr-CH"/>
        </w:rPr>
        <w:t>-12)</w:t>
      </w:r>
      <w:r w:rsidR="00322DBC" w:rsidRPr="005751A7">
        <w:rPr>
          <w:lang w:val="fr-CH"/>
        </w:rPr>
        <w:t>.</w:t>
      </w:r>
    </w:p>
    <w:p w14:paraId="66CDBC41" w14:textId="77777777" w:rsidR="0015203F" w:rsidRPr="005751A7" w:rsidRDefault="0015203F" w:rsidP="005378AF">
      <w:pPr>
        <w:tabs>
          <w:tab w:val="clear" w:pos="1134"/>
          <w:tab w:val="clear" w:pos="1871"/>
          <w:tab w:val="clear" w:pos="2268"/>
        </w:tabs>
        <w:overflowPunct/>
        <w:autoSpaceDE/>
        <w:autoSpaceDN/>
        <w:adjustRightInd/>
        <w:spacing w:before="0"/>
        <w:textAlignment w:val="auto"/>
        <w:rPr>
          <w:lang w:val="fr-CH"/>
        </w:rPr>
      </w:pPr>
      <w:r w:rsidRPr="005751A7">
        <w:rPr>
          <w:lang w:val="fr-CH"/>
        </w:rPr>
        <w:br w:type="page"/>
      </w:r>
    </w:p>
    <w:p w14:paraId="7DBBF116" w14:textId="77777777" w:rsidR="00E23C8D" w:rsidRPr="005751A7" w:rsidRDefault="00F819CA" w:rsidP="005378AF">
      <w:pPr>
        <w:pStyle w:val="Proposal"/>
        <w:rPr>
          <w:lang w:val="fr-CH"/>
        </w:rPr>
      </w:pPr>
      <w:r w:rsidRPr="005751A7">
        <w:rPr>
          <w:lang w:val="fr-CH"/>
        </w:rPr>
        <w:t>ADD</w:t>
      </w:r>
      <w:r w:rsidRPr="005751A7">
        <w:rPr>
          <w:lang w:val="fr-CH"/>
        </w:rPr>
        <w:tab/>
        <w:t>SMO/SNG/54A24/1</w:t>
      </w:r>
    </w:p>
    <w:p w14:paraId="2E1CD347" w14:textId="06E9B0B6" w:rsidR="00E23C8D" w:rsidRPr="005751A7" w:rsidRDefault="00F819CA" w:rsidP="005378AF">
      <w:pPr>
        <w:pStyle w:val="ResNo"/>
        <w:rPr>
          <w:lang w:val="fr-CH"/>
        </w:rPr>
      </w:pPr>
      <w:r w:rsidRPr="005751A7">
        <w:rPr>
          <w:lang w:val="fr-CH"/>
        </w:rPr>
        <w:t>Projet de nouvelle Résolution [SMO/SNG</w:t>
      </w:r>
      <w:r w:rsidR="004E5B75" w:rsidRPr="005751A7">
        <w:rPr>
          <w:lang w:val="fr-CH"/>
        </w:rPr>
        <w:t>/A10</w:t>
      </w:r>
      <w:r w:rsidRPr="005751A7">
        <w:rPr>
          <w:lang w:val="fr-CH"/>
        </w:rPr>
        <w:t>/FSS-SAT-TO-SAT]</w:t>
      </w:r>
      <w:r w:rsidR="004E5B75" w:rsidRPr="005751A7">
        <w:rPr>
          <w:lang w:val="fr-CH"/>
        </w:rPr>
        <w:t xml:space="preserve"> (CMR</w:t>
      </w:r>
      <w:r w:rsidR="004E5B75" w:rsidRPr="005751A7">
        <w:rPr>
          <w:lang w:val="fr-CH"/>
        </w:rPr>
        <w:noBreakHyphen/>
        <w:t>19)</w:t>
      </w:r>
    </w:p>
    <w:p w14:paraId="59CDD59B" w14:textId="4C792421" w:rsidR="00413722" w:rsidRDefault="0052661F" w:rsidP="005378AF">
      <w:pPr>
        <w:pStyle w:val="Restitle"/>
        <w:rPr>
          <w:lang w:val="fr-CH"/>
        </w:rPr>
      </w:pPr>
      <w:r w:rsidRPr="00CF2C3E">
        <w:rPr>
          <w:lang w:val="fr-CH"/>
        </w:rPr>
        <w:t>Étude</w:t>
      </w:r>
      <w:r w:rsidR="00CF2C3E" w:rsidRPr="00CF2C3E">
        <w:rPr>
          <w:lang w:val="fr-CH"/>
        </w:rPr>
        <w:t xml:space="preserve"> des questions techniques et opérationnelles et des dispositions réglementaires rela</w:t>
      </w:r>
      <w:bookmarkStart w:id="6" w:name="_GoBack"/>
      <w:bookmarkEnd w:id="6"/>
      <w:r w:rsidR="00CF2C3E" w:rsidRPr="00CF2C3E">
        <w:rPr>
          <w:lang w:val="fr-CH"/>
        </w:rPr>
        <w:t xml:space="preserve">tives aux </w:t>
      </w:r>
      <w:r w:rsidR="004E5B75" w:rsidRPr="005751A7">
        <w:rPr>
          <w:lang w:val="fr-CH"/>
        </w:rPr>
        <w:t xml:space="preserve">transmissions </w:t>
      </w:r>
      <w:r w:rsidR="00413722">
        <w:rPr>
          <w:lang w:val="fr-CH"/>
        </w:rPr>
        <w:t xml:space="preserve">dans le sens Terre vers espace </w:t>
      </w:r>
      <w:r w:rsidR="001904AF">
        <w:rPr>
          <w:lang w:val="fr-CH"/>
        </w:rPr>
        <w:br/>
      </w:r>
      <w:r w:rsidR="00413722">
        <w:rPr>
          <w:lang w:val="fr-CH"/>
        </w:rPr>
        <w:t xml:space="preserve">dans la bande de fréquences </w:t>
      </w:r>
      <w:r w:rsidR="00413722" w:rsidRPr="005751A7">
        <w:rPr>
          <w:lang w:val="fr-CH"/>
        </w:rPr>
        <w:t>27</w:t>
      </w:r>
      <w:r w:rsidR="00413722">
        <w:rPr>
          <w:lang w:val="fr-CH"/>
        </w:rPr>
        <w:t>,</w:t>
      </w:r>
      <w:r w:rsidR="00413722" w:rsidRPr="005751A7">
        <w:rPr>
          <w:lang w:val="fr-CH"/>
        </w:rPr>
        <w:t>5-30 GHz</w:t>
      </w:r>
      <w:r w:rsidR="00413722">
        <w:rPr>
          <w:lang w:val="fr-CH"/>
        </w:rPr>
        <w:t xml:space="preserve"> et dans le sens </w:t>
      </w:r>
      <w:r w:rsidR="006A1B60">
        <w:rPr>
          <w:lang w:val="fr-CH"/>
        </w:rPr>
        <w:t xml:space="preserve">espace vers Terre </w:t>
      </w:r>
      <w:r w:rsidR="001904AF">
        <w:rPr>
          <w:lang w:val="fr-CH"/>
        </w:rPr>
        <w:br/>
      </w:r>
      <w:r w:rsidR="006A1B60">
        <w:rPr>
          <w:lang w:val="fr-CH"/>
        </w:rPr>
        <w:t xml:space="preserve">dans </w:t>
      </w:r>
      <w:r w:rsidR="00AE4B95">
        <w:rPr>
          <w:lang w:val="fr-CH"/>
        </w:rPr>
        <w:t>les</w:t>
      </w:r>
      <w:r w:rsidR="006A1B60">
        <w:rPr>
          <w:lang w:val="fr-CH"/>
        </w:rPr>
        <w:t xml:space="preserve"> bande</w:t>
      </w:r>
      <w:r w:rsidR="00AE4B95">
        <w:rPr>
          <w:lang w:val="fr-CH"/>
        </w:rPr>
        <w:t>s</w:t>
      </w:r>
      <w:r w:rsidR="006A1B60">
        <w:rPr>
          <w:lang w:val="fr-CH"/>
        </w:rPr>
        <w:t xml:space="preserve"> de fréquences </w:t>
      </w:r>
      <w:r w:rsidR="006A1B60" w:rsidRPr="005751A7">
        <w:rPr>
          <w:lang w:val="fr-CH"/>
        </w:rPr>
        <w:t>17</w:t>
      </w:r>
      <w:r w:rsidR="006A1B60">
        <w:rPr>
          <w:lang w:val="fr-CH"/>
        </w:rPr>
        <w:t>,</w:t>
      </w:r>
      <w:r w:rsidR="006A1B60" w:rsidRPr="005751A7">
        <w:rPr>
          <w:lang w:val="fr-CH"/>
        </w:rPr>
        <w:t>7-18</w:t>
      </w:r>
      <w:r w:rsidR="006A1B60">
        <w:rPr>
          <w:lang w:val="fr-CH"/>
        </w:rPr>
        <w:t>,</w:t>
      </w:r>
      <w:r w:rsidR="006A1B60" w:rsidRPr="005751A7">
        <w:rPr>
          <w:lang w:val="fr-CH"/>
        </w:rPr>
        <w:t xml:space="preserve">6 GHz </w:t>
      </w:r>
      <w:r w:rsidR="006A1B60">
        <w:rPr>
          <w:lang w:val="fr-CH"/>
        </w:rPr>
        <w:t>et</w:t>
      </w:r>
      <w:r w:rsidR="006A1B60" w:rsidRPr="005751A7">
        <w:rPr>
          <w:lang w:val="fr-CH"/>
        </w:rPr>
        <w:t xml:space="preserve"> 18</w:t>
      </w:r>
      <w:r w:rsidR="006A1B60">
        <w:rPr>
          <w:lang w:val="fr-CH"/>
        </w:rPr>
        <w:t>,</w:t>
      </w:r>
      <w:r w:rsidR="006A1B60" w:rsidRPr="005751A7">
        <w:rPr>
          <w:lang w:val="fr-CH"/>
        </w:rPr>
        <w:t>8-20</w:t>
      </w:r>
      <w:r w:rsidR="006A1B60">
        <w:rPr>
          <w:lang w:val="fr-CH"/>
        </w:rPr>
        <w:t>,</w:t>
      </w:r>
      <w:r w:rsidR="006A1B60" w:rsidRPr="005751A7">
        <w:rPr>
          <w:lang w:val="fr-CH"/>
        </w:rPr>
        <w:t>2 GHz</w:t>
      </w:r>
      <w:r w:rsidR="006A1B60">
        <w:rPr>
          <w:lang w:val="fr-CH"/>
        </w:rPr>
        <w:t xml:space="preserve"> </w:t>
      </w:r>
      <w:r w:rsidR="00AE4B95">
        <w:rPr>
          <w:lang w:val="fr-CH"/>
        </w:rPr>
        <w:t xml:space="preserve">entre </w:t>
      </w:r>
      <w:r w:rsidR="001904AF">
        <w:rPr>
          <w:lang w:val="fr-CH"/>
        </w:rPr>
        <w:br/>
      </w:r>
      <w:r w:rsidR="00AE4B95">
        <w:rPr>
          <w:lang w:val="fr-CH"/>
        </w:rPr>
        <w:t>des</w:t>
      </w:r>
      <w:r w:rsidR="006A1B60">
        <w:rPr>
          <w:lang w:val="fr-CH"/>
        </w:rPr>
        <w:t xml:space="preserve"> satellite</w:t>
      </w:r>
      <w:r w:rsidR="00AE4B95">
        <w:rPr>
          <w:lang w:val="fr-CH"/>
        </w:rPr>
        <w:t>s</w:t>
      </w:r>
      <w:r w:rsidR="006A1B60">
        <w:rPr>
          <w:lang w:val="fr-CH"/>
        </w:rPr>
        <w:t xml:space="preserve"> non géostationnaire</w:t>
      </w:r>
      <w:r w:rsidR="00AE4B95">
        <w:rPr>
          <w:lang w:val="fr-CH"/>
        </w:rPr>
        <w:t>s</w:t>
      </w:r>
      <w:r w:rsidR="006A1B60">
        <w:rPr>
          <w:lang w:val="fr-CH"/>
        </w:rPr>
        <w:t xml:space="preserve"> </w:t>
      </w:r>
      <w:r w:rsidR="00AE4B95">
        <w:rPr>
          <w:lang w:val="fr-CH"/>
        </w:rPr>
        <w:t>et</w:t>
      </w:r>
      <w:r w:rsidR="006A1B60">
        <w:rPr>
          <w:lang w:val="fr-CH"/>
        </w:rPr>
        <w:t xml:space="preserve"> d'autres satellites dans </w:t>
      </w:r>
      <w:r w:rsidR="001904AF">
        <w:rPr>
          <w:lang w:val="fr-CH"/>
        </w:rPr>
        <w:br/>
      </w:r>
      <w:r w:rsidR="006A1B60">
        <w:rPr>
          <w:lang w:val="fr-CH"/>
        </w:rPr>
        <w:t>les bandes attribuées au service fixe par satellite</w:t>
      </w:r>
    </w:p>
    <w:p w14:paraId="5FB1D131" w14:textId="36A1A604" w:rsidR="004E5B75" w:rsidRPr="005751A7" w:rsidRDefault="006A1B60" w:rsidP="005378AF">
      <w:pPr>
        <w:pStyle w:val="Normalaftertitle"/>
        <w:rPr>
          <w:lang w:val="fr-CH"/>
        </w:rPr>
      </w:pPr>
      <w:r w:rsidRPr="006A1B60">
        <w:rPr>
          <w:lang w:val="fr-CH"/>
        </w:rPr>
        <w:t>La Conférence mondiale des radiocommunications (Charm el-Cheikh</w:t>
      </w:r>
      <w:r>
        <w:rPr>
          <w:lang w:val="fr-CH"/>
        </w:rPr>
        <w:t xml:space="preserve">, </w:t>
      </w:r>
      <w:r w:rsidR="004E5B75" w:rsidRPr="005751A7">
        <w:rPr>
          <w:lang w:val="fr-CH"/>
        </w:rPr>
        <w:t>2019),</w:t>
      </w:r>
    </w:p>
    <w:p w14:paraId="43B31EF1" w14:textId="16888732" w:rsidR="004E5B75" w:rsidRPr="005751A7" w:rsidRDefault="004E5B75" w:rsidP="005378AF">
      <w:pPr>
        <w:pStyle w:val="Call"/>
        <w:rPr>
          <w:lang w:val="fr-CH"/>
        </w:rPr>
      </w:pPr>
      <w:r w:rsidRPr="005751A7">
        <w:rPr>
          <w:lang w:val="fr-CH"/>
        </w:rPr>
        <w:t>consid</w:t>
      </w:r>
      <w:r w:rsidR="006A1B60">
        <w:rPr>
          <w:lang w:val="fr-CH"/>
        </w:rPr>
        <w:t>érant</w:t>
      </w:r>
    </w:p>
    <w:p w14:paraId="2ABD21CA" w14:textId="4D026FAC" w:rsidR="006A1B60" w:rsidRPr="006A1B60" w:rsidRDefault="004E5B75" w:rsidP="001904AF">
      <w:pPr>
        <w:pStyle w:val="Normalaftertitle"/>
        <w:spacing w:before="120"/>
        <w:rPr>
          <w:lang w:val="fr-CH"/>
        </w:rPr>
      </w:pPr>
      <w:r w:rsidRPr="005751A7">
        <w:rPr>
          <w:i/>
          <w:lang w:val="fr-CH"/>
        </w:rPr>
        <w:t>a)</w:t>
      </w:r>
      <w:r w:rsidRPr="005751A7">
        <w:rPr>
          <w:lang w:val="fr-CH"/>
        </w:rPr>
        <w:tab/>
      </w:r>
      <w:r w:rsidR="006A1B60">
        <w:rPr>
          <w:lang w:val="fr-CH"/>
        </w:rPr>
        <w:t xml:space="preserve">que la définition du service fixe par satellite (SFS) figurant dans </w:t>
      </w:r>
      <w:r w:rsidR="00AE4B95">
        <w:rPr>
          <w:lang w:val="fr-CH"/>
        </w:rPr>
        <w:t>le</w:t>
      </w:r>
      <w:r w:rsidR="006A1B60">
        <w:rPr>
          <w:lang w:val="fr-CH"/>
        </w:rPr>
        <w:t xml:space="preserve"> numéro </w:t>
      </w:r>
      <w:r w:rsidR="006A1B60">
        <w:rPr>
          <w:b/>
          <w:bCs/>
          <w:lang w:val="fr-CH"/>
        </w:rPr>
        <w:t>1.21</w:t>
      </w:r>
      <w:r w:rsidR="006A1B60">
        <w:rPr>
          <w:lang w:val="fr-CH"/>
        </w:rPr>
        <w:t xml:space="preserve"> du Règlement des radiocommunications prévoit la possibilité</w:t>
      </w:r>
      <w:r w:rsidR="00AE4B95">
        <w:rPr>
          <w:lang w:val="fr-CH"/>
        </w:rPr>
        <w:t xml:space="preserve"> que</w:t>
      </w:r>
      <w:r w:rsidR="006A1B60">
        <w:rPr>
          <w:lang w:val="fr-CH"/>
        </w:rPr>
        <w:t xml:space="preserve">, dans certains cas, </w:t>
      </w:r>
      <w:r w:rsidR="006A1B60" w:rsidRPr="006A1B60">
        <w:rPr>
          <w:lang w:val="fr-CH"/>
        </w:rPr>
        <w:t>ce service compren</w:t>
      </w:r>
      <w:r w:rsidR="006A1B60">
        <w:rPr>
          <w:lang w:val="fr-CH"/>
        </w:rPr>
        <w:t>ne</w:t>
      </w:r>
      <w:r w:rsidR="006A1B60" w:rsidRPr="006A1B60">
        <w:rPr>
          <w:lang w:val="fr-CH"/>
        </w:rPr>
        <w:t xml:space="preserve"> des liaisons entre satellites, qui peuvent également être assurées au sein du service inter-satellites</w:t>
      </w:r>
      <w:r w:rsidR="006A1B60">
        <w:rPr>
          <w:lang w:val="fr-CH"/>
        </w:rPr>
        <w:t>;</w:t>
      </w:r>
    </w:p>
    <w:p w14:paraId="14A79EB7" w14:textId="3BDAA141" w:rsidR="006A1B60" w:rsidRDefault="004E5B75" w:rsidP="001904AF">
      <w:pPr>
        <w:pStyle w:val="Normalaftertitle"/>
        <w:spacing w:before="120"/>
        <w:rPr>
          <w:lang w:val="fr-CH"/>
        </w:rPr>
      </w:pPr>
      <w:r w:rsidRPr="005751A7">
        <w:rPr>
          <w:i/>
          <w:lang w:val="fr-CH"/>
        </w:rPr>
        <w:t>b)</w:t>
      </w:r>
      <w:r w:rsidRPr="005751A7">
        <w:rPr>
          <w:lang w:val="fr-CH"/>
        </w:rPr>
        <w:tab/>
      </w:r>
      <w:r w:rsidR="006A1B60">
        <w:rPr>
          <w:lang w:val="fr-CH"/>
        </w:rPr>
        <w:t xml:space="preserve">que certaines administrations ont fait part de leur intérêt pour l'utilisation de la bande 27,5-30 GHz attribuée au SFS dans le sens Terre vers espace et de </w:t>
      </w:r>
      <w:r w:rsidR="00AE4B95">
        <w:rPr>
          <w:lang w:val="fr-CH"/>
        </w:rPr>
        <w:t xml:space="preserve">la </w:t>
      </w:r>
      <w:r w:rsidR="006A1B60">
        <w:rPr>
          <w:lang w:val="fr-CH"/>
        </w:rPr>
        <w:t>bande de fréquences 17,7-20,2 GHz dans le sens espace vers Terre pour les transmissions entre des satellites non géostationnaires (non OSG) et d'autres satellites du SFS;</w:t>
      </w:r>
    </w:p>
    <w:p w14:paraId="728DC703" w14:textId="7A677287" w:rsidR="006A1B60" w:rsidRDefault="004E5B75" w:rsidP="001904AF">
      <w:pPr>
        <w:pStyle w:val="Normalaftertitle"/>
        <w:spacing w:before="120"/>
        <w:rPr>
          <w:lang w:val="fr-CH"/>
        </w:rPr>
      </w:pPr>
      <w:r w:rsidRPr="005751A7">
        <w:rPr>
          <w:i/>
          <w:lang w:val="fr-CH"/>
        </w:rPr>
        <w:t>c)</w:t>
      </w:r>
      <w:r w:rsidRPr="005751A7">
        <w:rPr>
          <w:lang w:val="fr-CH"/>
        </w:rPr>
        <w:tab/>
      </w:r>
      <w:r w:rsidR="006A1B60">
        <w:rPr>
          <w:lang w:val="fr-CH"/>
        </w:rPr>
        <w:t>que les bandes de fréquences attribuées au service fixe par satellite sont utilisées pour les liaisons entre les stations terriennes et les stations spatiales et que ces liaisons ne peuvent pas être assurées au sein du service inter-satellites;</w:t>
      </w:r>
    </w:p>
    <w:p w14:paraId="57E03655" w14:textId="181C3A19" w:rsidR="004E5B75" w:rsidRPr="005751A7" w:rsidRDefault="004E5B75" w:rsidP="005378AF">
      <w:pPr>
        <w:rPr>
          <w:lang w:val="fr-CH"/>
        </w:rPr>
      </w:pPr>
      <w:r w:rsidRPr="005751A7">
        <w:rPr>
          <w:i/>
          <w:lang w:val="fr-CH"/>
        </w:rPr>
        <w:t>d)</w:t>
      </w:r>
      <w:r w:rsidRPr="005751A7">
        <w:rPr>
          <w:lang w:val="fr-CH"/>
        </w:rPr>
        <w:tab/>
        <w:t xml:space="preserve">que l'UIT-R a entrepris des études préliminaires sur les questions techniques et opérationnelles associées à </w:t>
      </w:r>
      <w:r w:rsidR="00AE4B95">
        <w:rPr>
          <w:lang w:val="fr-CH"/>
        </w:rPr>
        <w:t>l'utilisation</w:t>
      </w:r>
      <w:r w:rsidRPr="005751A7">
        <w:rPr>
          <w:lang w:val="fr-CH"/>
        </w:rPr>
        <w:t xml:space="preserve"> de satellites non OSG émettant en direction de </w:t>
      </w:r>
      <w:r w:rsidR="006A1B60">
        <w:rPr>
          <w:lang w:val="fr-CH"/>
        </w:rPr>
        <w:t>l'orbite des satellites géostationnaires</w:t>
      </w:r>
      <w:r w:rsidRPr="005751A7">
        <w:rPr>
          <w:lang w:val="fr-CH"/>
        </w:rPr>
        <w:t xml:space="preserve"> dans la bande de fréquences 27,5-30 GHz </w:t>
      </w:r>
      <w:r w:rsidR="006A1B60">
        <w:rPr>
          <w:lang w:val="fr-CH"/>
        </w:rPr>
        <w:t xml:space="preserve">attribuée au </w:t>
      </w:r>
      <w:r w:rsidRPr="005751A7">
        <w:rPr>
          <w:lang w:val="fr-CH"/>
        </w:rPr>
        <w:t>SFS, et que ces études devraient se poursuivre après la CMR-19</w:t>
      </w:r>
      <w:r w:rsidR="003549A0">
        <w:rPr>
          <w:lang w:val="fr-CH"/>
        </w:rPr>
        <w:t xml:space="preserve"> sur cette bande de fréquences et sur d'autres bandes de fréquences</w:t>
      </w:r>
      <w:r w:rsidRPr="005751A7">
        <w:rPr>
          <w:lang w:val="fr-CH"/>
        </w:rPr>
        <w:t>;</w:t>
      </w:r>
    </w:p>
    <w:p w14:paraId="042A01D1" w14:textId="7D41F69B" w:rsidR="004E5B75" w:rsidRPr="005751A7" w:rsidRDefault="004E5B75" w:rsidP="005378AF">
      <w:pPr>
        <w:rPr>
          <w:lang w:val="fr-CH"/>
        </w:rPr>
      </w:pPr>
      <w:r w:rsidRPr="005751A7">
        <w:rPr>
          <w:i/>
          <w:iCs/>
          <w:lang w:val="fr-CH"/>
        </w:rPr>
        <w:t>e)</w:t>
      </w:r>
      <w:r w:rsidRPr="005751A7">
        <w:rPr>
          <w:lang w:val="fr-CH"/>
        </w:rPr>
        <w:tab/>
        <w:t xml:space="preserve">que </w:t>
      </w:r>
      <w:r w:rsidR="003549A0">
        <w:rPr>
          <w:lang w:val="fr-CH"/>
        </w:rPr>
        <w:t>toutes les</w:t>
      </w:r>
      <w:r w:rsidRPr="005751A7">
        <w:rPr>
          <w:lang w:val="fr-CH"/>
        </w:rPr>
        <w:t xml:space="preserve"> attributions au service fixe par satellite comprennent un sens de transmission;</w:t>
      </w:r>
    </w:p>
    <w:p w14:paraId="499417B8" w14:textId="22B4CB97" w:rsidR="004E5B75" w:rsidRPr="005751A7" w:rsidRDefault="004E5B75" w:rsidP="005378AF">
      <w:pPr>
        <w:pStyle w:val="Call"/>
        <w:rPr>
          <w:lang w:val="fr-CH"/>
        </w:rPr>
      </w:pPr>
      <w:r w:rsidRPr="005751A7">
        <w:rPr>
          <w:lang w:val="fr-CH"/>
        </w:rPr>
        <w:t>reco</w:t>
      </w:r>
      <w:r w:rsidR="003549A0">
        <w:rPr>
          <w:lang w:val="fr-CH"/>
        </w:rPr>
        <w:t>nnaissant</w:t>
      </w:r>
    </w:p>
    <w:p w14:paraId="77A32A20" w14:textId="2D3C6A29" w:rsidR="004E5B75" w:rsidRPr="005751A7" w:rsidRDefault="004E5B75" w:rsidP="005378AF">
      <w:pPr>
        <w:rPr>
          <w:lang w:val="fr-CH"/>
        </w:rPr>
      </w:pPr>
      <w:r w:rsidRPr="005751A7">
        <w:rPr>
          <w:i/>
          <w:lang w:val="fr-CH"/>
        </w:rPr>
        <w:t>a)</w:t>
      </w:r>
      <w:r w:rsidRPr="005751A7">
        <w:rPr>
          <w:lang w:val="fr-CH"/>
        </w:rPr>
        <w:tab/>
      </w:r>
      <w:r w:rsidR="003549A0">
        <w:rPr>
          <w:lang w:val="fr-CH"/>
        </w:rPr>
        <w:t xml:space="preserve">qu'il est nécessaire d'analyser l'utilisation de la bande de fréquences 27,5-30 GHz (Terre vers espace) et dans la bande 17,7-20,2 GHz (espace vers Terre) attribuées au SFS pour les transmissions entre </w:t>
      </w:r>
      <w:r w:rsidR="00AE4B95">
        <w:rPr>
          <w:lang w:val="fr-CH"/>
        </w:rPr>
        <w:t>des</w:t>
      </w:r>
      <w:r w:rsidR="003549A0">
        <w:rPr>
          <w:lang w:val="fr-CH"/>
        </w:rPr>
        <w:t xml:space="preserve"> satellites non OSG et </w:t>
      </w:r>
      <w:r w:rsidR="00AE4B95">
        <w:rPr>
          <w:lang w:val="fr-CH"/>
        </w:rPr>
        <w:t>des</w:t>
      </w:r>
      <w:r w:rsidR="003549A0">
        <w:rPr>
          <w:lang w:val="fr-CH"/>
        </w:rPr>
        <w:t xml:space="preserve"> satellites OSG du SFS afin de garantir la compatibilité avec tous les services ayant des attributions dans ces bandes de fréquences et d'éviter les brouillages préjudiciables;</w:t>
      </w:r>
    </w:p>
    <w:p w14:paraId="262696AF" w14:textId="2D2D5E57" w:rsidR="00630665" w:rsidRPr="005751A7" w:rsidRDefault="00630665" w:rsidP="005378AF">
      <w:pPr>
        <w:rPr>
          <w:lang w:val="fr-CH"/>
        </w:rPr>
      </w:pPr>
      <w:r w:rsidRPr="005751A7">
        <w:rPr>
          <w:i/>
          <w:lang w:val="fr-CH"/>
        </w:rPr>
        <w:t>b)</w:t>
      </w:r>
      <w:r w:rsidRPr="005751A7">
        <w:rPr>
          <w:lang w:val="fr-CH"/>
        </w:rPr>
        <w:tab/>
        <w:t>qu'il est probable que le scénario de partage différera en fonction de la variation des caractéristiques orbitales des satellites non OSG;</w:t>
      </w:r>
    </w:p>
    <w:p w14:paraId="2DBB6C51" w14:textId="05490C2D" w:rsidR="003549A0" w:rsidRPr="003549A0" w:rsidRDefault="00630665" w:rsidP="005378AF">
      <w:pPr>
        <w:rPr>
          <w:lang w:val="fr-CH"/>
        </w:rPr>
      </w:pPr>
      <w:r w:rsidRPr="005751A7">
        <w:rPr>
          <w:i/>
          <w:lang w:val="fr-CH"/>
        </w:rPr>
        <w:t>c)</w:t>
      </w:r>
      <w:r w:rsidRPr="005751A7">
        <w:rPr>
          <w:lang w:val="fr-CH"/>
        </w:rPr>
        <w:tab/>
      </w:r>
      <w:r w:rsidR="003549A0">
        <w:rPr>
          <w:lang w:val="fr-CH"/>
        </w:rPr>
        <w:t>qu'actuellement</w:t>
      </w:r>
      <w:r w:rsidR="00AE4B95">
        <w:rPr>
          <w:lang w:val="fr-CH"/>
        </w:rPr>
        <w:t>,</w:t>
      </w:r>
      <w:r w:rsidR="003549A0">
        <w:rPr>
          <w:lang w:val="fr-CH"/>
        </w:rPr>
        <w:t xml:space="preserve"> un service spatial </w:t>
      </w:r>
      <w:r w:rsidR="003549A0" w:rsidRPr="005751A7">
        <w:rPr>
          <w:lang w:val="fr-CH"/>
        </w:rPr>
        <w:t xml:space="preserve">ne bénéficiant pas d'attributions </w:t>
      </w:r>
      <w:r w:rsidR="003549A0">
        <w:rPr>
          <w:lang w:val="fr-CH"/>
        </w:rPr>
        <w:t xml:space="preserve">peut utiliser </w:t>
      </w:r>
      <w:r w:rsidR="003549A0" w:rsidRPr="005751A7">
        <w:rPr>
          <w:lang w:val="fr-CH"/>
        </w:rPr>
        <w:t>de</w:t>
      </w:r>
      <w:r w:rsidR="003549A0">
        <w:rPr>
          <w:lang w:val="fr-CH"/>
        </w:rPr>
        <w:t>s</w:t>
      </w:r>
      <w:r w:rsidR="003549A0" w:rsidRPr="005751A7">
        <w:rPr>
          <w:lang w:val="fr-CH"/>
        </w:rPr>
        <w:t xml:space="preserve"> bandes de fréquences attribuées à un autre service spatial</w:t>
      </w:r>
      <w:r w:rsidR="003549A0">
        <w:rPr>
          <w:lang w:val="fr-CH"/>
        </w:rPr>
        <w:t xml:space="preserve"> au titre du numéro </w:t>
      </w:r>
      <w:r w:rsidR="003549A0">
        <w:rPr>
          <w:b/>
          <w:bCs/>
          <w:lang w:val="fr-CH"/>
        </w:rPr>
        <w:t>4.4</w:t>
      </w:r>
      <w:r w:rsidR="005378AF">
        <w:rPr>
          <w:b/>
          <w:bCs/>
          <w:lang w:val="fr-CH"/>
        </w:rPr>
        <w:t xml:space="preserve"> </w:t>
      </w:r>
      <w:r w:rsidR="003549A0">
        <w:rPr>
          <w:lang w:val="fr-CH"/>
        </w:rPr>
        <w:t>du Règlement des radiocommunications, sans reconnaissance et à condition qu'il ne cause pas de brouillages préjudiciables et ne demande pas de protection,</w:t>
      </w:r>
    </w:p>
    <w:p w14:paraId="7C2527EE" w14:textId="77777777" w:rsidR="00630665" w:rsidRPr="005751A7" w:rsidRDefault="00630665" w:rsidP="005378AF">
      <w:pPr>
        <w:pStyle w:val="Call"/>
        <w:rPr>
          <w:lang w:val="fr-CH"/>
        </w:rPr>
      </w:pPr>
      <w:r w:rsidRPr="005751A7">
        <w:rPr>
          <w:lang w:val="fr-CH"/>
        </w:rPr>
        <w:t>reconnaissant en outre</w:t>
      </w:r>
    </w:p>
    <w:p w14:paraId="52812D87" w14:textId="3CA96131" w:rsidR="00630665" w:rsidRPr="005751A7" w:rsidRDefault="00630665" w:rsidP="005378AF">
      <w:pPr>
        <w:rPr>
          <w:lang w:val="fr-CH"/>
        </w:rPr>
      </w:pPr>
      <w:r w:rsidRPr="005751A7">
        <w:rPr>
          <w:i/>
          <w:iCs/>
          <w:lang w:val="fr-CH"/>
        </w:rPr>
        <w:t>a)</w:t>
      </w:r>
      <w:r w:rsidRPr="005751A7">
        <w:rPr>
          <w:i/>
          <w:iCs/>
          <w:lang w:val="fr-CH"/>
        </w:rPr>
        <w:tab/>
      </w:r>
      <w:r w:rsidRPr="005751A7">
        <w:rPr>
          <w:lang w:val="fr-CH"/>
        </w:rPr>
        <w:t xml:space="preserve">que l'utilisation des bandes de fréquences 27,5-28,6 GHz et 29,5-30 GHz par les systèmes à satellites non géostationnaires du service fixe par satellite est assujettie à l'application des dispositions des numéros </w:t>
      </w:r>
      <w:r w:rsidRPr="005751A7">
        <w:rPr>
          <w:b/>
          <w:bCs/>
          <w:lang w:val="fr-CH"/>
        </w:rPr>
        <w:t>5.484A</w:t>
      </w:r>
      <w:r w:rsidRPr="005751A7">
        <w:rPr>
          <w:lang w:val="fr-CH"/>
        </w:rPr>
        <w:t xml:space="preserve">, </w:t>
      </w:r>
      <w:r w:rsidRPr="005751A7">
        <w:rPr>
          <w:b/>
          <w:bCs/>
          <w:lang w:val="fr-CH"/>
        </w:rPr>
        <w:t xml:space="preserve">22.5C </w:t>
      </w:r>
      <w:r w:rsidRPr="005751A7">
        <w:rPr>
          <w:lang w:val="fr-CH"/>
        </w:rPr>
        <w:t xml:space="preserve">et </w:t>
      </w:r>
      <w:r w:rsidRPr="005751A7">
        <w:rPr>
          <w:b/>
          <w:bCs/>
          <w:lang w:val="fr-CH"/>
        </w:rPr>
        <w:t>22.5I</w:t>
      </w:r>
      <w:r w:rsidRPr="005751A7">
        <w:rPr>
          <w:lang w:val="fr-CH"/>
        </w:rPr>
        <w:t>;</w:t>
      </w:r>
    </w:p>
    <w:p w14:paraId="40BC7EF7" w14:textId="7E4FB041" w:rsidR="00630665" w:rsidRPr="005751A7" w:rsidRDefault="00630665" w:rsidP="005378AF">
      <w:pPr>
        <w:rPr>
          <w:lang w:val="fr-CH"/>
        </w:rPr>
      </w:pPr>
      <w:r w:rsidRPr="005751A7">
        <w:rPr>
          <w:i/>
          <w:iCs/>
          <w:lang w:val="fr-CH"/>
        </w:rPr>
        <w:t>b)</w:t>
      </w:r>
      <w:r w:rsidRPr="005751A7">
        <w:rPr>
          <w:i/>
          <w:iCs/>
          <w:lang w:val="fr-CH"/>
        </w:rPr>
        <w:tab/>
      </w:r>
      <w:r w:rsidRPr="005751A7">
        <w:rPr>
          <w:lang w:val="fr-CH"/>
        </w:rPr>
        <w:t xml:space="preserve">que l'utilisation de la bande de fréquences 28,6-29,1 GHz par des réseaux à satellite géostationnaire </w:t>
      </w:r>
      <w:r w:rsidRPr="005751A7">
        <w:rPr>
          <w:color w:val="000000"/>
          <w:lang w:val="fr-CH"/>
        </w:rPr>
        <w:t xml:space="preserve">et des réseaux </w:t>
      </w:r>
      <w:r w:rsidRPr="005751A7">
        <w:rPr>
          <w:lang w:val="fr-CH"/>
        </w:rPr>
        <w:t xml:space="preserve">à satellite </w:t>
      </w:r>
      <w:r w:rsidRPr="005751A7">
        <w:rPr>
          <w:color w:val="000000"/>
          <w:lang w:val="fr-CH"/>
        </w:rPr>
        <w:t xml:space="preserve">non géostationnaire </w:t>
      </w:r>
      <w:r w:rsidRPr="005751A7">
        <w:rPr>
          <w:lang w:val="fr-CH"/>
        </w:rPr>
        <w:t xml:space="preserve">du service fixe par satellite est soumise à l'application des dispositions </w:t>
      </w:r>
      <w:r w:rsidRPr="005751A7">
        <w:rPr>
          <w:color w:val="000000"/>
          <w:lang w:val="fr-CH"/>
        </w:rPr>
        <w:t xml:space="preserve">du numéro </w:t>
      </w:r>
      <w:r w:rsidRPr="005751A7">
        <w:rPr>
          <w:b/>
          <w:bCs/>
          <w:color w:val="000000"/>
          <w:lang w:val="fr-CH"/>
        </w:rPr>
        <w:t>9.11A</w:t>
      </w:r>
      <w:r w:rsidRPr="005751A7">
        <w:rPr>
          <w:color w:val="000000"/>
          <w:lang w:val="fr-CH"/>
        </w:rPr>
        <w:t xml:space="preserve"> et le numéro </w:t>
      </w:r>
      <w:r w:rsidRPr="005751A7">
        <w:rPr>
          <w:b/>
          <w:bCs/>
          <w:color w:val="000000"/>
          <w:lang w:val="fr-CH"/>
        </w:rPr>
        <w:t>22.2</w:t>
      </w:r>
      <w:r w:rsidRPr="005751A7">
        <w:rPr>
          <w:color w:val="000000"/>
          <w:lang w:val="fr-CH"/>
        </w:rPr>
        <w:t xml:space="preserve"> ne s'applique pas </w:t>
      </w:r>
      <w:r w:rsidRPr="005751A7">
        <w:rPr>
          <w:iCs/>
          <w:lang w:val="fr-CH"/>
        </w:rPr>
        <w:t>(numéro </w:t>
      </w:r>
      <w:r w:rsidRPr="005751A7">
        <w:rPr>
          <w:b/>
          <w:bCs/>
          <w:iCs/>
          <w:lang w:val="fr-CH"/>
        </w:rPr>
        <w:t>5.523A</w:t>
      </w:r>
      <w:r w:rsidRPr="005751A7">
        <w:rPr>
          <w:iCs/>
          <w:lang w:val="fr-CH"/>
        </w:rPr>
        <w:t>)</w:t>
      </w:r>
      <w:r w:rsidRPr="005751A7">
        <w:rPr>
          <w:color w:val="000000"/>
          <w:lang w:val="fr-CH"/>
        </w:rPr>
        <w:t>;</w:t>
      </w:r>
    </w:p>
    <w:p w14:paraId="1A5FAB4A" w14:textId="232C2631" w:rsidR="00630665" w:rsidRPr="005751A7" w:rsidRDefault="00630665" w:rsidP="005378AF">
      <w:pPr>
        <w:rPr>
          <w:iCs/>
          <w:lang w:val="fr-CH"/>
        </w:rPr>
      </w:pPr>
      <w:r w:rsidRPr="005751A7">
        <w:rPr>
          <w:i/>
          <w:lang w:val="fr-CH"/>
        </w:rPr>
        <w:t>c)</w:t>
      </w:r>
      <w:r w:rsidRPr="005751A7">
        <w:rPr>
          <w:iCs/>
          <w:lang w:val="fr-CH"/>
        </w:rPr>
        <w:tab/>
        <w:t xml:space="preserve">que </w:t>
      </w:r>
      <w:r w:rsidRPr="005751A7">
        <w:rPr>
          <w:color w:val="000000"/>
          <w:lang w:val="fr-CH"/>
        </w:rPr>
        <w:t xml:space="preserve">l'utilisation de la bande </w:t>
      </w:r>
      <w:r w:rsidRPr="005751A7">
        <w:rPr>
          <w:lang w:val="fr-CH"/>
        </w:rPr>
        <w:t xml:space="preserve">de fréquences </w:t>
      </w:r>
      <w:r w:rsidRPr="005751A7">
        <w:rPr>
          <w:szCs w:val="24"/>
          <w:lang w:val="fr-CH"/>
        </w:rPr>
        <w:t xml:space="preserve">29,1-29,5 GHz </w:t>
      </w:r>
      <w:r w:rsidRPr="005751A7">
        <w:rPr>
          <w:color w:val="000000"/>
          <w:lang w:val="fr-CH"/>
        </w:rPr>
        <w:t xml:space="preserve">(Terre vers espace) par le service fixe par satellite est limitée aux systèmes à satellites géostationnaires et aux liaisons de connexion des systèmes à satellites non géostationnaires du service mobile par satellite et que cette utilisation est assujettie à l'application des dispositions du numéro </w:t>
      </w:r>
      <w:r w:rsidRPr="005751A7">
        <w:rPr>
          <w:b/>
          <w:bCs/>
          <w:color w:val="000000"/>
          <w:lang w:val="fr-CH"/>
        </w:rPr>
        <w:t>9.11A</w:t>
      </w:r>
      <w:r w:rsidRPr="005751A7">
        <w:rPr>
          <w:color w:val="000000"/>
          <w:lang w:val="fr-CH"/>
        </w:rPr>
        <w:t>, mais pas aux dispositions du numéro </w:t>
      </w:r>
      <w:r w:rsidRPr="005751A7">
        <w:rPr>
          <w:b/>
          <w:bCs/>
          <w:color w:val="000000"/>
          <w:lang w:val="fr-CH"/>
        </w:rPr>
        <w:t>22.2</w:t>
      </w:r>
      <w:r w:rsidRPr="005751A7">
        <w:rPr>
          <w:color w:val="000000"/>
          <w:lang w:val="fr-CH"/>
        </w:rPr>
        <w:t xml:space="preserve">, exception faite de ce qui est indiqué aux numéros </w:t>
      </w:r>
      <w:r w:rsidRPr="005751A7">
        <w:rPr>
          <w:b/>
          <w:bCs/>
          <w:color w:val="000000"/>
          <w:lang w:val="fr-CH"/>
        </w:rPr>
        <w:t>5.523C</w:t>
      </w:r>
      <w:r w:rsidRPr="005751A7">
        <w:rPr>
          <w:color w:val="000000"/>
          <w:lang w:val="fr-CH"/>
        </w:rPr>
        <w:t xml:space="preserve"> et </w:t>
      </w:r>
      <w:r w:rsidRPr="005751A7">
        <w:rPr>
          <w:b/>
          <w:bCs/>
          <w:color w:val="000000"/>
          <w:lang w:val="fr-CH"/>
        </w:rPr>
        <w:t>5.523E</w:t>
      </w:r>
      <w:r w:rsidRPr="005751A7">
        <w:rPr>
          <w:color w:val="000000"/>
          <w:lang w:val="fr-CH"/>
        </w:rPr>
        <w:t xml:space="preserve">, en vertu desquelles cette utilisation n'est pas assujettie aux dispositions du numéro </w:t>
      </w:r>
      <w:r w:rsidRPr="005751A7">
        <w:rPr>
          <w:b/>
          <w:bCs/>
          <w:color w:val="000000"/>
          <w:lang w:val="fr-CH"/>
        </w:rPr>
        <w:t>9.11A</w:t>
      </w:r>
      <w:r w:rsidRPr="005751A7">
        <w:rPr>
          <w:color w:val="000000"/>
          <w:lang w:val="fr-CH"/>
        </w:rPr>
        <w:t xml:space="preserve"> et reste soumise à l'application des procédures prévues aux Articles </w:t>
      </w:r>
      <w:r w:rsidRPr="005751A7">
        <w:rPr>
          <w:b/>
          <w:bCs/>
          <w:color w:val="000000"/>
          <w:lang w:val="fr-CH"/>
        </w:rPr>
        <w:t>9</w:t>
      </w:r>
      <w:r w:rsidRPr="005751A7">
        <w:rPr>
          <w:color w:val="000000"/>
          <w:lang w:val="fr-CH"/>
        </w:rPr>
        <w:t xml:space="preserve"> (sauf numéro </w:t>
      </w:r>
      <w:r w:rsidRPr="005751A7">
        <w:rPr>
          <w:b/>
          <w:bCs/>
          <w:color w:val="000000"/>
          <w:lang w:val="fr-CH"/>
        </w:rPr>
        <w:t>9.11A</w:t>
      </w:r>
      <w:r w:rsidRPr="005751A7">
        <w:rPr>
          <w:color w:val="000000"/>
          <w:lang w:val="fr-CH"/>
        </w:rPr>
        <w:t xml:space="preserve">) et </w:t>
      </w:r>
      <w:r w:rsidRPr="005751A7">
        <w:rPr>
          <w:b/>
          <w:bCs/>
          <w:color w:val="000000"/>
          <w:lang w:val="fr-CH"/>
        </w:rPr>
        <w:t>11</w:t>
      </w:r>
      <w:r w:rsidRPr="005751A7">
        <w:rPr>
          <w:color w:val="000000"/>
          <w:lang w:val="fr-CH"/>
        </w:rPr>
        <w:t>, ainsi qu'aux dispositions du numéro </w:t>
      </w:r>
      <w:r w:rsidRPr="005751A7">
        <w:rPr>
          <w:b/>
          <w:bCs/>
          <w:color w:val="000000"/>
          <w:lang w:val="fr-CH"/>
        </w:rPr>
        <w:t>22.2</w:t>
      </w:r>
      <w:r w:rsidRPr="005751A7">
        <w:rPr>
          <w:iCs/>
          <w:lang w:val="fr-CH"/>
        </w:rPr>
        <w:t xml:space="preserve"> (numéro </w:t>
      </w:r>
      <w:r w:rsidRPr="005751A7">
        <w:rPr>
          <w:b/>
          <w:bCs/>
          <w:iCs/>
          <w:lang w:val="fr-CH"/>
        </w:rPr>
        <w:t>5.535A</w:t>
      </w:r>
      <w:r w:rsidRPr="005751A7">
        <w:rPr>
          <w:iCs/>
          <w:lang w:val="fr-CH"/>
        </w:rPr>
        <w:t>);</w:t>
      </w:r>
    </w:p>
    <w:p w14:paraId="633AFC63" w14:textId="7BD5DDA9" w:rsidR="00630665" w:rsidRPr="005751A7" w:rsidRDefault="00630665" w:rsidP="005378AF">
      <w:pPr>
        <w:rPr>
          <w:iCs/>
          <w:lang w:val="fr-CH"/>
        </w:rPr>
      </w:pPr>
      <w:r w:rsidRPr="005751A7">
        <w:rPr>
          <w:i/>
          <w:lang w:val="fr-CH"/>
        </w:rPr>
        <w:t>d)</w:t>
      </w:r>
      <w:r w:rsidRPr="005751A7">
        <w:rPr>
          <w:iCs/>
          <w:lang w:val="fr-CH"/>
        </w:rPr>
        <w:tab/>
        <w:t xml:space="preserve">que </w:t>
      </w:r>
      <w:r w:rsidRPr="005751A7">
        <w:rPr>
          <w:color w:val="000000"/>
          <w:lang w:val="fr-CH"/>
        </w:rPr>
        <w:t>la bande</w:t>
      </w:r>
      <w:r w:rsidRPr="005751A7">
        <w:rPr>
          <w:lang w:val="fr-CH"/>
        </w:rPr>
        <w:t xml:space="preserve"> de fréquences</w:t>
      </w:r>
      <w:r w:rsidRPr="005751A7">
        <w:rPr>
          <w:color w:val="000000"/>
          <w:lang w:val="fr-CH"/>
        </w:rPr>
        <w:t xml:space="preserve"> 27,5-30 GHz peut être utilisée par le service fixe par satellite (Terre vers espace) pour l'établissement de liaisons de connexion pour le service de radiodiffusion par satellite </w:t>
      </w:r>
      <w:r w:rsidRPr="005751A7">
        <w:rPr>
          <w:iCs/>
          <w:lang w:val="fr-CH"/>
        </w:rPr>
        <w:t xml:space="preserve">(numéro </w:t>
      </w:r>
      <w:r w:rsidRPr="005751A7">
        <w:rPr>
          <w:b/>
          <w:bCs/>
          <w:iCs/>
          <w:lang w:val="fr-CH"/>
        </w:rPr>
        <w:t>5.539</w:t>
      </w:r>
      <w:r w:rsidRPr="005751A7">
        <w:rPr>
          <w:iCs/>
          <w:lang w:val="fr-CH"/>
        </w:rPr>
        <w:t>);</w:t>
      </w:r>
    </w:p>
    <w:p w14:paraId="66793207" w14:textId="55C2D991" w:rsidR="00630665" w:rsidRPr="005751A7" w:rsidRDefault="00630665" w:rsidP="005378AF">
      <w:pPr>
        <w:rPr>
          <w:iCs/>
          <w:lang w:val="fr-CH"/>
        </w:rPr>
      </w:pPr>
      <w:r w:rsidRPr="005751A7">
        <w:rPr>
          <w:i/>
          <w:lang w:val="fr-CH"/>
        </w:rPr>
        <w:t>e)</w:t>
      </w:r>
      <w:r w:rsidRPr="005751A7">
        <w:rPr>
          <w:iCs/>
          <w:lang w:val="fr-CH"/>
        </w:rPr>
        <w:tab/>
        <w:t xml:space="preserve">que </w:t>
      </w:r>
      <w:r w:rsidRPr="005751A7">
        <w:rPr>
          <w:color w:val="000000"/>
          <w:lang w:val="fr-CH"/>
        </w:rPr>
        <w:t>les liaisons de connexion des réseaux à satellite non géostationnaire du service mobile par satellite et des réseaux à satellite géostationnaire du service fixe par satellite, exploitées dans la bande</w:t>
      </w:r>
      <w:r w:rsidRPr="005751A7">
        <w:rPr>
          <w:lang w:val="fr-CH"/>
        </w:rPr>
        <w:t xml:space="preserve"> de fréquences</w:t>
      </w:r>
      <w:r w:rsidRPr="005751A7">
        <w:rPr>
          <w:color w:val="000000"/>
          <w:lang w:val="fr-CH"/>
        </w:rPr>
        <w:t xml:space="preserve"> 29,1</w:t>
      </w:r>
      <w:r w:rsidRPr="005751A7">
        <w:rPr>
          <w:color w:val="000000"/>
          <w:lang w:val="fr-CH"/>
        </w:rPr>
        <w:noBreakHyphen/>
        <w:t xml:space="preserve">29,5 GHz (Terre vers espace), doivent utiliser une commande de puissance adaptative sur la liaison montante ou d'autres techniques de compensation des évanouissements, de sorte que les stations terriennes émettent au niveau de puissance compatible avec la qualité de fonctionnement voulue tout en réduisant le niveau de brouillage mutuel entre les deux réseaux </w:t>
      </w:r>
      <w:r w:rsidRPr="005751A7">
        <w:rPr>
          <w:iCs/>
          <w:lang w:val="fr-CH"/>
        </w:rPr>
        <w:t xml:space="preserve">(numéro </w:t>
      </w:r>
      <w:r w:rsidRPr="005751A7">
        <w:rPr>
          <w:b/>
          <w:bCs/>
          <w:iCs/>
          <w:lang w:val="fr-CH"/>
        </w:rPr>
        <w:t>5.541A</w:t>
      </w:r>
      <w:r w:rsidRPr="005751A7">
        <w:rPr>
          <w:iCs/>
          <w:lang w:val="fr-CH"/>
        </w:rPr>
        <w:t>);</w:t>
      </w:r>
    </w:p>
    <w:p w14:paraId="379A5FE4" w14:textId="17E4EE95" w:rsidR="003549A0" w:rsidRDefault="00630665" w:rsidP="005378AF">
      <w:pPr>
        <w:rPr>
          <w:lang w:val="fr-CH"/>
        </w:rPr>
      </w:pPr>
      <w:r w:rsidRPr="005751A7">
        <w:rPr>
          <w:i/>
          <w:lang w:val="fr-CH"/>
        </w:rPr>
        <w:t>f)</w:t>
      </w:r>
      <w:r w:rsidRPr="005751A7">
        <w:rPr>
          <w:lang w:val="fr-CH"/>
        </w:rPr>
        <w:tab/>
      </w:r>
      <w:r w:rsidR="003549A0">
        <w:rPr>
          <w:lang w:val="fr-CH"/>
        </w:rPr>
        <w:t xml:space="preserve">que les services fixe et mobile </w:t>
      </w:r>
      <w:r w:rsidR="0075773F">
        <w:rPr>
          <w:lang w:val="fr-CH"/>
        </w:rPr>
        <w:t>ont des attributions à titre primaire dans les bandes de fréquences</w:t>
      </w:r>
      <w:r w:rsidR="005378AF">
        <w:rPr>
          <w:lang w:val="fr-CH"/>
        </w:rPr>
        <w:t xml:space="preserve"> </w:t>
      </w:r>
      <w:r w:rsidR="0075773F" w:rsidRPr="005751A7">
        <w:rPr>
          <w:lang w:val="fr-CH"/>
        </w:rPr>
        <w:t>17</w:t>
      </w:r>
      <w:r w:rsidR="0075773F">
        <w:rPr>
          <w:lang w:val="fr-CH"/>
        </w:rPr>
        <w:t>,</w:t>
      </w:r>
      <w:r w:rsidR="0075773F" w:rsidRPr="005751A7">
        <w:rPr>
          <w:lang w:val="fr-CH"/>
        </w:rPr>
        <w:t>7-17</w:t>
      </w:r>
      <w:r w:rsidR="0075773F">
        <w:rPr>
          <w:lang w:val="fr-CH"/>
        </w:rPr>
        <w:t>,</w:t>
      </w:r>
      <w:r w:rsidR="0075773F" w:rsidRPr="005751A7">
        <w:rPr>
          <w:lang w:val="fr-CH"/>
        </w:rPr>
        <w:t>8 GHz, 18</w:t>
      </w:r>
      <w:r w:rsidR="0075773F">
        <w:rPr>
          <w:lang w:val="fr-CH"/>
        </w:rPr>
        <w:t>,</w:t>
      </w:r>
      <w:r w:rsidR="0075773F" w:rsidRPr="005751A7">
        <w:rPr>
          <w:lang w:val="fr-CH"/>
        </w:rPr>
        <w:t>1-19</w:t>
      </w:r>
      <w:r w:rsidR="0075773F">
        <w:rPr>
          <w:lang w:val="fr-CH"/>
        </w:rPr>
        <w:t>,</w:t>
      </w:r>
      <w:r w:rsidR="0075773F" w:rsidRPr="005751A7">
        <w:rPr>
          <w:lang w:val="fr-CH"/>
        </w:rPr>
        <w:t xml:space="preserve">7 GHz </w:t>
      </w:r>
      <w:r w:rsidR="0075773F">
        <w:rPr>
          <w:lang w:val="fr-CH"/>
        </w:rPr>
        <w:t>et</w:t>
      </w:r>
      <w:r w:rsidR="0075773F" w:rsidRPr="005751A7">
        <w:rPr>
          <w:lang w:val="fr-CH"/>
        </w:rPr>
        <w:t xml:space="preserve"> 27</w:t>
      </w:r>
      <w:r w:rsidR="0075773F">
        <w:rPr>
          <w:lang w:val="fr-CH"/>
        </w:rPr>
        <w:t>,</w:t>
      </w:r>
      <w:r w:rsidR="0075773F" w:rsidRPr="005751A7">
        <w:rPr>
          <w:lang w:val="fr-CH"/>
        </w:rPr>
        <w:t>5-29</w:t>
      </w:r>
      <w:r w:rsidR="0075773F">
        <w:rPr>
          <w:lang w:val="fr-CH"/>
        </w:rPr>
        <w:t>,</w:t>
      </w:r>
      <w:r w:rsidR="0075773F" w:rsidRPr="005751A7">
        <w:rPr>
          <w:lang w:val="fr-CH"/>
        </w:rPr>
        <w:t>5 GHz</w:t>
      </w:r>
      <w:r w:rsidR="0075773F">
        <w:rPr>
          <w:lang w:val="fr-CH"/>
        </w:rPr>
        <w:t xml:space="preserve"> à l'échelle mondiale et que le service fixe a de plus une attribution à titre primaire dans la bande </w:t>
      </w:r>
      <w:r w:rsidR="0075773F" w:rsidRPr="005751A7">
        <w:rPr>
          <w:lang w:val="fr-CH"/>
        </w:rPr>
        <w:t>17</w:t>
      </w:r>
      <w:r w:rsidR="0075773F">
        <w:rPr>
          <w:lang w:val="fr-CH"/>
        </w:rPr>
        <w:t>,</w:t>
      </w:r>
      <w:r w:rsidR="0075773F" w:rsidRPr="005751A7">
        <w:rPr>
          <w:lang w:val="fr-CH"/>
        </w:rPr>
        <w:t>8-18</w:t>
      </w:r>
      <w:r w:rsidR="0075773F">
        <w:rPr>
          <w:lang w:val="fr-CH"/>
        </w:rPr>
        <w:t>,</w:t>
      </w:r>
      <w:r w:rsidR="0075773F" w:rsidRPr="005751A7">
        <w:rPr>
          <w:lang w:val="fr-CH"/>
        </w:rPr>
        <w:t>1</w:t>
      </w:r>
      <w:r w:rsidR="0075773F">
        <w:rPr>
          <w:lang w:val="fr-CH"/>
        </w:rPr>
        <w:t> </w:t>
      </w:r>
      <w:r w:rsidR="0075773F" w:rsidRPr="005751A7">
        <w:rPr>
          <w:lang w:val="fr-CH"/>
        </w:rPr>
        <w:t>GHz</w:t>
      </w:r>
      <w:r w:rsidR="0075773F">
        <w:rPr>
          <w:lang w:val="fr-CH"/>
        </w:rPr>
        <w:t>;</w:t>
      </w:r>
    </w:p>
    <w:p w14:paraId="26FF0864" w14:textId="76ED21BD" w:rsidR="0075773F" w:rsidRPr="0075773F" w:rsidRDefault="00630665" w:rsidP="005378AF">
      <w:pPr>
        <w:rPr>
          <w:rFonts w:eastAsiaTheme="minorHAnsi"/>
          <w:lang w:val="fr-CH"/>
        </w:rPr>
      </w:pPr>
      <w:r w:rsidRPr="005751A7">
        <w:rPr>
          <w:i/>
          <w:lang w:val="fr-CH"/>
        </w:rPr>
        <w:t>g)</w:t>
      </w:r>
      <w:r w:rsidRPr="005751A7">
        <w:rPr>
          <w:i/>
          <w:lang w:val="fr-CH"/>
        </w:rPr>
        <w:tab/>
      </w:r>
      <w:r w:rsidRPr="005751A7">
        <w:rPr>
          <w:iCs/>
          <w:lang w:val="fr-CH"/>
        </w:rPr>
        <w:t>que la bande de fréquences 28,5-29,5 GHz (Terre vers espace) est</w:t>
      </w:r>
      <w:r w:rsidR="006D11BE">
        <w:rPr>
          <w:iCs/>
          <w:lang w:val="fr-CH"/>
        </w:rPr>
        <w:t xml:space="preserve"> également</w:t>
      </w:r>
      <w:r w:rsidRPr="005751A7">
        <w:rPr>
          <w:iCs/>
          <w:lang w:val="fr-CH"/>
        </w:rPr>
        <w:t xml:space="preserve"> attribuée au service d'exploration de la Terre par satellite </w:t>
      </w:r>
      <w:r w:rsidR="0075773F">
        <w:rPr>
          <w:iCs/>
          <w:lang w:val="fr-CH"/>
        </w:rPr>
        <w:t xml:space="preserve">(SETS) </w:t>
      </w:r>
      <w:r w:rsidRPr="005751A7">
        <w:rPr>
          <w:iCs/>
          <w:lang w:val="fr-CH"/>
        </w:rPr>
        <w:t>à titre secondaire</w:t>
      </w:r>
      <w:r w:rsidR="0075773F">
        <w:rPr>
          <w:iCs/>
          <w:lang w:val="fr-CH"/>
        </w:rPr>
        <w:t>,</w:t>
      </w:r>
      <w:r w:rsidRPr="005751A7">
        <w:rPr>
          <w:iCs/>
          <w:lang w:val="fr-CH"/>
        </w:rPr>
        <w:t xml:space="preserve"> qu'aucune contrainte supplémentaire ne devrait être imposée au SETS</w:t>
      </w:r>
      <w:r w:rsidRPr="005751A7">
        <w:rPr>
          <w:rFonts w:eastAsiaTheme="minorHAnsi"/>
          <w:lang w:val="fr-CH"/>
        </w:rPr>
        <w:t xml:space="preserve"> </w:t>
      </w:r>
      <w:r w:rsidR="0075773F">
        <w:rPr>
          <w:rFonts w:eastAsiaTheme="minorHAnsi"/>
          <w:lang w:val="fr-CH"/>
        </w:rPr>
        <w:t xml:space="preserve">et que les conditions d'exploitation du service fixe par satellite sont décrites dans la Résolution </w:t>
      </w:r>
      <w:r w:rsidR="0075773F">
        <w:rPr>
          <w:rFonts w:eastAsiaTheme="minorHAnsi"/>
          <w:b/>
          <w:bCs/>
          <w:lang w:val="fr-CH"/>
        </w:rPr>
        <w:t>750 (Rév. CMR-15)</w:t>
      </w:r>
      <w:r w:rsidR="0075773F">
        <w:rPr>
          <w:rFonts w:eastAsiaTheme="minorHAnsi"/>
          <w:lang w:val="fr-CH"/>
        </w:rPr>
        <w:t>;</w:t>
      </w:r>
    </w:p>
    <w:p w14:paraId="5F85CD07" w14:textId="25F74408" w:rsidR="00630665" w:rsidRPr="005751A7" w:rsidRDefault="00630665" w:rsidP="005378AF">
      <w:pPr>
        <w:rPr>
          <w:lang w:val="fr-CH"/>
        </w:rPr>
      </w:pPr>
      <w:r w:rsidRPr="005751A7">
        <w:rPr>
          <w:i/>
          <w:lang w:val="fr-CH"/>
        </w:rPr>
        <w:t>h)</w:t>
      </w:r>
      <w:r w:rsidRPr="005751A7">
        <w:rPr>
          <w:i/>
          <w:lang w:val="fr-CH"/>
        </w:rPr>
        <w:tab/>
      </w:r>
      <w:r w:rsidRPr="005751A7">
        <w:rPr>
          <w:iCs/>
          <w:lang w:val="fr-CH"/>
        </w:rPr>
        <w:t xml:space="preserve">que la bande de fréquences </w:t>
      </w:r>
      <w:r w:rsidRPr="005751A7">
        <w:rPr>
          <w:lang w:val="fr-CH"/>
        </w:rPr>
        <w:t xml:space="preserve">29,5-30 GHz (Terre vers espace) </w:t>
      </w:r>
      <w:r w:rsidRPr="005751A7">
        <w:rPr>
          <w:iCs/>
          <w:lang w:val="fr-CH"/>
        </w:rPr>
        <w:t>est, de plus, attribuée au service mobile par satellite à titre primaire dans la bande de fréquences</w:t>
      </w:r>
      <w:r w:rsidRPr="005751A7">
        <w:rPr>
          <w:lang w:val="fr-CH"/>
        </w:rPr>
        <w:t xml:space="preserve"> 29,5-30 GHz dans la Région 2, </w:t>
      </w:r>
      <w:r w:rsidRPr="005751A7">
        <w:rPr>
          <w:iCs/>
          <w:lang w:val="fr-CH"/>
        </w:rPr>
        <w:t>à titre primaire dans la bande de fréquences</w:t>
      </w:r>
      <w:r w:rsidRPr="005751A7">
        <w:rPr>
          <w:lang w:val="fr-CH"/>
        </w:rPr>
        <w:t xml:space="preserve"> 29,9-30 GHz dans les Régions 1 et 3, et </w:t>
      </w:r>
      <w:r w:rsidRPr="005751A7">
        <w:rPr>
          <w:iCs/>
          <w:lang w:val="fr-CH"/>
        </w:rPr>
        <w:t>à titre secondaire dans la bande de fréquences</w:t>
      </w:r>
      <w:r w:rsidRPr="005751A7">
        <w:rPr>
          <w:lang w:val="fr-CH"/>
        </w:rPr>
        <w:t xml:space="preserve"> 29,5-29,9 GHz dans les Régions 1 et 3;</w:t>
      </w:r>
    </w:p>
    <w:p w14:paraId="19F9B103" w14:textId="4D8CBB93" w:rsidR="00630665" w:rsidRPr="005751A7" w:rsidRDefault="00630665" w:rsidP="005378AF">
      <w:pPr>
        <w:rPr>
          <w:iCs/>
          <w:lang w:val="fr-CH"/>
        </w:rPr>
      </w:pPr>
      <w:r w:rsidRPr="005751A7">
        <w:rPr>
          <w:i/>
          <w:iCs/>
          <w:lang w:val="fr-CH"/>
        </w:rPr>
        <w:t>i)</w:t>
      </w:r>
      <w:r w:rsidRPr="005751A7">
        <w:rPr>
          <w:i/>
          <w:iCs/>
          <w:lang w:val="fr-CH"/>
        </w:rPr>
        <w:tab/>
      </w:r>
      <w:r w:rsidRPr="005751A7">
        <w:rPr>
          <w:lang w:val="fr-CH"/>
        </w:rPr>
        <w:t xml:space="preserve">que certaines parties de la bande de fréquences </w:t>
      </w:r>
      <w:r w:rsidRPr="005751A7">
        <w:rPr>
          <w:iCs/>
          <w:lang w:val="fr-CH"/>
        </w:rPr>
        <w:t>17,7-18,1 GHz</w:t>
      </w:r>
      <w:r w:rsidRPr="005751A7">
        <w:rPr>
          <w:lang w:val="fr-CH"/>
        </w:rPr>
        <w:t xml:space="preserve"> sont utilisées par les liaisons de connexion du service de radiodiffusion par satellite, sous réserve des dispositions de l'Appendice</w:t>
      </w:r>
      <w:r w:rsidRPr="005751A7">
        <w:rPr>
          <w:i/>
          <w:iCs/>
          <w:lang w:val="fr-CH"/>
        </w:rPr>
        <w:t> </w:t>
      </w:r>
      <w:r w:rsidRPr="005751A7">
        <w:rPr>
          <w:b/>
          <w:bCs/>
          <w:iCs/>
          <w:lang w:val="fr-CH"/>
        </w:rPr>
        <w:t>30A</w:t>
      </w:r>
      <w:r w:rsidRPr="005751A7">
        <w:rPr>
          <w:iCs/>
          <w:lang w:val="fr-CH"/>
        </w:rPr>
        <w:t xml:space="preserve"> (numéro </w:t>
      </w:r>
      <w:r w:rsidRPr="005751A7">
        <w:rPr>
          <w:b/>
          <w:bCs/>
          <w:iCs/>
          <w:lang w:val="fr-CH"/>
        </w:rPr>
        <w:t>5.516</w:t>
      </w:r>
      <w:r w:rsidRPr="005751A7">
        <w:rPr>
          <w:iCs/>
          <w:lang w:val="fr-CH"/>
        </w:rPr>
        <w:t>);</w:t>
      </w:r>
    </w:p>
    <w:p w14:paraId="2B04C993" w14:textId="6DD7A06C" w:rsidR="00630665" w:rsidRPr="005751A7" w:rsidRDefault="00630665" w:rsidP="005378AF">
      <w:pPr>
        <w:rPr>
          <w:iCs/>
          <w:lang w:val="fr-CH"/>
        </w:rPr>
      </w:pPr>
      <w:r w:rsidRPr="005751A7">
        <w:rPr>
          <w:i/>
          <w:lang w:val="fr-CH"/>
        </w:rPr>
        <w:t>j)</w:t>
      </w:r>
      <w:r w:rsidRPr="005751A7">
        <w:rPr>
          <w:iCs/>
          <w:lang w:val="fr-CH"/>
        </w:rPr>
        <w:tab/>
        <w:t>que l'utilisation de la bande</w:t>
      </w:r>
      <w:r w:rsidRPr="005751A7">
        <w:rPr>
          <w:lang w:val="fr-CH"/>
        </w:rPr>
        <w:t xml:space="preserve"> de fréquences</w:t>
      </w:r>
      <w:r w:rsidRPr="005751A7">
        <w:rPr>
          <w:iCs/>
          <w:lang w:val="fr-CH"/>
        </w:rPr>
        <w:t xml:space="preserve"> 18,1-18,4 GHz par le service fixe par satellite (Terre vers espace) est limitée aux liaisons de connexion des systèmes à satellites géostationnaires du service de radiodiffusion par satellite (numéro </w:t>
      </w:r>
      <w:r w:rsidRPr="005751A7">
        <w:rPr>
          <w:b/>
          <w:bCs/>
          <w:iCs/>
          <w:lang w:val="fr-CH"/>
        </w:rPr>
        <w:t>5.520</w:t>
      </w:r>
      <w:r w:rsidRPr="005751A7">
        <w:rPr>
          <w:iCs/>
          <w:lang w:val="fr-CH"/>
        </w:rPr>
        <w:t>);</w:t>
      </w:r>
    </w:p>
    <w:p w14:paraId="04323597" w14:textId="557BB24A" w:rsidR="00E80AAB" w:rsidRPr="005751A7" w:rsidRDefault="00E80AAB" w:rsidP="005378AF">
      <w:pPr>
        <w:rPr>
          <w:iCs/>
          <w:lang w:val="fr-CH"/>
        </w:rPr>
      </w:pPr>
      <w:r w:rsidRPr="005751A7">
        <w:rPr>
          <w:i/>
          <w:lang w:val="fr-CH"/>
        </w:rPr>
        <w:t>k)</w:t>
      </w:r>
      <w:r w:rsidRPr="005751A7">
        <w:rPr>
          <w:iCs/>
          <w:lang w:val="fr-CH"/>
        </w:rPr>
        <w:tab/>
        <w:t xml:space="preserve">que la bande de fréquences 18,6-18,8 GHz est utilisée par le </w:t>
      </w:r>
      <w:r w:rsidR="00AE4B95">
        <w:rPr>
          <w:iCs/>
          <w:lang w:val="fr-CH"/>
        </w:rPr>
        <w:t>SETS</w:t>
      </w:r>
      <w:r w:rsidRPr="005751A7">
        <w:rPr>
          <w:iCs/>
          <w:lang w:val="fr-CH"/>
        </w:rPr>
        <w:t xml:space="preserve"> (passive) pour la télédétection par des satellites d'exploration de la Terre et </w:t>
      </w:r>
      <w:r w:rsidR="00AE4B95">
        <w:rPr>
          <w:iCs/>
          <w:lang w:val="fr-CH"/>
        </w:rPr>
        <w:t xml:space="preserve">des satellites </w:t>
      </w:r>
      <w:r w:rsidRPr="005751A7">
        <w:rPr>
          <w:iCs/>
          <w:lang w:val="fr-CH"/>
        </w:rPr>
        <w:t>de météorologie par satellite, et qu'une protection contre les brouillages est essentielle pour les mesures et applications de la télédétection passive, en particulier</w:t>
      </w:r>
      <w:r w:rsidRPr="005751A7">
        <w:rPr>
          <w:lang w:val="fr-CH"/>
        </w:rPr>
        <w:t xml:space="preserve"> pour les mesures de raies spectrales connues, qui revêtent une importance particulière</w:t>
      </w:r>
      <w:r w:rsidRPr="005751A7">
        <w:rPr>
          <w:iCs/>
          <w:lang w:val="fr-CH"/>
        </w:rPr>
        <w:t>;</w:t>
      </w:r>
    </w:p>
    <w:p w14:paraId="400D8C75" w14:textId="71964C7F" w:rsidR="00E80AAB" w:rsidRPr="005751A7" w:rsidRDefault="00E80AAB" w:rsidP="005378AF">
      <w:pPr>
        <w:rPr>
          <w:iCs/>
          <w:lang w:val="fr-CH"/>
        </w:rPr>
      </w:pPr>
      <w:r w:rsidRPr="005751A7">
        <w:rPr>
          <w:i/>
          <w:lang w:val="fr-CH"/>
        </w:rPr>
        <w:t>l)</w:t>
      </w:r>
      <w:r w:rsidRPr="005751A7">
        <w:rPr>
          <w:iCs/>
          <w:lang w:val="fr-CH"/>
        </w:rPr>
        <w:tab/>
        <w:t>qu'il conviendrait de tenir compte de tous les services bénéficiant d'attributions dans ces bandes de fréquences,</w:t>
      </w:r>
    </w:p>
    <w:p w14:paraId="2E0196DA" w14:textId="637FEC74" w:rsidR="00D845E9" w:rsidRPr="005751A7" w:rsidRDefault="00D845E9" w:rsidP="005378AF">
      <w:pPr>
        <w:pStyle w:val="Call"/>
        <w:rPr>
          <w:lang w:val="fr-CH"/>
        </w:rPr>
      </w:pPr>
      <w:r w:rsidRPr="005751A7">
        <w:rPr>
          <w:lang w:val="fr-CH"/>
        </w:rPr>
        <w:t>notant</w:t>
      </w:r>
    </w:p>
    <w:p w14:paraId="71DC3BBB" w14:textId="3D400486" w:rsidR="00D845E9" w:rsidRPr="005751A7" w:rsidRDefault="00D845E9" w:rsidP="005378AF">
      <w:pPr>
        <w:rPr>
          <w:lang w:val="fr-CH"/>
        </w:rPr>
      </w:pPr>
      <w:r w:rsidRPr="005751A7">
        <w:rPr>
          <w:i/>
          <w:iCs/>
          <w:lang w:val="fr-CH"/>
        </w:rPr>
        <w:t>a)</w:t>
      </w:r>
      <w:r w:rsidRPr="005751A7">
        <w:rPr>
          <w:lang w:val="fr-CH"/>
        </w:rPr>
        <w:tab/>
      </w:r>
      <w:r w:rsidR="0075773F">
        <w:rPr>
          <w:lang w:val="fr-CH"/>
        </w:rPr>
        <w:t>que l</w:t>
      </w:r>
      <w:r w:rsidRPr="005751A7">
        <w:rPr>
          <w:lang w:val="fr-CH"/>
        </w:rPr>
        <w:t xml:space="preserve">es études préliminaires effectuées par l'UIT-R ont permis de mettre en évidence les facteurs à prendre en considération lors de l'analyse de la compatibilité entre les liaisons </w:t>
      </w:r>
      <w:r w:rsidR="0075773F">
        <w:rPr>
          <w:lang w:val="fr-CH"/>
        </w:rPr>
        <w:t>de</w:t>
      </w:r>
      <w:r w:rsidRPr="005751A7">
        <w:rPr>
          <w:lang w:val="fr-CH"/>
        </w:rPr>
        <w:t xml:space="preserve"> satellite non OSG </w:t>
      </w:r>
      <w:r w:rsidR="0075773F">
        <w:rPr>
          <w:lang w:val="fr-CH"/>
        </w:rPr>
        <w:t>à</w:t>
      </w:r>
      <w:r w:rsidRPr="005751A7">
        <w:rPr>
          <w:lang w:val="fr-CH"/>
        </w:rPr>
        <w:t xml:space="preserve"> satellite OSG</w:t>
      </w:r>
      <w:r w:rsidR="0075773F">
        <w:rPr>
          <w:lang w:val="fr-CH"/>
        </w:rPr>
        <w:t xml:space="preserve"> du SFS</w:t>
      </w:r>
      <w:r w:rsidRPr="005751A7">
        <w:rPr>
          <w:lang w:val="fr-CH"/>
        </w:rPr>
        <w:t xml:space="preserve"> dans le sens Terre vers espace</w:t>
      </w:r>
      <w:r w:rsidR="0075773F">
        <w:rPr>
          <w:lang w:val="fr-CH"/>
        </w:rPr>
        <w:t xml:space="preserve"> et les services existants</w:t>
      </w:r>
      <w:r w:rsidRPr="005751A7">
        <w:rPr>
          <w:lang w:val="fr-CH"/>
        </w:rPr>
        <w:t xml:space="preserve"> dans la bande de fréquences 27,5-30 GHz;</w:t>
      </w:r>
    </w:p>
    <w:p w14:paraId="3B830D90" w14:textId="70FB64AA" w:rsidR="0075773F" w:rsidRDefault="00D845E9" w:rsidP="005378AF">
      <w:pPr>
        <w:rPr>
          <w:lang w:val="fr-CH"/>
        </w:rPr>
      </w:pPr>
      <w:r w:rsidRPr="005751A7">
        <w:rPr>
          <w:i/>
          <w:lang w:val="fr-CH"/>
        </w:rPr>
        <w:t>b)</w:t>
      </w:r>
      <w:r w:rsidRPr="005751A7">
        <w:rPr>
          <w:lang w:val="fr-CH"/>
        </w:rPr>
        <w:tab/>
      </w:r>
      <w:r w:rsidR="0075773F">
        <w:rPr>
          <w:lang w:val="fr-CH"/>
        </w:rPr>
        <w:t xml:space="preserve">que la poursuite de ces études permettra peut-être de recenser et de définir les cas dans lesquels les transmissions depuis des satellites non OSG </w:t>
      </w:r>
      <w:r w:rsidR="00AE4B95">
        <w:rPr>
          <w:lang w:val="fr-CH"/>
        </w:rPr>
        <w:t xml:space="preserve">dans le sens </w:t>
      </w:r>
      <w:r w:rsidR="0075773F">
        <w:rPr>
          <w:lang w:val="fr-CH"/>
        </w:rPr>
        <w:t>Terre vers espace</w:t>
      </w:r>
      <w:r w:rsidR="00AE4B95">
        <w:rPr>
          <w:lang w:val="fr-CH"/>
        </w:rPr>
        <w:t xml:space="preserve"> dans la bande 27,5-30 GHz</w:t>
      </w:r>
      <w:r w:rsidR="0075773F">
        <w:rPr>
          <w:lang w:val="fr-CH"/>
        </w:rPr>
        <w:t xml:space="preserve"> et </w:t>
      </w:r>
      <w:r w:rsidR="00AE4B95">
        <w:rPr>
          <w:lang w:val="fr-CH"/>
        </w:rPr>
        <w:t xml:space="preserve">dans le sens </w:t>
      </w:r>
      <w:r w:rsidR="0075773F">
        <w:rPr>
          <w:lang w:val="fr-CH"/>
        </w:rPr>
        <w:t>espace vers Terre</w:t>
      </w:r>
      <w:r w:rsidR="00AE4B95">
        <w:rPr>
          <w:lang w:val="fr-CH"/>
        </w:rPr>
        <w:t xml:space="preserve"> dans la bande de fréquences 17,7-20,2 GHz</w:t>
      </w:r>
      <w:r w:rsidR="0075773F">
        <w:rPr>
          <w:lang w:val="fr-CH"/>
        </w:rPr>
        <w:t xml:space="preserve"> vers d'autres satellites du SFS sont possibles sans que des brouillages inacceptables ou préjudiciables soient causés aux services existants,</w:t>
      </w:r>
    </w:p>
    <w:p w14:paraId="1818A741" w14:textId="29803479" w:rsidR="00D845E9" w:rsidRPr="005751A7" w:rsidRDefault="00D845E9" w:rsidP="005378AF">
      <w:pPr>
        <w:pStyle w:val="Call"/>
        <w:rPr>
          <w:lang w:val="fr-CH"/>
        </w:rPr>
      </w:pPr>
      <w:r w:rsidRPr="005751A7">
        <w:rPr>
          <w:lang w:val="fr-CH"/>
        </w:rPr>
        <w:t>décide d'inviter l'UIT-R</w:t>
      </w:r>
    </w:p>
    <w:p w14:paraId="3669D35C" w14:textId="7BF7AD65" w:rsidR="00F56711" w:rsidRPr="005751A7" w:rsidRDefault="00F56711" w:rsidP="005378AF">
      <w:pPr>
        <w:rPr>
          <w:lang w:val="fr-CH"/>
        </w:rPr>
      </w:pPr>
      <w:r w:rsidRPr="005751A7">
        <w:rPr>
          <w:lang w:val="fr-CH"/>
        </w:rPr>
        <w:t>1</w:t>
      </w:r>
      <w:r w:rsidRPr="005751A7">
        <w:rPr>
          <w:lang w:val="fr-CH"/>
        </w:rPr>
        <w:tab/>
      </w:r>
      <w:r w:rsidR="006D11BE">
        <w:rPr>
          <w:lang w:val="fr-CH"/>
        </w:rPr>
        <w:t>à étudier</w:t>
      </w:r>
      <w:r w:rsidRPr="005751A7">
        <w:rPr>
          <w:lang w:val="fr-CH"/>
        </w:rPr>
        <w:t xml:space="preserve"> les caractéristiques techniques et opérationnelles et les besoins des utilisateurs de différents types de stations spatiales non OSG qui projettent d'émettre </w:t>
      </w:r>
      <w:r w:rsidR="006D11BE">
        <w:rPr>
          <w:lang w:val="fr-CH"/>
        </w:rPr>
        <w:t xml:space="preserve">dans le sens Terre vers espace dans la bande </w:t>
      </w:r>
      <w:r w:rsidR="006A17A9">
        <w:rPr>
          <w:lang w:val="fr-CH"/>
        </w:rPr>
        <w:t xml:space="preserve">de fréquences </w:t>
      </w:r>
      <w:r w:rsidR="006D11BE">
        <w:rPr>
          <w:lang w:val="fr-CH"/>
        </w:rPr>
        <w:t>27,5-30 GHz et dans le sens espace vers Terre dans les bandes de fréquences 17,7-18,6 GHz et 18,8-20,2 GHz</w:t>
      </w:r>
      <w:r w:rsidR="006D11BE" w:rsidRPr="005751A7">
        <w:rPr>
          <w:lang w:val="fr-CH"/>
        </w:rPr>
        <w:t xml:space="preserve"> en direction de stations spatiales du SFS </w:t>
      </w:r>
      <w:r w:rsidR="006A17A9">
        <w:rPr>
          <w:lang w:val="fr-CH"/>
        </w:rPr>
        <w:t xml:space="preserve">OSG et </w:t>
      </w:r>
      <w:r w:rsidR="006D11BE" w:rsidRPr="005751A7">
        <w:rPr>
          <w:lang w:val="fr-CH"/>
        </w:rPr>
        <w:t>non OSG</w:t>
      </w:r>
      <w:r w:rsidRPr="005751A7">
        <w:rPr>
          <w:lang w:val="fr-CH"/>
        </w:rPr>
        <w:t>;</w:t>
      </w:r>
    </w:p>
    <w:p w14:paraId="6391C8DB" w14:textId="6355BA22" w:rsidR="006D11BE" w:rsidRDefault="00F56711" w:rsidP="005378AF">
      <w:pPr>
        <w:rPr>
          <w:lang w:val="fr-CH"/>
        </w:rPr>
      </w:pPr>
      <w:r w:rsidRPr="005751A7">
        <w:rPr>
          <w:lang w:val="fr-CH"/>
        </w:rPr>
        <w:t>2</w:t>
      </w:r>
      <w:r w:rsidRPr="005751A7">
        <w:rPr>
          <w:lang w:val="fr-CH"/>
        </w:rPr>
        <w:tab/>
      </w:r>
      <w:r w:rsidR="006D11BE">
        <w:rPr>
          <w:lang w:val="fr-CH"/>
        </w:rPr>
        <w:t xml:space="preserve">à étudier le partage et la compatibilité entre les </w:t>
      </w:r>
      <w:r w:rsidR="006D11BE" w:rsidRPr="005751A7">
        <w:rPr>
          <w:lang w:val="fr-CH"/>
        </w:rPr>
        <w:t>stations spatiales non OSG</w:t>
      </w:r>
      <w:r w:rsidR="006D11BE">
        <w:rPr>
          <w:lang w:val="fr-CH"/>
        </w:rPr>
        <w:t xml:space="preserve"> émettant dans le sens Terre vers espace dans la bande </w:t>
      </w:r>
      <w:r w:rsidR="006A17A9">
        <w:rPr>
          <w:lang w:val="fr-CH"/>
        </w:rPr>
        <w:t xml:space="preserve">de fréquences </w:t>
      </w:r>
      <w:r w:rsidR="006D11BE">
        <w:rPr>
          <w:lang w:val="fr-CH"/>
        </w:rPr>
        <w:t xml:space="preserve">27,5-30 GHz et dans le sens espace vers Terre dans les bandes de fréquences 17,7-18,6 GHz et 18,8-20,2 GHz </w:t>
      </w:r>
      <w:r w:rsidR="006D11BE" w:rsidRPr="005751A7">
        <w:rPr>
          <w:lang w:val="fr-CH"/>
        </w:rPr>
        <w:t>en direction de stations spatiales du SFS</w:t>
      </w:r>
      <w:r w:rsidR="006D11BE">
        <w:rPr>
          <w:lang w:val="fr-CH"/>
        </w:rPr>
        <w:t xml:space="preserve"> OSG et</w:t>
      </w:r>
      <w:r w:rsidR="006D11BE" w:rsidRPr="005751A7">
        <w:rPr>
          <w:lang w:val="fr-CH"/>
        </w:rPr>
        <w:t xml:space="preserve"> non OSG</w:t>
      </w:r>
      <w:r w:rsidR="006D11BE">
        <w:rPr>
          <w:lang w:val="fr-CH"/>
        </w:rPr>
        <w:t xml:space="preserve"> et les stations actuelles ou en projet du SFS et </w:t>
      </w:r>
      <w:r w:rsidR="006A17A9">
        <w:rPr>
          <w:lang w:val="fr-CH"/>
        </w:rPr>
        <w:t>les</w:t>
      </w:r>
      <w:r w:rsidR="006D11BE">
        <w:rPr>
          <w:lang w:val="fr-CH"/>
        </w:rPr>
        <w:t xml:space="preserve"> autres services ayant des attributions dans ces bandes de fréquences, </w:t>
      </w:r>
      <w:r w:rsidR="006D11BE" w:rsidRPr="006D11BE">
        <w:rPr>
          <w:lang w:val="fr-CH"/>
        </w:rPr>
        <w:t>pour assurer la protection</w:t>
      </w:r>
      <w:r w:rsidR="006D11BE">
        <w:rPr>
          <w:lang w:val="fr-CH"/>
        </w:rPr>
        <w:t xml:space="preserve"> des autres opérations du SFS et</w:t>
      </w:r>
      <w:r w:rsidR="006D11BE" w:rsidRPr="006D11BE">
        <w:rPr>
          <w:lang w:val="fr-CH"/>
        </w:rPr>
        <w:t xml:space="preserve"> des</w:t>
      </w:r>
      <w:r w:rsidR="006A17A9">
        <w:rPr>
          <w:lang w:val="fr-CH"/>
        </w:rPr>
        <w:t xml:space="preserve"> autres</w:t>
      </w:r>
      <w:r w:rsidR="006D11BE" w:rsidRPr="006D11BE">
        <w:rPr>
          <w:lang w:val="fr-CH"/>
        </w:rPr>
        <w:t xml:space="preserve"> services disposant d'attributions dans ces bandes de fréquences et éviter de leur imposer des contraintes inutiles, en tenant compte des points </w:t>
      </w:r>
      <w:r w:rsidR="006D11BE" w:rsidRPr="001904AF">
        <w:rPr>
          <w:i/>
          <w:iCs/>
          <w:lang w:val="fr-CH"/>
        </w:rPr>
        <w:t>a)</w:t>
      </w:r>
      <w:r w:rsidR="006D11BE" w:rsidRPr="006D11BE">
        <w:rPr>
          <w:lang w:val="fr-CH"/>
        </w:rPr>
        <w:t xml:space="preserve"> à </w:t>
      </w:r>
      <w:r w:rsidR="006D11BE" w:rsidRPr="001904AF">
        <w:rPr>
          <w:i/>
          <w:iCs/>
          <w:lang w:val="fr-CH"/>
        </w:rPr>
        <w:t>l)</w:t>
      </w:r>
      <w:r w:rsidR="006D11BE" w:rsidRPr="006D11BE">
        <w:rPr>
          <w:lang w:val="fr-CH"/>
        </w:rPr>
        <w:t xml:space="preserve"> du </w:t>
      </w:r>
      <w:r w:rsidR="006D11BE" w:rsidRPr="006D11BE">
        <w:rPr>
          <w:i/>
          <w:iCs/>
          <w:lang w:val="fr-CH"/>
        </w:rPr>
        <w:t>reconnaissant en outre</w:t>
      </w:r>
      <w:r w:rsidR="006D11BE" w:rsidRPr="006D11BE">
        <w:rPr>
          <w:lang w:val="fr-CH"/>
        </w:rPr>
        <w:t xml:space="preserve"> ci-dessus;</w:t>
      </w:r>
    </w:p>
    <w:p w14:paraId="70D5AAD5" w14:textId="5DD42C6C" w:rsidR="00F56711" w:rsidRPr="005751A7" w:rsidRDefault="00F56711" w:rsidP="005378AF">
      <w:pPr>
        <w:rPr>
          <w:lang w:val="fr-CH"/>
        </w:rPr>
      </w:pPr>
      <w:r w:rsidRPr="005751A7">
        <w:rPr>
          <w:lang w:val="fr-CH"/>
        </w:rPr>
        <w:t>3</w:t>
      </w:r>
      <w:r w:rsidRPr="005751A7">
        <w:rPr>
          <w:lang w:val="fr-CH"/>
        </w:rPr>
        <w:tab/>
        <w:t xml:space="preserve">à définir, pour différents types de stations </w:t>
      </w:r>
      <w:r w:rsidR="006D11BE">
        <w:rPr>
          <w:lang w:val="fr-CH"/>
        </w:rPr>
        <w:t>spatiales non OSG</w:t>
      </w:r>
      <w:r w:rsidRPr="005751A7">
        <w:rPr>
          <w:lang w:val="fr-CH"/>
        </w:rPr>
        <w:t xml:space="preserve"> et différentes parties des bandes de fréquences étudiées, les conditions techniques et les dispositions réglementaires applicables à leur exploitation, </w:t>
      </w:r>
      <w:r w:rsidR="006D11BE">
        <w:rPr>
          <w:lang w:val="fr-CH"/>
        </w:rPr>
        <w:t xml:space="preserve">y compris avec des attributions nouvelles ou modifiées, selon qu'il conviendra, </w:t>
      </w:r>
      <w:r w:rsidRPr="005751A7">
        <w:rPr>
          <w:lang w:val="fr-CH"/>
        </w:rPr>
        <w:t xml:space="preserve">en tenant compte des résultats des études </w:t>
      </w:r>
      <w:r w:rsidR="006A17A9">
        <w:rPr>
          <w:lang w:val="fr-CH"/>
        </w:rPr>
        <w:t>susmentionnées</w:t>
      </w:r>
      <w:r w:rsidR="00780982">
        <w:rPr>
          <w:lang w:val="fr-CH"/>
        </w:rPr>
        <w:t>;</w:t>
      </w:r>
    </w:p>
    <w:p w14:paraId="7D2088FF" w14:textId="1603E80F" w:rsidR="00F56711" w:rsidRPr="005751A7" w:rsidRDefault="00F56711" w:rsidP="005378AF">
      <w:pPr>
        <w:rPr>
          <w:lang w:val="fr-CH"/>
        </w:rPr>
      </w:pPr>
      <w:r w:rsidRPr="005751A7">
        <w:rPr>
          <w:lang w:val="fr-CH"/>
        </w:rPr>
        <w:t>4</w:t>
      </w:r>
      <w:r w:rsidRPr="005751A7">
        <w:rPr>
          <w:lang w:val="fr-CH"/>
        </w:rPr>
        <w:tab/>
        <w:t>à terminer ces études avant la Conférence mondiale des radiocommunications de 2023,</w:t>
      </w:r>
    </w:p>
    <w:p w14:paraId="2EEA341C" w14:textId="1D5AD2E2" w:rsidR="0074133B" w:rsidRPr="005751A7" w:rsidRDefault="0074133B" w:rsidP="005378AF">
      <w:pPr>
        <w:pStyle w:val="Call"/>
        <w:rPr>
          <w:lang w:val="fr-CH"/>
        </w:rPr>
      </w:pPr>
      <w:r w:rsidRPr="005751A7">
        <w:rPr>
          <w:lang w:val="fr-CH"/>
        </w:rPr>
        <w:t>invite</w:t>
      </w:r>
      <w:r w:rsidR="00780982">
        <w:rPr>
          <w:lang w:val="fr-CH"/>
        </w:rPr>
        <w:t xml:space="preserve"> la Conférence mondiale des radiocommunication</w:t>
      </w:r>
      <w:r w:rsidRPr="005751A7">
        <w:rPr>
          <w:lang w:val="fr-CH"/>
        </w:rPr>
        <w:t xml:space="preserve">s </w:t>
      </w:r>
      <w:r w:rsidR="00780982">
        <w:rPr>
          <w:lang w:val="fr-CH"/>
        </w:rPr>
        <w:t>de</w:t>
      </w:r>
      <w:r w:rsidRPr="005751A7">
        <w:rPr>
          <w:lang w:val="fr-CH"/>
        </w:rPr>
        <w:t xml:space="preserve"> 2023 </w:t>
      </w:r>
    </w:p>
    <w:p w14:paraId="709FA56C" w14:textId="0C0A642F" w:rsidR="0074133B" w:rsidRPr="005751A7" w:rsidRDefault="0074133B" w:rsidP="005378AF">
      <w:pPr>
        <w:rPr>
          <w:lang w:val="fr-CH"/>
        </w:rPr>
      </w:pPr>
      <w:r w:rsidRPr="005751A7">
        <w:rPr>
          <w:lang w:val="fr-CH"/>
        </w:rPr>
        <w:t>à examiner les résultats des études susmentionnées et à prendre les mesures réglementaires nécessaires, le cas échéant</w:t>
      </w:r>
      <w:r w:rsidR="00780982">
        <w:rPr>
          <w:lang w:val="fr-CH"/>
        </w:rPr>
        <w:t>,</w:t>
      </w:r>
    </w:p>
    <w:p w14:paraId="0CE04274" w14:textId="429347B7" w:rsidR="00780982" w:rsidRPr="005751A7" w:rsidRDefault="00780982" w:rsidP="005378AF">
      <w:pPr>
        <w:pStyle w:val="Call"/>
        <w:rPr>
          <w:lang w:val="fr-CH"/>
        </w:rPr>
      </w:pPr>
      <w:r w:rsidRPr="005751A7">
        <w:rPr>
          <w:lang w:val="fr-CH"/>
        </w:rPr>
        <w:t>invite</w:t>
      </w:r>
      <w:r>
        <w:rPr>
          <w:lang w:val="fr-CH"/>
        </w:rPr>
        <w:t xml:space="preserve"> les administrations</w:t>
      </w:r>
      <w:r w:rsidRPr="005751A7">
        <w:rPr>
          <w:lang w:val="fr-CH"/>
        </w:rPr>
        <w:t xml:space="preserve"> </w:t>
      </w:r>
    </w:p>
    <w:p w14:paraId="12622666" w14:textId="4EA1900B" w:rsidR="00780982" w:rsidRPr="005751A7" w:rsidRDefault="00780982" w:rsidP="005378AF">
      <w:pPr>
        <w:rPr>
          <w:lang w:val="fr-CH"/>
        </w:rPr>
      </w:pPr>
      <w:r w:rsidRPr="005751A7">
        <w:rPr>
          <w:lang w:val="fr-CH"/>
        </w:rPr>
        <w:t xml:space="preserve">à </w:t>
      </w:r>
      <w:r w:rsidRPr="00780982">
        <w:rPr>
          <w:lang w:val="fr-CH"/>
        </w:rPr>
        <w:t>participer aux études et à fournir des contributions</w:t>
      </w:r>
      <w:r w:rsidRPr="005751A7">
        <w:rPr>
          <w:lang w:val="fr-CH"/>
        </w:rPr>
        <w:t>.</w:t>
      </w:r>
    </w:p>
    <w:p w14:paraId="1A95A75F" w14:textId="736C2E0A" w:rsidR="00780982" w:rsidRDefault="00F819CA" w:rsidP="005378AF">
      <w:pPr>
        <w:pStyle w:val="Reasons"/>
        <w:rPr>
          <w:lang w:val="fr-CH"/>
        </w:rPr>
      </w:pPr>
      <w:r w:rsidRPr="005751A7">
        <w:rPr>
          <w:b/>
          <w:lang w:val="fr-CH"/>
        </w:rPr>
        <w:t>Motifs:</w:t>
      </w:r>
      <w:r w:rsidRPr="005751A7">
        <w:rPr>
          <w:lang w:val="fr-CH"/>
        </w:rPr>
        <w:tab/>
      </w:r>
      <w:r w:rsidR="00780982">
        <w:rPr>
          <w:lang w:val="fr-CH"/>
        </w:rPr>
        <w:t xml:space="preserve">Appuyer l'inscription de </w:t>
      </w:r>
      <w:r w:rsidR="006A17A9">
        <w:rPr>
          <w:lang w:val="fr-CH"/>
        </w:rPr>
        <w:t xml:space="preserve">ce </w:t>
      </w:r>
      <w:r w:rsidR="00780982">
        <w:rPr>
          <w:lang w:val="fr-CH"/>
        </w:rPr>
        <w:t>nouveau point à l'ordre du jour de la CMR-23.</w:t>
      </w:r>
    </w:p>
    <w:p w14:paraId="79395F78" w14:textId="436E8E32" w:rsidR="00534943" w:rsidRPr="005751A7" w:rsidRDefault="00534943" w:rsidP="005378AF">
      <w:pPr>
        <w:tabs>
          <w:tab w:val="clear" w:pos="1134"/>
          <w:tab w:val="clear" w:pos="1871"/>
          <w:tab w:val="clear" w:pos="2268"/>
        </w:tabs>
        <w:overflowPunct/>
        <w:autoSpaceDE/>
        <w:autoSpaceDN/>
        <w:adjustRightInd/>
        <w:spacing w:before="0"/>
        <w:textAlignment w:val="auto"/>
        <w:rPr>
          <w:lang w:val="fr-CH"/>
        </w:rPr>
      </w:pPr>
      <w:r w:rsidRPr="005751A7">
        <w:rPr>
          <w:lang w:val="fr-CH"/>
        </w:rPr>
        <w:br w:type="page"/>
      </w:r>
    </w:p>
    <w:p w14:paraId="0351F9EC" w14:textId="2DD0971F" w:rsidR="0074133B" w:rsidRPr="005751A7" w:rsidRDefault="00534943" w:rsidP="001904AF">
      <w:pPr>
        <w:pStyle w:val="AnnexNo"/>
        <w:spacing w:after="240"/>
        <w:rPr>
          <w:lang w:val="fr-CH"/>
        </w:rPr>
      </w:pPr>
      <w:r w:rsidRPr="005751A7">
        <w:rPr>
          <w:lang w:val="fr-CH"/>
        </w:rPr>
        <w:t>ANNEXE</w:t>
      </w:r>
    </w:p>
    <w:tbl>
      <w:tblPr>
        <w:tblpPr w:leftFromText="180" w:rightFromText="180" w:vertAnchor="text" w:tblpY="1"/>
        <w:tblOverlap w:val="never"/>
        <w:tblW w:w="9351" w:type="dxa"/>
        <w:tblLook w:val="04A0" w:firstRow="1" w:lastRow="0" w:firstColumn="1" w:lastColumn="0" w:noHBand="0" w:noVBand="1"/>
      </w:tblPr>
      <w:tblGrid>
        <w:gridCol w:w="9351"/>
      </w:tblGrid>
      <w:tr w:rsidR="00534943" w:rsidRPr="005751A7" w14:paraId="0E88F5DF" w14:textId="77777777" w:rsidTr="00124954">
        <w:trPr>
          <w:cantSplit/>
        </w:trPr>
        <w:tc>
          <w:tcPr>
            <w:tcW w:w="9351" w:type="dxa"/>
            <w:tcBorders>
              <w:top w:val="single" w:sz="4" w:space="0" w:color="auto"/>
              <w:left w:val="single" w:sz="4" w:space="0" w:color="auto"/>
              <w:bottom w:val="single" w:sz="4" w:space="0" w:color="auto"/>
              <w:right w:val="single" w:sz="4" w:space="0" w:color="auto"/>
            </w:tcBorders>
          </w:tcPr>
          <w:p w14:paraId="1C699E19" w14:textId="05F497F3" w:rsidR="00534943" w:rsidRPr="005751A7" w:rsidRDefault="00C365ED" w:rsidP="005378AF">
            <w:pPr>
              <w:keepNext/>
              <w:rPr>
                <w:bCs/>
                <w:lang w:val="fr-CH"/>
              </w:rPr>
            </w:pPr>
            <w:r w:rsidRPr="005751A7">
              <w:rPr>
                <w:b/>
                <w:bCs/>
                <w:i/>
                <w:iCs/>
                <w:lang w:val="fr-CH"/>
              </w:rPr>
              <w:t>Objet:</w:t>
            </w:r>
            <w:r w:rsidR="00534943" w:rsidRPr="005751A7">
              <w:rPr>
                <w:b/>
                <w:bCs/>
                <w:lang w:val="fr-CH"/>
              </w:rPr>
              <w:t xml:space="preserve"> </w:t>
            </w:r>
          </w:p>
          <w:p w14:paraId="1AE2EC1E" w14:textId="1D3F2A19" w:rsidR="00534943" w:rsidRPr="005751A7" w:rsidRDefault="00780982" w:rsidP="001904AF">
            <w:pPr>
              <w:spacing w:after="120"/>
              <w:rPr>
                <w:lang w:val="fr-CH"/>
              </w:rPr>
            </w:pPr>
            <w:r>
              <w:rPr>
                <w:lang w:val="fr-CH"/>
              </w:rPr>
              <w:t xml:space="preserve">Proposition </w:t>
            </w:r>
            <w:r w:rsidR="006A17A9">
              <w:rPr>
                <w:lang w:val="fr-CH"/>
              </w:rPr>
              <w:t>de</w:t>
            </w:r>
            <w:r>
              <w:rPr>
                <w:lang w:val="fr-CH"/>
              </w:rPr>
              <w:t xml:space="preserve"> point à inscrire à l'ordre du jour de la CMR-23 afin d'examiner les résultats des études sur la compatibilité des liaisons entre satellites dans le sens Terre vers espace dans la bande </w:t>
            </w:r>
            <w:r w:rsidR="006A17A9">
              <w:rPr>
                <w:lang w:val="fr-CH"/>
              </w:rPr>
              <w:t xml:space="preserve">de fréquences </w:t>
            </w:r>
            <w:r>
              <w:rPr>
                <w:lang w:val="fr-CH"/>
              </w:rPr>
              <w:t xml:space="preserve">27,5-30 GHz et dans le sens espace vers Terre dans les bandes </w:t>
            </w:r>
            <w:r w:rsidR="006A17A9">
              <w:rPr>
                <w:lang w:val="fr-CH"/>
              </w:rPr>
              <w:t xml:space="preserve">de fréquences </w:t>
            </w:r>
            <w:r>
              <w:rPr>
                <w:lang w:val="fr-CH"/>
              </w:rPr>
              <w:t>17,7-18,6 GHz et 18,8-20,2 GHz, avec les autres opérations du SFS et les autres services</w:t>
            </w:r>
          </w:p>
        </w:tc>
      </w:tr>
      <w:tr w:rsidR="00534943" w:rsidRPr="005751A7" w14:paraId="2475F351" w14:textId="77777777" w:rsidTr="00124954">
        <w:trPr>
          <w:cantSplit/>
          <w:trHeight w:val="58"/>
        </w:trPr>
        <w:tc>
          <w:tcPr>
            <w:tcW w:w="9351" w:type="dxa"/>
            <w:tcBorders>
              <w:top w:val="single" w:sz="4" w:space="0" w:color="auto"/>
              <w:left w:val="single" w:sz="4" w:space="0" w:color="auto"/>
              <w:bottom w:val="single" w:sz="4" w:space="0" w:color="auto"/>
              <w:right w:val="single" w:sz="4" w:space="0" w:color="auto"/>
            </w:tcBorders>
          </w:tcPr>
          <w:p w14:paraId="374D1D9D" w14:textId="17E08499" w:rsidR="00534943" w:rsidRPr="005751A7" w:rsidRDefault="00C365ED" w:rsidP="001904AF">
            <w:pPr>
              <w:tabs>
                <w:tab w:val="clear" w:pos="2268"/>
                <w:tab w:val="left" w:pos="2604"/>
              </w:tabs>
              <w:spacing w:after="120"/>
              <w:rPr>
                <w:b/>
                <w:bCs/>
                <w:lang w:val="fr-CH"/>
              </w:rPr>
            </w:pPr>
            <w:r w:rsidRPr="005751A7">
              <w:rPr>
                <w:b/>
                <w:bCs/>
                <w:i/>
                <w:iCs/>
                <w:lang w:val="fr-CH"/>
              </w:rPr>
              <w:t xml:space="preserve">Origine: </w:t>
            </w:r>
            <w:r w:rsidR="00534943" w:rsidRPr="005751A7">
              <w:rPr>
                <w:bCs/>
                <w:lang w:val="fr-CH"/>
              </w:rPr>
              <w:t xml:space="preserve">Samoa </w:t>
            </w:r>
            <w:r w:rsidR="00780982">
              <w:rPr>
                <w:bCs/>
                <w:lang w:val="fr-CH"/>
              </w:rPr>
              <w:t>et</w:t>
            </w:r>
            <w:r w:rsidR="00534943" w:rsidRPr="005751A7">
              <w:rPr>
                <w:b/>
                <w:bCs/>
                <w:lang w:val="fr-CH"/>
              </w:rPr>
              <w:t xml:space="preserve"> </w:t>
            </w:r>
            <w:r w:rsidR="00534943" w:rsidRPr="005751A7">
              <w:rPr>
                <w:bCs/>
                <w:lang w:val="fr-CH"/>
              </w:rPr>
              <w:t>Singapo</w:t>
            </w:r>
            <w:r w:rsidR="00780982">
              <w:rPr>
                <w:bCs/>
                <w:lang w:val="fr-CH"/>
              </w:rPr>
              <w:t>ur</w:t>
            </w:r>
          </w:p>
        </w:tc>
      </w:tr>
      <w:tr w:rsidR="00534943" w:rsidRPr="005751A7" w14:paraId="44DB5F11" w14:textId="77777777" w:rsidTr="00124954">
        <w:trPr>
          <w:cantSplit/>
        </w:trPr>
        <w:tc>
          <w:tcPr>
            <w:tcW w:w="9351" w:type="dxa"/>
            <w:tcBorders>
              <w:top w:val="single" w:sz="4" w:space="0" w:color="auto"/>
              <w:left w:val="single" w:sz="4" w:space="0" w:color="auto"/>
              <w:bottom w:val="single" w:sz="4" w:space="0" w:color="auto"/>
              <w:right w:val="single" w:sz="4" w:space="0" w:color="auto"/>
            </w:tcBorders>
          </w:tcPr>
          <w:p w14:paraId="5C0437C0" w14:textId="547A83D0" w:rsidR="00534943" w:rsidRPr="005751A7" w:rsidRDefault="00C365ED" w:rsidP="005378AF">
            <w:pPr>
              <w:keepNext/>
              <w:rPr>
                <w:b/>
                <w:iCs/>
                <w:color w:val="000000"/>
                <w:lang w:val="fr-CH"/>
              </w:rPr>
            </w:pPr>
            <w:r w:rsidRPr="005751A7">
              <w:rPr>
                <w:b/>
                <w:i/>
                <w:iCs/>
                <w:color w:val="000000"/>
                <w:lang w:val="fr-CH"/>
              </w:rPr>
              <w:t>Proposition:</w:t>
            </w:r>
            <w:r w:rsidR="00534943" w:rsidRPr="005751A7">
              <w:rPr>
                <w:b/>
                <w:iCs/>
                <w:color w:val="000000"/>
                <w:lang w:val="fr-CH"/>
              </w:rPr>
              <w:t xml:space="preserve"> </w:t>
            </w:r>
          </w:p>
          <w:p w14:paraId="28DBABF9" w14:textId="31CD13E5" w:rsidR="00534943" w:rsidRPr="005751A7" w:rsidRDefault="00780982" w:rsidP="005378AF">
            <w:pPr>
              <w:rPr>
                <w:color w:val="000000"/>
                <w:lang w:val="fr-CH"/>
              </w:rPr>
            </w:pPr>
            <w:r>
              <w:rPr>
                <w:color w:val="000000"/>
                <w:lang w:val="fr-CH"/>
              </w:rPr>
              <w:t>Déterminer les cas et les conditions dans lesquels les transmissions dans les sens</w:t>
            </w:r>
            <w:r w:rsidR="005378AF">
              <w:rPr>
                <w:color w:val="000000"/>
                <w:lang w:val="fr-CH"/>
              </w:rPr>
              <w:t xml:space="preserve"> </w:t>
            </w:r>
            <w:r>
              <w:rPr>
                <w:lang w:val="fr-CH"/>
              </w:rPr>
              <w:t>Terre vers espace dans la bande</w:t>
            </w:r>
            <w:r w:rsidR="006A17A9">
              <w:rPr>
                <w:lang w:val="fr-CH"/>
              </w:rPr>
              <w:t xml:space="preserve"> de fréquences</w:t>
            </w:r>
            <w:r>
              <w:rPr>
                <w:lang w:val="fr-CH"/>
              </w:rPr>
              <w:t xml:space="preserve"> 27,5-30 GHz et dans le sens espace vers Terre dans les bandes </w:t>
            </w:r>
            <w:r w:rsidR="006A17A9">
              <w:rPr>
                <w:lang w:val="fr-CH"/>
              </w:rPr>
              <w:t xml:space="preserve">de fréquences </w:t>
            </w:r>
            <w:r>
              <w:rPr>
                <w:lang w:val="fr-CH"/>
              </w:rPr>
              <w:t xml:space="preserve">17,7-18,6 GHz et 18,8-20,2 GHz </w:t>
            </w:r>
            <w:r w:rsidR="006A17A9">
              <w:rPr>
                <w:lang w:val="fr-CH"/>
              </w:rPr>
              <w:t>d'</w:t>
            </w:r>
            <w:r>
              <w:rPr>
                <w:lang w:val="fr-CH"/>
              </w:rPr>
              <w:t xml:space="preserve">une station spatiale non géostationnaire </w:t>
            </w:r>
            <w:r w:rsidR="006A17A9">
              <w:rPr>
                <w:lang w:val="fr-CH"/>
              </w:rPr>
              <w:t>en direction d'</w:t>
            </w:r>
            <w:r>
              <w:rPr>
                <w:lang w:val="fr-CH"/>
              </w:rPr>
              <w:t xml:space="preserve">une station spatiale géostationnaire ou non géostationnaire peuvent être assurées sur une base autre que le numéro </w:t>
            </w:r>
            <w:r>
              <w:rPr>
                <w:b/>
                <w:bCs/>
                <w:lang w:val="fr-CH"/>
              </w:rPr>
              <w:t>4.4</w:t>
            </w:r>
            <w:r>
              <w:rPr>
                <w:lang w:val="fr-CH"/>
              </w:rPr>
              <w:t xml:space="preserve"> du Règlement des radiocommunications, compte tenu de la nécessité de protéger les service</w:t>
            </w:r>
            <w:r w:rsidR="006A17A9">
              <w:rPr>
                <w:lang w:val="fr-CH"/>
              </w:rPr>
              <w:t>s</w:t>
            </w:r>
            <w:r>
              <w:rPr>
                <w:lang w:val="fr-CH"/>
              </w:rPr>
              <w:t xml:space="preserve"> existants, conformément à la Résolution </w:t>
            </w:r>
            <w:r w:rsidR="00534943" w:rsidRPr="00FC1C8E">
              <w:rPr>
                <w:b/>
                <w:bCs/>
                <w:color w:val="000000"/>
                <w:lang w:val="fr-CH"/>
              </w:rPr>
              <w:t>[</w:t>
            </w:r>
            <w:r w:rsidR="00534943" w:rsidRPr="00FC1C8E">
              <w:rPr>
                <w:b/>
                <w:bCs/>
                <w:lang w:val="fr-CH"/>
              </w:rPr>
              <w:t>SMO/SNG/A10/</w:t>
            </w:r>
            <w:r w:rsidR="00534943" w:rsidRPr="00FC1C8E">
              <w:rPr>
                <w:b/>
                <w:bCs/>
                <w:color w:val="000000"/>
                <w:lang w:val="fr-CH"/>
              </w:rPr>
              <w:t>FSS-SAT-TO-SAT]</w:t>
            </w:r>
            <w:r w:rsidR="00534943" w:rsidRPr="005751A7">
              <w:rPr>
                <w:color w:val="000000"/>
                <w:lang w:val="fr-CH"/>
              </w:rPr>
              <w:t xml:space="preserve"> (</w:t>
            </w:r>
            <w:r>
              <w:rPr>
                <w:color w:val="000000"/>
                <w:lang w:val="fr-CH"/>
              </w:rPr>
              <w:t>CMR</w:t>
            </w:r>
            <w:r w:rsidR="00534943" w:rsidRPr="005751A7">
              <w:rPr>
                <w:color w:val="000000"/>
                <w:lang w:val="fr-CH"/>
              </w:rPr>
              <w:t>-19).</w:t>
            </w:r>
          </w:p>
          <w:p w14:paraId="0E614687" w14:textId="326DB069" w:rsidR="00534943" w:rsidRPr="005751A7" w:rsidRDefault="00780982" w:rsidP="001904AF">
            <w:pPr>
              <w:spacing w:after="120"/>
              <w:rPr>
                <w:rFonts w:ascii="TimesNewRomanPS-ItalicMT" w:hAnsi="TimesNewRomanPS-ItalicMT" w:cs="TimesNewRomanPS-ItalicMT"/>
                <w:iCs/>
                <w:lang w:val="fr-CH"/>
              </w:rPr>
            </w:pPr>
            <w:r>
              <w:rPr>
                <w:rFonts w:ascii="TimesNewRomanPS-ItalicMT" w:hAnsi="TimesNewRomanPS-ItalicMT" w:cs="TimesNewRomanPS-ItalicMT"/>
                <w:iCs/>
                <w:lang w:val="fr-CH"/>
              </w:rPr>
              <w:t xml:space="preserve">Fournir </w:t>
            </w:r>
            <w:r w:rsidR="006A4D07">
              <w:rPr>
                <w:rFonts w:ascii="TimesNewRomanPS-ItalicMT" w:hAnsi="TimesNewRomanPS-ItalicMT" w:cs="TimesNewRomanPS-ItalicMT"/>
                <w:iCs/>
                <w:lang w:val="fr-CH"/>
              </w:rPr>
              <w:t>un moyen pour reconnaître dans le Règlement des radiocommunication les transmissions</w:t>
            </w:r>
            <w:r w:rsidR="005378AF">
              <w:rPr>
                <w:rFonts w:ascii="TimesNewRomanPS-ItalicMT" w:hAnsi="TimesNewRomanPS-ItalicMT" w:cs="TimesNewRomanPS-ItalicMT"/>
                <w:iCs/>
                <w:lang w:val="fr-CH"/>
              </w:rPr>
              <w:t xml:space="preserve"> </w:t>
            </w:r>
            <w:r w:rsidR="006A4D07">
              <w:rPr>
                <w:color w:val="000000"/>
                <w:lang w:val="fr-CH"/>
              </w:rPr>
              <w:t>dans les sens</w:t>
            </w:r>
            <w:r w:rsidR="005378AF">
              <w:rPr>
                <w:color w:val="000000"/>
                <w:lang w:val="fr-CH"/>
              </w:rPr>
              <w:t xml:space="preserve"> </w:t>
            </w:r>
            <w:r w:rsidR="006A4D07">
              <w:rPr>
                <w:lang w:val="fr-CH"/>
              </w:rPr>
              <w:t xml:space="preserve">Terre vers espace dans la bande </w:t>
            </w:r>
            <w:r w:rsidR="006A17A9">
              <w:rPr>
                <w:lang w:val="fr-CH"/>
              </w:rPr>
              <w:t xml:space="preserve">de fréquences </w:t>
            </w:r>
            <w:r w:rsidR="006A4D07">
              <w:rPr>
                <w:lang w:val="fr-CH"/>
              </w:rPr>
              <w:t xml:space="preserve">27,5-30 GHz et dans le sens espace vers Terre dans les bandes </w:t>
            </w:r>
            <w:r w:rsidR="006A17A9">
              <w:rPr>
                <w:lang w:val="fr-CH"/>
              </w:rPr>
              <w:t xml:space="preserve">de fréquences </w:t>
            </w:r>
            <w:r w:rsidR="006A4D07">
              <w:rPr>
                <w:lang w:val="fr-CH"/>
              </w:rPr>
              <w:t xml:space="preserve">17,7-18,6 GHz et 18,8-20,2 GHz </w:t>
            </w:r>
            <w:r w:rsidR="006A17A9">
              <w:rPr>
                <w:lang w:val="fr-CH"/>
              </w:rPr>
              <w:t>des</w:t>
            </w:r>
            <w:r w:rsidR="006A4D07">
              <w:rPr>
                <w:lang w:val="fr-CH"/>
              </w:rPr>
              <w:t xml:space="preserve"> stations spatiales non géostationnaires </w:t>
            </w:r>
            <w:r w:rsidR="006A17A9">
              <w:rPr>
                <w:lang w:val="fr-CH"/>
              </w:rPr>
              <w:t>en direction</w:t>
            </w:r>
            <w:r w:rsidR="006A4D07">
              <w:rPr>
                <w:lang w:val="fr-CH"/>
              </w:rPr>
              <w:t xml:space="preserve"> d'autres stations spatiales qui respectent la condition de ne pas causer de brouillage aux systèmes existants.</w:t>
            </w:r>
          </w:p>
        </w:tc>
      </w:tr>
      <w:tr w:rsidR="00534943" w:rsidRPr="005751A7" w14:paraId="50727926" w14:textId="77777777" w:rsidTr="00124954">
        <w:trPr>
          <w:cantSplit/>
        </w:trPr>
        <w:tc>
          <w:tcPr>
            <w:tcW w:w="9351" w:type="dxa"/>
            <w:tcBorders>
              <w:top w:val="single" w:sz="4" w:space="0" w:color="auto"/>
              <w:left w:val="single" w:sz="4" w:space="0" w:color="auto"/>
              <w:bottom w:val="single" w:sz="4" w:space="0" w:color="auto"/>
              <w:right w:val="single" w:sz="4" w:space="0" w:color="auto"/>
            </w:tcBorders>
          </w:tcPr>
          <w:p w14:paraId="2EDAE798" w14:textId="78DCB714" w:rsidR="00534943" w:rsidRPr="005751A7" w:rsidRDefault="00C365ED" w:rsidP="005378AF">
            <w:pPr>
              <w:keepNext/>
              <w:rPr>
                <w:rFonts w:ascii="TimesNewRomanPS-ItalicMT" w:hAnsi="TimesNewRomanPS-ItalicMT" w:cs="TimesNewRomanPS-ItalicMT"/>
                <w:b/>
                <w:i/>
                <w:iCs/>
                <w:lang w:val="fr-CH"/>
              </w:rPr>
            </w:pPr>
            <w:r w:rsidRPr="005751A7">
              <w:rPr>
                <w:rFonts w:ascii="TimesNewRomanPS-ItalicMT" w:hAnsi="TimesNewRomanPS-ItalicMT" w:cs="TimesNewRomanPS-ItalicMT"/>
                <w:b/>
                <w:i/>
                <w:iCs/>
                <w:lang w:val="fr-CH"/>
              </w:rPr>
              <w:t>Contexte/motif:</w:t>
            </w:r>
          </w:p>
          <w:p w14:paraId="0E496B09" w14:textId="03454338" w:rsidR="00E8605B" w:rsidRPr="005751A7" w:rsidRDefault="00E8605B" w:rsidP="005378AF">
            <w:pPr>
              <w:rPr>
                <w:lang w:val="fr-CH"/>
              </w:rPr>
            </w:pPr>
            <w:r w:rsidRPr="005751A7">
              <w:rPr>
                <w:lang w:val="fr-CH"/>
              </w:rPr>
              <w:t xml:space="preserve">Comme indiqué par le Directeur du Bureau des radiocommunications dans son rapport à la seconde session de la RPC en vue de la CMR-19, depuis 2014, 27 soumissions de renseignements pour la publication anticipée ont été présentées concernant des systèmes à satellites non OSG au titre du numéro </w:t>
            </w:r>
            <w:r w:rsidRPr="005751A7">
              <w:rPr>
                <w:b/>
                <w:bCs/>
                <w:lang w:val="fr-CH"/>
              </w:rPr>
              <w:t>4.4</w:t>
            </w:r>
            <w:r w:rsidRPr="005751A7">
              <w:rPr>
                <w:lang w:val="fr-CH"/>
              </w:rPr>
              <w:t xml:space="preserve"> du Règlement des radiocommunications, en vue de l'utilisation, par un service spatial ne bénéficiant pas d'attributions, de bandes de fréquences attribuées à un autre service spatial. Voir le Document CPM19-2/17, § 3.1.3.2 (Avant-projet de Rapport du directeur à la CMR-19 sur les activités du secteur des radiocommunications). Les renseignements de notification ont par la suite été soumis pour les assignations de</w:t>
            </w:r>
            <w:r w:rsidR="00404DD1">
              <w:rPr>
                <w:lang w:val="fr-CH"/>
              </w:rPr>
              <w:t> </w:t>
            </w:r>
            <w:r w:rsidRPr="005751A7">
              <w:rPr>
                <w:lang w:val="fr-CH"/>
              </w:rPr>
              <w:t>fréquence de trois de ces systèmes. Il est souligné dans le projet de rapport du Directeur</w:t>
            </w:r>
            <w:r w:rsidR="00404DD1">
              <w:rPr>
                <w:lang w:val="fr-CH"/>
              </w:rPr>
              <w:t> </w:t>
            </w:r>
            <w:r w:rsidRPr="005751A7">
              <w:rPr>
                <w:lang w:val="fr-CH"/>
              </w:rPr>
              <w:t>«qu'aucun cas de brouillages préjudiciables causés par ces assignations de fréquence</w:t>
            </w:r>
            <w:r w:rsidR="00404DD1">
              <w:rPr>
                <w:lang w:val="fr-CH"/>
              </w:rPr>
              <w:t> </w:t>
            </w:r>
            <w:r w:rsidRPr="005751A7">
              <w:rPr>
                <w:lang w:val="fr-CH"/>
              </w:rPr>
              <w:t>à un service quelconque d'une autre administration n'a été signalé au BR» (Document CPM19-2/17, § 3.1.3.2).</w:t>
            </w:r>
          </w:p>
          <w:p w14:paraId="44BB7B0D" w14:textId="062AE925" w:rsidR="00E8605B" w:rsidRPr="005751A7" w:rsidRDefault="00E8605B" w:rsidP="00FC1C8E">
            <w:pPr>
              <w:spacing w:after="120"/>
              <w:rPr>
                <w:lang w:val="fr-CH"/>
              </w:rPr>
            </w:pPr>
            <w:r w:rsidRPr="005751A7">
              <w:rPr>
                <w:lang w:val="fr-CH"/>
              </w:rPr>
              <w:t>Comme l'a reconnu le Directeur du Bureau des radiocommunications, la difficulté consiste à trouver un moyen de reconnaître ces utilisations dans le Règlement des radiocommunications, compte tenu si possible des conditions techniques découlant des études de l'UIT-R.</w:t>
            </w:r>
            <w:r w:rsidR="00FC1C8E">
              <w:rPr>
                <w:lang w:val="fr-CH"/>
              </w:rPr>
              <w:t xml:space="preserve"> </w:t>
            </w:r>
            <w:r w:rsidRPr="005751A7">
              <w:rPr>
                <w:lang w:val="fr-CH"/>
              </w:rPr>
              <w:t>Étant donné que les bandes de fréquences attribuées au service fixe par satellite et au service mobile par satellite sont utilisées pour les liaisons entre les stations spatiales et les stations terriennes, il est nécessaire d'analyser l'utilisation des mêmes bandes pour les liaisons entre satellites, afin de garantir la compatibilité et d'éviter les brouillages préjudiciables. Il est probable que le scénario de partage différera en fonction de la variation des caractéristiques orbitales des satellites non OSG.</w:t>
            </w:r>
          </w:p>
          <w:p w14:paraId="795D2B06" w14:textId="595693C8" w:rsidR="00534943" w:rsidRPr="005751A7" w:rsidRDefault="006A4D07" w:rsidP="00FC1C8E">
            <w:pPr>
              <w:spacing w:after="360"/>
              <w:rPr>
                <w:iCs/>
                <w:color w:val="000000"/>
                <w:lang w:val="fr-CH"/>
              </w:rPr>
            </w:pPr>
            <w:r>
              <w:rPr>
                <w:iCs/>
                <w:lang w:val="fr-CH"/>
              </w:rPr>
              <w:t xml:space="preserve">Les liaisons entre satellites </w:t>
            </w:r>
            <w:r w:rsidR="006A17A9">
              <w:rPr>
                <w:iCs/>
                <w:lang w:val="fr-CH"/>
              </w:rPr>
              <w:t xml:space="preserve">faisant l'objet de la proposition </w:t>
            </w:r>
            <w:r>
              <w:rPr>
                <w:iCs/>
                <w:lang w:val="fr-CH"/>
              </w:rPr>
              <w:t>devrai</w:t>
            </w:r>
            <w:r w:rsidR="006A17A9">
              <w:rPr>
                <w:iCs/>
                <w:lang w:val="fr-CH"/>
              </w:rPr>
              <w:t>en</w:t>
            </w:r>
            <w:r>
              <w:rPr>
                <w:iCs/>
                <w:lang w:val="fr-CH"/>
              </w:rPr>
              <w:t>t être exploitées dans le</w:t>
            </w:r>
            <w:r w:rsidR="006A17A9">
              <w:rPr>
                <w:iCs/>
                <w:lang w:val="fr-CH"/>
              </w:rPr>
              <w:t>s</w:t>
            </w:r>
            <w:r>
              <w:rPr>
                <w:iCs/>
                <w:lang w:val="fr-CH"/>
              </w:rPr>
              <w:t xml:space="preserve"> sens identifié</w:t>
            </w:r>
            <w:r w:rsidR="006A17A9">
              <w:rPr>
                <w:iCs/>
                <w:lang w:val="fr-CH"/>
              </w:rPr>
              <w:t>s</w:t>
            </w:r>
            <w:r>
              <w:rPr>
                <w:iCs/>
                <w:lang w:val="fr-CH"/>
              </w:rPr>
              <w:t xml:space="preserve"> dans l'Article </w:t>
            </w:r>
            <w:r>
              <w:rPr>
                <w:b/>
                <w:bCs/>
                <w:iCs/>
                <w:lang w:val="fr-CH"/>
              </w:rPr>
              <w:t xml:space="preserve">5 </w:t>
            </w:r>
            <w:r>
              <w:rPr>
                <w:iCs/>
                <w:lang w:val="fr-CH"/>
              </w:rPr>
              <w:t xml:space="preserve">du Règlement des radiocommunications </w:t>
            </w:r>
            <w:r w:rsidR="006A17A9">
              <w:rPr>
                <w:iCs/>
                <w:lang w:val="fr-CH"/>
              </w:rPr>
              <w:t xml:space="preserve">de l'UIT </w:t>
            </w:r>
            <w:r>
              <w:rPr>
                <w:iCs/>
                <w:lang w:val="fr-CH"/>
              </w:rPr>
              <w:t xml:space="preserve">pour les bandes de fréquences 27,5-30 GHz (Terre vers espace) et 17,7-18,6 GHZ </w:t>
            </w:r>
            <w:r w:rsidR="006A17A9">
              <w:rPr>
                <w:iCs/>
                <w:lang w:val="fr-CH"/>
              </w:rPr>
              <w:t xml:space="preserve">et 18,8-20 GHz </w:t>
            </w:r>
            <w:r>
              <w:rPr>
                <w:iCs/>
                <w:lang w:val="fr-CH"/>
              </w:rPr>
              <w:t>(espace vers Terre). En outre, une liaison entre satellites ne devrait être autorisée</w:t>
            </w:r>
            <w:r w:rsidR="006A17A9">
              <w:rPr>
                <w:iCs/>
                <w:lang w:val="fr-CH"/>
              </w:rPr>
              <w:t xml:space="preserve">, comme indiqué par les </w:t>
            </w:r>
            <w:r>
              <w:rPr>
                <w:iCs/>
                <w:lang w:val="fr-CH"/>
              </w:rPr>
              <w:t xml:space="preserve">flèches vertes dans la figure ci-dessous, </w:t>
            </w:r>
            <w:r w:rsidR="006A17A9">
              <w:rPr>
                <w:iCs/>
                <w:lang w:val="fr-CH"/>
              </w:rPr>
              <w:t>que</w:t>
            </w:r>
            <w:r>
              <w:rPr>
                <w:iCs/>
                <w:lang w:val="fr-CH"/>
              </w:rPr>
              <w:t xml:space="preserve"> lorsque les satellites se trouvent à l'intérieur du cône formé par le satellite duquel part la liaison et le contour à la surface de la Terre pour un angle d'élévation de zéro degré </w:t>
            </w:r>
            <w:r w:rsidR="006A17A9">
              <w:rPr>
                <w:iCs/>
                <w:lang w:val="fr-CH"/>
              </w:rPr>
              <w:t>vers</w:t>
            </w:r>
            <w:r>
              <w:rPr>
                <w:iCs/>
                <w:lang w:val="fr-CH"/>
              </w:rPr>
              <w:t xml:space="preserve"> ce satellite. Dans un souci de clarté, les liaisons correspondant aux flèches rouges dans la figure ci-dessous ne </w:t>
            </w:r>
            <w:r w:rsidR="006A17A9">
              <w:rPr>
                <w:iCs/>
                <w:lang w:val="fr-CH"/>
              </w:rPr>
              <w:t>sont</w:t>
            </w:r>
            <w:r>
              <w:rPr>
                <w:iCs/>
                <w:lang w:val="fr-CH"/>
              </w:rPr>
              <w:t xml:space="preserve"> pas autorisées selon la présente proposition</w:t>
            </w:r>
            <w:r w:rsidR="00534943" w:rsidRPr="005751A7">
              <w:rPr>
                <w:iCs/>
                <w:color w:val="000000"/>
                <w:lang w:val="fr-CH"/>
              </w:rPr>
              <w:t>.</w:t>
            </w:r>
          </w:p>
          <w:p w14:paraId="0648865C" w14:textId="754694AF" w:rsidR="00534943" w:rsidRPr="005751A7" w:rsidRDefault="005378AF" w:rsidP="00FC1C8E">
            <w:pPr>
              <w:tabs>
                <w:tab w:val="left" w:pos="6449"/>
              </w:tabs>
              <w:spacing w:after="120"/>
              <w:jc w:val="center"/>
              <w:rPr>
                <w:iCs/>
                <w:color w:val="000000"/>
                <w:lang w:val="fr-CH"/>
              </w:rPr>
            </w:pPr>
            <w:r w:rsidRPr="005378AF">
              <w:rPr>
                <w:iCs/>
                <w:noProof/>
                <w:color w:val="000000"/>
              </w:rPr>
              <mc:AlternateContent>
                <mc:Choice Requires="wps">
                  <w:drawing>
                    <wp:anchor distT="0" distB="0" distL="114300" distR="114300" simplePos="0" relativeHeight="251661312" behindDoc="0" locked="0" layoutInCell="1" allowOverlap="1" wp14:anchorId="54439949" wp14:editId="2AE53B04">
                      <wp:simplePos x="0" y="0"/>
                      <wp:positionH relativeFrom="column">
                        <wp:posOffset>2635866</wp:posOffset>
                      </wp:positionH>
                      <wp:positionV relativeFrom="paragraph">
                        <wp:posOffset>2767320</wp:posOffset>
                      </wp:positionV>
                      <wp:extent cx="532614" cy="276999"/>
                      <wp:effectExtent l="0" t="0" r="1270" b="8890"/>
                      <wp:wrapNone/>
                      <wp:docPr id="9" name="TextBox 2"/>
                      <wp:cNvGraphicFramePr/>
                      <a:graphic xmlns:a="http://schemas.openxmlformats.org/drawingml/2006/main">
                        <a:graphicData uri="http://schemas.microsoft.com/office/word/2010/wordprocessingShape">
                          <wps:wsp>
                            <wps:cNvSpPr txBox="1"/>
                            <wps:spPr>
                              <a:xfrm>
                                <a:off x="0" y="0"/>
                                <a:ext cx="532614" cy="276999"/>
                              </a:xfrm>
                              <a:prstGeom prst="rect">
                                <a:avLst/>
                              </a:prstGeom>
                              <a:solidFill>
                                <a:srgbClr val="4472C4"/>
                              </a:solidFill>
                            </wps:spPr>
                            <wps:txbx>
                              <w:txbxContent>
                                <w:p w14:paraId="1C8D2C06" w14:textId="359C75E9" w:rsidR="005378AF" w:rsidRDefault="005378AF" w:rsidP="005378AF">
                                  <w:pPr>
                                    <w:rPr>
                                      <w:szCs w:val="24"/>
                                    </w:rPr>
                                  </w:pPr>
                                  <w:r>
                                    <w:rPr>
                                      <w:rFonts w:asciiTheme="minorHAnsi" w:hAnsi="Calibri" w:cstheme="minorBidi"/>
                                      <w:color w:val="FFFFFF" w:themeColor="background1"/>
                                      <w:kern w:val="24"/>
                                      <w:lang w:val="fr-CH"/>
                                    </w:rPr>
                                    <w:t>Terre</w:t>
                                  </w:r>
                                </w:p>
                              </w:txbxContent>
                            </wps:txbx>
                            <wps:bodyPr wrap="square" rtlCol="0">
                              <a:spAutoFit/>
                            </wps:bodyPr>
                          </wps:wsp>
                        </a:graphicData>
                      </a:graphic>
                    </wp:anchor>
                  </w:drawing>
                </mc:Choice>
                <mc:Fallback>
                  <w:pict>
                    <v:shape w14:anchorId="54439949" id="_x0000_s1027" type="#_x0000_t202" style="position:absolute;left:0;text-align:left;margin-left:207.55pt;margin-top:217.9pt;width:41.95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" fillcolor="#4472c4" stroked="f">
                      <v:textbox style="mso-fit-shape-to-text:t">
                        <w:txbxContent>
                          <w:p w14:paraId="1C8D2C06" w14:textId="359C75E9" w:rsidR="005378AF" w:rsidRDefault="005378AF" w:rsidP="005378AF">
                            <w:pPr>
                              <w:rPr>
                                <w:szCs w:val="24"/>
                              </w:rPr>
                            </w:pPr>
                            <w:r>
                              <w:rPr>
                                <w:rFonts w:asciiTheme="minorHAnsi" w:hAnsi="Calibri" w:cstheme="minorBidi"/>
                                <w:color w:val="FFFFFF" w:themeColor="background1"/>
                                <w:kern w:val="24"/>
                                <w:lang w:val="fr-CH"/>
                              </w:rPr>
                              <w:t>Terre</w:t>
                            </w:r>
                          </w:p>
                        </w:txbxContent>
                      </v:textbox>
                    </v:shape>
                  </w:pict>
                </mc:Fallback>
              </mc:AlternateContent>
            </w:r>
            <w:r w:rsidR="00534943" w:rsidRPr="005751A7">
              <w:rPr>
                <w:noProof/>
                <w:lang w:val="fr-CH" w:eastAsia="zh-CN"/>
              </w:rPr>
              <w:drawing>
                <wp:inline distT="0" distB="0" distL="0" distR="0" wp14:anchorId="57124696" wp14:editId="57615CA2">
                  <wp:extent cx="3017520" cy="33612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520" cy="3361292"/>
                          </a:xfrm>
                          <a:prstGeom prst="rect">
                            <a:avLst/>
                          </a:prstGeom>
                        </pic:spPr>
                      </pic:pic>
                    </a:graphicData>
                  </a:graphic>
                </wp:inline>
              </w:drawing>
            </w:r>
          </w:p>
          <w:p w14:paraId="56F00166" w14:textId="0F35A418" w:rsidR="00534943" w:rsidRPr="005751A7" w:rsidRDefault="006A4D07" w:rsidP="00FC1C8E">
            <w:pPr>
              <w:keepNext/>
              <w:spacing w:before="360" w:after="120"/>
              <w:rPr>
                <w:rFonts w:ascii="TimesNewRomanPS-ItalicMT" w:hAnsi="TimesNewRomanPS-ItalicMT"/>
                <w:lang w:val="fr-CH"/>
              </w:rPr>
            </w:pPr>
            <w:r w:rsidRPr="005751A7">
              <w:rPr>
                <w:lang w:val="fr-CH"/>
              </w:rPr>
              <w:t>Les études préliminaires effectuées par l'UIT-R ont permis de mettre en évidence les facteurs à</w:t>
            </w:r>
            <w:r w:rsidR="00FC1C8E">
              <w:rPr>
                <w:lang w:val="fr-CH"/>
              </w:rPr>
              <w:t> </w:t>
            </w:r>
            <w:r w:rsidRPr="005751A7">
              <w:rPr>
                <w:lang w:val="fr-CH"/>
              </w:rPr>
              <w:t xml:space="preserve">prendre en considération lors de l'analyse de la compatibilité entre les liaisons </w:t>
            </w:r>
            <w:r w:rsidR="00CF6A51">
              <w:rPr>
                <w:lang w:val="fr-CH"/>
              </w:rPr>
              <w:t>de</w:t>
            </w:r>
            <w:r w:rsidRPr="005751A7">
              <w:rPr>
                <w:lang w:val="fr-CH"/>
              </w:rPr>
              <w:t xml:space="preserve"> satellite non</w:t>
            </w:r>
            <w:r w:rsidR="0052661F">
              <w:rPr>
                <w:lang w:val="fr-CH"/>
              </w:rPr>
              <w:t> </w:t>
            </w:r>
            <w:r w:rsidRPr="005751A7">
              <w:rPr>
                <w:lang w:val="fr-CH"/>
              </w:rPr>
              <w:t xml:space="preserve">OSG </w:t>
            </w:r>
            <w:r w:rsidR="00CF6A51">
              <w:rPr>
                <w:lang w:val="fr-CH"/>
              </w:rPr>
              <w:t>à</w:t>
            </w:r>
            <w:r w:rsidRPr="005751A7">
              <w:rPr>
                <w:lang w:val="fr-CH"/>
              </w:rPr>
              <w:t xml:space="preserve"> satellite OSG</w:t>
            </w:r>
            <w:r w:rsidR="00CF6A51">
              <w:rPr>
                <w:lang w:val="fr-CH"/>
              </w:rPr>
              <w:t>,</w:t>
            </w:r>
            <w:r w:rsidRPr="005751A7">
              <w:rPr>
                <w:lang w:val="fr-CH"/>
              </w:rPr>
              <w:t xml:space="preserve"> dans le sens Terre vers espace dans la bande de fréquences 27,5</w:t>
            </w:r>
            <w:r w:rsidR="0052661F">
              <w:rPr>
                <w:lang w:val="fr-CH"/>
              </w:rPr>
              <w:noBreakHyphen/>
            </w:r>
            <w:r w:rsidRPr="005751A7">
              <w:rPr>
                <w:lang w:val="fr-CH"/>
              </w:rPr>
              <w:t>30</w:t>
            </w:r>
            <w:r w:rsidR="00FC1C8E">
              <w:rPr>
                <w:lang w:val="fr-CH"/>
              </w:rPr>
              <w:t> </w:t>
            </w:r>
            <w:r w:rsidRPr="005751A7">
              <w:rPr>
                <w:lang w:val="fr-CH"/>
              </w:rPr>
              <w:t>GHz et dans le sens espace vers Terre dans les bandes de fréquences 17,7</w:t>
            </w:r>
            <w:r>
              <w:rPr>
                <w:lang w:val="fr-CH"/>
              </w:rPr>
              <w:t>-18,6 GHz et</w:t>
            </w:r>
            <w:r w:rsidR="00FC1C8E">
              <w:rPr>
                <w:lang w:val="fr-CH"/>
              </w:rPr>
              <w:t> </w:t>
            </w:r>
            <w:r>
              <w:rPr>
                <w:lang w:val="fr-CH"/>
              </w:rPr>
              <w:t>18,8</w:t>
            </w:r>
            <w:r w:rsidR="0052661F">
              <w:rPr>
                <w:lang w:val="fr-CH"/>
              </w:rPr>
              <w:noBreakHyphen/>
            </w:r>
            <w:r w:rsidRPr="005751A7">
              <w:rPr>
                <w:lang w:val="fr-CH"/>
              </w:rPr>
              <w:t>20,2 GHz</w:t>
            </w:r>
            <w:r w:rsidR="00CF6A51">
              <w:rPr>
                <w:lang w:val="fr-CH"/>
              </w:rPr>
              <w:t>,</w:t>
            </w:r>
            <w:r w:rsidRPr="005751A7">
              <w:rPr>
                <w:lang w:val="fr-CH"/>
              </w:rPr>
              <w:t xml:space="preserve"> et d'autres </w:t>
            </w:r>
            <w:r w:rsidR="00CF6A51">
              <w:rPr>
                <w:lang w:val="fr-CH"/>
              </w:rPr>
              <w:t>opérations</w:t>
            </w:r>
            <w:r w:rsidRPr="005751A7">
              <w:rPr>
                <w:lang w:val="fr-CH"/>
              </w:rPr>
              <w:t xml:space="preserve"> du SFS et d'autres services. La poursuite et l'achèvement de ces études, pour qu'elles englobent les liaisons entre </w:t>
            </w:r>
            <w:r w:rsidR="00CF6A51">
              <w:rPr>
                <w:lang w:val="fr-CH"/>
              </w:rPr>
              <w:t xml:space="preserve">des </w:t>
            </w:r>
            <w:r w:rsidRPr="005751A7">
              <w:rPr>
                <w:lang w:val="fr-CH"/>
              </w:rPr>
              <w:t>satellites non OSG</w:t>
            </w:r>
            <w:r w:rsidR="00CF6A51">
              <w:rPr>
                <w:lang w:val="fr-CH"/>
              </w:rPr>
              <w:t xml:space="preserve"> et d'autres satellites</w:t>
            </w:r>
            <w:r w:rsidRPr="005751A7">
              <w:rPr>
                <w:lang w:val="fr-CH"/>
              </w:rPr>
              <w:t xml:space="preserve">, permettront d'élaborer un texte réglementaire approprié de l'UIT-R, l'objectif étant de définir les cas dans lesquels ces transmissions peuvent être assurées, et de déterminer s'il est possible de reconnaître les liaisons compatibles en apportant les modifications voulues aux attributions du SFS </w:t>
            </w:r>
            <w:r>
              <w:rPr>
                <w:lang w:val="fr-CH"/>
              </w:rPr>
              <w:t xml:space="preserve">figurant </w:t>
            </w:r>
            <w:r w:rsidRPr="005751A7">
              <w:rPr>
                <w:lang w:val="fr-CH"/>
              </w:rPr>
              <w:t xml:space="preserve">dans l'Article </w:t>
            </w:r>
            <w:r w:rsidRPr="00E86992">
              <w:rPr>
                <w:b/>
                <w:bCs/>
                <w:lang w:val="fr-CH"/>
              </w:rPr>
              <w:t>5</w:t>
            </w:r>
            <w:r>
              <w:rPr>
                <w:lang w:val="fr-CH"/>
              </w:rPr>
              <w:t xml:space="preserve"> visées par les études.</w:t>
            </w:r>
          </w:p>
        </w:tc>
      </w:tr>
      <w:tr w:rsidR="00534943" w:rsidRPr="005751A7" w14:paraId="593F70D3" w14:textId="77777777" w:rsidTr="00124954">
        <w:trPr>
          <w:cantSplit/>
        </w:trPr>
        <w:tc>
          <w:tcPr>
            <w:tcW w:w="9351" w:type="dxa"/>
            <w:tcBorders>
              <w:top w:val="single" w:sz="4" w:space="0" w:color="auto"/>
              <w:left w:val="single" w:sz="4" w:space="0" w:color="auto"/>
              <w:bottom w:val="single" w:sz="4" w:space="0" w:color="auto"/>
              <w:right w:val="single" w:sz="4" w:space="0" w:color="auto"/>
            </w:tcBorders>
          </w:tcPr>
          <w:p w14:paraId="529E9180" w14:textId="592CA7B2" w:rsidR="00534943" w:rsidRPr="005751A7" w:rsidRDefault="00E8605B" w:rsidP="005378AF">
            <w:pPr>
              <w:keepNext/>
              <w:rPr>
                <w:b/>
                <w:iCs/>
                <w:lang w:val="fr-CH"/>
              </w:rPr>
            </w:pPr>
            <w:r w:rsidRPr="005751A7">
              <w:rPr>
                <w:b/>
                <w:i/>
                <w:iCs/>
                <w:lang w:val="fr-CH"/>
              </w:rPr>
              <w:t>Services de radiocommunication concernés:</w:t>
            </w:r>
          </w:p>
          <w:p w14:paraId="2840CE84" w14:textId="445C1F5E" w:rsidR="00534943" w:rsidRPr="00A43575" w:rsidRDefault="006A4D07" w:rsidP="00FC1C8E">
            <w:pPr>
              <w:keepNext/>
              <w:spacing w:after="120"/>
              <w:rPr>
                <w:i/>
                <w:szCs w:val="24"/>
                <w:lang w:val="fr-CH"/>
              </w:rPr>
            </w:pPr>
            <w:r w:rsidRPr="00A43575">
              <w:rPr>
                <w:rFonts w:ascii="TimesNewRomanPSMT" w:hAnsi="TimesNewRomanPSMT"/>
                <w:szCs w:val="24"/>
                <w:lang w:val="fr-CH"/>
              </w:rPr>
              <w:t>Radiodiffusion par satellite</w:t>
            </w:r>
            <w:r w:rsidR="00534943" w:rsidRPr="00A43575">
              <w:rPr>
                <w:rFonts w:ascii="TimesNewRomanPSMT" w:hAnsi="TimesNewRomanPSMT"/>
                <w:szCs w:val="24"/>
                <w:lang w:val="fr-CH"/>
              </w:rPr>
              <w:t xml:space="preserve">, </w:t>
            </w:r>
            <w:r w:rsidRPr="00A43575">
              <w:rPr>
                <w:rFonts w:ascii="TimesNewRomanPSMT" w:hAnsi="TimesNewRomanPSMT"/>
                <w:szCs w:val="24"/>
                <w:lang w:val="fr-CH"/>
              </w:rPr>
              <w:t>exploration de la Terre par satellite</w:t>
            </w:r>
            <w:r w:rsidR="00534943" w:rsidRPr="00A43575">
              <w:rPr>
                <w:rFonts w:ascii="TimesNewRomanPSMT" w:hAnsi="TimesNewRomanPSMT"/>
                <w:szCs w:val="24"/>
                <w:lang w:val="fr-CH"/>
              </w:rPr>
              <w:t>, fixe, fixe</w:t>
            </w:r>
            <w:r w:rsidRPr="00A43575">
              <w:rPr>
                <w:rFonts w:ascii="TimesNewRomanPSMT" w:hAnsi="TimesNewRomanPSMT"/>
                <w:szCs w:val="24"/>
                <w:lang w:val="fr-CH"/>
              </w:rPr>
              <w:t xml:space="preserve"> par s</w:t>
            </w:r>
            <w:r w:rsidR="00534943" w:rsidRPr="00A43575">
              <w:rPr>
                <w:rFonts w:ascii="TimesNewRomanPSMT" w:hAnsi="TimesNewRomanPSMT"/>
                <w:szCs w:val="24"/>
                <w:lang w:val="fr-CH"/>
              </w:rPr>
              <w:t>atellite, mobile, mobile</w:t>
            </w:r>
            <w:r w:rsidRPr="00A43575">
              <w:rPr>
                <w:rFonts w:ascii="TimesNewRomanPSMT" w:hAnsi="TimesNewRomanPSMT"/>
                <w:szCs w:val="24"/>
                <w:lang w:val="fr-CH"/>
              </w:rPr>
              <w:t xml:space="preserve"> par </w:t>
            </w:r>
            <w:r w:rsidR="00534943" w:rsidRPr="00A43575">
              <w:rPr>
                <w:rFonts w:ascii="TimesNewRomanPSMT" w:hAnsi="TimesNewRomanPSMT"/>
                <w:szCs w:val="24"/>
                <w:lang w:val="fr-CH"/>
              </w:rPr>
              <w:t>satellite</w:t>
            </w:r>
          </w:p>
        </w:tc>
      </w:tr>
      <w:tr w:rsidR="00534943" w:rsidRPr="005751A7" w14:paraId="379907B5" w14:textId="77777777" w:rsidTr="00124954">
        <w:trPr>
          <w:cantSplit/>
        </w:trPr>
        <w:tc>
          <w:tcPr>
            <w:tcW w:w="9351" w:type="dxa"/>
            <w:tcBorders>
              <w:top w:val="single" w:sz="4" w:space="0" w:color="auto"/>
              <w:left w:val="single" w:sz="4" w:space="0" w:color="auto"/>
              <w:bottom w:val="single" w:sz="4" w:space="0" w:color="auto"/>
              <w:right w:val="single" w:sz="4" w:space="0" w:color="auto"/>
            </w:tcBorders>
          </w:tcPr>
          <w:p w14:paraId="71D82471" w14:textId="250691D5" w:rsidR="00534943" w:rsidRPr="005751A7" w:rsidRDefault="00E8605B" w:rsidP="005378AF">
            <w:pPr>
              <w:keepNext/>
              <w:rPr>
                <w:b/>
                <w:iCs/>
                <w:lang w:val="fr-CH"/>
              </w:rPr>
            </w:pPr>
            <w:r w:rsidRPr="005751A7">
              <w:rPr>
                <w:b/>
                <w:i/>
                <w:iCs/>
                <w:lang w:val="fr-CH"/>
              </w:rPr>
              <w:t>Indication des difficultés éventuelles:</w:t>
            </w:r>
          </w:p>
          <w:p w14:paraId="0BFB026F" w14:textId="191D963F" w:rsidR="00534943" w:rsidRPr="005751A7" w:rsidRDefault="006A4D07" w:rsidP="00FC1C8E">
            <w:pPr>
              <w:keepNext/>
              <w:spacing w:after="120"/>
              <w:rPr>
                <w:lang w:val="fr-CH"/>
              </w:rPr>
            </w:pPr>
            <w:r w:rsidRPr="006A4D07">
              <w:rPr>
                <w:lang w:val="fr-CH"/>
              </w:rPr>
              <w:t>Aucune difficulté n'est prévue</w:t>
            </w:r>
          </w:p>
        </w:tc>
      </w:tr>
    </w:tbl>
    <w:p w14:paraId="5DB97DC7" w14:textId="77777777" w:rsidR="00FC1C8E" w:rsidRDefault="00FC1C8E">
      <w:r>
        <w:br w:type="page"/>
      </w:r>
    </w:p>
    <w:tbl>
      <w:tblPr>
        <w:tblpPr w:leftFromText="180" w:rightFromText="180" w:vertAnchor="text" w:tblpY="1"/>
        <w:tblOverlap w:val="never"/>
        <w:tblW w:w="9351" w:type="dxa"/>
        <w:tblLook w:val="04A0" w:firstRow="1" w:lastRow="0" w:firstColumn="1" w:lastColumn="0" w:noHBand="0" w:noVBand="1"/>
      </w:tblPr>
      <w:tblGrid>
        <w:gridCol w:w="4897"/>
        <w:gridCol w:w="4454"/>
      </w:tblGrid>
      <w:tr w:rsidR="00534943" w:rsidRPr="005751A7" w14:paraId="65EAD435" w14:textId="77777777" w:rsidTr="00124954">
        <w:trPr>
          <w:cantSplit/>
        </w:trPr>
        <w:tc>
          <w:tcPr>
            <w:tcW w:w="9351" w:type="dxa"/>
            <w:gridSpan w:val="2"/>
            <w:tcBorders>
              <w:top w:val="single" w:sz="4" w:space="0" w:color="auto"/>
              <w:left w:val="single" w:sz="4" w:space="0" w:color="auto"/>
              <w:bottom w:val="single" w:sz="4" w:space="0" w:color="auto"/>
              <w:right w:val="single" w:sz="4" w:space="0" w:color="auto"/>
            </w:tcBorders>
          </w:tcPr>
          <w:p w14:paraId="04C98B1E" w14:textId="0772E4A0" w:rsidR="00534943" w:rsidRPr="005751A7" w:rsidRDefault="00E8605B" w:rsidP="005378AF">
            <w:pPr>
              <w:keepNext/>
              <w:rPr>
                <w:b/>
                <w:iCs/>
                <w:lang w:val="fr-CH"/>
              </w:rPr>
            </w:pPr>
            <w:r w:rsidRPr="005751A7">
              <w:rPr>
                <w:b/>
                <w:i/>
                <w:iCs/>
                <w:lang w:val="fr-CH"/>
              </w:rPr>
              <w:t>Études précédentes ou en cours sur la question:</w:t>
            </w:r>
          </w:p>
          <w:p w14:paraId="3E47DCB5" w14:textId="301B2937" w:rsidR="00534943" w:rsidRPr="005751A7" w:rsidRDefault="006A4D07" w:rsidP="00FC1C8E">
            <w:pPr>
              <w:keepNext/>
              <w:spacing w:after="120"/>
              <w:rPr>
                <w:lang w:val="fr-CH"/>
              </w:rPr>
            </w:pPr>
            <w:r>
              <w:rPr>
                <w:rFonts w:ascii="TimesNewRomanPSMT" w:hAnsi="TimesNewRomanPSMT" w:cs="TimesNewRomanPSMT"/>
                <w:lang w:val="fr-CH"/>
              </w:rPr>
              <w:t>Les études ont débuté au sein du Groupe de travail 4A lors de la période d'études 2016-2019 de l'UIT-R.</w:t>
            </w:r>
          </w:p>
        </w:tc>
      </w:tr>
      <w:tr w:rsidR="00534943" w:rsidRPr="005751A7" w14:paraId="2F57EA52" w14:textId="77777777" w:rsidTr="00124954">
        <w:trPr>
          <w:cantSplit/>
        </w:trPr>
        <w:tc>
          <w:tcPr>
            <w:tcW w:w="4897" w:type="dxa"/>
            <w:tcBorders>
              <w:top w:val="single" w:sz="4" w:space="0" w:color="auto"/>
              <w:left w:val="single" w:sz="4" w:space="0" w:color="auto"/>
              <w:bottom w:val="single" w:sz="4" w:space="0" w:color="auto"/>
              <w:right w:val="single" w:sz="4" w:space="0" w:color="auto"/>
            </w:tcBorders>
          </w:tcPr>
          <w:p w14:paraId="7CDBE7E4" w14:textId="55FFC49B" w:rsidR="00534943" w:rsidRPr="005751A7" w:rsidRDefault="00E8605B" w:rsidP="005378AF">
            <w:pPr>
              <w:keepNext/>
              <w:rPr>
                <w:b/>
                <w:iCs/>
                <w:color w:val="000000"/>
                <w:lang w:val="fr-CH"/>
              </w:rPr>
            </w:pPr>
            <w:r w:rsidRPr="005751A7">
              <w:rPr>
                <w:b/>
                <w:i/>
                <w:iCs/>
                <w:color w:val="000000"/>
                <w:lang w:val="fr-CH"/>
              </w:rPr>
              <w:t>Études devant être réalisées par:</w:t>
            </w:r>
          </w:p>
          <w:p w14:paraId="1B5C1296" w14:textId="53D72816" w:rsidR="00534943" w:rsidRPr="005751A7" w:rsidRDefault="006A4D07" w:rsidP="005378AF">
            <w:pPr>
              <w:keepNext/>
              <w:rPr>
                <w:i/>
                <w:color w:val="000000"/>
                <w:lang w:val="fr-CH"/>
              </w:rPr>
            </w:pPr>
            <w:r>
              <w:rPr>
                <w:iCs/>
                <w:color w:val="000000"/>
                <w:lang w:val="fr-CH"/>
              </w:rPr>
              <w:t>Commission d'études 4 de l'UIT-R</w:t>
            </w:r>
          </w:p>
        </w:tc>
        <w:tc>
          <w:tcPr>
            <w:tcW w:w="4454" w:type="dxa"/>
            <w:tcBorders>
              <w:top w:val="single" w:sz="4" w:space="0" w:color="auto"/>
              <w:left w:val="single" w:sz="4" w:space="0" w:color="auto"/>
              <w:bottom w:val="single" w:sz="4" w:space="0" w:color="auto"/>
              <w:right w:val="single" w:sz="4" w:space="0" w:color="auto"/>
            </w:tcBorders>
          </w:tcPr>
          <w:p w14:paraId="3641C89A" w14:textId="43EC10A0" w:rsidR="00534943" w:rsidRPr="005751A7" w:rsidRDefault="00E8605B" w:rsidP="005378AF">
            <w:pPr>
              <w:keepNext/>
              <w:rPr>
                <w:b/>
                <w:iCs/>
                <w:color w:val="000000"/>
                <w:lang w:val="fr-CH"/>
              </w:rPr>
            </w:pPr>
            <w:r w:rsidRPr="005751A7">
              <w:rPr>
                <w:b/>
                <w:i/>
                <w:iCs/>
                <w:color w:val="000000"/>
                <w:lang w:val="fr-CH"/>
              </w:rPr>
              <w:t>avec la participation de:</w:t>
            </w:r>
          </w:p>
          <w:p w14:paraId="14B99A0F" w14:textId="595F1417" w:rsidR="00534943" w:rsidRPr="005751A7" w:rsidRDefault="00534943" w:rsidP="00FC1C8E">
            <w:pPr>
              <w:keepNext/>
              <w:spacing w:after="120"/>
              <w:rPr>
                <w:color w:val="000000"/>
                <w:lang w:val="fr-CH"/>
              </w:rPr>
            </w:pPr>
            <w:r w:rsidRPr="005751A7">
              <w:rPr>
                <w:iCs/>
                <w:color w:val="000000"/>
                <w:lang w:val="fr-CH"/>
              </w:rPr>
              <w:t xml:space="preserve">Administrations, </w:t>
            </w:r>
            <w:r w:rsidR="00FC1C8E">
              <w:rPr>
                <w:iCs/>
                <w:color w:val="000000"/>
                <w:lang w:val="fr-CH"/>
              </w:rPr>
              <w:t>M</w:t>
            </w:r>
            <w:r w:rsidR="006A4D07">
              <w:rPr>
                <w:iCs/>
                <w:color w:val="000000"/>
                <w:lang w:val="fr-CH"/>
              </w:rPr>
              <w:t>embres de l'UIT-R</w:t>
            </w:r>
          </w:p>
        </w:tc>
      </w:tr>
      <w:tr w:rsidR="00534943" w:rsidRPr="005751A7" w14:paraId="268B6AD5" w14:textId="77777777" w:rsidTr="00124954">
        <w:trPr>
          <w:cantSplit/>
        </w:trPr>
        <w:tc>
          <w:tcPr>
            <w:tcW w:w="9351" w:type="dxa"/>
            <w:gridSpan w:val="2"/>
            <w:tcBorders>
              <w:top w:val="single" w:sz="4" w:space="0" w:color="auto"/>
              <w:left w:val="single" w:sz="4" w:space="0" w:color="auto"/>
              <w:bottom w:val="single" w:sz="4" w:space="0" w:color="auto"/>
              <w:right w:val="single" w:sz="4" w:space="0" w:color="auto"/>
            </w:tcBorders>
          </w:tcPr>
          <w:p w14:paraId="5AC52075" w14:textId="7E6A0CB8" w:rsidR="00534943" w:rsidRPr="005751A7" w:rsidRDefault="00E8605B" w:rsidP="005378AF">
            <w:pPr>
              <w:keepNext/>
              <w:rPr>
                <w:b/>
                <w:iCs/>
                <w:color w:val="000000"/>
                <w:lang w:val="fr-CH"/>
              </w:rPr>
            </w:pPr>
            <w:r w:rsidRPr="005751A7">
              <w:rPr>
                <w:b/>
                <w:i/>
                <w:iCs/>
                <w:color w:val="000000"/>
                <w:lang w:val="fr-CH"/>
              </w:rPr>
              <w:t>Commissions d'études de l'UIT-R concernées:</w:t>
            </w:r>
          </w:p>
          <w:p w14:paraId="577B0C15" w14:textId="18EE22B5" w:rsidR="00534943" w:rsidRPr="005751A7" w:rsidRDefault="006A4D07" w:rsidP="00FC1C8E">
            <w:pPr>
              <w:keepNext/>
              <w:spacing w:after="120"/>
              <w:rPr>
                <w:i/>
                <w:lang w:val="fr-CH"/>
              </w:rPr>
            </w:pPr>
            <w:r>
              <w:rPr>
                <w:iCs/>
                <w:color w:val="000000"/>
                <w:lang w:val="fr-CH"/>
              </w:rPr>
              <w:t xml:space="preserve">CE </w:t>
            </w:r>
            <w:r w:rsidR="00534943" w:rsidRPr="005751A7">
              <w:rPr>
                <w:iCs/>
                <w:color w:val="000000"/>
                <w:lang w:val="fr-CH"/>
              </w:rPr>
              <w:t xml:space="preserve">5 </w:t>
            </w:r>
            <w:r>
              <w:rPr>
                <w:iCs/>
                <w:color w:val="000000"/>
                <w:lang w:val="fr-CH"/>
              </w:rPr>
              <w:t>et</w:t>
            </w:r>
            <w:r w:rsidR="00534943" w:rsidRPr="005751A7">
              <w:rPr>
                <w:iCs/>
                <w:color w:val="000000"/>
                <w:lang w:val="fr-CH"/>
              </w:rPr>
              <w:t xml:space="preserve"> </w:t>
            </w:r>
            <w:r>
              <w:rPr>
                <w:iCs/>
                <w:color w:val="000000"/>
                <w:lang w:val="fr-CH"/>
              </w:rPr>
              <w:t xml:space="preserve">CE </w:t>
            </w:r>
            <w:r w:rsidR="00534943" w:rsidRPr="005751A7">
              <w:rPr>
                <w:iCs/>
                <w:color w:val="000000"/>
                <w:lang w:val="fr-CH"/>
              </w:rPr>
              <w:t>7</w:t>
            </w:r>
          </w:p>
        </w:tc>
      </w:tr>
      <w:tr w:rsidR="00534943" w:rsidRPr="005751A7" w14:paraId="1E5FFE83" w14:textId="77777777" w:rsidTr="00124954">
        <w:trPr>
          <w:cantSplit/>
          <w:trHeight w:val="182"/>
        </w:trPr>
        <w:tc>
          <w:tcPr>
            <w:tcW w:w="9351" w:type="dxa"/>
            <w:gridSpan w:val="2"/>
            <w:tcBorders>
              <w:top w:val="single" w:sz="4" w:space="0" w:color="auto"/>
              <w:left w:val="single" w:sz="4" w:space="0" w:color="auto"/>
              <w:bottom w:val="single" w:sz="4" w:space="0" w:color="auto"/>
              <w:right w:val="single" w:sz="4" w:space="0" w:color="auto"/>
            </w:tcBorders>
          </w:tcPr>
          <w:p w14:paraId="4D8E21C1" w14:textId="6276285B" w:rsidR="00534943" w:rsidRPr="005751A7" w:rsidRDefault="00F0781D" w:rsidP="005378AF">
            <w:pPr>
              <w:keepNext/>
              <w:rPr>
                <w:b/>
                <w:i/>
                <w:lang w:val="fr-CH"/>
              </w:rPr>
            </w:pPr>
            <w:r w:rsidRPr="005751A7">
              <w:rPr>
                <w:b/>
                <w:i/>
                <w:iCs/>
                <w:lang w:val="fr-CH"/>
              </w:rPr>
              <w:t>Répercussions au niveau des ressources de l'UIT, y compris incidences financières</w:t>
            </w:r>
            <w:r w:rsidRPr="005751A7">
              <w:rPr>
                <w:b/>
                <w:i/>
                <w:iCs/>
                <w:lang w:val="fr-CH"/>
              </w:rPr>
              <w:br/>
              <w:t>(voir le numéro 126 de la Convention):</w:t>
            </w:r>
          </w:p>
          <w:p w14:paraId="60B1C1AD" w14:textId="3729DEEF" w:rsidR="00534943" w:rsidRPr="005751A7" w:rsidRDefault="00F0781D" w:rsidP="00FC1C8E">
            <w:pPr>
              <w:keepNext/>
              <w:spacing w:after="120"/>
              <w:rPr>
                <w:lang w:val="fr-CH"/>
              </w:rPr>
            </w:pPr>
            <w:r w:rsidRPr="005751A7">
              <w:rPr>
                <w:lang w:val="fr-CH"/>
              </w:rPr>
              <w:t>Ce point de l'ordre du jour proposé sera étudié dans le cadre des procédures normales et du budget prévu de l'UIT</w:t>
            </w:r>
            <w:r w:rsidRPr="005751A7">
              <w:rPr>
                <w:lang w:val="fr-CH"/>
              </w:rPr>
              <w:noBreakHyphen/>
              <w:t>R.</w:t>
            </w:r>
          </w:p>
        </w:tc>
      </w:tr>
      <w:tr w:rsidR="00534943" w:rsidRPr="005751A7" w14:paraId="14262F7D" w14:textId="77777777" w:rsidTr="00124954">
        <w:trPr>
          <w:cantSplit/>
        </w:trPr>
        <w:tc>
          <w:tcPr>
            <w:tcW w:w="4897" w:type="dxa"/>
            <w:tcBorders>
              <w:top w:val="single" w:sz="4" w:space="0" w:color="auto"/>
              <w:left w:val="single" w:sz="4" w:space="0" w:color="auto"/>
              <w:bottom w:val="single" w:sz="4" w:space="0" w:color="auto"/>
              <w:right w:val="single" w:sz="4" w:space="0" w:color="auto"/>
            </w:tcBorders>
          </w:tcPr>
          <w:p w14:paraId="63B3BA4F" w14:textId="7590AB3F" w:rsidR="00534943" w:rsidRPr="006A4D07" w:rsidRDefault="00F0781D" w:rsidP="005378AF">
            <w:pPr>
              <w:keepNext/>
              <w:rPr>
                <w:bCs/>
                <w:iCs/>
                <w:lang w:val="fr-CH"/>
              </w:rPr>
            </w:pPr>
            <w:r w:rsidRPr="005751A7">
              <w:rPr>
                <w:b/>
                <w:i/>
                <w:iCs/>
                <w:lang w:val="fr-CH"/>
              </w:rPr>
              <w:t>Proposition régionale commune:</w:t>
            </w:r>
            <w:r w:rsidR="00534943" w:rsidRPr="005751A7">
              <w:rPr>
                <w:b/>
                <w:iCs/>
                <w:lang w:val="fr-CH"/>
              </w:rPr>
              <w:t xml:space="preserve"> </w:t>
            </w:r>
            <w:r w:rsidR="006A4D07">
              <w:rPr>
                <w:bCs/>
                <w:iCs/>
                <w:lang w:val="fr-CH"/>
              </w:rPr>
              <w:t>Non</w:t>
            </w:r>
          </w:p>
        </w:tc>
        <w:tc>
          <w:tcPr>
            <w:tcW w:w="4454" w:type="dxa"/>
            <w:tcBorders>
              <w:top w:val="single" w:sz="4" w:space="0" w:color="auto"/>
              <w:left w:val="single" w:sz="4" w:space="0" w:color="auto"/>
              <w:bottom w:val="single" w:sz="4" w:space="0" w:color="auto"/>
              <w:right w:val="single" w:sz="4" w:space="0" w:color="auto"/>
            </w:tcBorders>
          </w:tcPr>
          <w:p w14:paraId="00FF56EC" w14:textId="487DEFB6" w:rsidR="00534943" w:rsidRPr="005751A7" w:rsidRDefault="00F0781D" w:rsidP="005378AF">
            <w:pPr>
              <w:keepNext/>
              <w:rPr>
                <w:b/>
                <w:iCs/>
                <w:lang w:val="fr-CH"/>
              </w:rPr>
            </w:pPr>
            <w:r w:rsidRPr="005751A7">
              <w:rPr>
                <w:b/>
                <w:i/>
                <w:iCs/>
                <w:lang w:val="fr-CH"/>
              </w:rPr>
              <w:t>Proposition soumise par plusieurs pays:</w:t>
            </w:r>
            <w:r w:rsidR="00534943" w:rsidRPr="005751A7">
              <w:rPr>
                <w:b/>
                <w:iCs/>
                <w:lang w:val="fr-CH"/>
              </w:rPr>
              <w:t xml:space="preserve"> </w:t>
            </w:r>
            <w:r w:rsidR="006A4D07">
              <w:rPr>
                <w:bCs/>
                <w:iCs/>
                <w:lang w:val="fr-CH"/>
              </w:rPr>
              <w:t>Oui</w:t>
            </w:r>
          </w:p>
          <w:p w14:paraId="5EB656A0" w14:textId="54E6A5D2" w:rsidR="00534943" w:rsidRPr="005751A7" w:rsidRDefault="006A4D07" w:rsidP="00FC1C8E">
            <w:pPr>
              <w:keepNext/>
              <w:spacing w:after="120"/>
              <w:rPr>
                <w:b/>
                <w:i/>
                <w:lang w:val="fr-CH"/>
              </w:rPr>
            </w:pPr>
            <w:r>
              <w:rPr>
                <w:b/>
                <w:i/>
                <w:lang w:val="fr-CH"/>
              </w:rPr>
              <w:t>Nombre de pays</w:t>
            </w:r>
            <w:r w:rsidR="00534943" w:rsidRPr="005751A7">
              <w:rPr>
                <w:b/>
                <w:iCs/>
                <w:lang w:val="fr-CH"/>
              </w:rPr>
              <w:t>:</w:t>
            </w:r>
          </w:p>
        </w:tc>
      </w:tr>
      <w:tr w:rsidR="00534943" w:rsidRPr="005751A7" w14:paraId="375BC7F1" w14:textId="77777777" w:rsidTr="00124954">
        <w:trPr>
          <w:cantSplit/>
          <w:trHeight w:val="58"/>
        </w:trPr>
        <w:tc>
          <w:tcPr>
            <w:tcW w:w="9351" w:type="dxa"/>
            <w:gridSpan w:val="2"/>
            <w:tcBorders>
              <w:top w:val="single" w:sz="4" w:space="0" w:color="auto"/>
              <w:left w:val="single" w:sz="4" w:space="0" w:color="auto"/>
              <w:bottom w:val="single" w:sz="4" w:space="0" w:color="auto"/>
              <w:right w:val="single" w:sz="4" w:space="0" w:color="auto"/>
            </w:tcBorders>
          </w:tcPr>
          <w:p w14:paraId="17F89AEA" w14:textId="2CC3D01D" w:rsidR="00534943" w:rsidRPr="005751A7" w:rsidRDefault="00F0781D" w:rsidP="00FC1C8E">
            <w:pPr>
              <w:keepNext/>
              <w:spacing w:after="120"/>
              <w:rPr>
                <w:b/>
                <w:i/>
                <w:lang w:val="fr-CH"/>
              </w:rPr>
            </w:pPr>
            <w:r w:rsidRPr="005751A7">
              <w:rPr>
                <w:b/>
                <w:i/>
                <w:iCs/>
                <w:lang w:val="fr-CH"/>
              </w:rPr>
              <w:t>Observations</w:t>
            </w:r>
          </w:p>
        </w:tc>
      </w:tr>
    </w:tbl>
    <w:p w14:paraId="45F3289B" w14:textId="77777777" w:rsidR="00534943" w:rsidRPr="005751A7" w:rsidRDefault="00534943" w:rsidP="005378AF">
      <w:pPr>
        <w:rPr>
          <w:lang w:val="fr-CH"/>
        </w:rPr>
      </w:pPr>
    </w:p>
    <w:p w14:paraId="291064CC" w14:textId="31FD078C" w:rsidR="0074133B" w:rsidRPr="005751A7" w:rsidRDefault="0074133B" w:rsidP="005378AF">
      <w:pPr>
        <w:jc w:val="center"/>
        <w:rPr>
          <w:lang w:val="fr-CH"/>
        </w:rPr>
      </w:pPr>
      <w:r w:rsidRPr="005751A7">
        <w:rPr>
          <w:lang w:val="fr-CH"/>
        </w:rPr>
        <w:t>______________</w:t>
      </w:r>
    </w:p>
    <w:sectPr w:rsidR="0074133B" w:rsidRPr="005751A7">
      <w:headerReference w:type="default" r:id="rId14"/>
      <w:footerReference w:type="even" r:id="rId15"/>
      <w:footerReference w:type="default" r:id="rId16"/>
      <w:footerReference w:type="first" r:id="rId17"/>
      <w:footnotePr>
        <w:numFmt w:val="chicago"/>
      </w:footnotePr>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5F583" w14:textId="77777777" w:rsidR="0070076C" w:rsidRDefault="0070076C">
      <w:r>
        <w:separator/>
      </w:r>
    </w:p>
  </w:endnote>
  <w:endnote w:type="continuationSeparator" w:id="0">
    <w:p w14:paraId="48BBA34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69B5" w14:textId="43C28780" w:rsidR="00936D25" w:rsidRDefault="00936D25">
    <w:pPr>
      <w:rPr>
        <w:lang w:val="en-US"/>
      </w:rPr>
    </w:pPr>
    <w:r>
      <w:fldChar w:fldCharType="begin"/>
    </w:r>
    <w:r>
      <w:rPr>
        <w:lang w:val="en-US"/>
      </w:rPr>
      <w:instrText xml:space="preserve"> FILENAME \p  \* MERGEFORMAT </w:instrText>
    </w:r>
    <w:r>
      <w:fldChar w:fldCharType="separate"/>
    </w:r>
    <w:r w:rsidR="00404DD1">
      <w:rPr>
        <w:noProof/>
        <w:lang w:val="en-US"/>
      </w:rPr>
      <w:t>P:\FRA\ITU-R\CONF-R\CMR19\000\054ADD24F.docx</w:t>
    </w:r>
    <w:r>
      <w:fldChar w:fldCharType="end"/>
    </w:r>
    <w:r>
      <w:rPr>
        <w:lang w:val="en-US"/>
      </w:rPr>
      <w:tab/>
    </w:r>
    <w:r>
      <w:fldChar w:fldCharType="begin"/>
    </w:r>
    <w:r>
      <w:instrText xml:space="preserve"> SAVEDATE \@ DD.MM.YY </w:instrText>
    </w:r>
    <w:r>
      <w:fldChar w:fldCharType="separate"/>
    </w:r>
    <w:r w:rsidR="00404DD1">
      <w:rPr>
        <w:noProof/>
      </w:rPr>
      <w:t>20.10.19</w:t>
    </w:r>
    <w:r>
      <w:fldChar w:fldCharType="end"/>
    </w:r>
    <w:r>
      <w:rPr>
        <w:lang w:val="en-US"/>
      </w:rPr>
      <w:tab/>
    </w:r>
    <w:r>
      <w:fldChar w:fldCharType="begin"/>
    </w:r>
    <w:r>
      <w:instrText xml:space="preserve"> PRINTDATE \@ DD.MM.YY </w:instrText>
    </w:r>
    <w:r>
      <w:fldChar w:fldCharType="separate"/>
    </w:r>
    <w:r w:rsidR="00404DD1">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20A1" w14:textId="43A9A761" w:rsidR="00936D25" w:rsidRPr="00124954" w:rsidRDefault="00404DD1" w:rsidP="0052661F">
    <w:pPr>
      <w:pStyle w:val="Footer"/>
      <w:rPr>
        <w:lang w:val="en-US"/>
      </w:rPr>
    </w:pPr>
    <w:r>
      <w:fldChar w:fldCharType="begin"/>
    </w:r>
    <w:r w:rsidRPr="001904AF">
      <w:rPr>
        <w:lang w:val="en-US"/>
      </w:rPr>
      <w:instrText xml:space="preserve"> FILENAME \p  \* MERGEFORMAT </w:instrText>
    </w:r>
    <w:r>
      <w:fldChar w:fldCharType="separate"/>
    </w:r>
    <w:r>
      <w:rPr>
        <w:lang w:val="en-US"/>
      </w:rPr>
      <w:t>P:\FRA\ITU-R\CONF-R\CMR19\000\054ADD24F.docx</w:t>
    </w:r>
    <w:r>
      <w:fldChar w:fldCharType="end"/>
    </w:r>
    <w:r w:rsidR="0052661F" w:rsidRPr="001904AF">
      <w:rPr>
        <w:lang w:val="en-US"/>
      </w:rPr>
      <w:t xml:space="preserve"> (462035)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FB05" w14:textId="7C28BE79" w:rsidR="00936D25" w:rsidRPr="00124954" w:rsidRDefault="00404DD1" w:rsidP="0052661F">
    <w:pPr>
      <w:pStyle w:val="Footer"/>
      <w:rPr>
        <w:lang w:val="en-US"/>
      </w:rPr>
    </w:pPr>
    <w:r>
      <w:fldChar w:fldCharType="begin"/>
    </w:r>
    <w:r w:rsidRPr="001904AF">
      <w:rPr>
        <w:lang w:val="en-US"/>
      </w:rPr>
      <w:instrText xml:space="preserve"> FILENAME \p  \* MERGEFORMAT </w:instrText>
    </w:r>
    <w:r>
      <w:fldChar w:fldCharType="separate"/>
    </w:r>
    <w:r>
      <w:rPr>
        <w:lang w:val="en-US"/>
      </w:rPr>
      <w:t>P:\FRA\ITU-R\CONF-R\CMR19\000\054ADD24F.docx</w:t>
    </w:r>
    <w:r>
      <w:fldChar w:fldCharType="end"/>
    </w:r>
    <w:r w:rsidR="0052661F" w:rsidRPr="001904AF">
      <w:rPr>
        <w:lang w:val="en-US"/>
      </w:rPr>
      <w:t xml:space="preserve"> (462035)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E0F94" w14:textId="77777777" w:rsidR="0070076C" w:rsidRDefault="0070076C">
      <w:r>
        <w:rPr>
          <w:b/>
        </w:rPr>
        <w:t>_______________</w:t>
      </w:r>
    </w:p>
  </w:footnote>
  <w:footnote w:type="continuationSeparator" w:id="0">
    <w:p w14:paraId="1EFBF889" w14:textId="77777777" w:rsidR="0070076C" w:rsidRDefault="0070076C">
      <w:r>
        <w:continuationSeparator/>
      </w:r>
    </w:p>
  </w:footnote>
  <w:footnote w:id="1">
    <w:p w14:paraId="162A5ABC" w14:textId="73FF5796" w:rsidR="00A811FE" w:rsidRPr="00E86992" w:rsidRDefault="00A811FE">
      <w:pPr>
        <w:pStyle w:val="FootnoteText"/>
        <w:rPr>
          <w:lang w:val="fr-CH"/>
        </w:rPr>
      </w:pPr>
      <w:r w:rsidRPr="00E86992">
        <w:rPr>
          <w:rStyle w:val="FootnoteReference"/>
          <w:lang w:val="fr-CH"/>
        </w:rPr>
        <w:footnoteRef/>
      </w:r>
      <w:r w:rsidR="001904AF">
        <w:rPr>
          <w:lang w:val="fr-CH"/>
        </w:rPr>
        <w:tab/>
      </w:r>
      <w:r w:rsidRPr="00E86992">
        <w:rPr>
          <w:lang w:val="fr-CH"/>
        </w:rPr>
        <w:t xml:space="preserve">Note </w:t>
      </w:r>
      <w:r w:rsidR="000915B1" w:rsidRPr="00E86992">
        <w:rPr>
          <w:lang w:val="fr-CH"/>
        </w:rPr>
        <w:t xml:space="preserve">du </w:t>
      </w:r>
      <w:r w:rsidR="00A43575" w:rsidRPr="00E86992">
        <w:rPr>
          <w:lang w:val="fr-CH"/>
        </w:rPr>
        <w:t>Secrétariat</w:t>
      </w:r>
      <w:r w:rsidRPr="00E86992">
        <w:rPr>
          <w:lang w:val="fr-CH"/>
        </w:rPr>
        <w:t xml:space="preserve">: </w:t>
      </w:r>
      <w:r w:rsidR="000915B1" w:rsidRPr="00E86992">
        <w:rPr>
          <w:lang w:val="fr-CH"/>
        </w:rPr>
        <w:t>identique au §</w:t>
      </w:r>
      <w:r w:rsidRPr="00E86992">
        <w:rPr>
          <w:lang w:val="fr-CH"/>
        </w:rPr>
        <w:t xml:space="preserve"> 3.1.3.2 </w:t>
      </w:r>
      <w:r w:rsidR="000915B1" w:rsidRPr="00E86992">
        <w:rPr>
          <w:lang w:val="fr-CH"/>
        </w:rPr>
        <w:t>du</w:t>
      </w:r>
      <w:r w:rsidRPr="00E86992">
        <w:rPr>
          <w:lang w:val="fr-CH"/>
        </w:rPr>
        <w:t xml:space="preserve"> Document 4(Add.2)</w:t>
      </w:r>
      <w:r w:rsidR="000915B1" w:rsidRPr="00E86992">
        <w:rPr>
          <w:lang w:val="fr-CH"/>
        </w:rPr>
        <w:t xml:space="preserve"> de la CMR-19</w:t>
      </w:r>
      <w:r w:rsidRPr="00E8699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CCD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FB3B157" w14:textId="77777777" w:rsidR="004F1F8E" w:rsidRDefault="004F1F8E" w:rsidP="00FD7AA3">
    <w:pPr>
      <w:pStyle w:val="Header"/>
    </w:pPr>
    <w:r>
      <w:t>CMR1</w:t>
    </w:r>
    <w:r w:rsidR="00FD7AA3">
      <w:t>9</w:t>
    </w:r>
    <w:r>
      <w:t>/</w:t>
    </w:r>
    <w:r w:rsidR="006A4B45">
      <w:t>54(Add.24)-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15B1"/>
    <w:rsid w:val="000A4755"/>
    <w:rsid w:val="000A4ADF"/>
    <w:rsid w:val="000A55AE"/>
    <w:rsid w:val="000B2E0C"/>
    <w:rsid w:val="000B3D0C"/>
    <w:rsid w:val="001167B9"/>
    <w:rsid w:val="00124954"/>
    <w:rsid w:val="001267A0"/>
    <w:rsid w:val="0015203F"/>
    <w:rsid w:val="00160C64"/>
    <w:rsid w:val="001665AE"/>
    <w:rsid w:val="0018169B"/>
    <w:rsid w:val="001904AF"/>
    <w:rsid w:val="0019352B"/>
    <w:rsid w:val="001960D0"/>
    <w:rsid w:val="001A11F6"/>
    <w:rsid w:val="001F17E8"/>
    <w:rsid w:val="00204306"/>
    <w:rsid w:val="00232FD2"/>
    <w:rsid w:val="0026554E"/>
    <w:rsid w:val="00295996"/>
    <w:rsid w:val="002A4622"/>
    <w:rsid w:val="002A6F8F"/>
    <w:rsid w:val="002B17E5"/>
    <w:rsid w:val="002C0EBF"/>
    <w:rsid w:val="002C28A4"/>
    <w:rsid w:val="002D7E0A"/>
    <w:rsid w:val="00315AFE"/>
    <w:rsid w:val="00322DBC"/>
    <w:rsid w:val="003549A0"/>
    <w:rsid w:val="003606A6"/>
    <w:rsid w:val="0036650C"/>
    <w:rsid w:val="003672C3"/>
    <w:rsid w:val="00393ACD"/>
    <w:rsid w:val="003A583E"/>
    <w:rsid w:val="003E112B"/>
    <w:rsid w:val="003E1D1C"/>
    <w:rsid w:val="003E7B05"/>
    <w:rsid w:val="003F3719"/>
    <w:rsid w:val="003F6F2D"/>
    <w:rsid w:val="00404DD1"/>
    <w:rsid w:val="00413722"/>
    <w:rsid w:val="00466211"/>
    <w:rsid w:val="00483196"/>
    <w:rsid w:val="004834A9"/>
    <w:rsid w:val="004D01FC"/>
    <w:rsid w:val="004E28C3"/>
    <w:rsid w:val="004E5B75"/>
    <w:rsid w:val="004F1F8E"/>
    <w:rsid w:val="00512A32"/>
    <w:rsid w:val="00525411"/>
    <w:rsid w:val="0052661F"/>
    <w:rsid w:val="005343DA"/>
    <w:rsid w:val="00534943"/>
    <w:rsid w:val="005378AF"/>
    <w:rsid w:val="00560874"/>
    <w:rsid w:val="005751A7"/>
    <w:rsid w:val="00586CF2"/>
    <w:rsid w:val="005A7C75"/>
    <w:rsid w:val="005C3768"/>
    <w:rsid w:val="005C6C3F"/>
    <w:rsid w:val="00613635"/>
    <w:rsid w:val="0062093D"/>
    <w:rsid w:val="00630665"/>
    <w:rsid w:val="00637ECF"/>
    <w:rsid w:val="00647B59"/>
    <w:rsid w:val="00690C7B"/>
    <w:rsid w:val="006A17A9"/>
    <w:rsid w:val="006A1B60"/>
    <w:rsid w:val="006A4B45"/>
    <w:rsid w:val="006A4D07"/>
    <w:rsid w:val="006D11BE"/>
    <w:rsid w:val="006D4724"/>
    <w:rsid w:val="006F5FA2"/>
    <w:rsid w:val="0070076C"/>
    <w:rsid w:val="00701BAE"/>
    <w:rsid w:val="00721F04"/>
    <w:rsid w:val="00730E95"/>
    <w:rsid w:val="0074133B"/>
    <w:rsid w:val="007426B9"/>
    <w:rsid w:val="0075773F"/>
    <w:rsid w:val="00764342"/>
    <w:rsid w:val="00774362"/>
    <w:rsid w:val="00780982"/>
    <w:rsid w:val="00786598"/>
    <w:rsid w:val="00790C74"/>
    <w:rsid w:val="007A04E8"/>
    <w:rsid w:val="007B2C34"/>
    <w:rsid w:val="00830086"/>
    <w:rsid w:val="00851625"/>
    <w:rsid w:val="00863C0A"/>
    <w:rsid w:val="008A3120"/>
    <w:rsid w:val="008A4B97"/>
    <w:rsid w:val="008A746B"/>
    <w:rsid w:val="008C5B8E"/>
    <w:rsid w:val="008C5DD5"/>
    <w:rsid w:val="008D41BE"/>
    <w:rsid w:val="008D58D3"/>
    <w:rsid w:val="008E3BC9"/>
    <w:rsid w:val="00923064"/>
    <w:rsid w:val="00930FFD"/>
    <w:rsid w:val="00936D25"/>
    <w:rsid w:val="00941EA5"/>
    <w:rsid w:val="00957548"/>
    <w:rsid w:val="00964700"/>
    <w:rsid w:val="00966C16"/>
    <w:rsid w:val="0098732F"/>
    <w:rsid w:val="009A045F"/>
    <w:rsid w:val="009A17FA"/>
    <w:rsid w:val="009A6A2B"/>
    <w:rsid w:val="009C7E7C"/>
    <w:rsid w:val="009E0630"/>
    <w:rsid w:val="009E3F86"/>
    <w:rsid w:val="00A00473"/>
    <w:rsid w:val="00A03C9B"/>
    <w:rsid w:val="00A37105"/>
    <w:rsid w:val="00A43575"/>
    <w:rsid w:val="00A5341A"/>
    <w:rsid w:val="00A606C3"/>
    <w:rsid w:val="00A811FE"/>
    <w:rsid w:val="00A83B09"/>
    <w:rsid w:val="00A84541"/>
    <w:rsid w:val="00AA35F5"/>
    <w:rsid w:val="00AE36A0"/>
    <w:rsid w:val="00AE4B95"/>
    <w:rsid w:val="00B00294"/>
    <w:rsid w:val="00B3749C"/>
    <w:rsid w:val="00B64FD0"/>
    <w:rsid w:val="00B927BA"/>
    <w:rsid w:val="00B95102"/>
    <w:rsid w:val="00BA5BD0"/>
    <w:rsid w:val="00BB1D82"/>
    <w:rsid w:val="00BD1C09"/>
    <w:rsid w:val="00BD51C5"/>
    <w:rsid w:val="00BF26E7"/>
    <w:rsid w:val="00BF756A"/>
    <w:rsid w:val="00C365ED"/>
    <w:rsid w:val="00C53FCA"/>
    <w:rsid w:val="00C76BAF"/>
    <w:rsid w:val="00C814B9"/>
    <w:rsid w:val="00CD516F"/>
    <w:rsid w:val="00CD74DD"/>
    <w:rsid w:val="00CF2C3E"/>
    <w:rsid w:val="00CF6A51"/>
    <w:rsid w:val="00D119A7"/>
    <w:rsid w:val="00D25FBA"/>
    <w:rsid w:val="00D32B28"/>
    <w:rsid w:val="00D42954"/>
    <w:rsid w:val="00D43C45"/>
    <w:rsid w:val="00D66EAC"/>
    <w:rsid w:val="00D730DF"/>
    <w:rsid w:val="00D772F0"/>
    <w:rsid w:val="00D77BDC"/>
    <w:rsid w:val="00D845E9"/>
    <w:rsid w:val="00DC402B"/>
    <w:rsid w:val="00DE0932"/>
    <w:rsid w:val="00E03A27"/>
    <w:rsid w:val="00E049F1"/>
    <w:rsid w:val="00E23C8D"/>
    <w:rsid w:val="00E37A25"/>
    <w:rsid w:val="00E537FF"/>
    <w:rsid w:val="00E602B3"/>
    <w:rsid w:val="00E6539B"/>
    <w:rsid w:val="00E70A31"/>
    <w:rsid w:val="00E723A7"/>
    <w:rsid w:val="00E80AAB"/>
    <w:rsid w:val="00E8605B"/>
    <w:rsid w:val="00E86992"/>
    <w:rsid w:val="00EA3F38"/>
    <w:rsid w:val="00EA5AB6"/>
    <w:rsid w:val="00EC7615"/>
    <w:rsid w:val="00ED16AA"/>
    <w:rsid w:val="00ED6B8D"/>
    <w:rsid w:val="00EE3D7B"/>
    <w:rsid w:val="00EF662E"/>
    <w:rsid w:val="00F0781D"/>
    <w:rsid w:val="00F10064"/>
    <w:rsid w:val="00F148F1"/>
    <w:rsid w:val="00F56711"/>
    <w:rsid w:val="00F711A7"/>
    <w:rsid w:val="00F819CA"/>
    <w:rsid w:val="00FA3BBF"/>
    <w:rsid w:val="00FA79AB"/>
    <w:rsid w:val="00FC1C8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29EE2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rsid w:val="004E5B75"/>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R16-WRC19-C-0054!A24!MSW-F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FA13-58C5-4C30-B76F-14BFBF4341F2}">
  <ds:schemaRefs>
    <ds:schemaRef ds:uri="32a1a8c5-2265-4ebc-b7a0-2071e2c5c9bb"/>
    <ds:schemaRef ds:uri="http://purl.org/dc/dcmitype/"/>
    <ds:schemaRef ds:uri="http://purl.org/dc/terms/"/>
    <ds:schemaRef ds:uri="http://schemas.microsoft.com/office/2006/documentManagement/types"/>
    <ds:schemaRef ds:uri="http://purl.org/dc/elements/1.1/"/>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46CCE18-307A-443E-BC5A-B8C4E4C7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809ED0DC-29DB-412E-A9BD-0B4C1BEC6222}">
  <ds:schemaRefs>
    <ds:schemaRef ds:uri="http://schemas.microsoft.com/sharepoint/v3/contenttype/forms"/>
  </ds:schemaRefs>
</ds:datastoreItem>
</file>

<file path=customXml/itemProps5.xml><?xml version="1.0" encoding="utf-8"?>
<ds:datastoreItem xmlns:ds="http://schemas.openxmlformats.org/officeDocument/2006/customXml" ds:itemID="{446C67B0-B96E-45E2-B52D-E6F15D06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3264</Words>
  <Characters>18042</Characters>
  <Application>Microsoft Office Word</Application>
  <DocSecurity>0</DocSecurity>
  <Lines>303</Lines>
  <Paragraphs>92</Paragraphs>
  <ScaleCrop>false</ScaleCrop>
  <HeadingPairs>
    <vt:vector size="2" baseType="variant">
      <vt:variant>
        <vt:lpstr>Title</vt:lpstr>
      </vt:variant>
      <vt:variant>
        <vt:i4>1</vt:i4>
      </vt:variant>
    </vt:vector>
  </HeadingPairs>
  <TitlesOfParts>
    <vt:vector size="1" baseType="lpstr">
      <vt:lpstr>R16-WRC19-C-0054!A24!MSW-F</vt:lpstr>
    </vt:vector>
  </TitlesOfParts>
  <Manager>Secrétariat général - Pool</Manager>
  <Company>Union internationale des télécommunications (UIT)</Company>
  <LinksUpToDate>false</LinksUpToDate>
  <CharactersWithSpaces>21225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R16-WRC19-C-0054!A24!MSW-F</dc:title>
  <dc:subject>Conférence mondiale des radiocommunications - 2019</dc:subject>
  <dc:creator>Documents Proposals Manager (DPM)</dc:creator>
  <cp:keywords>DPM_v2019.10.8.1_prod</cp:keywords>
  <dc:description/>
  <cp:lastModifiedBy>Royer, Veronique</cp:lastModifiedBy>
  <cp:revision>6</cp:revision>
  <cp:lastPrinted>2019-10-20T09:18:00Z</cp:lastPrinted>
  <dcterms:created xsi:type="dcterms:W3CDTF">2019-10-16T09:47:00Z</dcterms:created>
  <dcterms:modified xsi:type="dcterms:W3CDTF">2019-10-20T09:18:00Z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