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1CF5A76" w14:textId="77777777">
        <w:trPr>
          <w:cantSplit/>
        </w:trPr>
        <w:tc>
          <w:tcPr>
            <w:tcW w:w="6911" w:type="dxa"/>
          </w:tcPr>
          <w:p w14:paraId="1440123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906B80A" w14:textId="77777777" w:rsidR="00A066F1" w:rsidRDefault="005F04D8" w:rsidP="003B2284">
            <w:pPr>
              <w:spacing w:before="0" w:line="240" w:lineRule="atLeast"/>
              <w:jc w:val="right"/>
            </w:pPr>
            <w:r>
              <w:rPr>
                <w:noProof/>
                <w:lang w:eastAsia="zh-CN"/>
              </w:rPr>
              <w:drawing>
                <wp:inline distT="0" distB="0" distL="0" distR="0" wp14:anchorId="08B01D39" wp14:editId="675DC4D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936EDA8" w14:textId="77777777">
        <w:trPr>
          <w:cantSplit/>
        </w:trPr>
        <w:tc>
          <w:tcPr>
            <w:tcW w:w="6911" w:type="dxa"/>
            <w:tcBorders>
              <w:bottom w:val="single" w:sz="12" w:space="0" w:color="auto"/>
            </w:tcBorders>
          </w:tcPr>
          <w:p w14:paraId="5ACE1A0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FC9BBD0" w14:textId="77777777" w:rsidR="00A066F1" w:rsidRPr="00617BE4" w:rsidRDefault="00A066F1" w:rsidP="00A066F1">
            <w:pPr>
              <w:spacing w:before="0" w:line="240" w:lineRule="atLeast"/>
              <w:rPr>
                <w:rFonts w:ascii="Verdana" w:hAnsi="Verdana"/>
                <w:szCs w:val="24"/>
              </w:rPr>
            </w:pPr>
          </w:p>
        </w:tc>
      </w:tr>
      <w:tr w:rsidR="00A066F1" w:rsidRPr="00C324A8" w14:paraId="6F41476F" w14:textId="77777777">
        <w:trPr>
          <w:cantSplit/>
        </w:trPr>
        <w:tc>
          <w:tcPr>
            <w:tcW w:w="6911" w:type="dxa"/>
            <w:tcBorders>
              <w:top w:val="single" w:sz="12" w:space="0" w:color="auto"/>
            </w:tcBorders>
          </w:tcPr>
          <w:p w14:paraId="7B4830B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B824296" w14:textId="77777777" w:rsidR="00A066F1" w:rsidRPr="00C324A8" w:rsidRDefault="00A066F1" w:rsidP="00A066F1">
            <w:pPr>
              <w:spacing w:before="0" w:line="240" w:lineRule="atLeast"/>
              <w:rPr>
                <w:rFonts w:ascii="Verdana" w:hAnsi="Verdana"/>
                <w:sz w:val="20"/>
              </w:rPr>
            </w:pPr>
          </w:p>
        </w:tc>
      </w:tr>
      <w:tr w:rsidR="00A066F1" w:rsidRPr="00C324A8" w14:paraId="644E1858" w14:textId="77777777">
        <w:trPr>
          <w:cantSplit/>
          <w:trHeight w:val="23"/>
        </w:trPr>
        <w:tc>
          <w:tcPr>
            <w:tcW w:w="6911" w:type="dxa"/>
            <w:shd w:val="clear" w:color="auto" w:fill="auto"/>
          </w:tcPr>
          <w:p w14:paraId="365E7073"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00CC0D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56</w:t>
            </w:r>
            <w:r w:rsidR="00A066F1" w:rsidRPr="00841216">
              <w:rPr>
                <w:rFonts w:ascii="Verdana" w:hAnsi="Verdana"/>
                <w:b/>
                <w:sz w:val="20"/>
              </w:rPr>
              <w:t>-</w:t>
            </w:r>
            <w:r w:rsidR="005E10C9" w:rsidRPr="00841216">
              <w:rPr>
                <w:rFonts w:ascii="Verdana" w:hAnsi="Verdana"/>
                <w:b/>
                <w:sz w:val="20"/>
              </w:rPr>
              <w:t>E</w:t>
            </w:r>
          </w:p>
        </w:tc>
      </w:tr>
      <w:tr w:rsidR="00A066F1" w:rsidRPr="00C324A8" w14:paraId="58CE5F13" w14:textId="77777777">
        <w:trPr>
          <w:cantSplit/>
          <w:trHeight w:val="23"/>
        </w:trPr>
        <w:tc>
          <w:tcPr>
            <w:tcW w:w="6911" w:type="dxa"/>
            <w:shd w:val="clear" w:color="auto" w:fill="auto"/>
          </w:tcPr>
          <w:p w14:paraId="2308E2E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6F67AB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050CEA4B" w14:textId="77777777">
        <w:trPr>
          <w:cantSplit/>
          <w:trHeight w:val="23"/>
        </w:trPr>
        <w:tc>
          <w:tcPr>
            <w:tcW w:w="6911" w:type="dxa"/>
            <w:shd w:val="clear" w:color="auto" w:fill="auto"/>
          </w:tcPr>
          <w:p w14:paraId="0022364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B88AAC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72F6B92" w14:textId="77777777" w:rsidTr="00025864">
        <w:trPr>
          <w:cantSplit/>
          <w:trHeight w:val="23"/>
        </w:trPr>
        <w:tc>
          <w:tcPr>
            <w:tcW w:w="10031" w:type="dxa"/>
            <w:gridSpan w:val="2"/>
            <w:shd w:val="clear" w:color="auto" w:fill="auto"/>
          </w:tcPr>
          <w:p w14:paraId="5B84F81E" w14:textId="77777777" w:rsidR="00A066F1" w:rsidRPr="00C324A8" w:rsidRDefault="00A066F1" w:rsidP="00A066F1">
            <w:pPr>
              <w:tabs>
                <w:tab w:val="left" w:pos="993"/>
              </w:tabs>
              <w:spacing w:before="0"/>
              <w:rPr>
                <w:rFonts w:ascii="Verdana" w:hAnsi="Verdana"/>
                <w:b/>
                <w:sz w:val="20"/>
              </w:rPr>
            </w:pPr>
          </w:p>
        </w:tc>
      </w:tr>
      <w:tr w:rsidR="00E55816" w:rsidRPr="00C324A8" w14:paraId="25580FD1" w14:textId="77777777" w:rsidTr="00025864">
        <w:trPr>
          <w:cantSplit/>
          <w:trHeight w:val="23"/>
        </w:trPr>
        <w:tc>
          <w:tcPr>
            <w:tcW w:w="10031" w:type="dxa"/>
            <w:gridSpan w:val="2"/>
            <w:shd w:val="clear" w:color="auto" w:fill="auto"/>
          </w:tcPr>
          <w:p w14:paraId="113E7D42" w14:textId="7AB14491" w:rsidR="00E55816" w:rsidRDefault="00884D60" w:rsidP="00E55816">
            <w:pPr>
              <w:pStyle w:val="Source"/>
            </w:pPr>
            <w:r>
              <w:t>Germany (Federal Republic of)/Austria/Finland/Hungary/Norway/Portugal/</w:t>
            </w:r>
            <w:r w:rsidR="00CA7C72">
              <w:t xml:space="preserve"> </w:t>
            </w:r>
            <w:r>
              <w:t>Czech Republic/United Kingdom of Great Britain and Northern Ireland</w:t>
            </w:r>
          </w:p>
        </w:tc>
      </w:tr>
      <w:tr w:rsidR="00E55816" w:rsidRPr="00C324A8" w14:paraId="0931578B" w14:textId="77777777" w:rsidTr="00025864">
        <w:trPr>
          <w:cantSplit/>
          <w:trHeight w:val="23"/>
        </w:trPr>
        <w:tc>
          <w:tcPr>
            <w:tcW w:w="10031" w:type="dxa"/>
            <w:gridSpan w:val="2"/>
            <w:shd w:val="clear" w:color="auto" w:fill="auto"/>
          </w:tcPr>
          <w:p w14:paraId="3E63794D" w14:textId="77777777" w:rsidR="00E55816" w:rsidRDefault="007D5320" w:rsidP="00E55816">
            <w:pPr>
              <w:pStyle w:val="Title1"/>
            </w:pPr>
            <w:r>
              <w:t>Proposals for the work of the conference</w:t>
            </w:r>
          </w:p>
        </w:tc>
      </w:tr>
      <w:tr w:rsidR="00E55816" w:rsidRPr="00C324A8" w14:paraId="7CA7D00B" w14:textId="77777777" w:rsidTr="00025864">
        <w:trPr>
          <w:cantSplit/>
          <w:trHeight w:val="23"/>
        </w:trPr>
        <w:tc>
          <w:tcPr>
            <w:tcW w:w="10031" w:type="dxa"/>
            <w:gridSpan w:val="2"/>
            <w:shd w:val="clear" w:color="auto" w:fill="auto"/>
          </w:tcPr>
          <w:p w14:paraId="44F8176F" w14:textId="77777777" w:rsidR="00E55816" w:rsidRDefault="00E55816" w:rsidP="00E55816">
            <w:pPr>
              <w:pStyle w:val="Title2"/>
            </w:pPr>
          </w:p>
        </w:tc>
      </w:tr>
      <w:tr w:rsidR="00A538A6" w:rsidRPr="00C324A8" w14:paraId="0DAB3351" w14:textId="77777777" w:rsidTr="00025864">
        <w:trPr>
          <w:cantSplit/>
          <w:trHeight w:val="23"/>
        </w:trPr>
        <w:tc>
          <w:tcPr>
            <w:tcW w:w="10031" w:type="dxa"/>
            <w:gridSpan w:val="2"/>
            <w:shd w:val="clear" w:color="auto" w:fill="auto"/>
          </w:tcPr>
          <w:p w14:paraId="4CE52437" w14:textId="77777777" w:rsidR="00A538A6" w:rsidRDefault="004B13CB" w:rsidP="004B13CB">
            <w:pPr>
              <w:pStyle w:val="Agendaitem"/>
            </w:pPr>
            <w:r>
              <w:t xml:space="preserve">Agenda </w:t>
            </w:r>
            <w:proofErr w:type="spellStart"/>
            <w:r>
              <w:t>item</w:t>
            </w:r>
            <w:proofErr w:type="spellEnd"/>
            <w:r>
              <w:t xml:space="preserve"> 7(A)</w:t>
            </w:r>
          </w:p>
        </w:tc>
      </w:tr>
    </w:tbl>
    <w:bookmarkEnd w:id="5"/>
    <w:bookmarkEnd w:id="6"/>
    <w:p w14:paraId="7BDC5C06" w14:textId="77777777" w:rsidR="005118F7" w:rsidRPr="00EC5386" w:rsidRDefault="00B377CD"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4FC35BD3" w14:textId="77777777" w:rsidR="005118F7" w:rsidRPr="00EC5386" w:rsidRDefault="00B377CD" w:rsidP="009420BD">
      <w:pPr>
        <w:overflowPunct/>
        <w:autoSpaceDE/>
        <w:autoSpaceDN/>
        <w:adjustRightInd/>
        <w:textAlignment w:val="auto"/>
        <w:rPr>
          <w:lang w:val="en-US"/>
        </w:rPr>
      </w:pPr>
      <w:r>
        <w:rPr>
          <w:lang w:val="en-US"/>
        </w:rPr>
        <w:t>7(A)</w:t>
      </w:r>
      <w:r w:rsidRPr="00656311">
        <w:rPr>
          <w:lang w:val="en-US"/>
        </w:rPr>
        <w:tab/>
      </w:r>
      <w:r w:rsidRPr="00D01BF9">
        <w:t xml:space="preserve">Issue A - Bringing into use of frequency assignments to all non-GSO systems, and consideration of a milestone-based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p>
    <w:p w14:paraId="14A67B0E" w14:textId="77777777" w:rsidR="00CA7C72" w:rsidRPr="005E2A2C" w:rsidRDefault="00CA7C72" w:rsidP="00CA7C72">
      <w:pPr>
        <w:pStyle w:val="Headingb"/>
        <w:rPr>
          <w:lang w:val="en-GB"/>
        </w:rPr>
      </w:pPr>
      <w:r w:rsidRPr="005E2A2C">
        <w:rPr>
          <w:lang w:val="en-GB"/>
        </w:rPr>
        <w:t>Introduction</w:t>
      </w:r>
    </w:p>
    <w:p w14:paraId="51CB93EA" w14:textId="09758D55" w:rsidR="00CA7C72" w:rsidRPr="000C0851" w:rsidRDefault="00CA7C72" w:rsidP="00CA7C72">
      <w:pPr>
        <w:rPr>
          <w:lang w:val="en-US"/>
        </w:rPr>
      </w:pPr>
      <w:r w:rsidRPr="00600B77">
        <w:rPr>
          <w:lang w:val="en-US"/>
        </w:rPr>
        <w:t>The European Common Proposa</w:t>
      </w:r>
      <w:r>
        <w:rPr>
          <w:lang w:val="en-US"/>
        </w:rPr>
        <w:t>l</w:t>
      </w:r>
      <w:r w:rsidR="00F86558">
        <w:rPr>
          <w:lang w:val="en-US"/>
        </w:rPr>
        <w:t xml:space="preserve"> on agenda item </w:t>
      </w:r>
      <w:r w:rsidRPr="00600B77">
        <w:rPr>
          <w:lang w:val="en-US"/>
        </w:rPr>
        <w:t>7 issue A (</w:t>
      </w:r>
      <w:r>
        <w:rPr>
          <w:lang w:val="en-US"/>
        </w:rPr>
        <w:t>Addendum 1 to Addendum 19 to Document WRC</w:t>
      </w:r>
      <w:r w:rsidR="002D6C81">
        <w:rPr>
          <w:lang w:val="en-US"/>
        </w:rPr>
        <w:t>-</w:t>
      </w:r>
      <w:r>
        <w:rPr>
          <w:lang w:val="en-US"/>
        </w:rPr>
        <w:t xml:space="preserve">19/16) </w:t>
      </w:r>
      <w:r w:rsidRPr="00600B77">
        <w:rPr>
          <w:lang w:val="en-US"/>
        </w:rPr>
        <w:t xml:space="preserve">proposes </w:t>
      </w:r>
      <w:r>
        <w:rPr>
          <w:lang w:val="en-US"/>
        </w:rPr>
        <w:t xml:space="preserve">a </w:t>
      </w:r>
      <w:r w:rsidRPr="00600B77">
        <w:rPr>
          <w:lang w:val="en-US"/>
        </w:rPr>
        <w:t>regulatory solution for bringing into use of</w:t>
      </w:r>
      <w:r w:rsidRPr="00600B77">
        <w:t xml:space="preserve"> frequency assignments to all non-GSO systems, and consideration of a milestone-based approach for the deployment of non-GSO systems in specific frequency bands and services. Th</w:t>
      </w:r>
      <w:r>
        <w:t>e</w:t>
      </w:r>
      <w:r w:rsidRPr="00600B77">
        <w:t xml:space="preserve"> European Common Proposal does not contain a specific date for the commencement of the milestone procedure. The co-signing </w:t>
      </w:r>
      <w:r w:rsidRPr="00224CC0">
        <w:t>Ad</w:t>
      </w:r>
      <w:r w:rsidRPr="00600B77">
        <w:t xml:space="preserve">ministrations propose 1 January 2021 as the commencement date for </w:t>
      </w:r>
      <w:r w:rsidR="000C5987" w:rsidRPr="003A0C21">
        <w:t>the</w:t>
      </w:r>
      <w:r w:rsidR="000C5987">
        <w:t xml:space="preserve"> </w:t>
      </w:r>
      <w:r w:rsidRPr="00600B77">
        <w:t>milestone procedure and th</w:t>
      </w:r>
      <w:r>
        <w:t>is contribution provides the</w:t>
      </w:r>
      <w:r w:rsidRPr="00600B77">
        <w:t xml:space="preserve"> corresponding changes </w:t>
      </w:r>
      <w:r>
        <w:t>to the</w:t>
      </w:r>
      <w:r w:rsidRPr="00600B77">
        <w:t xml:space="preserve"> regulatory text contained in the proposal</w:t>
      </w:r>
      <w:r w:rsidRPr="004B5376">
        <w:rPr>
          <w:b/>
        </w:rPr>
        <w:t xml:space="preserve"> </w:t>
      </w:r>
      <w:r w:rsidRPr="00600B77">
        <w:rPr>
          <w:b/>
        </w:rPr>
        <w:t>EUR/16A19A1/17</w:t>
      </w:r>
      <w:r>
        <w:t xml:space="preserve"> </w:t>
      </w:r>
      <w:r w:rsidRPr="004B5376">
        <w:t xml:space="preserve">of the </w:t>
      </w:r>
      <w:r>
        <w:t xml:space="preserve">European Common Proposal. This commencement date together with the European Common Proposal for the first milestone to be two years after the commencement date achieves a balance between avoiding the potential for spectrum warehousing, reducing regulatory uncertainty and providing time for earlier filed systems to adapt their deployment plan, if needed, to meet the milestones. </w:t>
      </w:r>
      <w:r w:rsidRPr="004B5376">
        <w:t>Apart from the proposed commencement date, the co-signing administration</w:t>
      </w:r>
      <w:r>
        <w:t>s</w:t>
      </w:r>
      <w:r w:rsidRPr="004B5376">
        <w:t xml:space="preserve"> support the rest of the regulatory text as contained in the E</w:t>
      </w:r>
      <w:r>
        <w:t>uropean Common Proposal</w:t>
      </w:r>
      <w:r w:rsidRPr="004B5376">
        <w:t xml:space="preserve"> and hence those sections have not been included in this contribution.</w:t>
      </w:r>
    </w:p>
    <w:p w14:paraId="05AECB19" w14:textId="77777777" w:rsidR="002D6C81" w:rsidRDefault="002D6C81">
      <w:pPr>
        <w:tabs>
          <w:tab w:val="clear" w:pos="1134"/>
          <w:tab w:val="clear" w:pos="1871"/>
          <w:tab w:val="clear" w:pos="2268"/>
        </w:tabs>
        <w:overflowPunct/>
        <w:autoSpaceDE/>
        <w:autoSpaceDN/>
        <w:adjustRightInd/>
        <w:spacing w:before="0"/>
        <w:textAlignment w:val="auto"/>
        <w:rPr>
          <w:b/>
          <w:lang w:val="en-US"/>
        </w:rPr>
      </w:pPr>
      <w:r>
        <w:rPr>
          <w:b/>
          <w:lang w:val="en-US"/>
        </w:rPr>
        <w:br w:type="page"/>
      </w:r>
    </w:p>
    <w:p w14:paraId="09F64AF5" w14:textId="67A6D10D" w:rsidR="00CA7C72" w:rsidRPr="00282FFC" w:rsidRDefault="00CA7C72" w:rsidP="002D6C81">
      <w:pPr>
        <w:pStyle w:val="Headingb"/>
      </w:pPr>
      <w:r w:rsidRPr="00282FFC">
        <w:lastRenderedPageBreak/>
        <w:t>Proposals</w:t>
      </w:r>
    </w:p>
    <w:p w14:paraId="6A5C8A2F" w14:textId="77777777" w:rsidR="006B485E" w:rsidRDefault="00B377CD">
      <w:pPr>
        <w:pStyle w:val="Proposal"/>
      </w:pPr>
      <w:r>
        <w:t>ADD</w:t>
      </w:r>
      <w:r>
        <w:tab/>
        <w:t>D/AUT/FIN/HNG/NOR/POR/CZE/G/56/1</w:t>
      </w:r>
      <w:r w:rsidR="003A0C21">
        <w:rPr>
          <w:vanish/>
          <w:color w:val="7F7F7F" w:themeColor="text1" w:themeTint="80"/>
          <w:vertAlign w:val="superscript"/>
        </w:rPr>
        <w:t>#50063</w:t>
      </w:r>
    </w:p>
    <w:p w14:paraId="7B2E09E8" w14:textId="77777777" w:rsidR="00CA7C72" w:rsidRPr="00CA7C72" w:rsidRDefault="00CA7C72" w:rsidP="005534C5">
      <w:pPr>
        <w:pStyle w:val="ResNo"/>
      </w:pPr>
      <w:r w:rsidRPr="00CA7C72">
        <w:t>Draft New Resolution [</w:t>
      </w:r>
      <w:r w:rsidR="005534C5" w:rsidRPr="003A0C21">
        <w:t>D/AUT/FIN/HNG/NOR/POR/CZE/G</w:t>
      </w:r>
      <w:r w:rsidRPr="00CA7C72">
        <w:t>-A7(A)-NGSO-MILESTONES] (WRC-19)</w:t>
      </w:r>
    </w:p>
    <w:p w14:paraId="303F0B82" w14:textId="77777777" w:rsidR="00CA7C72" w:rsidRPr="00CA7C72" w:rsidRDefault="00CA7C72" w:rsidP="00CA7C72">
      <w:pPr>
        <w:pStyle w:val="Restitle"/>
      </w:pPr>
      <w:r w:rsidRPr="00CA7C72">
        <w:rPr>
          <w:lang w:val="en-US"/>
        </w:rPr>
        <w:t xml:space="preserve">A milestone-based approach for the implementation of frequency assignments </w:t>
      </w:r>
      <w:r w:rsidRPr="00CA7C72">
        <w:rPr>
          <w:lang w:val="en-US"/>
        </w:rPr>
        <w:br/>
        <w:t xml:space="preserve">to space stations in a non-geostationary-orbit satellite system </w:t>
      </w:r>
      <w:r w:rsidRPr="00CA7C72">
        <w:rPr>
          <w:lang w:val="en-US"/>
        </w:rPr>
        <w:br/>
        <w:t xml:space="preserve">in certain </w:t>
      </w:r>
      <w:r w:rsidRPr="00CA7C72">
        <w:rPr>
          <w:lang w:val="en-US" w:eastAsia="zh-CN"/>
        </w:rPr>
        <w:t xml:space="preserve">frequency </w:t>
      </w:r>
      <w:r w:rsidRPr="00CA7C72">
        <w:rPr>
          <w:lang w:val="en-US"/>
        </w:rPr>
        <w:t>bands and services</w:t>
      </w:r>
    </w:p>
    <w:p w14:paraId="7DA94860" w14:textId="77777777" w:rsidR="00CA7C72" w:rsidRPr="00CA7C72" w:rsidRDefault="00CA7C72" w:rsidP="00CA7C72">
      <w:pPr>
        <w:rPr>
          <w:b/>
        </w:rPr>
      </w:pPr>
    </w:p>
    <w:p w14:paraId="624A7605" w14:textId="77777777" w:rsidR="00CA7C72" w:rsidRPr="00CA7C72" w:rsidRDefault="00CA7C72" w:rsidP="00CA7C72">
      <w:pPr>
        <w:rPr>
          <w:lang w:val="en-US"/>
        </w:rPr>
      </w:pPr>
      <w:r w:rsidRPr="00CA7C72">
        <w:rPr>
          <w:lang w:val="en-US"/>
        </w:rPr>
        <w:t>…</w:t>
      </w:r>
    </w:p>
    <w:p w14:paraId="5D9E946D" w14:textId="77777777" w:rsidR="00CA7C72" w:rsidRPr="00CA7C72" w:rsidRDefault="00CA7C72" w:rsidP="00135340">
      <w:pPr>
        <w:pStyle w:val="Call"/>
        <w:rPr>
          <w:lang w:val="en-US"/>
        </w:rPr>
      </w:pPr>
      <w:r w:rsidRPr="00CA7C72">
        <w:rPr>
          <w:lang w:val="en-US"/>
        </w:rPr>
        <w:t>considering</w:t>
      </w:r>
    </w:p>
    <w:p w14:paraId="27B1080B" w14:textId="77777777" w:rsidR="00CA7C72" w:rsidRPr="00CA7C72" w:rsidRDefault="00CA7C72" w:rsidP="00CA7C72">
      <w:pPr>
        <w:rPr>
          <w:lang w:val="en-US"/>
        </w:rPr>
      </w:pPr>
      <w:r w:rsidRPr="00CA7C72">
        <w:rPr>
          <w:lang w:val="en-US"/>
        </w:rPr>
        <w:t>…</w:t>
      </w:r>
    </w:p>
    <w:p w14:paraId="4D8E5DCB" w14:textId="77777777" w:rsidR="00CA7C72" w:rsidRPr="00CA7C72" w:rsidRDefault="00CA7C72" w:rsidP="00135340">
      <w:pPr>
        <w:pStyle w:val="Call"/>
        <w:rPr>
          <w:lang w:val="en-US"/>
        </w:rPr>
      </w:pPr>
      <w:r w:rsidRPr="00CA7C72">
        <w:rPr>
          <w:lang w:val="en-US"/>
        </w:rPr>
        <w:t>recognizing</w:t>
      </w:r>
    </w:p>
    <w:p w14:paraId="69B11FBE" w14:textId="77777777" w:rsidR="00CA7C72" w:rsidRPr="00CA7C72" w:rsidRDefault="00CA7C72" w:rsidP="00CA7C72">
      <w:pPr>
        <w:rPr>
          <w:lang w:val="en-US"/>
        </w:rPr>
      </w:pPr>
      <w:r w:rsidRPr="00CA7C72">
        <w:rPr>
          <w:i/>
          <w:lang w:val="en-US"/>
        </w:rPr>
        <w:t>…</w:t>
      </w:r>
    </w:p>
    <w:p w14:paraId="4B1BA48C" w14:textId="7DA05BEB" w:rsidR="00CA7C72" w:rsidRPr="00CA7C72" w:rsidRDefault="00CA7C72" w:rsidP="00CA7C72">
      <w:pPr>
        <w:rPr>
          <w:lang w:val="en-US"/>
        </w:rPr>
      </w:pPr>
      <w:r w:rsidRPr="00CA7C72">
        <w:rPr>
          <w:i/>
          <w:iCs/>
          <w:lang w:val="en-US"/>
        </w:rPr>
        <w:t>c)</w:t>
      </w:r>
      <w:r w:rsidRPr="00CA7C72">
        <w:rPr>
          <w:lang w:val="en-US"/>
        </w:rPr>
        <w:tab/>
        <w:t>that since No. </w:t>
      </w:r>
      <w:r w:rsidRPr="00CA7C72">
        <w:rPr>
          <w:b/>
          <w:bCs/>
          <w:lang w:val="en-US"/>
        </w:rPr>
        <w:t>13.6</w:t>
      </w:r>
      <w:r w:rsidRPr="00CA7C72">
        <w:rPr>
          <w:lang w:val="en-US"/>
        </w:rPr>
        <w:t xml:space="preserve"> is applicable to non-GSO systems with frequency assignments that were confirmed to have been brought into use prior to the 1 January 2021 in the frequency bands and services to which this Resolution applies, transitional measures are required to provide affected notifying administrations the opportunity to either confirm deployment of satellites in accordance with the notified required characteristics as specified in Appendix </w:t>
      </w:r>
      <w:r w:rsidRPr="00CA7C72">
        <w:rPr>
          <w:b/>
          <w:bCs/>
          <w:lang w:val="en-US"/>
        </w:rPr>
        <w:t>4</w:t>
      </w:r>
      <w:r w:rsidRPr="00CA7C72">
        <w:rPr>
          <w:lang w:val="en-US"/>
        </w:rPr>
        <w:t>, or to complete deployment in accordance with this Resolution;</w:t>
      </w:r>
    </w:p>
    <w:p w14:paraId="7E84779B" w14:textId="0BF34048" w:rsidR="00CA7C72" w:rsidRPr="00CA7C72" w:rsidRDefault="00CA7C72" w:rsidP="00CA7C72">
      <w:pPr>
        <w:rPr>
          <w:lang w:val="en-US"/>
        </w:rPr>
      </w:pPr>
      <w:r w:rsidRPr="00CA7C72">
        <w:rPr>
          <w:i/>
          <w:lang w:val="en-US"/>
        </w:rPr>
        <w:t>d)</w:t>
      </w:r>
      <w:r w:rsidRPr="00CA7C72">
        <w:rPr>
          <w:lang w:val="en-US"/>
        </w:rPr>
        <w:tab/>
        <w:t xml:space="preserve">that for frequency assignments to non-GSO system brought into use and having reached the end of the period referred to in No. MOD </w:t>
      </w:r>
      <w:r w:rsidRPr="00CA7C72">
        <w:rPr>
          <w:b/>
          <w:bCs/>
          <w:lang w:val="en-US"/>
        </w:rPr>
        <w:t>11.44</w:t>
      </w:r>
      <w:r w:rsidRPr="00CA7C72">
        <w:rPr>
          <w:lang w:val="en-US"/>
        </w:rPr>
        <w:t xml:space="preserve"> prior to the 1 January 2021 in the frequency bands and services to which this Resolution applies, affected notifying administrations should be given the opportunity to either confirm the completion of the deployment of satellites in accordance with the Appendix </w:t>
      </w:r>
      <w:r w:rsidRPr="00CA7C72">
        <w:rPr>
          <w:b/>
          <w:bCs/>
          <w:lang w:val="en-US"/>
        </w:rPr>
        <w:t>4</w:t>
      </w:r>
      <w:r w:rsidRPr="00CA7C72">
        <w:rPr>
          <w:lang w:val="en-US"/>
        </w:rPr>
        <w:t xml:space="preserve"> characteristics</w:t>
      </w:r>
      <w:r w:rsidRPr="00CA7C72">
        <w:rPr>
          <w:i/>
          <w:iCs/>
          <w:lang w:val="en-US"/>
        </w:rPr>
        <w:t xml:space="preserve"> </w:t>
      </w:r>
      <w:r w:rsidRPr="00CA7C72">
        <w:rPr>
          <w:lang w:val="en-US"/>
        </w:rPr>
        <w:t>of their recorded frequency assignments, or be given sufficient time to complete deployment in accordance with this Resolution;</w:t>
      </w:r>
    </w:p>
    <w:p w14:paraId="3AED72F7" w14:textId="77777777" w:rsidR="00CA7C72" w:rsidRPr="00CA7C72" w:rsidRDefault="00CA7C72" w:rsidP="00CA7C72">
      <w:pPr>
        <w:rPr>
          <w:lang w:val="en-US"/>
        </w:rPr>
      </w:pPr>
      <w:r w:rsidRPr="00CA7C72">
        <w:rPr>
          <w:i/>
          <w:lang w:val="en-US"/>
        </w:rPr>
        <w:t>…</w:t>
      </w:r>
    </w:p>
    <w:p w14:paraId="426038BC" w14:textId="77777777" w:rsidR="00CA7C72" w:rsidRPr="00CA7C72" w:rsidRDefault="00CA7C72" w:rsidP="00135340">
      <w:pPr>
        <w:pStyle w:val="Call"/>
        <w:rPr>
          <w:lang w:val="en-US"/>
        </w:rPr>
      </w:pPr>
      <w:r w:rsidRPr="00CA7C72">
        <w:rPr>
          <w:lang w:val="en-US"/>
        </w:rPr>
        <w:t>recognizing further</w:t>
      </w:r>
    </w:p>
    <w:p w14:paraId="006D5752" w14:textId="77777777" w:rsidR="00CA7C72" w:rsidRPr="00CA7C72" w:rsidRDefault="00CA7C72" w:rsidP="00CA7C72">
      <w:pPr>
        <w:rPr>
          <w:iCs/>
          <w:lang w:val="en-US"/>
        </w:rPr>
      </w:pPr>
      <w:r w:rsidRPr="00CA7C72">
        <w:rPr>
          <w:lang w:val="en-US"/>
        </w:rPr>
        <w:t>…</w:t>
      </w:r>
    </w:p>
    <w:p w14:paraId="7DBBA227" w14:textId="77777777" w:rsidR="00CA7C72" w:rsidRPr="00CA7C72" w:rsidRDefault="00CA7C72" w:rsidP="00135340">
      <w:pPr>
        <w:pStyle w:val="Call"/>
        <w:rPr>
          <w:lang w:val="en-US"/>
        </w:rPr>
      </w:pPr>
      <w:r w:rsidRPr="00CA7C72">
        <w:rPr>
          <w:lang w:val="en-US"/>
        </w:rPr>
        <w:t>noting</w:t>
      </w:r>
    </w:p>
    <w:p w14:paraId="2248A94F" w14:textId="77777777" w:rsidR="00CA7C72" w:rsidRPr="00CA7C72" w:rsidRDefault="00CA7C72" w:rsidP="00CA7C72">
      <w:pPr>
        <w:rPr>
          <w:lang w:val="en-US"/>
        </w:rPr>
      </w:pPr>
      <w:r w:rsidRPr="00CA7C72">
        <w:rPr>
          <w:lang w:val="en-US"/>
        </w:rPr>
        <w:t>…</w:t>
      </w:r>
    </w:p>
    <w:p w14:paraId="5893F35F" w14:textId="77777777" w:rsidR="00CA7C72" w:rsidRPr="00CA7C72" w:rsidRDefault="00CA7C72" w:rsidP="00135340">
      <w:pPr>
        <w:pStyle w:val="Call"/>
        <w:rPr>
          <w:lang w:val="en-US"/>
        </w:rPr>
      </w:pPr>
      <w:r w:rsidRPr="00CA7C72">
        <w:rPr>
          <w:lang w:val="en-US"/>
        </w:rPr>
        <w:t>resolves</w:t>
      </w:r>
    </w:p>
    <w:p w14:paraId="3EEC5BC7" w14:textId="77777777" w:rsidR="00CA7C72" w:rsidRPr="00CA7C72" w:rsidRDefault="00CA7C72" w:rsidP="00CA7C72">
      <w:pPr>
        <w:rPr>
          <w:lang w:val="en-US"/>
        </w:rPr>
      </w:pPr>
      <w:r w:rsidRPr="00CA7C72">
        <w:rPr>
          <w:lang w:val="en-US"/>
        </w:rPr>
        <w:t>…</w:t>
      </w:r>
    </w:p>
    <w:p w14:paraId="0C89BA16" w14:textId="77777777" w:rsidR="00CA7C72" w:rsidRPr="00CA7C72" w:rsidRDefault="00CA7C72" w:rsidP="00CA7C72">
      <w:pPr>
        <w:rPr>
          <w:lang w:val="en-US"/>
        </w:rPr>
      </w:pPr>
      <w:r w:rsidRPr="00CA7C72">
        <w:rPr>
          <w:lang w:val="en-US"/>
        </w:rPr>
        <w:t>2</w:t>
      </w:r>
      <w:r w:rsidRPr="00CA7C72">
        <w:rPr>
          <w:lang w:val="en-US"/>
        </w:rPr>
        <w:tab/>
        <w:t xml:space="preserve">that for the frequency assignments to which </w:t>
      </w:r>
      <w:r w:rsidRPr="00CA7C72">
        <w:rPr>
          <w:i/>
          <w:lang w:val="en-US"/>
        </w:rPr>
        <w:t>resolves</w:t>
      </w:r>
      <w:r w:rsidRPr="00CA7C72">
        <w:rPr>
          <w:lang w:val="en-US"/>
        </w:rPr>
        <w:t> 1 applies, and for which the end of the seven-year regulatory period is the 1 January 2021 or later, the notifying administration shall communicate to the Bureau the required deployment information in accordance with Annex 1 to this Resolution no later than 30 days after the end of the regulatory period specified in No. MOD </w:t>
      </w:r>
      <w:r w:rsidRPr="00CA7C72">
        <w:rPr>
          <w:b/>
          <w:lang w:val="en-US"/>
        </w:rPr>
        <w:t xml:space="preserve">11.44 </w:t>
      </w:r>
      <w:r w:rsidRPr="00CA7C72">
        <w:rPr>
          <w:lang w:val="en-US"/>
        </w:rPr>
        <w:t>or 30 days after the end of the bringing into use period referred to in No. MOD </w:t>
      </w:r>
      <w:r w:rsidRPr="00CA7C72">
        <w:rPr>
          <w:b/>
          <w:lang w:val="en-US"/>
        </w:rPr>
        <w:t>11.44C</w:t>
      </w:r>
      <w:r w:rsidRPr="00CA7C72">
        <w:rPr>
          <w:lang w:val="en-US"/>
        </w:rPr>
        <w:t>, whichever comes later;</w:t>
      </w:r>
    </w:p>
    <w:p w14:paraId="1AB49AD6" w14:textId="7EEA3084" w:rsidR="00CA7C72" w:rsidRPr="00CA7C72" w:rsidRDefault="00CA7C72" w:rsidP="00CA7C72">
      <w:pPr>
        <w:rPr>
          <w:lang w:val="en-US"/>
        </w:rPr>
      </w:pPr>
      <w:r w:rsidRPr="00CA7C72">
        <w:rPr>
          <w:lang w:val="en-US"/>
        </w:rPr>
        <w:t>3</w:t>
      </w:r>
      <w:r w:rsidRPr="00CA7C72">
        <w:rPr>
          <w:lang w:val="en-US"/>
        </w:rPr>
        <w:tab/>
      </w:r>
      <w:r w:rsidR="001F468B">
        <w:rPr>
          <w:lang w:val="en-US"/>
        </w:rPr>
        <w:t>t</w:t>
      </w:r>
      <w:r w:rsidRPr="00CA7C72">
        <w:rPr>
          <w:lang w:val="en-US"/>
        </w:rPr>
        <w:t xml:space="preserve">hat for frequency assignments to which </w:t>
      </w:r>
      <w:r w:rsidRPr="00CA7C72">
        <w:rPr>
          <w:i/>
          <w:lang w:val="en-US"/>
        </w:rPr>
        <w:t>resolves</w:t>
      </w:r>
      <w:r w:rsidRPr="00CA7C72">
        <w:rPr>
          <w:lang w:val="en-US"/>
        </w:rPr>
        <w:t> 1 applies, and for which the end of the seven-year regulatory period specified in No. MOD </w:t>
      </w:r>
      <w:r w:rsidRPr="00CA7C72">
        <w:rPr>
          <w:b/>
          <w:lang w:val="en-US"/>
        </w:rPr>
        <w:t>11.44</w:t>
      </w:r>
      <w:r w:rsidRPr="00CA7C72">
        <w:rPr>
          <w:lang w:val="en-US"/>
        </w:rPr>
        <w:t xml:space="preserve"> has expired prior to the 1 January 2021, the notifying administration shall communicate to the Bureau the required deployment information in accordance with Annex 1 to this Resolution no later than 30 days after the above mentioned date;</w:t>
      </w:r>
    </w:p>
    <w:p w14:paraId="1DA4CA1A" w14:textId="77777777" w:rsidR="00CA7C72" w:rsidRPr="00CA7C72" w:rsidRDefault="00CA7C72" w:rsidP="00CA7C72">
      <w:pPr>
        <w:rPr>
          <w:lang w:val="en-US"/>
        </w:rPr>
      </w:pPr>
      <w:r w:rsidRPr="00CA7C72">
        <w:rPr>
          <w:lang w:val="en-US"/>
        </w:rPr>
        <w:t>…</w:t>
      </w:r>
    </w:p>
    <w:p w14:paraId="55EA106D" w14:textId="2A869E59" w:rsidR="00CA7C72" w:rsidRPr="00CA7C72" w:rsidRDefault="00CA7C72" w:rsidP="00CA7C72">
      <w:pPr>
        <w:rPr>
          <w:lang w:val="en-US"/>
        </w:rPr>
      </w:pPr>
      <w:r w:rsidRPr="00CA7C72">
        <w:rPr>
          <w:lang w:val="en-US"/>
        </w:rPr>
        <w:t>7</w:t>
      </w:r>
      <w:r w:rsidRPr="00CA7C72">
        <w:rPr>
          <w:lang w:val="en-US"/>
        </w:rPr>
        <w:tab/>
        <w:t xml:space="preserve">that, for the frequency assignments to which </w:t>
      </w:r>
      <w:r w:rsidRPr="00CA7C72">
        <w:rPr>
          <w:i/>
          <w:lang w:val="en-US"/>
        </w:rPr>
        <w:t>resolves</w:t>
      </w:r>
      <w:r w:rsidRPr="00CA7C72">
        <w:rPr>
          <w:lang w:val="en-US"/>
        </w:rPr>
        <w:t> 3 applies, the notifying administration shall communicate to the Bureau the required deployment information in accordance with Annex 1 to this Resolution for the milestone period mentioned in subsections </w:t>
      </w:r>
      <w:r w:rsidRPr="00CA7C72">
        <w:rPr>
          <w:i/>
          <w:lang w:val="en-US"/>
        </w:rPr>
        <w:t>a)</w:t>
      </w:r>
      <w:r w:rsidRPr="00CA7C72">
        <w:rPr>
          <w:lang w:val="en-US"/>
        </w:rPr>
        <w:t xml:space="preserve"> through </w:t>
      </w:r>
      <w:r w:rsidRPr="00CA7C72">
        <w:rPr>
          <w:i/>
          <w:lang w:val="en-US"/>
        </w:rPr>
        <w:t>c)</w:t>
      </w:r>
      <w:r w:rsidRPr="00CA7C72">
        <w:rPr>
          <w:lang w:val="en-US"/>
        </w:rPr>
        <w:t xml:space="preserve"> of </w:t>
      </w:r>
      <w:proofErr w:type="gramStart"/>
      <w:r w:rsidRPr="00CA7C72">
        <w:rPr>
          <w:lang w:val="en-US"/>
        </w:rPr>
        <w:t xml:space="preserve">this </w:t>
      </w:r>
      <w:r w:rsidRPr="00CA7C72">
        <w:rPr>
          <w:i/>
          <w:lang w:val="en-US"/>
        </w:rPr>
        <w:t>resolves</w:t>
      </w:r>
      <w:proofErr w:type="gramEnd"/>
      <w:r w:rsidRPr="00CA7C72">
        <w:rPr>
          <w:lang w:val="en-US"/>
        </w:rPr>
        <w:t> 7:</w:t>
      </w:r>
    </w:p>
    <w:p w14:paraId="0F84FC4B" w14:textId="77777777" w:rsidR="00CA7C72" w:rsidRPr="00CA7C72" w:rsidRDefault="00CA7C72" w:rsidP="00135340">
      <w:pPr>
        <w:pStyle w:val="enumlev1"/>
      </w:pPr>
      <w:r w:rsidRPr="00CA7C72">
        <w:rPr>
          <w:i/>
          <w:iCs/>
        </w:rPr>
        <w:t>a)</w:t>
      </w:r>
      <w:r w:rsidRPr="00CA7C72">
        <w:tab/>
        <w:t>no later than 30 days after the expiry of the two-year period after 1 January 2021;</w:t>
      </w:r>
    </w:p>
    <w:p w14:paraId="7BCF82CA" w14:textId="77777777" w:rsidR="00CA7C72" w:rsidRPr="00CA7C72" w:rsidRDefault="00CA7C72" w:rsidP="00135340">
      <w:pPr>
        <w:pStyle w:val="enumlev1"/>
      </w:pPr>
      <w:r w:rsidRPr="00CA7C72">
        <w:rPr>
          <w:i/>
          <w:iCs/>
        </w:rPr>
        <w:t>b)</w:t>
      </w:r>
      <w:r w:rsidRPr="00CA7C72">
        <w:tab/>
        <w:t xml:space="preserve">no later than 30 days after the expiry of the four-year period after 1 January 2021; </w:t>
      </w:r>
    </w:p>
    <w:p w14:paraId="62D96C67" w14:textId="77777777" w:rsidR="00CA7C72" w:rsidRPr="00CA7C72" w:rsidRDefault="00CA7C72" w:rsidP="00135340">
      <w:pPr>
        <w:pStyle w:val="enumlev1"/>
      </w:pPr>
      <w:r w:rsidRPr="00CA7C72">
        <w:rPr>
          <w:i/>
          <w:iCs/>
        </w:rPr>
        <w:t>c)</w:t>
      </w:r>
      <w:r w:rsidRPr="00CA7C72">
        <w:tab/>
        <w:t>no later than 30 days after the expiry of the seven-year period after 1 January 2021;</w:t>
      </w:r>
    </w:p>
    <w:p w14:paraId="4A209059" w14:textId="77777777" w:rsidR="00CA7C72" w:rsidRPr="00CA7C72" w:rsidRDefault="00CA7C72" w:rsidP="00CA7C72">
      <w:pPr>
        <w:rPr>
          <w:lang w:val="en-US"/>
        </w:rPr>
      </w:pPr>
      <w:r w:rsidRPr="00CA7C72">
        <w:rPr>
          <w:lang w:val="en-US"/>
        </w:rPr>
        <w:t>…</w:t>
      </w:r>
    </w:p>
    <w:p w14:paraId="5E4E7382" w14:textId="77777777" w:rsidR="00CA7C72" w:rsidRPr="00CA7C72" w:rsidRDefault="00CA7C72" w:rsidP="00135340">
      <w:pPr>
        <w:pStyle w:val="Call"/>
        <w:rPr>
          <w:lang w:val="en-US"/>
        </w:rPr>
      </w:pPr>
      <w:r w:rsidRPr="00CA7C72">
        <w:rPr>
          <w:lang w:val="en-US"/>
        </w:rPr>
        <w:t>instructs the Radiocommunication Bureau</w:t>
      </w:r>
    </w:p>
    <w:p w14:paraId="02B21F84" w14:textId="77777777" w:rsidR="00CA7C72" w:rsidRPr="00CA7C72" w:rsidRDefault="00CA7C72" w:rsidP="00CA7C72">
      <w:pPr>
        <w:rPr>
          <w:lang w:val="en-US"/>
        </w:rPr>
      </w:pPr>
      <w:r w:rsidRPr="00CA7C72">
        <w:rPr>
          <w:lang w:val="en-US"/>
        </w:rPr>
        <w:t>…</w:t>
      </w:r>
    </w:p>
    <w:p w14:paraId="066FC3E7" w14:textId="5ADA60A6" w:rsidR="00CA7C72" w:rsidRPr="00CA7C72" w:rsidRDefault="00CA7C72">
      <w:pPr>
        <w:pStyle w:val="AnnexNo"/>
        <w:rPr>
          <w:lang w:val="en-US"/>
        </w:rPr>
      </w:pPr>
      <w:r w:rsidRPr="00CA7C72">
        <w:rPr>
          <w:lang w:val="en-US"/>
        </w:rPr>
        <w:t>Annex 1 to draft newResolution</w:t>
      </w:r>
      <w:r w:rsidR="00127677">
        <w:rPr>
          <w:lang w:val="en-US"/>
        </w:rPr>
        <w:br/>
      </w:r>
      <w:r w:rsidRPr="00CA7C72">
        <w:rPr>
          <w:lang w:val="en-US"/>
        </w:rPr>
        <w:t>[</w:t>
      </w:r>
      <w:r w:rsidR="005534C5" w:rsidRPr="003A0C21">
        <w:t>D/AUT/FIN/HNG/NOR/POR/CZE/G</w:t>
      </w:r>
      <w:r w:rsidRPr="00CA7C72">
        <w:rPr>
          <w:lang w:val="en-US"/>
        </w:rPr>
        <w:t>-</w:t>
      </w:r>
      <w:r w:rsidRPr="00CA7C72">
        <w:rPr>
          <w:bCs/>
          <w:lang w:val="en-US"/>
        </w:rPr>
        <w:t>A7(A)-</w:t>
      </w:r>
      <w:r w:rsidR="00127677">
        <w:rPr>
          <w:bCs/>
          <w:lang w:val="en-US"/>
        </w:rPr>
        <w:br/>
      </w:r>
      <w:r w:rsidRPr="00CA7C72">
        <w:rPr>
          <w:lang w:val="en-US"/>
        </w:rPr>
        <w:t>NGSO-MILESTONES] (WRC-19)</w:t>
      </w:r>
    </w:p>
    <w:p w14:paraId="08BB2A33" w14:textId="77777777" w:rsidR="00CA7C72" w:rsidRPr="00CA7C72" w:rsidRDefault="00CA7C72" w:rsidP="00CA7C72">
      <w:pPr>
        <w:rPr>
          <w:lang w:val="en-US"/>
        </w:rPr>
      </w:pPr>
      <w:r w:rsidRPr="00CA7C72">
        <w:rPr>
          <w:lang w:val="en-US"/>
        </w:rPr>
        <w:t>…</w:t>
      </w:r>
    </w:p>
    <w:p w14:paraId="0F4E9042" w14:textId="77777777" w:rsidR="00CA7C72" w:rsidRPr="00CA7C72" w:rsidRDefault="00CA7C72" w:rsidP="00135340">
      <w:pPr>
        <w:pStyle w:val="Reasons"/>
      </w:pPr>
    </w:p>
    <w:p w14:paraId="5400DEDD" w14:textId="77777777" w:rsidR="00135340" w:rsidRDefault="00135340">
      <w:pPr>
        <w:jc w:val="center"/>
      </w:pPr>
      <w:r>
        <w:t>______________</w:t>
      </w:r>
    </w:p>
    <w:sectPr w:rsidR="00135340">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3C56A" w14:textId="77777777" w:rsidR="00E729C2" w:rsidRDefault="00E729C2">
      <w:r>
        <w:separator/>
      </w:r>
    </w:p>
  </w:endnote>
  <w:endnote w:type="continuationSeparator" w:id="0">
    <w:p w14:paraId="4CB314CB" w14:textId="77777777" w:rsidR="00E729C2" w:rsidRDefault="00E7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B81A" w14:textId="77777777" w:rsidR="00E45D05" w:rsidRDefault="00E45D05">
    <w:pPr>
      <w:framePr w:wrap="around" w:vAnchor="text" w:hAnchor="margin" w:xAlign="right" w:y="1"/>
    </w:pPr>
    <w:r>
      <w:fldChar w:fldCharType="begin"/>
    </w:r>
    <w:r>
      <w:instrText xml:space="preserve">PAGE  </w:instrText>
    </w:r>
    <w:r>
      <w:fldChar w:fldCharType="end"/>
    </w:r>
  </w:p>
  <w:p w14:paraId="1712708D" w14:textId="5837B56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6383B">
      <w:rPr>
        <w:noProof/>
        <w:lang w:val="en-US"/>
      </w:rPr>
      <w:t>P:\ENG\ITU-R\CONF-R\CMR19\000\056E.docx</w:t>
    </w:r>
    <w:r>
      <w:fldChar w:fldCharType="end"/>
    </w:r>
    <w:r w:rsidRPr="0041348E">
      <w:rPr>
        <w:lang w:val="en-US"/>
      </w:rPr>
      <w:tab/>
    </w:r>
    <w:r>
      <w:fldChar w:fldCharType="begin"/>
    </w:r>
    <w:r>
      <w:instrText xml:space="preserve"> SAVEDATE \@ DD.MM.YY </w:instrText>
    </w:r>
    <w:r>
      <w:fldChar w:fldCharType="separate"/>
    </w:r>
    <w:r w:rsidR="0096383B">
      <w:rPr>
        <w:noProof/>
      </w:rPr>
      <w:t>16.10.19</w:t>
    </w:r>
    <w:r>
      <w:fldChar w:fldCharType="end"/>
    </w:r>
    <w:r w:rsidRPr="0041348E">
      <w:rPr>
        <w:lang w:val="en-US"/>
      </w:rPr>
      <w:tab/>
    </w:r>
    <w:r>
      <w:fldChar w:fldCharType="begin"/>
    </w:r>
    <w:r>
      <w:instrText xml:space="preserve"> PRINTDATE \@ DD.MM.YY </w:instrText>
    </w:r>
    <w:r>
      <w:fldChar w:fldCharType="separate"/>
    </w:r>
    <w:r w:rsidR="0096383B">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60B8" w14:textId="590B4B4F" w:rsidR="00E45D05" w:rsidRDefault="00E45D05" w:rsidP="009B1EA1">
    <w:pPr>
      <w:pStyle w:val="Footer"/>
    </w:pPr>
    <w:r>
      <w:fldChar w:fldCharType="begin"/>
    </w:r>
    <w:r w:rsidRPr="0041348E">
      <w:rPr>
        <w:lang w:val="en-US"/>
      </w:rPr>
      <w:instrText xml:space="preserve"> FILENAME \p  \* MERGEFORMAT </w:instrText>
    </w:r>
    <w:r>
      <w:fldChar w:fldCharType="separate"/>
    </w:r>
    <w:r w:rsidR="0096383B">
      <w:rPr>
        <w:lang w:val="en-US"/>
      </w:rPr>
      <w:t>P:\ENG\ITU-R\CONF-R\CMR19\000\056E.docx</w:t>
    </w:r>
    <w:r>
      <w:fldChar w:fldCharType="end"/>
    </w:r>
    <w:r w:rsidR="002D6C81">
      <w:t xml:space="preserve"> (</w:t>
    </w:r>
    <w:bookmarkStart w:id="10" w:name="_GoBack"/>
    <w:r w:rsidR="002D6C81">
      <w:t>462038</w:t>
    </w:r>
    <w:bookmarkEnd w:id="10"/>
    <w:r w:rsidR="002D6C8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3E86" w14:textId="54257F6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6383B">
      <w:rPr>
        <w:lang w:val="en-US"/>
      </w:rPr>
      <w:t>P:\ENG\ITU-R\CONF-R\CMR19\000\056E.docx</w:t>
    </w:r>
    <w:r>
      <w:fldChar w:fldCharType="end"/>
    </w:r>
    <w:r w:rsidR="002D6C81">
      <w:t xml:space="preserve"> (462038)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60BC2" w14:textId="77777777" w:rsidR="00E729C2" w:rsidRDefault="00E729C2">
      <w:r>
        <w:rPr>
          <w:b/>
        </w:rPr>
        <w:t>_______________</w:t>
      </w:r>
    </w:p>
  </w:footnote>
  <w:footnote w:type="continuationSeparator" w:id="0">
    <w:p w14:paraId="181E213C" w14:textId="77777777" w:rsidR="00E729C2" w:rsidRDefault="00E7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9CF8" w14:textId="77777777" w:rsidR="0096383B" w:rsidRDefault="00963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36F8A" w14:textId="77777777" w:rsidR="00E45D05" w:rsidRDefault="00A066F1" w:rsidP="00187BD9">
    <w:pPr>
      <w:pStyle w:val="Header"/>
    </w:pPr>
    <w:r>
      <w:fldChar w:fldCharType="begin"/>
    </w:r>
    <w:r>
      <w:instrText xml:space="preserve"> PAGE  \* MERGEFORMAT </w:instrText>
    </w:r>
    <w:r>
      <w:fldChar w:fldCharType="separate"/>
    </w:r>
    <w:r w:rsidR="003A0C21">
      <w:rPr>
        <w:noProof/>
      </w:rPr>
      <w:t>3</w:t>
    </w:r>
    <w:r>
      <w:fldChar w:fldCharType="end"/>
    </w:r>
  </w:p>
  <w:p w14:paraId="58BADD38" w14:textId="77777777" w:rsidR="00A066F1" w:rsidRPr="00A066F1" w:rsidRDefault="00187BD9" w:rsidP="00241FA2">
    <w:pPr>
      <w:pStyle w:val="Header"/>
    </w:pPr>
    <w:r>
      <w:t>CMR1</w:t>
    </w:r>
    <w:r w:rsidR="00202756">
      <w:t>9</w:t>
    </w:r>
    <w:r w:rsidR="00A066F1">
      <w:t>/</w:t>
    </w:r>
    <w:bookmarkStart w:id="7" w:name="OLE_LINK1"/>
    <w:bookmarkStart w:id="8" w:name="OLE_LINK2"/>
    <w:bookmarkStart w:id="9" w:name="OLE_LINK3"/>
    <w:r w:rsidR="00EB55C6">
      <w:t>56</w:t>
    </w:r>
    <w:bookmarkEnd w:id="7"/>
    <w:bookmarkEnd w:id="8"/>
    <w:bookmarkEnd w:id="9"/>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D1F3" w14:textId="77777777" w:rsidR="0096383B" w:rsidRDefault="00963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5987"/>
    <w:rsid w:val="000D154B"/>
    <w:rsid w:val="000D2DAF"/>
    <w:rsid w:val="000E463E"/>
    <w:rsid w:val="000F73FF"/>
    <w:rsid w:val="00114CF7"/>
    <w:rsid w:val="00116C7A"/>
    <w:rsid w:val="00123B68"/>
    <w:rsid w:val="00126F2E"/>
    <w:rsid w:val="00127677"/>
    <w:rsid w:val="00135340"/>
    <w:rsid w:val="00146F6F"/>
    <w:rsid w:val="00187BD9"/>
    <w:rsid w:val="00190B55"/>
    <w:rsid w:val="001C3B5F"/>
    <w:rsid w:val="001D058F"/>
    <w:rsid w:val="001F468B"/>
    <w:rsid w:val="002009EA"/>
    <w:rsid w:val="00202756"/>
    <w:rsid w:val="00202CA0"/>
    <w:rsid w:val="00216B6D"/>
    <w:rsid w:val="00241FA2"/>
    <w:rsid w:val="00271316"/>
    <w:rsid w:val="002B349C"/>
    <w:rsid w:val="002D58BE"/>
    <w:rsid w:val="002D6C81"/>
    <w:rsid w:val="002F4747"/>
    <w:rsid w:val="00302605"/>
    <w:rsid w:val="00361B37"/>
    <w:rsid w:val="00377BD3"/>
    <w:rsid w:val="00384088"/>
    <w:rsid w:val="003852CE"/>
    <w:rsid w:val="0039169B"/>
    <w:rsid w:val="003A0C21"/>
    <w:rsid w:val="003A3FF1"/>
    <w:rsid w:val="003A7F8C"/>
    <w:rsid w:val="003B2284"/>
    <w:rsid w:val="003B532E"/>
    <w:rsid w:val="003D0F8B"/>
    <w:rsid w:val="003E0DB6"/>
    <w:rsid w:val="0041348E"/>
    <w:rsid w:val="00420873"/>
    <w:rsid w:val="0043623E"/>
    <w:rsid w:val="00492075"/>
    <w:rsid w:val="004969AD"/>
    <w:rsid w:val="004A26C4"/>
    <w:rsid w:val="004B13CB"/>
    <w:rsid w:val="004D26EA"/>
    <w:rsid w:val="004D2BFB"/>
    <w:rsid w:val="004D5D5C"/>
    <w:rsid w:val="004F3DC0"/>
    <w:rsid w:val="0050139F"/>
    <w:rsid w:val="0055140B"/>
    <w:rsid w:val="005534C5"/>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485E"/>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6383B"/>
    <w:rsid w:val="009B1EA1"/>
    <w:rsid w:val="009B7C9A"/>
    <w:rsid w:val="009C56E5"/>
    <w:rsid w:val="009C7716"/>
    <w:rsid w:val="009D5B94"/>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AF734C"/>
    <w:rsid w:val="00B377CD"/>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7C72"/>
    <w:rsid w:val="00CB44E5"/>
    <w:rsid w:val="00CC247A"/>
    <w:rsid w:val="00CE388F"/>
    <w:rsid w:val="00CE5E47"/>
    <w:rsid w:val="00CF020F"/>
    <w:rsid w:val="00CF2B5B"/>
    <w:rsid w:val="00D14CE0"/>
    <w:rsid w:val="00D268B3"/>
    <w:rsid w:val="00D27468"/>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311F3"/>
    <w:rsid w:val="00E45D05"/>
    <w:rsid w:val="00E55816"/>
    <w:rsid w:val="00E55AEF"/>
    <w:rsid w:val="00E729C2"/>
    <w:rsid w:val="00E927DF"/>
    <w:rsid w:val="00E976C1"/>
    <w:rsid w:val="00EA12E5"/>
    <w:rsid w:val="00EB55C6"/>
    <w:rsid w:val="00EF1932"/>
    <w:rsid w:val="00EF71B6"/>
    <w:rsid w:val="00F02766"/>
    <w:rsid w:val="00F05BD4"/>
    <w:rsid w:val="00F06473"/>
    <w:rsid w:val="00F6155B"/>
    <w:rsid w:val="00F63D4B"/>
    <w:rsid w:val="00F65C19"/>
    <w:rsid w:val="00F86558"/>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6CD5B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head0">
    <w:name w:val="Table head"/>
    <w:basedOn w:val="Normal"/>
    <w:rsid w:val="001962A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paragraph" w:customStyle="1" w:styleId="EditorsNote">
    <w:name w:val="EditorsNote"/>
    <w:basedOn w:val="Normal"/>
    <w:rsid w:val="001962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character" w:customStyle="1" w:styleId="HeadingbChar">
    <w:name w:val="Heading_b Char"/>
    <w:link w:val="Headingb"/>
    <w:locked/>
    <w:rsid w:val="00CA7C72"/>
    <w:rPr>
      <w:rFonts w:ascii="Times New Roman Bold" w:hAnsi="Times New Roman Bold" w:cs="Times New Roman Bold"/>
      <w:b/>
      <w:sz w:val="24"/>
      <w:lang w:val="fr-CH" w:eastAsia="en-US"/>
    </w:rPr>
  </w:style>
  <w:style w:type="paragraph" w:customStyle="1" w:styleId="Ee">
    <w:name w:val="Ee"/>
    <w:basedOn w:val="Call"/>
    <w:rsid w:val="00135340"/>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BD1CD-1407-42A4-83EC-7DFBAD386108}">
  <ds:schemaRefs>
    <ds:schemaRef ds:uri="http://schemas.microsoft.com/sharepoint/v3/contenttype/forms"/>
  </ds:schemaRefs>
</ds:datastoreItem>
</file>

<file path=customXml/itemProps4.xml><?xml version="1.0" encoding="utf-8"?>
<ds:datastoreItem xmlns:ds="http://schemas.openxmlformats.org/officeDocument/2006/customXml" ds:itemID="{5B1B743C-3AF9-4B5C-9053-4E0C0FABBB7C}">
  <ds:schemaRefs>
    <ds:schemaRef ds:uri="http://www.w3.org/XML/1998/namespace"/>
    <ds:schemaRef ds:uri="http://purl.org/dc/dcmitype/"/>
    <ds:schemaRef ds:uri="32a1a8c5-2265-4ebc-b7a0-2071e2c5c9bb"/>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94B246E0-3D2D-4872-A59D-C9624647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796</Words>
  <Characters>4593</Characters>
  <Application>Microsoft Office Word</Application>
  <DocSecurity>0</DocSecurity>
  <Lines>103</Lines>
  <Paragraphs>43</Paragraphs>
  <ScaleCrop>false</ScaleCrop>
  <HeadingPairs>
    <vt:vector size="2" baseType="variant">
      <vt:variant>
        <vt:lpstr>Title</vt:lpstr>
      </vt:variant>
      <vt:variant>
        <vt:i4>1</vt:i4>
      </vt:variant>
    </vt:vector>
  </HeadingPairs>
  <TitlesOfParts>
    <vt:vector size="1" baseType="lpstr">
      <vt:lpstr>R16-WRC19-C-0056!!MSW-E</vt:lpstr>
    </vt:vector>
  </TitlesOfParts>
  <Manager>General Secretariat - Pool</Manager>
  <Company>International Telecommunication Union (ITU)</Company>
  <LinksUpToDate>false</LinksUpToDate>
  <CharactersWithSpaces>5350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R16-WRC19-C-0056!!MSW-E</dc:title>
  <dc:subject>World Radiocommunication Conference - 2019</dc:subject>
  <dc:creator>Documents Proposals Manager (DPM)</dc:creator>
  <cp:keywords>DPM_v2019.10.8.1_prod</cp:keywords>
  <dc:description>Uploaded on 2015.07.06</dc:description>
  <cp:lastModifiedBy>English</cp:lastModifiedBy>
  <cp:revision>8</cp:revision>
  <cp:lastPrinted>2019-10-16T14:49:00Z</cp:lastPrinted>
  <dcterms:created xsi:type="dcterms:W3CDTF">2019-10-11T12:26:00Z</dcterms:created>
  <dcterms:modified xsi:type="dcterms:W3CDTF">2019-10-16T14:50:00Z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