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92A4A" w14:paraId="54915E62" w14:textId="77777777" w:rsidTr="00F939FF">
        <w:trPr>
          <w:cantSplit/>
        </w:trPr>
        <w:tc>
          <w:tcPr>
            <w:tcW w:w="6911" w:type="dxa"/>
          </w:tcPr>
          <w:p w14:paraId="36B2C146" w14:textId="77777777" w:rsidR="0090121B" w:rsidRPr="00592A4A" w:rsidRDefault="005D46FB" w:rsidP="0058375A">
            <w:pPr>
              <w:spacing w:before="400" w:after="48"/>
              <w:rPr>
                <w:rFonts w:ascii="Verdana" w:hAnsi="Verdana"/>
                <w:position w:val="6"/>
              </w:rPr>
            </w:pPr>
            <w:bookmarkStart w:id="0" w:name="_GoBack"/>
            <w:r w:rsidRPr="00592A4A">
              <w:rPr>
                <w:rFonts w:ascii="Verdana" w:hAnsi="Verdana" w:cs="Times"/>
                <w:b/>
                <w:position w:val="6"/>
                <w:sz w:val="20"/>
              </w:rPr>
              <w:t>Conferencia Mundial de Radiocomunicaciones (CMR-1</w:t>
            </w:r>
            <w:r w:rsidR="00C44E9E" w:rsidRPr="00592A4A">
              <w:rPr>
                <w:rFonts w:ascii="Verdana" w:hAnsi="Verdana" w:cs="Times"/>
                <w:b/>
                <w:position w:val="6"/>
                <w:sz w:val="20"/>
              </w:rPr>
              <w:t>9</w:t>
            </w:r>
            <w:r w:rsidRPr="00592A4A">
              <w:rPr>
                <w:rFonts w:ascii="Verdana" w:hAnsi="Verdana" w:cs="Times"/>
                <w:b/>
                <w:position w:val="6"/>
                <w:sz w:val="20"/>
              </w:rPr>
              <w:t>)</w:t>
            </w:r>
            <w:r w:rsidRPr="00592A4A">
              <w:rPr>
                <w:rFonts w:ascii="Verdana" w:hAnsi="Verdana" w:cs="Times"/>
                <w:b/>
                <w:position w:val="6"/>
                <w:sz w:val="20"/>
              </w:rPr>
              <w:br/>
            </w:r>
            <w:r w:rsidR="006124AD" w:rsidRPr="00592A4A">
              <w:rPr>
                <w:rFonts w:ascii="Verdana" w:hAnsi="Verdana"/>
                <w:b/>
                <w:bCs/>
                <w:position w:val="6"/>
                <w:sz w:val="17"/>
                <w:szCs w:val="17"/>
              </w:rPr>
              <w:t>Sharm el-Sheikh (Egipto)</w:t>
            </w:r>
            <w:r w:rsidRPr="00592A4A">
              <w:rPr>
                <w:rFonts w:ascii="Verdana" w:hAnsi="Verdana"/>
                <w:b/>
                <w:bCs/>
                <w:position w:val="6"/>
                <w:sz w:val="17"/>
                <w:szCs w:val="17"/>
              </w:rPr>
              <w:t>, 2</w:t>
            </w:r>
            <w:r w:rsidR="00C44E9E" w:rsidRPr="00592A4A">
              <w:rPr>
                <w:rFonts w:ascii="Verdana" w:hAnsi="Verdana"/>
                <w:b/>
                <w:bCs/>
                <w:position w:val="6"/>
                <w:sz w:val="17"/>
                <w:szCs w:val="17"/>
              </w:rPr>
              <w:t xml:space="preserve">8 de octubre </w:t>
            </w:r>
            <w:r w:rsidR="00DE1C31" w:rsidRPr="00592A4A">
              <w:rPr>
                <w:rFonts w:ascii="Verdana" w:hAnsi="Verdana"/>
                <w:b/>
                <w:bCs/>
                <w:position w:val="6"/>
                <w:sz w:val="17"/>
                <w:szCs w:val="17"/>
              </w:rPr>
              <w:t>–</w:t>
            </w:r>
            <w:r w:rsidR="00C44E9E" w:rsidRPr="00592A4A">
              <w:rPr>
                <w:rFonts w:ascii="Verdana" w:hAnsi="Verdana"/>
                <w:b/>
                <w:bCs/>
                <w:position w:val="6"/>
                <w:sz w:val="17"/>
                <w:szCs w:val="17"/>
              </w:rPr>
              <w:t xml:space="preserve"> </w:t>
            </w:r>
            <w:r w:rsidRPr="00592A4A">
              <w:rPr>
                <w:rFonts w:ascii="Verdana" w:hAnsi="Verdana"/>
                <w:b/>
                <w:bCs/>
                <w:position w:val="6"/>
                <w:sz w:val="17"/>
                <w:szCs w:val="17"/>
              </w:rPr>
              <w:t>2</w:t>
            </w:r>
            <w:r w:rsidR="00C44E9E" w:rsidRPr="00592A4A">
              <w:rPr>
                <w:rFonts w:ascii="Verdana" w:hAnsi="Verdana"/>
                <w:b/>
                <w:bCs/>
                <w:position w:val="6"/>
                <w:sz w:val="17"/>
                <w:szCs w:val="17"/>
              </w:rPr>
              <w:t>2</w:t>
            </w:r>
            <w:r w:rsidRPr="00592A4A">
              <w:rPr>
                <w:rFonts w:ascii="Verdana" w:hAnsi="Verdana"/>
                <w:b/>
                <w:bCs/>
                <w:position w:val="6"/>
                <w:sz w:val="17"/>
                <w:szCs w:val="17"/>
              </w:rPr>
              <w:t xml:space="preserve"> de noviembre de 201</w:t>
            </w:r>
            <w:r w:rsidR="00C44E9E" w:rsidRPr="00592A4A">
              <w:rPr>
                <w:rFonts w:ascii="Verdana" w:hAnsi="Verdana"/>
                <w:b/>
                <w:bCs/>
                <w:position w:val="6"/>
                <w:sz w:val="17"/>
                <w:szCs w:val="17"/>
              </w:rPr>
              <w:t>9</w:t>
            </w:r>
          </w:p>
        </w:tc>
        <w:tc>
          <w:tcPr>
            <w:tcW w:w="3120" w:type="dxa"/>
          </w:tcPr>
          <w:p w14:paraId="02AD7C97" w14:textId="77777777" w:rsidR="0090121B" w:rsidRPr="00592A4A" w:rsidRDefault="00DA71A3" w:rsidP="0058375A">
            <w:pPr>
              <w:spacing w:before="0"/>
              <w:jc w:val="right"/>
            </w:pPr>
            <w:r w:rsidRPr="00592A4A">
              <w:rPr>
                <w:rFonts w:ascii="Verdana" w:hAnsi="Verdana"/>
                <w:b/>
                <w:bCs/>
                <w:noProof/>
                <w:szCs w:val="24"/>
                <w:lang w:eastAsia="zh-CN"/>
              </w:rPr>
              <w:drawing>
                <wp:inline distT="0" distB="0" distL="0" distR="0" wp14:anchorId="558668BC" wp14:editId="206CD38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92A4A" w14:paraId="2007D84A" w14:textId="77777777" w:rsidTr="00F939FF">
        <w:trPr>
          <w:cantSplit/>
        </w:trPr>
        <w:tc>
          <w:tcPr>
            <w:tcW w:w="6911" w:type="dxa"/>
            <w:tcBorders>
              <w:bottom w:val="single" w:sz="12" w:space="0" w:color="auto"/>
            </w:tcBorders>
          </w:tcPr>
          <w:p w14:paraId="67DEB1EA" w14:textId="77777777" w:rsidR="0090121B" w:rsidRPr="00592A4A" w:rsidRDefault="0090121B" w:rsidP="0058375A">
            <w:pPr>
              <w:spacing w:before="0" w:after="48"/>
              <w:rPr>
                <w:b/>
                <w:smallCaps/>
                <w:szCs w:val="24"/>
              </w:rPr>
            </w:pPr>
            <w:bookmarkStart w:id="1" w:name="dhead"/>
          </w:p>
        </w:tc>
        <w:tc>
          <w:tcPr>
            <w:tcW w:w="3120" w:type="dxa"/>
            <w:tcBorders>
              <w:bottom w:val="single" w:sz="12" w:space="0" w:color="auto"/>
            </w:tcBorders>
          </w:tcPr>
          <w:p w14:paraId="655C4675" w14:textId="77777777" w:rsidR="0090121B" w:rsidRPr="00592A4A" w:rsidRDefault="0090121B" w:rsidP="0058375A">
            <w:pPr>
              <w:spacing w:before="0"/>
              <w:rPr>
                <w:rFonts w:ascii="Verdana" w:hAnsi="Verdana"/>
                <w:szCs w:val="24"/>
              </w:rPr>
            </w:pPr>
          </w:p>
        </w:tc>
      </w:tr>
      <w:tr w:rsidR="0090121B" w:rsidRPr="00592A4A" w14:paraId="473A42D0" w14:textId="77777777" w:rsidTr="0090121B">
        <w:trPr>
          <w:cantSplit/>
        </w:trPr>
        <w:tc>
          <w:tcPr>
            <w:tcW w:w="6911" w:type="dxa"/>
            <w:tcBorders>
              <w:top w:val="single" w:sz="12" w:space="0" w:color="auto"/>
            </w:tcBorders>
          </w:tcPr>
          <w:p w14:paraId="680143EE" w14:textId="77777777" w:rsidR="0090121B" w:rsidRPr="00592A4A" w:rsidRDefault="0090121B" w:rsidP="0058375A">
            <w:pPr>
              <w:spacing w:before="0" w:after="48"/>
              <w:rPr>
                <w:rFonts w:ascii="Verdana" w:hAnsi="Verdana"/>
                <w:b/>
                <w:smallCaps/>
                <w:sz w:val="20"/>
              </w:rPr>
            </w:pPr>
          </w:p>
        </w:tc>
        <w:tc>
          <w:tcPr>
            <w:tcW w:w="3120" w:type="dxa"/>
            <w:tcBorders>
              <w:top w:val="single" w:sz="12" w:space="0" w:color="auto"/>
            </w:tcBorders>
          </w:tcPr>
          <w:p w14:paraId="1397F262" w14:textId="77777777" w:rsidR="0090121B" w:rsidRPr="00592A4A" w:rsidRDefault="0090121B" w:rsidP="0058375A">
            <w:pPr>
              <w:spacing w:before="0"/>
              <w:rPr>
                <w:rFonts w:ascii="Verdana" w:hAnsi="Verdana"/>
                <w:sz w:val="20"/>
              </w:rPr>
            </w:pPr>
          </w:p>
        </w:tc>
      </w:tr>
      <w:tr w:rsidR="0090121B" w:rsidRPr="00592A4A" w14:paraId="7A2D7135" w14:textId="77777777" w:rsidTr="0090121B">
        <w:trPr>
          <w:cantSplit/>
        </w:trPr>
        <w:tc>
          <w:tcPr>
            <w:tcW w:w="6911" w:type="dxa"/>
          </w:tcPr>
          <w:p w14:paraId="2121FBA8" w14:textId="77777777" w:rsidR="0090121B" w:rsidRPr="00592A4A" w:rsidRDefault="001E7D42" w:rsidP="0058375A">
            <w:pPr>
              <w:pStyle w:val="Committee"/>
              <w:framePr w:hSpace="0" w:wrap="auto" w:hAnchor="text" w:yAlign="inline"/>
              <w:spacing w:line="240" w:lineRule="auto"/>
              <w:rPr>
                <w:sz w:val="18"/>
                <w:szCs w:val="18"/>
                <w:lang w:val="es-ES_tradnl"/>
              </w:rPr>
            </w:pPr>
            <w:r w:rsidRPr="00592A4A">
              <w:rPr>
                <w:sz w:val="18"/>
                <w:szCs w:val="18"/>
                <w:lang w:val="es-ES_tradnl"/>
              </w:rPr>
              <w:t>SESIÓN PLENARIA</w:t>
            </w:r>
          </w:p>
        </w:tc>
        <w:tc>
          <w:tcPr>
            <w:tcW w:w="3120" w:type="dxa"/>
          </w:tcPr>
          <w:p w14:paraId="2FC02A8F" w14:textId="77777777" w:rsidR="0090121B" w:rsidRPr="00592A4A" w:rsidRDefault="00AE658F" w:rsidP="0058375A">
            <w:pPr>
              <w:spacing w:before="0"/>
              <w:rPr>
                <w:rFonts w:ascii="Verdana" w:hAnsi="Verdana"/>
                <w:sz w:val="18"/>
                <w:szCs w:val="18"/>
              </w:rPr>
            </w:pPr>
            <w:r w:rsidRPr="00592A4A">
              <w:rPr>
                <w:rFonts w:ascii="Verdana" w:hAnsi="Verdana"/>
                <w:b/>
                <w:sz w:val="18"/>
                <w:szCs w:val="18"/>
              </w:rPr>
              <w:t>Documento 56</w:t>
            </w:r>
            <w:r w:rsidR="0090121B" w:rsidRPr="00592A4A">
              <w:rPr>
                <w:rFonts w:ascii="Verdana" w:hAnsi="Verdana"/>
                <w:b/>
                <w:sz w:val="18"/>
                <w:szCs w:val="18"/>
              </w:rPr>
              <w:t>-</w:t>
            </w:r>
            <w:r w:rsidRPr="00592A4A">
              <w:rPr>
                <w:rFonts w:ascii="Verdana" w:hAnsi="Verdana"/>
                <w:b/>
                <w:sz w:val="18"/>
                <w:szCs w:val="18"/>
              </w:rPr>
              <w:t>S</w:t>
            </w:r>
          </w:p>
        </w:tc>
      </w:tr>
      <w:bookmarkEnd w:id="1"/>
      <w:tr w:rsidR="000A5B9A" w:rsidRPr="00592A4A" w14:paraId="1C73B9C8" w14:textId="77777777" w:rsidTr="0090121B">
        <w:trPr>
          <w:cantSplit/>
        </w:trPr>
        <w:tc>
          <w:tcPr>
            <w:tcW w:w="6911" w:type="dxa"/>
          </w:tcPr>
          <w:p w14:paraId="3C5D0679" w14:textId="77777777" w:rsidR="000A5B9A" w:rsidRPr="00592A4A" w:rsidRDefault="000A5B9A" w:rsidP="0058375A">
            <w:pPr>
              <w:spacing w:before="0" w:after="48"/>
              <w:rPr>
                <w:rFonts w:ascii="Verdana" w:hAnsi="Verdana"/>
                <w:b/>
                <w:smallCaps/>
                <w:sz w:val="18"/>
                <w:szCs w:val="18"/>
              </w:rPr>
            </w:pPr>
          </w:p>
        </w:tc>
        <w:tc>
          <w:tcPr>
            <w:tcW w:w="3120" w:type="dxa"/>
          </w:tcPr>
          <w:p w14:paraId="57CE327D" w14:textId="77777777" w:rsidR="000A5B9A" w:rsidRPr="00592A4A" w:rsidRDefault="000A5B9A" w:rsidP="0058375A">
            <w:pPr>
              <w:spacing w:before="0"/>
              <w:rPr>
                <w:rFonts w:ascii="Verdana" w:hAnsi="Verdana"/>
                <w:b/>
                <w:sz w:val="18"/>
                <w:szCs w:val="18"/>
              </w:rPr>
            </w:pPr>
            <w:r w:rsidRPr="00592A4A">
              <w:rPr>
                <w:rFonts w:ascii="Verdana" w:hAnsi="Verdana"/>
                <w:b/>
                <w:sz w:val="18"/>
                <w:szCs w:val="18"/>
              </w:rPr>
              <w:t>8 de octubre de 2019</w:t>
            </w:r>
          </w:p>
        </w:tc>
      </w:tr>
      <w:tr w:rsidR="000A5B9A" w:rsidRPr="00592A4A" w14:paraId="02D7190D" w14:textId="77777777" w:rsidTr="0090121B">
        <w:trPr>
          <w:cantSplit/>
        </w:trPr>
        <w:tc>
          <w:tcPr>
            <w:tcW w:w="6911" w:type="dxa"/>
          </w:tcPr>
          <w:p w14:paraId="1EAAF55D" w14:textId="77777777" w:rsidR="000A5B9A" w:rsidRPr="00592A4A" w:rsidRDefault="000A5B9A" w:rsidP="0058375A">
            <w:pPr>
              <w:spacing w:before="0" w:after="48"/>
              <w:rPr>
                <w:rFonts w:ascii="Verdana" w:hAnsi="Verdana"/>
                <w:b/>
                <w:smallCaps/>
                <w:sz w:val="18"/>
                <w:szCs w:val="18"/>
              </w:rPr>
            </w:pPr>
          </w:p>
        </w:tc>
        <w:tc>
          <w:tcPr>
            <w:tcW w:w="3120" w:type="dxa"/>
          </w:tcPr>
          <w:p w14:paraId="1F93C41C" w14:textId="77777777" w:rsidR="000A5B9A" w:rsidRPr="00592A4A" w:rsidRDefault="000A5B9A" w:rsidP="0058375A">
            <w:pPr>
              <w:spacing w:before="0"/>
              <w:rPr>
                <w:rFonts w:ascii="Verdana" w:hAnsi="Verdana"/>
                <w:b/>
                <w:sz w:val="18"/>
                <w:szCs w:val="18"/>
              </w:rPr>
            </w:pPr>
            <w:r w:rsidRPr="00592A4A">
              <w:rPr>
                <w:rFonts w:ascii="Verdana" w:hAnsi="Verdana"/>
                <w:b/>
                <w:sz w:val="18"/>
                <w:szCs w:val="18"/>
              </w:rPr>
              <w:t>Original: inglés</w:t>
            </w:r>
          </w:p>
        </w:tc>
      </w:tr>
      <w:tr w:rsidR="000A5B9A" w:rsidRPr="00592A4A" w14:paraId="4D4DEF16" w14:textId="77777777" w:rsidTr="00F939FF">
        <w:trPr>
          <w:cantSplit/>
        </w:trPr>
        <w:tc>
          <w:tcPr>
            <w:tcW w:w="10031" w:type="dxa"/>
            <w:gridSpan w:val="2"/>
          </w:tcPr>
          <w:p w14:paraId="10E8C804" w14:textId="77777777" w:rsidR="000A5B9A" w:rsidRPr="00592A4A" w:rsidRDefault="000A5B9A" w:rsidP="0058375A">
            <w:pPr>
              <w:spacing w:before="0"/>
              <w:rPr>
                <w:rFonts w:ascii="Verdana" w:hAnsi="Verdana"/>
                <w:b/>
                <w:sz w:val="18"/>
                <w:szCs w:val="22"/>
              </w:rPr>
            </w:pPr>
          </w:p>
        </w:tc>
      </w:tr>
      <w:tr w:rsidR="000A5B9A" w:rsidRPr="00592A4A" w14:paraId="636DC690" w14:textId="77777777" w:rsidTr="00F939FF">
        <w:trPr>
          <w:cantSplit/>
        </w:trPr>
        <w:tc>
          <w:tcPr>
            <w:tcW w:w="10031" w:type="dxa"/>
            <w:gridSpan w:val="2"/>
          </w:tcPr>
          <w:p w14:paraId="41DA0139" w14:textId="7392E592" w:rsidR="000A5B9A" w:rsidRPr="00592A4A" w:rsidRDefault="000A5B9A" w:rsidP="0058375A">
            <w:pPr>
              <w:pStyle w:val="Source"/>
            </w:pPr>
            <w:bookmarkStart w:id="2" w:name="dsource" w:colFirst="0" w:colLast="0"/>
            <w:r w:rsidRPr="00592A4A">
              <w:t>Alemania (República Federal</w:t>
            </w:r>
            <w:r w:rsidR="00166E91" w:rsidRPr="00592A4A">
              <w:t xml:space="preserve"> </w:t>
            </w:r>
            <w:r w:rsidRPr="00592A4A">
              <w:t>de)/Austria/Finlandia/Hungría/Noruega/Portugal/</w:t>
            </w:r>
            <w:r w:rsidR="00166E91" w:rsidRPr="00592A4A">
              <w:br/>
            </w:r>
            <w:r w:rsidRPr="00592A4A">
              <w:t>República Checa/Reino Unido de Gran Bretaña e Irlanda del Norte</w:t>
            </w:r>
          </w:p>
        </w:tc>
      </w:tr>
      <w:tr w:rsidR="000A5B9A" w:rsidRPr="00592A4A" w14:paraId="6EC79678" w14:textId="77777777" w:rsidTr="00F939FF">
        <w:trPr>
          <w:cantSplit/>
        </w:trPr>
        <w:tc>
          <w:tcPr>
            <w:tcW w:w="10031" w:type="dxa"/>
            <w:gridSpan w:val="2"/>
          </w:tcPr>
          <w:p w14:paraId="056780DF" w14:textId="77777777" w:rsidR="000A5B9A" w:rsidRPr="00592A4A" w:rsidRDefault="000A5B9A" w:rsidP="0058375A">
            <w:pPr>
              <w:pStyle w:val="Title1"/>
            </w:pPr>
            <w:bookmarkStart w:id="3" w:name="dtitle1" w:colFirst="0" w:colLast="0"/>
            <w:bookmarkEnd w:id="2"/>
            <w:r w:rsidRPr="00592A4A">
              <w:t>Propuestas para los trabajos de la Conferencia</w:t>
            </w:r>
          </w:p>
        </w:tc>
      </w:tr>
      <w:tr w:rsidR="000A5B9A" w:rsidRPr="00592A4A" w14:paraId="496703CB" w14:textId="77777777" w:rsidTr="00F939FF">
        <w:trPr>
          <w:cantSplit/>
        </w:trPr>
        <w:tc>
          <w:tcPr>
            <w:tcW w:w="10031" w:type="dxa"/>
            <w:gridSpan w:val="2"/>
          </w:tcPr>
          <w:p w14:paraId="79E460EB" w14:textId="77777777" w:rsidR="000A5B9A" w:rsidRPr="00592A4A" w:rsidRDefault="000A5B9A" w:rsidP="0058375A">
            <w:pPr>
              <w:pStyle w:val="Title2"/>
            </w:pPr>
            <w:bookmarkStart w:id="4" w:name="dtitle2" w:colFirst="0" w:colLast="0"/>
            <w:bookmarkEnd w:id="3"/>
          </w:p>
        </w:tc>
      </w:tr>
      <w:tr w:rsidR="000A5B9A" w:rsidRPr="00592A4A" w14:paraId="51404307" w14:textId="77777777" w:rsidTr="00F939FF">
        <w:trPr>
          <w:cantSplit/>
        </w:trPr>
        <w:tc>
          <w:tcPr>
            <w:tcW w:w="10031" w:type="dxa"/>
            <w:gridSpan w:val="2"/>
          </w:tcPr>
          <w:p w14:paraId="1009564B" w14:textId="77777777" w:rsidR="000A5B9A" w:rsidRPr="00592A4A" w:rsidRDefault="000A5B9A" w:rsidP="0058375A">
            <w:pPr>
              <w:pStyle w:val="Agendaitem"/>
            </w:pPr>
            <w:bookmarkStart w:id="5" w:name="dtitle3" w:colFirst="0" w:colLast="0"/>
            <w:bookmarkEnd w:id="4"/>
            <w:r w:rsidRPr="00592A4A">
              <w:t>Punto 7(A) del orden del día</w:t>
            </w:r>
          </w:p>
        </w:tc>
      </w:tr>
    </w:tbl>
    <w:bookmarkEnd w:id="5"/>
    <w:p w14:paraId="29583DD5" w14:textId="0E69E945" w:rsidR="00F939FF" w:rsidRPr="00592A4A" w:rsidRDefault="00F939FF" w:rsidP="0058375A">
      <w:r w:rsidRPr="00592A4A">
        <w:t>7</w:t>
      </w:r>
      <w:r w:rsidRPr="00592A4A">
        <w:tab/>
        <w:t xml:space="preserve">considerar posibles modificaciones y otras opciones para responder a lo dispuesto en la Resolución 86 (Rev. Marrakech, 2002) de la Conferencia de Plenipotenciarios: </w:t>
      </w:r>
      <w:r w:rsidR="00284ADC" w:rsidRPr="00592A4A">
        <w:t>«</w:t>
      </w:r>
      <w:r w:rsidRPr="00592A4A">
        <w:t>Procedimientos de publicación anticipada, de coordinación, de notificación y de inscripción de asignaciones de frecuencias de redes de satélite</w:t>
      </w:r>
      <w:r w:rsidR="00284ADC" w:rsidRPr="00592A4A">
        <w:t>»</w:t>
      </w:r>
      <w:r w:rsidRPr="00592A4A">
        <w:t xml:space="preserve"> de conformidad con la Resolución </w:t>
      </w:r>
      <w:r w:rsidRPr="00592A4A">
        <w:rPr>
          <w:b/>
          <w:bCs/>
        </w:rPr>
        <w:t>86 (Rev.CMR-07</w:t>
      </w:r>
      <w:r w:rsidRPr="00592A4A">
        <w:rPr>
          <w:b/>
        </w:rPr>
        <w:t xml:space="preserve">) </w:t>
      </w:r>
      <w:r w:rsidRPr="00592A4A">
        <w:rPr>
          <w:bCs/>
        </w:rPr>
        <w:t>para facilitar el uso racional, eficiente y económico de las radiofrecuencias y órbitas asociadas, incluida la órbita de los satélites geoestacionarios</w:t>
      </w:r>
      <w:r w:rsidRPr="00592A4A">
        <w:t>;</w:t>
      </w:r>
    </w:p>
    <w:p w14:paraId="3948E980" w14:textId="77777777" w:rsidR="00F939FF" w:rsidRPr="00592A4A" w:rsidRDefault="00F939FF" w:rsidP="0058375A">
      <w:r w:rsidRPr="00592A4A">
        <w:t>7(A)</w:t>
      </w:r>
      <w:r w:rsidRPr="00592A4A">
        <w:tab/>
        <w:t>Tema A – Puesta en servicio de asignaciones de frecuencias a todos los sistemas no OSG, y examen de un enfoque basado en objetivos intermedios para el despliegue de los sistemas no OSG en ciertas bandas de frecuencias y servicios</w:t>
      </w:r>
    </w:p>
    <w:p w14:paraId="1BCE5F0E" w14:textId="2B82C83B" w:rsidR="00F939FF" w:rsidRPr="00592A4A" w:rsidRDefault="00394BBA" w:rsidP="0058375A">
      <w:pPr>
        <w:pStyle w:val="Headingb"/>
      </w:pPr>
      <w:r w:rsidRPr="00592A4A">
        <w:t>Introducción</w:t>
      </w:r>
    </w:p>
    <w:p w14:paraId="57216CEF" w14:textId="71662F1E" w:rsidR="00F939FF" w:rsidRPr="00592A4A" w:rsidRDefault="0091716D" w:rsidP="0058375A">
      <w:r w:rsidRPr="00592A4A">
        <w:t>En l</w:t>
      </w:r>
      <w:r w:rsidR="00394BBA" w:rsidRPr="00592A4A">
        <w:t xml:space="preserve">a </w:t>
      </w:r>
      <w:r w:rsidR="00807410" w:rsidRPr="00592A4A">
        <w:t xml:space="preserve">Propuesta Común Europea </w:t>
      </w:r>
      <w:r w:rsidR="00394BBA" w:rsidRPr="00592A4A">
        <w:t xml:space="preserve">relativa al punto 7 del orden del día, </w:t>
      </w:r>
      <w:r w:rsidR="00F939FF" w:rsidRPr="00592A4A">
        <w:t xml:space="preserve">Tema A </w:t>
      </w:r>
      <w:r w:rsidR="00394BBA" w:rsidRPr="00592A4A">
        <w:t>(véase el Addéndum</w:t>
      </w:r>
      <w:r w:rsidR="005D0032" w:rsidRPr="00592A4A">
        <w:t> </w:t>
      </w:r>
      <w:r w:rsidR="00394BBA" w:rsidRPr="00592A4A">
        <w:t>1</w:t>
      </w:r>
      <w:r w:rsidRPr="00592A4A">
        <w:t xml:space="preserve"> </w:t>
      </w:r>
      <w:r w:rsidR="00394BBA" w:rsidRPr="00592A4A">
        <w:t xml:space="preserve">al Addéndum 19 al Documento WRC2019/16) </w:t>
      </w:r>
      <w:r w:rsidRPr="00592A4A">
        <w:t xml:space="preserve">se </w:t>
      </w:r>
      <w:r w:rsidR="00394BBA" w:rsidRPr="00592A4A">
        <w:t>propone una solución reglamentaria para la p</w:t>
      </w:r>
      <w:r w:rsidR="00F939FF" w:rsidRPr="00592A4A">
        <w:t>uesta en servicio de asignaciones de frecuencia</w:t>
      </w:r>
      <w:r w:rsidR="005D0032" w:rsidRPr="00592A4A">
        <w:t>s</w:t>
      </w:r>
      <w:r w:rsidR="00F939FF" w:rsidRPr="00592A4A">
        <w:t xml:space="preserve"> a todos los sistemas no OSG y </w:t>
      </w:r>
      <w:r w:rsidR="00394BBA" w:rsidRPr="00592A4A">
        <w:t xml:space="preserve">el </w:t>
      </w:r>
      <w:r w:rsidR="00F939FF" w:rsidRPr="00592A4A">
        <w:t xml:space="preserve">examen de un enfoque de despliegue basado en objetivos intermedios para los sistemas no OSG en ciertas bandas de frecuencias y servicios. </w:t>
      </w:r>
      <w:bookmarkStart w:id="6" w:name="_Hlk21938148"/>
      <w:r w:rsidR="00394BBA" w:rsidRPr="00592A4A">
        <w:t>En la</w:t>
      </w:r>
      <w:r w:rsidR="00F0540A" w:rsidRPr="00592A4A">
        <w:t xml:space="preserve"> </w:t>
      </w:r>
      <w:bookmarkEnd w:id="6"/>
      <w:r w:rsidR="00807410" w:rsidRPr="00592A4A">
        <w:t xml:space="preserve">Propuesta Común Europea </w:t>
      </w:r>
      <w:r w:rsidR="00F0540A" w:rsidRPr="00592A4A">
        <w:t xml:space="preserve">no </w:t>
      </w:r>
      <w:r w:rsidR="00394BBA" w:rsidRPr="00592A4A">
        <w:t xml:space="preserve">se </w:t>
      </w:r>
      <w:r w:rsidRPr="00592A4A">
        <w:t>prevé</w:t>
      </w:r>
      <w:r w:rsidR="00F0540A" w:rsidRPr="00592A4A">
        <w:t xml:space="preserve"> una fecha </w:t>
      </w:r>
      <w:r w:rsidR="00394BBA" w:rsidRPr="00592A4A">
        <w:t>concreta</w:t>
      </w:r>
      <w:r w:rsidR="00F0540A" w:rsidRPr="00592A4A">
        <w:t xml:space="preserve"> para el inicio del </w:t>
      </w:r>
      <w:r w:rsidR="00E63A33" w:rsidRPr="00592A4A">
        <w:t>procedimiento basado en objetivos intermedios</w:t>
      </w:r>
      <w:r w:rsidR="00F0540A" w:rsidRPr="00592A4A">
        <w:t xml:space="preserve">. </w:t>
      </w:r>
      <w:r w:rsidR="00E63A33" w:rsidRPr="00592A4A">
        <w:t xml:space="preserve">Las Administraciones firmantes proponen que la fecha para el inicio del procedimiento basado en objetivos intermedios sea el </w:t>
      </w:r>
      <w:r w:rsidR="00F0540A" w:rsidRPr="00592A4A">
        <w:t xml:space="preserve">1 de enero de 2021 y </w:t>
      </w:r>
      <w:r w:rsidRPr="00592A4A">
        <w:t>facilita</w:t>
      </w:r>
      <w:r w:rsidR="00C01214" w:rsidRPr="00592A4A">
        <w:t>n</w:t>
      </w:r>
      <w:r w:rsidR="00E63A33" w:rsidRPr="00592A4A">
        <w:t xml:space="preserve"> </w:t>
      </w:r>
      <w:r w:rsidR="00F0540A" w:rsidRPr="00592A4A">
        <w:t>l</w:t>
      </w:r>
      <w:r w:rsidR="00E63A33" w:rsidRPr="00592A4A">
        <w:t xml:space="preserve">as modificaciones </w:t>
      </w:r>
      <w:r w:rsidR="00F0540A" w:rsidRPr="00592A4A">
        <w:t xml:space="preserve">correspondientes al texto reglamentario </w:t>
      </w:r>
      <w:r w:rsidR="00E63A33" w:rsidRPr="00592A4A">
        <w:t>que figura en el Documento</w:t>
      </w:r>
      <w:r w:rsidR="00F0540A" w:rsidRPr="00592A4A">
        <w:t xml:space="preserve"> </w:t>
      </w:r>
      <w:r w:rsidR="00F0540A" w:rsidRPr="00592A4A">
        <w:rPr>
          <w:b/>
          <w:bCs/>
        </w:rPr>
        <w:t>EUR/16A19A1/17</w:t>
      </w:r>
      <w:r w:rsidR="00F0540A" w:rsidRPr="00592A4A">
        <w:t xml:space="preserve"> de la </w:t>
      </w:r>
      <w:r w:rsidR="00807410" w:rsidRPr="00592A4A">
        <w:t>Propuesta Común Europea</w:t>
      </w:r>
      <w:r w:rsidR="00F0540A" w:rsidRPr="00592A4A">
        <w:t xml:space="preserve">. </w:t>
      </w:r>
      <w:r w:rsidR="00B94F31" w:rsidRPr="00592A4A">
        <w:t xml:space="preserve">La </w:t>
      </w:r>
      <w:r w:rsidR="00F0540A" w:rsidRPr="00592A4A">
        <w:t>fecha de inicio</w:t>
      </w:r>
      <w:r w:rsidR="00B94F31" w:rsidRPr="00592A4A">
        <w:t xml:space="preserve"> </w:t>
      </w:r>
      <w:r w:rsidR="00C01214" w:rsidRPr="00592A4A">
        <w:t xml:space="preserve">propuesta </w:t>
      </w:r>
      <w:r w:rsidR="00605B4F" w:rsidRPr="00592A4A">
        <w:t>y la</w:t>
      </w:r>
      <w:r w:rsidR="00F0540A" w:rsidRPr="00592A4A">
        <w:t xml:space="preserve"> </w:t>
      </w:r>
      <w:r w:rsidR="00807410" w:rsidRPr="00592A4A">
        <w:t xml:space="preserve">Propuesta Común Europea </w:t>
      </w:r>
      <w:r w:rsidR="00F0540A" w:rsidRPr="00592A4A">
        <w:t xml:space="preserve">de que </w:t>
      </w:r>
      <w:r w:rsidR="00807410" w:rsidRPr="00592A4A">
        <w:t xml:space="preserve">el </w:t>
      </w:r>
      <w:r w:rsidR="00F0540A" w:rsidRPr="00592A4A">
        <w:t>primer</w:t>
      </w:r>
      <w:r w:rsidR="00B94F31" w:rsidRPr="00592A4A">
        <w:t xml:space="preserve"> objetivo intermedio</w:t>
      </w:r>
      <w:r w:rsidR="00807410" w:rsidRPr="00592A4A">
        <w:t xml:space="preserve"> se</w:t>
      </w:r>
      <w:r w:rsidR="00F0540A" w:rsidRPr="00592A4A">
        <w:t xml:space="preserve"> </w:t>
      </w:r>
      <w:r w:rsidR="003C3087" w:rsidRPr="00592A4A">
        <w:t xml:space="preserve">cumpla </w:t>
      </w:r>
      <w:r w:rsidR="00F0540A" w:rsidRPr="00592A4A">
        <w:t xml:space="preserve">dos años después de la fecha de inicio </w:t>
      </w:r>
      <w:r w:rsidR="00C01214" w:rsidRPr="00592A4A">
        <w:t>permiten conseguir</w:t>
      </w:r>
      <w:r w:rsidR="00B94F31" w:rsidRPr="00592A4A">
        <w:t xml:space="preserve"> </w:t>
      </w:r>
      <w:r w:rsidR="00F0540A" w:rsidRPr="00592A4A">
        <w:t>un equilibrio entre</w:t>
      </w:r>
      <w:r w:rsidR="00B94F31" w:rsidRPr="00592A4A">
        <w:t xml:space="preserve"> la </w:t>
      </w:r>
      <w:r w:rsidR="003057E0" w:rsidRPr="00592A4A">
        <w:t xml:space="preserve">prevención </w:t>
      </w:r>
      <w:r w:rsidR="00B94F31" w:rsidRPr="00592A4A">
        <w:t>de</w:t>
      </w:r>
      <w:r w:rsidR="003057E0" w:rsidRPr="00592A4A">
        <w:t>l</w:t>
      </w:r>
      <w:r w:rsidR="00B94F31" w:rsidRPr="00592A4A">
        <w:t xml:space="preserve"> acaparamiento de espectro</w:t>
      </w:r>
      <w:r w:rsidR="00F0540A" w:rsidRPr="00592A4A">
        <w:t xml:space="preserve">, </w:t>
      </w:r>
      <w:r w:rsidR="003057E0" w:rsidRPr="00592A4A">
        <w:t xml:space="preserve">la </w:t>
      </w:r>
      <w:r w:rsidR="00F0540A" w:rsidRPr="00592A4A">
        <w:t>reduc</w:t>
      </w:r>
      <w:r w:rsidR="003057E0" w:rsidRPr="00592A4A">
        <w:t>ción de</w:t>
      </w:r>
      <w:r w:rsidR="00F0540A" w:rsidRPr="00592A4A">
        <w:t xml:space="preserve"> la incertidumbre normativa y </w:t>
      </w:r>
      <w:r w:rsidR="003057E0" w:rsidRPr="00592A4A">
        <w:t>la previsión de</w:t>
      </w:r>
      <w:r w:rsidR="003C3087" w:rsidRPr="00592A4A">
        <w:t>l</w:t>
      </w:r>
      <w:r w:rsidR="00F0540A" w:rsidRPr="00592A4A">
        <w:t xml:space="preserve"> tiempo</w:t>
      </w:r>
      <w:r w:rsidR="003C3087" w:rsidRPr="00592A4A">
        <w:t xml:space="preserve"> necesario para que lo</w:t>
      </w:r>
      <w:r w:rsidR="00F0540A" w:rsidRPr="00592A4A">
        <w:t xml:space="preserve">s sistemas </w:t>
      </w:r>
      <w:r w:rsidR="003057E0" w:rsidRPr="00592A4A">
        <w:t>notificados previamente</w:t>
      </w:r>
      <w:r w:rsidR="00F0540A" w:rsidRPr="00592A4A">
        <w:t xml:space="preserve"> </w:t>
      </w:r>
      <w:r w:rsidR="003057E0" w:rsidRPr="00592A4A">
        <w:t xml:space="preserve">puedan </w:t>
      </w:r>
      <w:r w:rsidR="00F0540A" w:rsidRPr="00592A4A">
        <w:t>adapt</w:t>
      </w:r>
      <w:r w:rsidR="003057E0" w:rsidRPr="00592A4A">
        <w:t>ar</w:t>
      </w:r>
      <w:r w:rsidR="00F0540A" w:rsidRPr="00592A4A">
        <w:t xml:space="preserve"> su plan de despliegue, en caso necesario, </w:t>
      </w:r>
      <w:r w:rsidR="00807410" w:rsidRPr="00592A4A">
        <w:t xml:space="preserve">a efectos de </w:t>
      </w:r>
      <w:r w:rsidR="00F0540A" w:rsidRPr="00592A4A">
        <w:t xml:space="preserve">cumplir los </w:t>
      </w:r>
      <w:r w:rsidR="00807410" w:rsidRPr="00592A4A">
        <w:t>objetivos intermedios</w:t>
      </w:r>
      <w:r w:rsidR="00F0540A" w:rsidRPr="00592A4A">
        <w:t>. A</w:t>
      </w:r>
      <w:r w:rsidR="00807410" w:rsidRPr="00592A4A">
        <w:t>demás</w:t>
      </w:r>
      <w:r w:rsidR="00F0540A" w:rsidRPr="00592A4A">
        <w:t xml:space="preserve"> de la fecha de inicio propuesta, las </w:t>
      </w:r>
      <w:r w:rsidR="00807410" w:rsidRPr="00592A4A">
        <w:t>A</w:t>
      </w:r>
      <w:r w:rsidR="00F0540A" w:rsidRPr="00592A4A">
        <w:t xml:space="preserve">dministraciones </w:t>
      </w:r>
      <w:r w:rsidR="00807410" w:rsidRPr="00592A4A">
        <w:t>firmantes</w:t>
      </w:r>
      <w:r w:rsidR="00F0540A" w:rsidRPr="00592A4A">
        <w:t xml:space="preserve"> apoyan el resto del texto reglamentario </w:t>
      </w:r>
      <w:r w:rsidR="00807410" w:rsidRPr="00592A4A">
        <w:t xml:space="preserve">que </w:t>
      </w:r>
      <w:r w:rsidR="00F0540A" w:rsidRPr="00592A4A">
        <w:t xml:space="preserve">figura en la </w:t>
      </w:r>
      <w:bookmarkStart w:id="7" w:name="_Hlk21940723"/>
      <w:r w:rsidR="00F0540A" w:rsidRPr="00592A4A">
        <w:t>Propuesta Común Europea</w:t>
      </w:r>
      <w:bookmarkEnd w:id="7"/>
      <w:r w:rsidR="00F0540A" w:rsidRPr="00592A4A">
        <w:t xml:space="preserve">, por lo </w:t>
      </w:r>
      <w:r w:rsidR="00807410" w:rsidRPr="00592A4A">
        <w:t>que</w:t>
      </w:r>
      <w:r w:rsidR="00F0540A" w:rsidRPr="00592A4A">
        <w:t xml:space="preserve"> esas secciones no se han incluido en la presente contribución</w:t>
      </w:r>
      <w:r w:rsidR="00F939FF" w:rsidRPr="00592A4A">
        <w:t>.</w:t>
      </w:r>
    </w:p>
    <w:p w14:paraId="782A7DF1" w14:textId="408CF084" w:rsidR="005D0032" w:rsidRPr="00592A4A" w:rsidRDefault="005D0032" w:rsidP="0058375A">
      <w:r w:rsidRPr="00592A4A">
        <w:br w:type="page"/>
      </w:r>
    </w:p>
    <w:p w14:paraId="385CE64A" w14:textId="5BBE2081" w:rsidR="00F939FF" w:rsidRPr="00592A4A" w:rsidRDefault="00F0540A" w:rsidP="0058375A">
      <w:pPr>
        <w:pStyle w:val="Headingb"/>
      </w:pPr>
      <w:r w:rsidRPr="00592A4A">
        <w:lastRenderedPageBreak/>
        <w:t>Propuestas</w:t>
      </w:r>
    </w:p>
    <w:p w14:paraId="1715E5EC" w14:textId="77777777" w:rsidR="00D442BA" w:rsidRPr="00D96738" w:rsidRDefault="00F939FF" w:rsidP="0058375A">
      <w:pPr>
        <w:pStyle w:val="Proposal"/>
      </w:pPr>
      <w:r w:rsidRPr="00D96738">
        <w:t>ADD</w:t>
      </w:r>
      <w:r w:rsidRPr="00D96738">
        <w:tab/>
        <w:t>D/AUT/FIN/HNG/NOR/POR/CZE/G/56/1</w:t>
      </w:r>
      <w:r w:rsidRPr="00D96738">
        <w:rPr>
          <w:vanish/>
          <w:color w:val="7F7F7F" w:themeColor="text1" w:themeTint="80"/>
          <w:vertAlign w:val="superscript"/>
        </w:rPr>
        <w:t>#50063</w:t>
      </w:r>
    </w:p>
    <w:p w14:paraId="3E22522C" w14:textId="0A5DE842" w:rsidR="00F939FF" w:rsidRPr="00592A4A" w:rsidRDefault="00F939FF" w:rsidP="0058375A">
      <w:pPr>
        <w:pStyle w:val="ResNo"/>
        <w:rPr>
          <w:sz w:val="22"/>
        </w:rPr>
      </w:pPr>
      <w:r w:rsidRPr="00592A4A">
        <w:t>PROYECTO DE NUEVA RESOLUCIÓN [D/AUT/FIN/HNG/NOR/</w:t>
      </w:r>
      <w:r w:rsidR="003B0961" w:rsidRPr="00592A4A">
        <w:br/>
      </w:r>
      <w:r w:rsidRPr="00592A4A">
        <w:t>POR/CZE/G-A7(A)-NGSO-Milestones] (CMR-19)</w:t>
      </w:r>
    </w:p>
    <w:p w14:paraId="45B727BE" w14:textId="380E4873" w:rsidR="00F939FF" w:rsidRPr="00592A4A" w:rsidRDefault="00F939FF" w:rsidP="0058375A">
      <w:pPr>
        <w:pStyle w:val="Restitle"/>
      </w:pPr>
      <w:r w:rsidRPr="00592A4A">
        <w:t xml:space="preserve">Enfoque basado en objetivos intermedios para la implementación de asignaciones de frecuencia a estaciones espaciales de sistemas de </w:t>
      </w:r>
      <w:r w:rsidRPr="00592A4A">
        <w:br/>
        <w:t xml:space="preserve">satélites en la órbita de satélites no geoestacionarios en </w:t>
      </w:r>
      <w:r w:rsidR="00393D68" w:rsidRPr="00592A4A">
        <w:br/>
      </w:r>
      <w:r w:rsidRPr="00592A4A">
        <w:t>ciertas bandas de frecuencias y servicios</w:t>
      </w:r>
    </w:p>
    <w:p w14:paraId="55E85C77" w14:textId="77777777" w:rsidR="00793A10" w:rsidRPr="00592A4A" w:rsidRDefault="00793A10" w:rsidP="0058375A">
      <w:r w:rsidRPr="00592A4A">
        <w:t>…</w:t>
      </w:r>
    </w:p>
    <w:p w14:paraId="299371D9" w14:textId="77777777" w:rsidR="00F939FF" w:rsidRPr="00592A4A" w:rsidRDefault="00F939FF" w:rsidP="0058375A">
      <w:pPr>
        <w:pStyle w:val="Call"/>
      </w:pPr>
      <w:r w:rsidRPr="00592A4A">
        <w:t>considerando</w:t>
      </w:r>
    </w:p>
    <w:p w14:paraId="51181194" w14:textId="77777777" w:rsidR="00793A10" w:rsidRPr="00592A4A" w:rsidRDefault="00793A10" w:rsidP="0058375A">
      <w:r w:rsidRPr="00592A4A">
        <w:t>…</w:t>
      </w:r>
    </w:p>
    <w:p w14:paraId="405C9E79" w14:textId="77777777" w:rsidR="00F939FF" w:rsidRPr="00592A4A" w:rsidRDefault="00F939FF" w:rsidP="0058375A">
      <w:pPr>
        <w:pStyle w:val="Call"/>
      </w:pPr>
      <w:r w:rsidRPr="00592A4A">
        <w:t>reconociendo</w:t>
      </w:r>
    </w:p>
    <w:p w14:paraId="4CF1C698" w14:textId="77777777" w:rsidR="00793A10" w:rsidRPr="00592A4A" w:rsidRDefault="00793A10" w:rsidP="0058375A">
      <w:r w:rsidRPr="00592A4A">
        <w:t>…</w:t>
      </w:r>
    </w:p>
    <w:p w14:paraId="70CBBA3A" w14:textId="0EBB7A84" w:rsidR="00F939FF" w:rsidRPr="00592A4A" w:rsidRDefault="00F939FF" w:rsidP="0058375A">
      <w:r w:rsidRPr="00592A4A">
        <w:rPr>
          <w:i/>
          <w:iCs/>
        </w:rPr>
        <w:t>c)</w:t>
      </w:r>
      <w:r w:rsidRPr="00592A4A">
        <w:rPr>
          <w:i/>
          <w:iCs/>
        </w:rPr>
        <w:tab/>
      </w:r>
      <w:r w:rsidRPr="00592A4A">
        <w:t xml:space="preserve">que, como el número </w:t>
      </w:r>
      <w:r w:rsidRPr="00592A4A">
        <w:rPr>
          <w:b/>
          <w:bCs/>
        </w:rPr>
        <w:t>13.6</w:t>
      </w:r>
      <w:r w:rsidRPr="00592A4A">
        <w:t xml:space="preserve"> es de aplicación a los sistemas no OSG con asignaciones de frecuencias cuya puesta en servicio se haya confirmado antes de</w:t>
      </w:r>
      <w:r w:rsidR="003C3087" w:rsidRPr="00592A4A">
        <w:t xml:space="preserve">l 1 de enero de </w:t>
      </w:r>
      <w:r w:rsidR="00793A10" w:rsidRPr="00592A4A">
        <w:t xml:space="preserve">2021 </w:t>
      </w:r>
      <w:r w:rsidRPr="00592A4A">
        <w:t>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592A4A">
        <w:rPr>
          <w:b/>
          <w:bCs/>
        </w:rPr>
        <w:t>4</w:t>
      </w:r>
      <w:r w:rsidRPr="00592A4A">
        <w:t xml:space="preserve"> o de completar el despliegue de conformidad con la presente Resolución;</w:t>
      </w:r>
    </w:p>
    <w:p w14:paraId="52B42693" w14:textId="5F4860EA" w:rsidR="00F939FF" w:rsidRPr="00592A4A" w:rsidRDefault="00F939FF" w:rsidP="0058375A">
      <w:r w:rsidRPr="00592A4A">
        <w:rPr>
          <w:i/>
        </w:rPr>
        <w:t>d)</w:t>
      </w:r>
      <w:r w:rsidRPr="00592A4A">
        <w:rPr>
          <w:i/>
        </w:rPr>
        <w:tab/>
      </w:r>
      <w:r w:rsidRPr="00592A4A">
        <w:t xml:space="preserve">que, con respecto a las asignaciones de frecuencias a sistemas no OSG puestas en servicio y que hayan agotado el plazo previsto en el número </w:t>
      </w:r>
      <w:r w:rsidR="00605B4F" w:rsidRPr="00592A4A">
        <w:t xml:space="preserve">MOD </w:t>
      </w:r>
      <w:r w:rsidRPr="00592A4A">
        <w:rPr>
          <w:b/>
          <w:bCs/>
        </w:rPr>
        <w:t>11.44</w:t>
      </w:r>
      <w:r w:rsidRPr="00592A4A">
        <w:t xml:space="preserve"> antes de</w:t>
      </w:r>
      <w:r w:rsidR="00605B4F" w:rsidRPr="00592A4A">
        <w:t>l 1 de enero de 2021</w:t>
      </w:r>
      <w:r w:rsidRPr="00592A4A">
        <w:t xml:space="preserve"> 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592A4A">
        <w:rPr>
          <w:b/>
          <w:bCs/>
        </w:rPr>
        <w:t>4</w:t>
      </w:r>
      <w:r w:rsidRPr="00592A4A">
        <w:t xml:space="preserve"> de sus asignaciones de frecuencias inscritas, o de disponer del tiempo suficiente para completar el despliegue de conformidad con la presente Resolución;</w:t>
      </w:r>
    </w:p>
    <w:p w14:paraId="437C7AAB" w14:textId="77777777" w:rsidR="00B200A5" w:rsidRPr="00592A4A" w:rsidRDefault="00B200A5" w:rsidP="0058375A">
      <w:r w:rsidRPr="00592A4A">
        <w:t>…</w:t>
      </w:r>
    </w:p>
    <w:p w14:paraId="13C73E50" w14:textId="77777777" w:rsidR="00F939FF" w:rsidRPr="00592A4A" w:rsidRDefault="00F939FF" w:rsidP="0058375A">
      <w:pPr>
        <w:pStyle w:val="Call"/>
      </w:pPr>
      <w:r w:rsidRPr="00592A4A">
        <w:t>reconociendo además</w:t>
      </w:r>
    </w:p>
    <w:p w14:paraId="1984904C" w14:textId="77777777" w:rsidR="00B200A5" w:rsidRPr="00592A4A" w:rsidRDefault="00B200A5" w:rsidP="0058375A">
      <w:r w:rsidRPr="00592A4A">
        <w:t>…</w:t>
      </w:r>
    </w:p>
    <w:p w14:paraId="7E3E6B82" w14:textId="77777777" w:rsidR="00F939FF" w:rsidRPr="00592A4A" w:rsidRDefault="00F939FF" w:rsidP="0058375A">
      <w:pPr>
        <w:pStyle w:val="Call"/>
      </w:pPr>
      <w:r w:rsidRPr="00592A4A">
        <w:t>observando</w:t>
      </w:r>
    </w:p>
    <w:p w14:paraId="0DA071E1" w14:textId="77777777" w:rsidR="00B200A5" w:rsidRPr="00592A4A" w:rsidRDefault="00B200A5" w:rsidP="0058375A">
      <w:r w:rsidRPr="00592A4A">
        <w:t>…</w:t>
      </w:r>
    </w:p>
    <w:p w14:paraId="388D3BA1" w14:textId="77777777" w:rsidR="00F939FF" w:rsidRPr="00592A4A" w:rsidRDefault="00F939FF" w:rsidP="0058375A">
      <w:pPr>
        <w:pStyle w:val="Call"/>
        <w:rPr>
          <w:szCs w:val="24"/>
        </w:rPr>
      </w:pPr>
      <w:r w:rsidRPr="00592A4A">
        <w:t>resuelve</w:t>
      </w:r>
    </w:p>
    <w:p w14:paraId="5F3D760A" w14:textId="77777777" w:rsidR="00B200A5" w:rsidRPr="00592A4A" w:rsidRDefault="00B200A5" w:rsidP="0058375A">
      <w:r w:rsidRPr="00592A4A">
        <w:t>…</w:t>
      </w:r>
    </w:p>
    <w:p w14:paraId="62146B9B" w14:textId="0F3FE473" w:rsidR="00F939FF" w:rsidRPr="00592A4A" w:rsidRDefault="00F939FF" w:rsidP="0058375A">
      <w:pPr>
        <w:rPr>
          <w:rFonts w:asciiTheme="majorBidi" w:hAnsiTheme="majorBidi" w:cstheme="majorBidi"/>
          <w:szCs w:val="24"/>
        </w:rPr>
      </w:pPr>
      <w:r w:rsidRPr="00592A4A">
        <w:rPr>
          <w:rFonts w:asciiTheme="majorBidi" w:hAnsiTheme="majorBidi" w:cstheme="majorBidi"/>
          <w:szCs w:val="24"/>
        </w:rPr>
        <w:t>2</w:t>
      </w:r>
      <w:r w:rsidRPr="00592A4A">
        <w:rPr>
          <w:rFonts w:asciiTheme="majorBidi" w:hAnsiTheme="majorBidi" w:cstheme="majorBidi"/>
          <w:szCs w:val="24"/>
        </w:rPr>
        <w:tab/>
        <w:t xml:space="preserve">que, para las asignaciones de frecuencias a las que se aplique el </w:t>
      </w:r>
      <w:r w:rsidRPr="00592A4A">
        <w:rPr>
          <w:rFonts w:asciiTheme="majorBidi" w:hAnsiTheme="majorBidi" w:cstheme="majorBidi"/>
          <w:i/>
          <w:iCs/>
          <w:szCs w:val="24"/>
        </w:rPr>
        <w:t xml:space="preserve">resuelve </w:t>
      </w:r>
      <w:r w:rsidRPr="00592A4A">
        <w:rPr>
          <w:rFonts w:asciiTheme="majorBidi" w:hAnsiTheme="majorBidi" w:cstheme="majorBidi"/>
          <w:szCs w:val="24"/>
        </w:rPr>
        <w:t xml:space="preserve">1 </w:t>
      </w:r>
      <w:r w:rsidRPr="00592A4A">
        <w:t xml:space="preserve">y cuyo fin del periodo reglamentario de siete años sea </w:t>
      </w:r>
      <w:r w:rsidR="00605B4F" w:rsidRPr="00592A4A">
        <w:t xml:space="preserve">el 1 de enero de 2021 </w:t>
      </w:r>
      <w:r w:rsidRPr="00592A4A">
        <w:rPr>
          <w:rFonts w:asciiTheme="majorBidi" w:hAnsiTheme="majorBidi" w:cstheme="majorBidi"/>
          <w:szCs w:val="24"/>
        </w:rPr>
        <w:t xml:space="preserve">o </w:t>
      </w:r>
      <w:r w:rsidR="00605B4F" w:rsidRPr="00592A4A">
        <w:rPr>
          <w:rFonts w:asciiTheme="majorBidi" w:hAnsiTheme="majorBidi" w:cstheme="majorBidi"/>
          <w:szCs w:val="24"/>
        </w:rPr>
        <w:t xml:space="preserve">una fecha </w:t>
      </w:r>
      <w:r w:rsidRPr="00592A4A">
        <w:rPr>
          <w:rFonts w:asciiTheme="majorBidi" w:hAnsiTheme="majorBidi" w:cstheme="majorBidi"/>
          <w:szCs w:val="24"/>
        </w:rPr>
        <w:t xml:space="preserve">posterior, la administración notificante comunicará a la Oficina la información sobre el despliegue requerida de conformidad con el Anexo 1 a la presente Resolución, a más tardar 30 días después de que termine </w:t>
      </w:r>
      <w:r w:rsidRPr="00592A4A">
        <w:rPr>
          <w:rFonts w:asciiTheme="majorBidi" w:hAnsiTheme="majorBidi" w:cstheme="majorBidi"/>
          <w:szCs w:val="24"/>
        </w:rPr>
        <w:lastRenderedPageBreak/>
        <w:t>el periodo reglamentario especificado en el número MOD</w:t>
      </w:r>
      <w:r w:rsidRPr="00592A4A">
        <w:rPr>
          <w:rFonts w:asciiTheme="majorBidi" w:hAnsiTheme="majorBidi" w:cstheme="majorBidi"/>
          <w:b/>
          <w:bCs/>
          <w:szCs w:val="24"/>
        </w:rPr>
        <w:t xml:space="preserve"> 11.44</w:t>
      </w:r>
      <w:r w:rsidRPr="00592A4A">
        <w:rPr>
          <w:rFonts w:asciiTheme="majorBidi" w:hAnsiTheme="majorBidi" w:cstheme="majorBidi"/>
          <w:szCs w:val="24"/>
        </w:rPr>
        <w:t xml:space="preserve"> o 30 días después de que termine el periodo de puesta en servicio del número MOD</w:t>
      </w:r>
      <w:r w:rsidRPr="00592A4A">
        <w:rPr>
          <w:rFonts w:asciiTheme="majorBidi" w:hAnsiTheme="majorBidi" w:cstheme="majorBidi"/>
          <w:b/>
          <w:bCs/>
          <w:szCs w:val="24"/>
        </w:rPr>
        <w:t xml:space="preserve"> 11.44C</w:t>
      </w:r>
      <w:r w:rsidRPr="00592A4A">
        <w:rPr>
          <w:rFonts w:asciiTheme="majorBidi" w:hAnsiTheme="majorBidi" w:cstheme="majorBidi"/>
          <w:szCs w:val="24"/>
        </w:rPr>
        <w:t>, si esta fecha es posterior;</w:t>
      </w:r>
    </w:p>
    <w:p w14:paraId="3CA864EB" w14:textId="6EB5D057" w:rsidR="00F939FF" w:rsidRPr="00592A4A" w:rsidRDefault="00F939FF" w:rsidP="0058375A">
      <w:pPr>
        <w:rPr>
          <w:rFonts w:asciiTheme="majorBidi" w:hAnsiTheme="majorBidi" w:cstheme="majorBidi"/>
          <w:color w:val="000000"/>
          <w:szCs w:val="24"/>
        </w:rPr>
      </w:pPr>
      <w:r w:rsidRPr="00592A4A">
        <w:rPr>
          <w:rFonts w:asciiTheme="majorBidi" w:hAnsiTheme="majorBidi" w:cstheme="majorBidi"/>
          <w:szCs w:val="24"/>
        </w:rPr>
        <w:t>3</w:t>
      </w:r>
      <w:r w:rsidRPr="00592A4A">
        <w:rPr>
          <w:rFonts w:asciiTheme="majorBidi" w:hAnsiTheme="majorBidi" w:cstheme="majorBidi"/>
          <w:szCs w:val="24"/>
        </w:rPr>
        <w:tab/>
        <w:t xml:space="preserve">que, para las asignaciones de frecuencias a las que se aplique el </w:t>
      </w:r>
      <w:r w:rsidRPr="00592A4A">
        <w:rPr>
          <w:rFonts w:asciiTheme="majorBidi" w:hAnsiTheme="majorBidi" w:cstheme="majorBidi"/>
          <w:i/>
          <w:iCs/>
          <w:szCs w:val="24"/>
        </w:rPr>
        <w:t>resuelve</w:t>
      </w:r>
      <w:r w:rsidRPr="00592A4A">
        <w:rPr>
          <w:rFonts w:asciiTheme="majorBidi" w:hAnsiTheme="majorBidi" w:cstheme="majorBidi"/>
          <w:szCs w:val="24"/>
        </w:rPr>
        <w:t xml:space="preserve"> 1 </w:t>
      </w:r>
      <w:r w:rsidRPr="00592A4A">
        <w:t xml:space="preserve">y cuyo fin del periodo reglamentario de siete años especificado en el número </w:t>
      </w:r>
      <w:r w:rsidRPr="00592A4A">
        <w:rPr>
          <w:rFonts w:asciiTheme="majorBidi" w:hAnsiTheme="majorBidi" w:cstheme="majorBidi"/>
          <w:bCs/>
          <w:color w:val="000000"/>
          <w:szCs w:val="24"/>
        </w:rPr>
        <w:t>MOD</w:t>
      </w:r>
      <w:r w:rsidRPr="00592A4A">
        <w:rPr>
          <w:rFonts w:asciiTheme="majorBidi" w:hAnsiTheme="majorBidi" w:cstheme="majorBidi"/>
          <w:szCs w:val="24"/>
        </w:rPr>
        <w:t xml:space="preserve"> </w:t>
      </w:r>
      <w:r w:rsidRPr="00592A4A">
        <w:rPr>
          <w:rFonts w:asciiTheme="majorBidi" w:hAnsiTheme="majorBidi" w:cstheme="majorBidi"/>
          <w:b/>
          <w:color w:val="000000"/>
        </w:rPr>
        <w:t>11.44</w:t>
      </w:r>
      <w:r w:rsidRPr="00592A4A">
        <w:rPr>
          <w:rFonts w:asciiTheme="majorBidi" w:hAnsiTheme="majorBidi" w:cstheme="majorBidi"/>
          <w:color w:val="000000"/>
        </w:rPr>
        <w:t xml:space="preserve"> </w:t>
      </w:r>
      <w:r w:rsidRPr="00592A4A">
        <w:rPr>
          <w:rFonts w:asciiTheme="majorBidi" w:hAnsiTheme="majorBidi" w:cstheme="majorBidi"/>
          <w:szCs w:val="24"/>
        </w:rPr>
        <w:t xml:space="preserve">haya expirado antes </w:t>
      </w:r>
      <w:r w:rsidR="00605B4F" w:rsidRPr="00592A4A">
        <w:rPr>
          <w:rFonts w:asciiTheme="majorBidi" w:hAnsiTheme="majorBidi" w:cstheme="majorBidi"/>
          <w:szCs w:val="24"/>
        </w:rPr>
        <w:t xml:space="preserve">del 1 de enero de 2021 </w:t>
      </w:r>
      <w:r w:rsidRPr="00592A4A">
        <w:rPr>
          <w:rFonts w:asciiTheme="majorBidi" w:hAnsiTheme="majorBidi" w:cstheme="majorBidi"/>
          <w:szCs w:val="24"/>
        </w:rPr>
        <w:t xml:space="preserve">, la administración notificante comunicará a la Oficina la información sobre el despliegue requerida de conformidad con el Anexo 1 a la presente Resolución, a más tardar 30 días después de </w:t>
      </w:r>
      <w:r w:rsidRPr="00592A4A">
        <w:t xml:space="preserve">la </w:t>
      </w:r>
      <w:r w:rsidR="00605B4F" w:rsidRPr="00592A4A">
        <w:t>fecha mencionada</w:t>
      </w:r>
      <w:r w:rsidRPr="00592A4A">
        <w:rPr>
          <w:rFonts w:asciiTheme="majorBidi" w:hAnsiTheme="majorBidi" w:cstheme="majorBidi"/>
          <w:szCs w:val="24"/>
        </w:rPr>
        <w:t>;</w:t>
      </w:r>
    </w:p>
    <w:p w14:paraId="71AB9E57" w14:textId="77777777" w:rsidR="004E0663" w:rsidRPr="00592A4A" w:rsidRDefault="004E0663" w:rsidP="0058375A">
      <w:r w:rsidRPr="00592A4A">
        <w:t>…</w:t>
      </w:r>
    </w:p>
    <w:p w14:paraId="04F437F3" w14:textId="77777777" w:rsidR="00F939FF" w:rsidRPr="00592A4A" w:rsidRDefault="00F939FF" w:rsidP="0058375A">
      <w:pPr>
        <w:rPr>
          <w:kern w:val="2"/>
          <w:sz w:val="21"/>
          <w:lang w:eastAsia="zh-CN"/>
        </w:rPr>
      </w:pPr>
      <w:r w:rsidRPr="00592A4A">
        <w:t>7</w:t>
      </w:r>
      <w:r w:rsidRPr="00592A4A">
        <w:tab/>
        <w:t xml:space="preserve">que, para las asignaciones de frecuencias a que se aplica el </w:t>
      </w:r>
      <w:r w:rsidRPr="00592A4A">
        <w:rPr>
          <w:i/>
        </w:rPr>
        <w:t>resuelve</w:t>
      </w:r>
      <w:r w:rsidRPr="00592A4A">
        <w:t xml:space="preserve"> 3, la administración notificante comunique a la Oficina la información de despliegue requerida en virtud del Anexo 1 a la presente Resolución al vencimiento del periodo de objetivos intermedios indicado en las subsecciones </w:t>
      </w:r>
      <w:r w:rsidRPr="00592A4A">
        <w:rPr>
          <w:i/>
        </w:rPr>
        <w:t>a)</w:t>
      </w:r>
      <w:r w:rsidRPr="00592A4A">
        <w:t xml:space="preserve"> a </w:t>
      </w:r>
      <w:r w:rsidRPr="00592A4A">
        <w:rPr>
          <w:i/>
        </w:rPr>
        <w:t>c)</w:t>
      </w:r>
      <w:r w:rsidRPr="00592A4A">
        <w:t xml:space="preserve"> de este </w:t>
      </w:r>
      <w:r w:rsidRPr="00592A4A">
        <w:rPr>
          <w:i/>
          <w:kern w:val="2"/>
          <w:lang w:eastAsia="zh-CN"/>
        </w:rPr>
        <w:t>resuelve</w:t>
      </w:r>
      <w:r w:rsidRPr="00592A4A">
        <w:t xml:space="preserve"> 7:</w:t>
      </w:r>
    </w:p>
    <w:p w14:paraId="2813251E" w14:textId="7395A07C" w:rsidR="00F939FF" w:rsidRPr="00592A4A" w:rsidRDefault="00F939FF" w:rsidP="0058375A">
      <w:pPr>
        <w:pStyle w:val="enumlev1"/>
      </w:pPr>
      <w:r w:rsidRPr="00592A4A">
        <w:rPr>
          <w:i/>
          <w:iCs/>
        </w:rPr>
        <w:t>a)</w:t>
      </w:r>
      <w:r w:rsidRPr="00592A4A">
        <w:tab/>
        <w:t xml:space="preserve">a más tardar 30 días después de que termine el periodo de </w:t>
      </w:r>
      <w:r w:rsidR="0091716D" w:rsidRPr="00592A4A">
        <w:t xml:space="preserve">dos </w:t>
      </w:r>
      <w:r w:rsidRPr="00592A4A">
        <w:t xml:space="preserve">años tras </w:t>
      </w:r>
      <w:r w:rsidR="0091716D" w:rsidRPr="00592A4A">
        <w:t>el 1 de enero de</w:t>
      </w:r>
      <w:r w:rsidR="00F80F4C" w:rsidRPr="00592A4A">
        <w:t> </w:t>
      </w:r>
      <w:r w:rsidR="0091716D" w:rsidRPr="00592A4A">
        <w:t>2021</w:t>
      </w:r>
      <w:r w:rsidRPr="00592A4A">
        <w:t>;</w:t>
      </w:r>
    </w:p>
    <w:p w14:paraId="0183C073" w14:textId="79A148E2" w:rsidR="00F939FF" w:rsidRPr="00592A4A" w:rsidRDefault="00F939FF" w:rsidP="0058375A">
      <w:pPr>
        <w:pStyle w:val="enumlev1"/>
      </w:pPr>
      <w:r w:rsidRPr="00592A4A">
        <w:rPr>
          <w:i/>
          <w:iCs/>
        </w:rPr>
        <w:t>b)</w:t>
      </w:r>
      <w:r w:rsidRPr="00592A4A">
        <w:tab/>
        <w:t xml:space="preserve">a más tardar 30 días después de que termine el periodo de </w:t>
      </w:r>
      <w:r w:rsidR="0091716D" w:rsidRPr="00592A4A">
        <w:t xml:space="preserve">cuatro </w:t>
      </w:r>
      <w:r w:rsidRPr="00592A4A">
        <w:t xml:space="preserve">años tras </w:t>
      </w:r>
      <w:r w:rsidR="0091716D" w:rsidRPr="00592A4A">
        <w:t>el 1 de enero de 2021</w:t>
      </w:r>
      <w:r w:rsidRPr="00592A4A">
        <w:t>;</w:t>
      </w:r>
    </w:p>
    <w:p w14:paraId="367AB95F" w14:textId="3B7603E8" w:rsidR="00F939FF" w:rsidRPr="00592A4A" w:rsidRDefault="00F939FF" w:rsidP="0058375A">
      <w:pPr>
        <w:pStyle w:val="enumlev1"/>
      </w:pPr>
      <w:r w:rsidRPr="00592A4A">
        <w:rPr>
          <w:i/>
          <w:iCs/>
        </w:rPr>
        <w:t>c)</w:t>
      </w:r>
      <w:r w:rsidRPr="00592A4A">
        <w:tab/>
        <w:t>a más tardar 30 días después de que termine el periodo de</w:t>
      </w:r>
      <w:r w:rsidR="0091716D" w:rsidRPr="00592A4A">
        <w:t xml:space="preserve"> siete </w:t>
      </w:r>
      <w:r w:rsidRPr="00592A4A">
        <w:t xml:space="preserve">años tras </w:t>
      </w:r>
      <w:r w:rsidR="0091716D" w:rsidRPr="00592A4A">
        <w:t>el 1 de enero de 2021</w:t>
      </w:r>
      <w:r w:rsidRPr="00592A4A">
        <w:t>;</w:t>
      </w:r>
    </w:p>
    <w:p w14:paraId="33CD43D4" w14:textId="77777777" w:rsidR="006E182A" w:rsidRPr="00592A4A" w:rsidRDefault="006E182A" w:rsidP="0058375A">
      <w:r w:rsidRPr="00592A4A">
        <w:t>…</w:t>
      </w:r>
    </w:p>
    <w:p w14:paraId="34D9AFE6" w14:textId="77777777" w:rsidR="00F939FF" w:rsidRPr="00592A4A" w:rsidRDefault="00F939FF" w:rsidP="0058375A">
      <w:pPr>
        <w:pStyle w:val="Call"/>
      </w:pPr>
      <w:r w:rsidRPr="00592A4A">
        <w:t>encarga a la Oficina de Radiocomunicaciones</w:t>
      </w:r>
    </w:p>
    <w:p w14:paraId="4B277EDF" w14:textId="77777777" w:rsidR="006E182A" w:rsidRPr="00592A4A" w:rsidRDefault="006E182A" w:rsidP="0058375A">
      <w:r w:rsidRPr="00592A4A">
        <w:t>…</w:t>
      </w:r>
    </w:p>
    <w:p w14:paraId="437BF5E3" w14:textId="0320C737" w:rsidR="00F939FF" w:rsidRPr="00592A4A" w:rsidRDefault="00F939FF" w:rsidP="0058375A">
      <w:pPr>
        <w:pStyle w:val="AnnexNo"/>
      </w:pPr>
      <w:r w:rsidRPr="00592A4A">
        <w:t>ANEXO 1 AL PROYECTO DE NUEVA ResoluCiÓn</w:t>
      </w:r>
      <w:r w:rsidR="006E182A" w:rsidRPr="00592A4A">
        <w:t xml:space="preserve"> </w:t>
      </w:r>
      <w:r w:rsidRPr="00592A4A">
        <w:t>[</w:t>
      </w:r>
      <w:r w:rsidR="00A7317F" w:rsidRPr="00D96738">
        <w:t>D/AUT/FIN/HNG/NOR/POR/CZE/G-</w:t>
      </w:r>
      <w:r w:rsidRPr="00592A4A">
        <w:t>A7(A)-</w:t>
      </w:r>
      <w:r w:rsidR="006E182A" w:rsidRPr="00592A4A">
        <w:br/>
      </w:r>
      <w:r w:rsidRPr="00592A4A">
        <w:t>NGSO-MILESTONES] (CMR-19)</w:t>
      </w:r>
    </w:p>
    <w:p w14:paraId="522A3025" w14:textId="77777777" w:rsidR="00E41A38" w:rsidRPr="00592A4A" w:rsidRDefault="00E41A38" w:rsidP="0058375A">
      <w:r w:rsidRPr="00592A4A">
        <w:t>…</w:t>
      </w:r>
    </w:p>
    <w:p w14:paraId="17396F8F" w14:textId="309F21C5" w:rsidR="00A7317F" w:rsidRPr="00592A4A" w:rsidRDefault="00A7317F" w:rsidP="0058375A">
      <w:pPr>
        <w:pStyle w:val="Reasons"/>
      </w:pPr>
    </w:p>
    <w:p w14:paraId="199DCB21" w14:textId="7E8DA792" w:rsidR="00D442BA" w:rsidRPr="00592A4A" w:rsidRDefault="00A7317F" w:rsidP="0058375A">
      <w:pPr>
        <w:jc w:val="center"/>
      </w:pPr>
      <w:r w:rsidRPr="00592A4A">
        <w:t>______________</w:t>
      </w:r>
      <w:bookmarkEnd w:id="0"/>
    </w:p>
    <w:sectPr w:rsidR="00D442BA" w:rsidRPr="00592A4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1B93" w14:textId="77777777" w:rsidR="00394BBA" w:rsidRDefault="00394BBA">
      <w:r>
        <w:separator/>
      </w:r>
    </w:p>
  </w:endnote>
  <w:endnote w:type="continuationSeparator" w:id="0">
    <w:p w14:paraId="7460115E" w14:textId="77777777" w:rsidR="00394BBA" w:rsidRDefault="003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F4A2" w14:textId="77777777" w:rsidR="00394BBA" w:rsidRDefault="00394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0E0A4" w14:textId="35958FA1" w:rsidR="00394BBA" w:rsidRDefault="00394BBA">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96738">
      <w:rPr>
        <w:noProof/>
      </w:rPr>
      <w:t>17.10.19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60B8E" w14:textId="77777777" w:rsidR="00EC122B" w:rsidRPr="00F939FF" w:rsidRDefault="00EC122B" w:rsidP="00EC122B">
    <w:pPr>
      <w:pStyle w:val="Footer"/>
      <w:rPr>
        <w:lang w:val="en-US"/>
      </w:rPr>
    </w:pPr>
    <w:r>
      <w:fldChar w:fldCharType="begin"/>
    </w:r>
    <w:r>
      <w:rPr>
        <w:lang w:val="en-US"/>
      </w:rPr>
      <w:instrText xml:space="preserve"> FILENAME \p  \* MERGEFORMAT </w:instrText>
    </w:r>
    <w:r>
      <w:fldChar w:fldCharType="separate"/>
    </w:r>
    <w:r>
      <w:rPr>
        <w:lang w:val="en-US"/>
      </w:rPr>
      <w:t>P:\ESP\ITU-R\CONF-R\CMR19\000\056S.docx</w:t>
    </w:r>
    <w:r>
      <w:fldChar w:fldCharType="end"/>
    </w:r>
    <w:r w:rsidRPr="00F939FF">
      <w:rPr>
        <w:lang w:val="en-US"/>
      </w:rPr>
      <w:t xml:space="preserve"> </w:t>
    </w:r>
    <w:r>
      <w:rPr>
        <w:lang w:val="en-US"/>
      </w:rPr>
      <w:t>(462038)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E6D7" w14:textId="702BAB23" w:rsidR="00394BBA" w:rsidRPr="00F939FF" w:rsidRDefault="00394BBA" w:rsidP="00B47331">
    <w:pPr>
      <w:pStyle w:val="Footer"/>
      <w:rPr>
        <w:lang w:val="en-US"/>
      </w:rPr>
    </w:pPr>
    <w:r>
      <w:fldChar w:fldCharType="begin"/>
    </w:r>
    <w:r>
      <w:rPr>
        <w:lang w:val="en-US"/>
      </w:rPr>
      <w:instrText xml:space="preserve"> FILENAME \p  \* MERGEFORMAT </w:instrText>
    </w:r>
    <w:r>
      <w:fldChar w:fldCharType="separate"/>
    </w:r>
    <w:r w:rsidR="00EC122B">
      <w:rPr>
        <w:lang w:val="en-US"/>
      </w:rPr>
      <w:t>P:\ESP\ITU-R\CONF-R\CMR19\000\056S.docx</w:t>
    </w:r>
    <w:r>
      <w:fldChar w:fldCharType="end"/>
    </w:r>
    <w:r w:rsidRPr="00F939FF">
      <w:rPr>
        <w:lang w:val="en-US"/>
      </w:rPr>
      <w:t xml:space="preserve"> </w:t>
    </w:r>
    <w:r>
      <w:rPr>
        <w:lang w:val="en-US"/>
      </w:rPr>
      <w:t>(462038)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05B6" w14:textId="77777777" w:rsidR="00394BBA" w:rsidRDefault="00394BBA">
      <w:r>
        <w:rPr>
          <w:b/>
        </w:rPr>
        <w:t>_______________</w:t>
      </w:r>
    </w:p>
  </w:footnote>
  <w:footnote w:type="continuationSeparator" w:id="0">
    <w:p w14:paraId="739D7541" w14:textId="77777777" w:rsidR="00394BBA" w:rsidRDefault="003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5B8B" w14:textId="77777777" w:rsidR="00394BBA" w:rsidRDefault="00394BB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5AA68E" w14:textId="77777777" w:rsidR="00394BBA" w:rsidRDefault="00394BBA" w:rsidP="00C44E9E">
    <w:pPr>
      <w:pStyle w:val="Header"/>
      <w:rPr>
        <w:lang w:val="en-US"/>
      </w:rPr>
    </w:pPr>
    <w:r>
      <w:rPr>
        <w:lang w:val="en-US"/>
      </w:rPr>
      <w:t>CMR19/</w:t>
    </w:r>
    <w:r>
      <w:t>56-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66E91"/>
    <w:rsid w:val="00191A97"/>
    <w:rsid w:val="0019729C"/>
    <w:rsid w:val="001A083F"/>
    <w:rsid w:val="001C41FA"/>
    <w:rsid w:val="001D3DBE"/>
    <w:rsid w:val="001E2B52"/>
    <w:rsid w:val="001E3F27"/>
    <w:rsid w:val="001E7D42"/>
    <w:rsid w:val="0023659C"/>
    <w:rsid w:val="00236D2A"/>
    <w:rsid w:val="0024569E"/>
    <w:rsid w:val="00255F12"/>
    <w:rsid w:val="00262C09"/>
    <w:rsid w:val="00284ADC"/>
    <w:rsid w:val="002A791F"/>
    <w:rsid w:val="002C1A52"/>
    <w:rsid w:val="002C1B26"/>
    <w:rsid w:val="002C5D6C"/>
    <w:rsid w:val="002E701F"/>
    <w:rsid w:val="003057E0"/>
    <w:rsid w:val="003248A9"/>
    <w:rsid w:val="00324FFA"/>
    <w:rsid w:val="0032680B"/>
    <w:rsid w:val="00363A65"/>
    <w:rsid w:val="00393D68"/>
    <w:rsid w:val="00394BBA"/>
    <w:rsid w:val="003B0961"/>
    <w:rsid w:val="003B1E8C"/>
    <w:rsid w:val="003C0613"/>
    <w:rsid w:val="003C2508"/>
    <w:rsid w:val="003C3087"/>
    <w:rsid w:val="003D0AA3"/>
    <w:rsid w:val="003E2086"/>
    <w:rsid w:val="003F7F66"/>
    <w:rsid w:val="00440B3A"/>
    <w:rsid w:val="0044375A"/>
    <w:rsid w:val="0045384C"/>
    <w:rsid w:val="00454553"/>
    <w:rsid w:val="00463FF6"/>
    <w:rsid w:val="00472A86"/>
    <w:rsid w:val="004B124A"/>
    <w:rsid w:val="004B3095"/>
    <w:rsid w:val="004D2C7C"/>
    <w:rsid w:val="004E0663"/>
    <w:rsid w:val="005133B5"/>
    <w:rsid w:val="00524392"/>
    <w:rsid w:val="00532097"/>
    <w:rsid w:val="0058350F"/>
    <w:rsid w:val="0058375A"/>
    <w:rsid w:val="00583C7E"/>
    <w:rsid w:val="0059098E"/>
    <w:rsid w:val="00592A4A"/>
    <w:rsid w:val="005D0032"/>
    <w:rsid w:val="005D46FB"/>
    <w:rsid w:val="005F2605"/>
    <w:rsid w:val="005F3B0E"/>
    <w:rsid w:val="005F3DB8"/>
    <w:rsid w:val="005F559C"/>
    <w:rsid w:val="00602857"/>
    <w:rsid w:val="00605B4F"/>
    <w:rsid w:val="006124AD"/>
    <w:rsid w:val="00624009"/>
    <w:rsid w:val="00662BA0"/>
    <w:rsid w:val="0067344B"/>
    <w:rsid w:val="00684A94"/>
    <w:rsid w:val="00692AAE"/>
    <w:rsid w:val="006C0E38"/>
    <w:rsid w:val="006D6E67"/>
    <w:rsid w:val="006E182A"/>
    <w:rsid w:val="006E1A13"/>
    <w:rsid w:val="00701C20"/>
    <w:rsid w:val="00702F3D"/>
    <w:rsid w:val="0070518E"/>
    <w:rsid w:val="007354E9"/>
    <w:rsid w:val="007424E8"/>
    <w:rsid w:val="0074579D"/>
    <w:rsid w:val="00765578"/>
    <w:rsid w:val="00766333"/>
    <w:rsid w:val="0077084A"/>
    <w:rsid w:val="00793A10"/>
    <w:rsid w:val="007952C7"/>
    <w:rsid w:val="007C0B95"/>
    <w:rsid w:val="007C2317"/>
    <w:rsid w:val="007D330A"/>
    <w:rsid w:val="00807410"/>
    <w:rsid w:val="00866AE6"/>
    <w:rsid w:val="008750A8"/>
    <w:rsid w:val="008D3316"/>
    <w:rsid w:val="008E5AF2"/>
    <w:rsid w:val="0090121B"/>
    <w:rsid w:val="009144C9"/>
    <w:rsid w:val="0091716D"/>
    <w:rsid w:val="0094091F"/>
    <w:rsid w:val="00962171"/>
    <w:rsid w:val="00973754"/>
    <w:rsid w:val="009C0BED"/>
    <w:rsid w:val="009E11EC"/>
    <w:rsid w:val="00A021CC"/>
    <w:rsid w:val="00A073C2"/>
    <w:rsid w:val="00A118DB"/>
    <w:rsid w:val="00A35B0F"/>
    <w:rsid w:val="00A4450C"/>
    <w:rsid w:val="00A7317F"/>
    <w:rsid w:val="00AA5E6C"/>
    <w:rsid w:val="00AE498C"/>
    <w:rsid w:val="00AE5677"/>
    <w:rsid w:val="00AE658F"/>
    <w:rsid w:val="00AF2F78"/>
    <w:rsid w:val="00B200A5"/>
    <w:rsid w:val="00B239FA"/>
    <w:rsid w:val="00B372AB"/>
    <w:rsid w:val="00B47331"/>
    <w:rsid w:val="00B52D55"/>
    <w:rsid w:val="00B8288C"/>
    <w:rsid w:val="00B86034"/>
    <w:rsid w:val="00B94F31"/>
    <w:rsid w:val="00BE2E80"/>
    <w:rsid w:val="00BE5EDD"/>
    <w:rsid w:val="00BE6A1F"/>
    <w:rsid w:val="00C01214"/>
    <w:rsid w:val="00C126C4"/>
    <w:rsid w:val="00C44E9E"/>
    <w:rsid w:val="00C63EB5"/>
    <w:rsid w:val="00C87DA7"/>
    <w:rsid w:val="00C92F9A"/>
    <w:rsid w:val="00CC01E0"/>
    <w:rsid w:val="00CD1D3E"/>
    <w:rsid w:val="00CD5FEE"/>
    <w:rsid w:val="00CE60D2"/>
    <w:rsid w:val="00CE7431"/>
    <w:rsid w:val="00D00CA8"/>
    <w:rsid w:val="00D0288A"/>
    <w:rsid w:val="00D07E8C"/>
    <w:rsid w:val="00D146FD"/>
    <w:rsid w:val="00D35CE0"/>
    <w:rsid w:val="00D442BA"/>
    <w:rsid w:val="00D72A5D"/>
    <w:rsid w:val="00D96738"/>
    <w:rsid w:val="00DA1F1B"/>
    <w:rsid w:val="00DA71A3"/>
    <w:rsid w:val="00DC629B"/>
    <w:rsid w:val="00DE1C31"/>
    <w:rsid w:val="00E05BFF"/>
    <w:rsid w:val="00E262F1"/>
    <w:rsid w:val="00E3176A"/>
    <w:rsid w:val="00E36CE4"/>
    <w:rsid w:val="00E41A38"/>
    <w:rsid w:val="00E54754"/>
    <w:rsid w:val="00E56BD3"/>
    <w:rsid w:val="00E63A33"/>
    <w:rsid w:val="00E71D14"/>
    <w:rsid w:val="00EA77F0"/>
    <w:rsid w:val="00EC122B"/>
    <w:rsid w:val="00F0540A"/>
    <w:rsid w:val="00F32316"/>
    <w:rsid w:val="00F66597"/>
    <w:rsid w:val="00F675D0"/>
    <w:rsid w:val="00F80F4C"/>
    <w:rsid w:val="00F8150C"/>
    <w:rsid w:val="00F939FF"/>
    <w:rsid w:val="00FB270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85622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customStyle="1" w:styleId="HeadingbChar">
    <w:name w:val="Heading_b Char"/>
    <w:link w:val="Headingb"/>
    <w:locked/>
    <w:rsid w:val="00F939FF"/>
    <w:rPr>
      <w:b/>
      <w:sz w:val="24"/>
      <w:lang w:val="es-ES_tradnl" w:eastAsia="en-US"/>
    </w:rPr>
  </w:style>
  <w:style w:type="paragraph" w:styleId="BalloonText">
    <w:name w:val="Balloon Text"/>
    <w:basedOn w:val="Normal"/>
    <w:link w:val="BalloonTextChar"/>
    <w:semiHidden/>
    <w:unhideWhenUsed/>
    <w:rsid w:val="00C92F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2F9A"/>
    <w:rPr>
      <w:rFonts w:ascii="Segoe UI" w:hAnsi="Segoe UI" w:cs="Segoe UI"/>
      <w:sz w:val="18"/>
      <w:szCs w:val="18"/>
      <w:lang w:val="es-ES_tradnl" w:eastAsia="en-US"/>
    </w:rPr>
  </w:style>
  <w:style w:type="paragraph" w:styleId="Revision">
    <w:name w:val="Revision"/>
    <w:hidden/>
    <w:uiPriority w:val="99"/>
    <w:semiHidden/>
    <w:rsid w:val="00D9673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C0E3215-F336-447E-AA5D-12AB251EDDF9}">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www.w3.org/XML/1998/namespace"/>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4052345-6138-48B2-863A-B120A368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R16-WRC19-C-0056!!MSW-S</vt:lpstr>
    </vt:vector>
  </TitlesOfParts>
  <Manager>Secretaría General - Pool</Manager>
  <Company>Unión Internacional de Telecomunicaciones (UIT)</Company>
  <LinksUpToDate>false</LinksUpToDate>
  <CharactersWithSpaces>6070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R16-WRC19-C-0056!!MSW-S</dc:title>
  <dc:subject>Conferencia Mundial de Radiocomunicaciones - 2019</dc:subject>
  <dc:creator>Documents Proposals Manager (DPM)</dc:creator>
  <cp:keywords>DPM_v2019.10.8.1_prod</cp:keywords>
  <dc:description/>
  <cp:lastModifiedBy>Spanish</cp:lastModifiedBy>
  <cp:revision>24</cp:revision>
  <cp:lastPrinted>2003-02-19T20:20:00Z</cp:lastPrinted>
  <dcterms:created xsi:type="dcterms:W3CDTF">2019-10-17T06:52:00Z</dcterms:created>
  <dcterms:modified xsi:type="dcterms:W3CDTF">2019-10-17T07:09:00Z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