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3F3D92" w14:paraId="1F9E6CC8" w14:textId="77777777" w:rsidTr="0050008E">
        <w:trPr>
          <w:cantSplit/>
        </w:trPr>
        <w:tc>
          <w:tcPr>
            <w:tcW w:w="6911" w:type="dxa"/>
          </w:tcPr>
          <w:p w14:paraId="7E90744C" w14:textId="77777777" w:rsidR="0090121B" w:rsidRPr="003F3D92" w:rsidRDefault="005D46FB" w:rsidP="00C44E9E">
            <w:pPr>
              <w:spacing w:before="400" w:after="48" w:line="240" w:lineRule="atLeast"/>
              <w:rPr>
                <w:rFonts w:ascii="Verdana" w:hAnsi="Verdana"/>
                <w:position w:val="6"/>
              </w:rPr>
            </w:pPr>
            <w:r w:rsidRPr="003F3D92">
              <w:rPr>
                <w:rFonts w:ascii="Verdana" w:hAnsi="Verdana" w:cs="Times"/>
                <w:b/>
                <w:position w:val="6"/>
                <w:sz w:val="20"/>
              </w:rPr>
              <w:t>Conferencia Mundial de Radiocomunicaciones (CMR-1</w:t>
            </w:r>
            <w:r w:rsidR="00C44E9E" w:rsidRPr="003F3D92">
              <w:rPr>
                <w:rFonts w:ascii="Verdana" w:hAnsi="Verdana" w:cs="Times"/>
                <w:b/>
                <w:position w:val="6"/>
                <w:sz w:val="20"/>
              </w:rPr>
              <w:t>9</w:t>
            </w:r>
            <w:r w:rsidRPr="003F3D92">
              <w:rPr>
                <w:rFonts w:ascii="Verdana" w:hAnsi="Verdana" w:cs="Times"/>
                <w:b/>
                <w:position w:val="6"/>
                <w:sz w:val="20"/>
              </w:rPr>
              <w:t>)</w:t>
            </w:r>
            <w:r w:rsidRPr="003F3D92">
              <w:rPr>
                <w:rFonts w:ascii="Verdana" w:hAnsi="Verdana" w:cs="Times"/>
                <w:b/>
                <w:position w:val="6"/>
                <w:sz w:val="20"/>
              </w:rPr>
              <w:br/>
            </w:r>
            <w:r w:rsidR="006124AD" w:rsidRPr="003F3D92">
              <w:rPr>
                <w:rFonts w:ascii="Verdana" w:hAnsi="Verdana"/>
                <w:b/>
                <w:bCs/>
                <w:position w:val="6"/>
                <w:sz w:val="17"/>
                <w:szCs w:val="17"/>
              </w:rPr>
              <w:t>Sharm el-Sheikh (Egipto)</w:t>
            </w:r>
            <w:r w:rsidRPr="003F3D92">
              <w:rPr>
                <w:rFonts w:ascii="Verdana" w:hAnsi="Verdana"/>
                <w:b/>
                <w:bCs/>
                <w:position w:val="6"/>
                <w:sz w:val="17"/>
                <w:szCs w:val="17"/>
              </w:rPr>
              <w:t>, 2</w:t>
            </w:r>
            <w:r w:rsidR="00C44E9E" w:rsidRPr="003F3D92">
              <w:rPr>
                <w:rFonts w:ascii="Verdana" w:hAnsi="Verdana"/>
                <w:b/>
                <w:bCs/>
                <w:position w:val="6"/>
                <w:sz w:val="17"/>
                <w:szCs w:val="17"/>
              </w:rPr>
              <w:t xml:space="preserve">8 de octubre </w:t>
            </w:r>
            <w:r w:rsidR="00DE1C31" w:rsidRPr="003F3D92">
              <w:rPr>
                <w:rFonts w:ascii="Verdana" w:hAnsi="Verdana"/>
                <w:b/>
                <w:bCs/>
                <w:position w:val="6"/>
                <w:sz w:val="17"/>
                <w:szCs w:val="17"/>
              </w:rPr>
              <w:t>–</w:t>
            </w:r>
            <w:r w:rsidR="00C44E9E" w:rsidRPr="003F3D92">
              <w:rPr>
                <w:rFonts w:ascii="Verdana" w:hAnsi="Verdana"/>
                <w:b/>
                <w:bCs/>
                <w:position w:val="6"/>
                <w:sz w:val="17"/>
                <w:szCs w:val="17"/>
              </w:rPr>
              <w:t xml:space="preserve"> </w:t>
            </w:r>
            <w:r w:rsidRPr="003F3D92">
              <w:rPr>
                <w:rFonts w:ascii="Verdana" w:hAnsi="Verdana"/>
                <w:b/>
                <w:bCs/>
                <w:position w:val="6"/>
                <w:sz w:val="17"/>
                <w:szCs w:val="17"/>
              </w:rPr>
              <w:t>2</w:t>
            </w:r>
            <w:r w:rsidR="00C44E9E" w:rsidRPr="003F3D92">
              <w:rPr>
                <w:rFonts w:ascii="Verdana" w:hAnsi="Verdana"/>
                <w:b/>
                <w:bCs/>
                <w:position w:val="6"/>
                <w:sz w:val="17"/>
                <w:szCs w:val="17"/>
              </w:rPr>
              <w:t>2</w:t>
            </w:r>
            <w:r w:rsidRPr="003F3D92">
              <w:rPr>
                <w:rFonts w:ascii="Verdana" w:hAnsi="Verdana"/>
                <w:b/>
                <w:bCs/>
                <w:position w:val="6"/>
                <w:sz w:val="17"/>
                <w:szCs w:val="17"/>
              </w:rPr>
              <w:t xml:space="preserve"> de noviembre de 201</w:t>
            </w:r>
            <w:r w:rsidR="00C44E9E" w:rsidRPr="003F3D92">
              <w:rPr>
                <w:rFonts w:ascii="Verdana" w:hAnsi="Verdana"/>
                <w:b/>
                <w:bCs/>
                <w:position w:val="6"/>
                <w:sz w:val="17"/>
                <w:szCs w:val="17"/>
              </w:rPr>
              <w:t>9</w:t>
            </w:r>
          </w:p>
        </w:tc>
        <w:tc>
          <w:tcPr>
            <w:tcW w:w="3120" w:type="dxa"/>
          </w:tcPr>
          <w:p w14:paraId="06CA72B0" w14:textId="77777777" w:rsidR="0090121B" w:rsidRPr="003F3D92" w:rsidRDefault="00DA71A3" w:rsidP="00CE7431">
            <w:pPr>
              <w:spacing w:before="0" w:line="240" w:lineRule="atLeast"/>
              <w:jc w:val="right"/>
            </w:pPr>
            <w:r w:rsidRPr="003F3D92">
              <w:rPr>
                <w:rFonts w:ascii="Verdana" w:hAnsi="Verdana"/>
                <w:b/>
                <w:bCs/>
                <w:szCs w:val="24"/>
                <w:lang w:eastAsia="zh-CN"/>
              </w:rPr>
              <w:drawing>
                <wp:inline distT="0" distB="0" distL="0" distR="0" wp14:anchorId="2A840D70" wp14:editId="2704473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3F3D92" w14:paraId="4070F1A8" w14:textId="77777777" w:rsidTr="0050008E">
        <w:trPr>
          <w:cantSplit/>
        </w:trPr>
        <w:tc>
          <w:tcPr>
            <w:tcW w:w="6911" w:type="dxa"/>
            <w:tcBorders>
              <w:bottom w:val="single" w:sz="12" w:space="0" w:color="auto"/>
            </w:tcBorders>
          </w:tcPr>
          <w:p w14:paraId="1BBFF9E4" w14:textId="77777777" w:rsidR="0090121B" w:rsidRPr="003F3D92"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2EE27360" w14:textId="77777777" w:rsidR="0090121B" w:rsidRPr="003F3D92" w:rsidRDefault="0090121B" w:rsidP="0090121B">
            <w:pPr>
              <w:spacing w:before="0" w:line="240" w:lineRule="atLeast"/>
              <w:rPr>
                <w:rFonts w:ascii="Verdana" w:hAnsi="Verdana"/>
                <w:szCs w:val="24"/>
              </w:rPr>
            </w:pPr>
          </w:p>
        </w:tc>
      </w:tr>
      <w:tr w:rsidR="0090121B" w:rsidRPr="003F3D92" w14:paraId="6C46C54E" w14:textId="77777777" w:rsidTr="0090121B">
        <w:trPr>
          <w:cantSplit/>
        </w:trPr>
        <w:tc>
          <w:tcPr>
            <w:tcW w:w="6911" w:type="dxa"/>
            <w:tcBorders>
              <w:top w:val="single" w:sz="12" w:space="0" w:color="auto"/>
            </w:tcBorders>
          </w:tcPr>
          <w:p w14:paraId="47F39452" w14:textId="77777777" w:rsidR="0090121B" w:rsidRPr="003F3D92"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668DE2E8" w14:textId="77777777" w:rsidR="0090121B" w:rsidRPr="003F3D92" w:rsidRDefault="0090121B" w:rsidP="0090121B">
            <w:pPr>
              <w:spacing w:before="0" w:line="240" w:lineRule="atLeast"/>
              <w:rPr>
                <w:rFonts w:ascii="Verdana" w:hAnsi="Verdana"/>
                <w:sz w:val="20"/>
              </w:rPr>
            </w:pPr>
          </w:p>
        </w:tc>
      </w:tr>
      <w:tr w:rsidR="0090121B" w:rsidRPr="003F3D92" w14:paraId="2D70EFB6" w14:textId="77777777" w:rsidTr="0090121B">
        <w:trPr>
          <w:cantSplit/>
        </w:trPr>
        <w:tc>
          <w:tcPr>
            <w:tcW w:w="6911" w:type="dxa"/>
          </w:tcPr>
          <w:p w14:paraId="720C382B" w14:textId="77777777" w:rsidR="0090121B" w:rsidRPr="003F3D92" w:rsidRDefault="001E7D42" w:rsidP="00EA77F0">
            <w:pPr>
              <w:pStyle w:val="Committee"/>
              <w:framePr w:hSpace="0" w:wrap="auto" w:hAnchor="text" w:yAlign="inline"/>
              <w:rPr>
                <w:sz w:val="18"/>
                <w:szCs w:val="18"/>
                <w:lang w:val="es-ES_tradnl"/>
              </w:rPr>
            </w:pPr>
            <w:r w:rsidRPr="003F3D92">
              <w:rPr>
                <w:sz w:val="18"/>
                <w:szCs w:val="18"/>
                <w:lang w:val="es-ES_tradnl"/>
              </w:rPr>
              <w:t>SESIÓN PLENARIA</w:t>
            </w:r>
          </w:p>
        </w:tc>
        <w:tc>
          <w:tcPr>
            <w:tcW w:w="3120" w:type="dxa"/>
          </w:tcPr>
          <w:p w14:paraId="59D3CD1E" w14:textId="77777777" w:rsidR="0090121B" w:rsidRPr="003F3D92" w:rsidRDefault="00AE658F" w:rsidP="0045384C">
            <w:pPr>
              <w:spacing w:before="0"/>
              <w:rPr>
                <w:rFonts w:ascii="Verdana" w:hAnsi="Verdana"/>
                <w:sz w:val="18"/>
                <w:szCs w:val="18"/>
              </w:rPr>
            </w:pPr>
            <w:r w:rsidRPr="003F3D92">
              <w:rPr>
                <w:rFonts w:ascii="Verdana" w:hAnsi="Verdana"/>
                <w:b/>
                <w:sz w:val="18"/>
                <w:szCs w:val="18"/>
              </w:rPr>
              <w:t>Addéndum 5 al</w:t>
            </w:r>
            <w:r w:rsidRPr="003F3D92">
              <w:rPr>
                <w:rFonts w:ascii="Verdana" w:hAnsi="Verdana"/>
                <w:b/>
                <w:sz w:val="18"/>
                <w:szCs w:val="18"/>
              </w:rPr>
              <w:br/>
              <w:t>Documento 61</w:t>
            </w:r>
            <w:r w:rsidR="0090121B" w:rsidRPr="003F3D92">
              <w:rPr>
                <w:rFonts w:ascii="Verdana" w:hAnsi="Verdana"/>
                <w:b/>
                <w:sz w:val="18"/>
                <w:szCs w:val="18"/>
              </w:rPr>
              <w:t>-</w:t>
            </w:r>
            <w:r w:rsidRPr="003F3D92">
              <w:rPr>
                <w:rFonts w:ascii="Verdana" w:hAnsi="Verdana"/>
                <w:b/>
                <w:sz w:val="18"/>
                <w:szCs w:val="18"/>
              </w:rPr>
              <w:t>S</w:t>
            </w:r>
          </w:p>
        </w:tc>
      </w:tr>
      <w:bookmarkEnd w:id="0"/>
      <w:tr w:rsidR="000A5B9A" w:rsidRPr="003F3D92" w14:paraId="3F414D66" w14:textId="77777777" w:rsidTr="0090121B">
        <w:trPr>
          <w:cantSplit/>
        </w:trPr>
        <w:tc>
          <w:tcPr>
            <w:tcW w:w="6911" w:type="dxa"/>
          </w:tcPr>
          <w:p w14:paraId="60A8DD9A" w14:textId="77777777" w:rsidR="000A5B9A" w:rsidRPr="003F3D92" w:rsidRDefault="000A5B9A" w:rsidP="0045384C">
            <w:pPr>
              <w:spacing w:before="0" w:after="48"/>
              <w:rPr>
                <w:rFonts w:ascii="Verdana" w:hAnsi="Verdana"/>
                <w:b/>
                <w:smallCaps/>
                <w:sz w:val="18"/>
                <w:szCs w:val="18"/>
              </w:rPr>
            </w:pPr>
          </w:p>
        </w:tc>
        <w:tc>
          <w:tcPr>
            <w:tcW w:w="3120" w:type="dxa"/>
          </w:tcPr>
          <w:p w14:paraId="494A3789" w14:textId="77777777" w:rsidR="000A5B9A" w:rsidRPr="003F3D92" w:rsidRDefault="000A5B9A" w:rsidP="0045384C">
            <w:pPr>
              <w:spacing w:before="0"/>
              <w:rPr>
                <w:rFonts w:ascii="Verdana" w:hAnsi="Verdana"/>
                <w:b/>
                <w:sz w:val="18"/>
                <w:szCs w:val="18"/>
              </w:rPr>
            </w:pPr>
            <w:r w:rsidRPr="003F3D92">
              <w:rPr>
                <w:rFonts w:ascii="Verdana" w:hAnsi="Verdana"/>
                <w:b/>
                <w:sz w:val="18"/>
                <w:szCs w:val="18"/>
              </w:rPr>
              <w:t>7 de octubre de 2019</w:t>
            </w:r>
          </w:p>
        </w:tc>
      </w:tr>
      <w:tr w:rsidR="000A5B9A" w:rsidRPr="003F3D92" w14:paraId="29DE517D" w14:textId="77777777" w:rsidTr="0090121B">
        <w:trPr>
          <w:cantSplit/>
        </w:trPr>
        <w:tc>
          <w:tcPr>
            <w:tcW w:w="6911" w:type="dxa"/>
          </w:tcPr>
          <w:p w14:paraId="47431899" w14:textId="77777777" w:rsidR="000A5B9A" w:rsidRPr="003F3D92" w:rsidRDefault="000A5B9A" w:rsidP="0045384C">
            <w:pPr>
              <w:spacing w:before="0" w:after="48"/>
              <w:rPr>
                <w:rFonts w:ascii="Verdana" w:hAnsi="Verdana"/>
                <w:b/>
                <w:smallCaps/>
                <w:sz w:val="18"/>
                <w:szCs w:val="18"/>
              </w:rPr>
            </w:pPr>
          </w:p>
        </w:tc>
        <w:tc>
          <w:tcPr>
            <w:tcW w:w="3120" w:type="dxa"/>
          </w:tcPr>
          <w:p w14:paraId="7413778D" w14:textId="77777777" w:rsidR="000A5B9A" w:rsidRPr="003F3D92" w:rsidRDefault="000A5B9A" w:rsidP="0045384C">
            <w:pPr>
              <w:spacing w:before="0"/>
              <w:rPr>
                <w:rFonts w:ascii="Verdana" w:hAnsi="Verdana"/>
                <w:b/>
                <w:sz w:val="18"/>
                <w:szCs w:val="18"/>
              </w:rPr>
            </w:pPr>
            <w:r w:rsidRPr="003F3D92">
              <w:rPr>
                <w:rFonts w:ascii="Verdana" w:hAnsi="Verdana"/>
                <w:b/>
                <w:sz w:val="18"/>
                <w:szCs w:val="18"/>
              </w:rPr>
              <w:t>Original: inglés</w:t>
            </w:r>
          </w:p>
        </w:tc>
      </w:tr>
      <w:tr w:rsidR="000A5B9A" w:rsidRPr="003F3D92" w14:paraId="11D5134B" w14:textId="77777777" w:rsidTr="006744FC">
        <w:trPr>
          <w:cantSplit/>
        </w:trPr>
        <w:tc>
          <w:tcPr>
            <w:tcW w:w="10031" w:type="dxa"/>
            <w:gridSpan w:val="2"/>
          </w:tcPr>
          <w:p w14:paraId="50E8E63A" w14:textId="77777777" w:rsidR="000A5B9A" w:rsidRPr="003F3D92" w:rsidRDefault="000A5B9A" w:rsidP="0045384C">
            <w:pPr>
              <w:spacing w:before="0"/>
              <w:rPr>
                <w:rFonts w:ascii="Verdana" w:hAnsi="Verdana"/>
                <w:b/>
                <w:sz w:val="18"/>
                <w:szCs w:val="22"/>
              </w:rPr>
            </w:pPr>
          </w:p>
        </w:tc>
      </w:tr>
      <w:tr w:rsidR="000A5B9A" w:rsidRPr="003F3D92" w14:paraId="7DBF1B03" w14:textId="77777777" w:rsidTr="0050008E">
        <w:trPr>
          <w:cantSplit/>
        </w:trPr>
        <w:tc>
          <w:tcPr>
            <w:tcW w:w="10031" w:type="dxa"/>
            <w:gridSpan w:val="2"/>
          </w:tcPr>
          <w:p w14:paraId="3651DE04" w14:textId="77777777" w:rsidR="000A5B9A" w:rsidRPr="003F3D92" w:rsidRDefault="000A5B9A" w:rsidP="000A5B9A">
            <w:pPr>
              <w:pStyle w:val="Source"/>
            </w:pPr>
            <w:bookmarkStart w:id="1" w:name="dsource" w:colFirst="0" w:colLast="0"/>
            <w:r w:rsidRPr="003F3D92">
              <w:t>Corea (República de)</w:t>
            </w:r>
          </w:p>
        </w:tc>
      </w:tr>
      <w:tr w:rsidR="000A5B9A" w:rsidRPr="003F3D92" w14:paraId="64D44B52" w14:textId="77777777" w:rsidTr="0050008E">
        <w:trPr>
          <w:cantSplit/>
        </w:trPr>
        <w:tc>
          <w:tcPr>
            <w:tcW w:w="10031" w:type="dxa"/>
            <w:gridSpan w:val="2"/>
          </w:tcPr>
          <w:p w14:paraId="277C40F2" w14:textId="77777777" w:rsidR="000A5B9A" w:rsidRPr="003F3D92" w:rsidRDefault="000A5B9A" w:rsidP="000A5B9A">
            <w:pPr>
              <w:pStyle w:val="Title1"/>
            </w:pPr>
            <w:bookmarkStart w:id="2" w:name="dtitle1" w:colFirst="0" w:colLast="0"/>
            <w:bookmarkEnd w:id="1"/>
            <w:r w:rsidRPr="003F3D92">
              <w:t>Propuestas para los trabajos de la Conferencia</w:t>
            </w:r>
          </w:p>
        </w:tc>
      </w:tr>
      <w:tr w:rsidR="000A5B9A" w:rsidRPr="003F3D92" w14:paraId="0A1EE54F" w14:textId="77777777" w:rsidTr="0050008E">
        <w:trPr>
          <w:cantSplit/>
        </w:trPr>
        <w:tc>
          <w:tcPr>
            <w:tcW w:w="10031" w:type="dxa"/>
            <w:gridSpan w:val="2"/>
          </w:tcPr>
          <w:p w14:paraId="3F5A669A" w14:textId="77777777" w:rsidR="000A5B9A" w:rsidRPr="003F3D92" w:rsidRDefault="000A5B9A" w:rsidP="000A5B9A">
            <w:pPr>
              <w:pStyle w:val="Title2"/>
            </w:pPr>
            <w:bookmarkStart w:id="3" w:name="dtitle2" w:colFirst="0" w:colLast="0"/>
            <w:bookmarkEnd w:id="2"/>
          </w:p>
        </w:tc>
      </w:tr>
      <w:tr w:rsidR="000A5B9A" w:rsidRPr="003F3D92" w14:paraId="357E8B7E" w14:textId="77777777" w:rsidTr="0050008E">
        <w:trPr>
          <w:cantSplit/>
        </w:trPr>
        <w:tc>
          <w:tcPr>
            <w:tcW w:w="10031" w:type="dxa"/>
            <w:gridSpan w:val="2"/>
          </w:tcPr>
          <w:p w14:paraId="5E4FC67D" w14:textId="77777777" w:rsidR="000A5B9A" w:rsidRPr="003F3D92" w:rsidRDefault="000A5B9A" w:rsidP="000A5B9A">
            <w:pPr>
              <w:pStyle w:val="Agendaitem"/>
            </w:pPr>
            <w:bookmarkStart w:id="4" w:name="dtitle3" w:colFirst="0" w:colLast="0"/>
            <w:bookmarkEnd w:id="3"/>
            <w:r w:rsidRPr="003F3D92">
              <w:t>Punto 1.5 del orden del día</w:t>
            </w:r>
          </w:p>
        </w:tc>
      </w:tr>
    </w:tbl>
    <w:bookmarkEnd w:id="4"/>
    <w:p w14:paraId="52BA31B2" w14:textId="77777777" w:rsidR="001C0E40" w:rsidRPr="003F3D92" w:rsidRDefault="00E01062" w:rsidP="003A37B0">
      <w:r w:rsidRPr="003F3D92">
        <w:t>1.5</w:t>
      </w:r>
      <w:r w:rsidRPr="003F3D92">
        <w:tab/>
        <w:t>considerar la utilización de las bandas de frecuencias 17,7-19,7 GHz (espacio</w:t>
      </w:r>
      <w:r w:rsidRPr="003F3D92">
        <w:noBreakHyphen/>
        <w:t>Tierra) y 27,5</w:t>
      </w:r>
      <w:r w:rsidRPr="003F3D92">
        <w:noBreakHyphen/>
        <w:t>29,5 GHz (Tierra</w:t>
      </w:r>
      <w:r w:rsidRPr="003F3D92">
        <w:noBreakHyphen/>
        <w:t xml:space="preserve">espacio) utilizadas por estaciones terrenas en movimiento que se comunican con estaciones espaciales geoestacionarias en el servicio fijo por satélite, y tomar las medidas oportunas, de conformidad con la Resolución </w:t>
      </w:r>
      <w:r w:rsidRPr="003F3D92">
        <w:rPr>
          <w:b/>
        </w:rPr>
        <w:t>158 (CMR-15)</w:t>
      </w:r>
      <w:r w:rsidRPr="003F3D92">
        <w:t>;</w:t>
      </w:r>
    </w:p>
    <w:p w14:paraId="5D4F36F6" w14:textId="77777777" w:rsidR="006544B8" w:rsidRPr="003F3D92" w:rsidRDefault="00E01062" w:rsidP="00A32B60">
      <w:pPr>
        <w:pStyle w:val="Proposal"/>
      </w:pPr>
      <w:r w:rsidRPr="003F3D92">
        <w:tab/>
        <w:t>KOR/61A5/1</w:t>
      </w:r>
    </w:p>
    <w:p w14:paraId="23D20A74" w14:textId="735B85C2" w:rsidR="0002068C" w:rsidRPr="003F3D92" w:rsidRDefault="0002068C" w:rsidP="00903BA1">
      <w:pPr>
        <w:pStyle w:val="Heading1"/>
      </w:pPr>
      <w:r w:rsidRPr="003F3D92">
        <w:t>1</w:t>
      </w:r>
      <w:r w:rsidRPr="003F3D92">
        <w:tab/>
      </w:r>
      <w:r w:rsidR="00394976" w:rsidRPr="003F3D92">
        <w:t>Antecedentes</w:t>
      </w:r>
    </w:p>
    <w:p w14:paraId="4BE7B931" w14:textId="22FFDC78" w:rsidR="0002068C" w:rsidRPr="003F3D92" w:rsidRDefault="00394976" w:rsidP="00903BA1">
      <w:r w:rsidRPr="003F3D92">
        <w:t>De conformidad con la Resolución</w:t>
      </w:r>
      <w:r w:rsidR="0002068C" w:rsidRPr="003F3D92">
        <w:t xml:space="preserve"> </w:t>
      </w:r>
      <w:r w:rsidR="0002068C" w:rsidRPr="003F3D92">
        <w:rPr>
          <w:b/>
          <w:bCs/>
        </w:rPr>
        <w:t>158 (</w:t>
      </w:r>
      <w:r w:rsidRPr="003F3D92">
        <w:rPr>
          <w:b/>
          <w:bCs/>
        </w:rPr>
        <w:t>CMR</w:t>
      </w:r>
      <w:r w:rsidR="0002068C" w:rsidRPr="003F3D92">
        <w:rPr>
          <w:b/>
          <w:bCs/>
        </w:rPr>
        <w:t>-19)</w:t>
      </w:r>
      <w:r w:rsidR="0002068C" w:rsidRPr="003F3D92">
        <w:t xml:space="preserve">, </w:t>
      </w:r>
      <w:r w:rsidRPr="003F3D92">
        <w:t>el GT 4A del UIT-R preparó un proyecto de nuevo Informe, aprobado por la Comisión de Estudio 4 en su reunión del 5 de julio de 2019, y los cuatro anteproyectos de nuevo Informe siguientes</w:t>
      </w:r>
      <w:r w:rsidR="0002068C" w:rsidRPr="003F3D92">
        <w:t>:</w:t>
      </w:r>
    </w:p>
    <w:p w14:paraId="406E19FE" w14:textId="37E8AF8D" w:rsidR="0002068C" w:rsidRPr="003F3D92" w:rsidRDefault="0002068C" w:rsidP="0002068C">
      <w:pPr>
        <w:pStyle w:val="enumlev1"/>
      </w:pPr>
      <w:r w:rsidRPr="003F3D92">
        <w:t>–</w:t>
      </w:r>
      <w:r w:rsidRPr="003F3D92">
        <w:tab/>
        <w:t>Informe UIT-R S.2464 «Compartición y compatibilidad entre estaciones terrenas en movimiento que funcionan con redes geoestacionarias del SFS y estaciones actuales y proyectadas del SM en la banda de frecuencias 27,5-29,5 GHz»</w:t>
      </w:r>
    </w:p>
    <w:p w14:paraId="74A385D1" w14:textId="1EE642A2" w:rsidR="0002068C" w:rsidRPr="003F3D92" w:rsidRDefault="0002068C" w:rsidP="0002068C">
      <w:pPr>
        <w:pStyle w:val="enumlev1"/>
      </w:pPr>
      <w:r w:rsidRPr="003F3D92">
        <w:t>–</w:t>
      </w:r>
      <w:r w:rsidRPr="003F3D92">
        <w:tab/>
      </w:r>
      <w:r w:rsidR="00394976" w:rsidRPr="003F3D92">
        <w:t xml:space="preserve">Anteproyecto de nuevo </w:t>
      </w:r>
      <w:r w:rsidR="00F71849" w:rsidRPr="003F3D92">
        <w:t>Informe U</w:t>
      </w:r>
      <w:r w:rsidRPr="003F3D92">
        <w:t>IT-R S.[ESIM-</w:t>
      </w:r>
      <w:r w:rsidR="00394976" w:rsidRPr="003F3D92">
        <w:t>M</w:t>
      </w:r>
      <w:r w:rsidRPr="003F3D92">
        <w:t>S]</w:t>
      </w:r>
      <w:r w:rsidR="00356280" w:rsidRPr="003F3D92">
        <w:t xml:space="preserve"> «Compartición y compatibilidad</w:t>
      </w:r>
      <w:r w:rsidR="00A32B60" w:rsidRPr="003F3D92">
        <w:t> </w:t>
      </w:r>
      <w:r w:rsidR="00356280" w:rsidRPr="003F3D92">
        <w:t xml:space="preserve">entre estaciones terrenas en movimiento que funcionan con redes geoestacionarias del SFS y estaciones </w:t>
      </w:r>
      <w:r w:rsidR="00394976" w:rsidRPr="003F3D92">
        <w:t>[</w:t>
      </w:r>
      <w:r w:rsidR="00356280" w:rsidRPr="003F3D92">
        <w:t>actuales y proyectadas</w:t>
      </w:r>
      <w:r w:rsidR="00394976" w:rsidRPr="003F3D92">
        <w:t>]</w:t>
      </w:r>
      <w:r w:rsidR="00356280" w:rsidRPr="003F3D92">
        <w:t xml:space="preserve"> del S</w:t>
      </w:r>
      <w:r w:rsidR="00394976" w:rsidRPr="003F3D92">
        <w:t>M</w:t>
      </w:r>
      <w:r w:rsidR="00356280" w:rsidRPr="003F3D92">
        <w:t xml:space="preserve"> en las bandas de</w:t>
      </w:r>
      <w:r w:rsidR="00A32B60" w:rsidRPr="003F3D92">
        <w:t> </w:t>
      </w:r>
      <w:r w:rsidR="00356280" w:rsidRPr="003F3D92">
        <w:t>frecuencias 27,5</w:t>
      </w:r>
      <w:r w:rsidR="00A32B60" w:rsidRPr="003F3D92">
        <w:noBreakHyphen/>
      </w:r>
      <w:r w:rsidR="00356280" w:rsidRPr="003F3D92">
        <w:t>29,5 GHz y 17,7-19,7 GHz»</w:t>
      </w:r>
    </w:p>
    <w:p w14:paraId="04F84287" w14:textId="39EE8931" w:rsidR="00394976" w:rsidRPr="003F3D92" w:rsidRDefault="00C16A37" w:rsidP="0002068C">
      <w:pPr>
        <w:pStyle w:val="enumlev1"/>
      </w:pPr>
      <w:r w:rsidRPr="003F3D92">
        <w:t>–</w:t>
      </w:r>
      <w:r w:rsidR="00394976" w:rsidRPr="003F3D92">
        <w:tab/>
        <w:t xml:space="preserve">Anteproyecto de nuevo Informe UIT-R S.[ESIM-FS] </w:t>
      </w:r>
      <w:r w:rsidR="00903BA1" w:rsidRPr="003F3D92">
        <w:t>«</w:t>
      </w:r>
      <w:r w:rsidR="00394976" w:rsidRPr="003F3D92">
        <w:t>Compartición y compatibilidad entre estaciones terrenas en movimiento que funcionan con redes geoestacionarias del</w:t>
      </w:r>
      <w:r w:rsidR="00A32B60" w:rsidRPr="003F3D92">
        <w:t> </w:t>
      </w:r>
      <w:r w:rsidR="00394976" w:rsidRPr="003F3D92">
        <w:t>SFS y estaciones actuales y proyectadas del SF en las bandas de frecuencias</w:t>
      </w:r>
      <w:r w:rsidR="00A32B60" w:rsidRPr="003F3D92">
        <w:t> </w:t>
      </w:r>
      <w:r w:rsidR="00394976" w:rsidRPr="003F3D92">
        <w:t>27,5</w:t>
      </w:r>
      <w:r w:rsidR="00A32B60" w:rsidRPr="003F3D92">
        <w:noBreakHyphen/>
      </w:r>
      <w:r w:rsidR="00394976" w:rsidRPr="003F3D92">
        <w:t>29,5</w:t>
      </w:r>
      <w:r w:rsidR="00A32B60" w:rsidRPr="003F3D92">
        <w:t> </w:t>
      </w:r>
      <w:r w:rsidR="00394976" w:rsidRPr="003F3D92">
        <w:t>GHz y 17,7-19,7 GHz</w:t>
      </w:r>
      <w:r w:rsidR="00903BA1" w:rsidRPr="003F3D92">
        <w:t>»</w:t>
      </w:r>
    </w:p>
    <w:p w14:paraId="684DD0ED" w14:textId="4F1E22C3" w:rsidR="0002068C" w:rsidRPr="003F3D92" w:rsidRDefault="0002068C" w:rsidP="0002068C">
      <w:pPr>
        <w:pStyle w:val="enumlev1"/>
      </w:pPr>
      <w:r w:rsidRPr="003F3D92">
        <w:t>–</w:t>
      </w:r>
      <w:r w:rsidRPr="003F3D92">
        <w:tab/>
      </w:r>
      <w:r w:rsidR="00394976" w:rsidRPr="003F3D92">
        <w:t>Anteproyecto de nuevo</w:t>
      </w:r>
      <w:r w:rsidRPr="003F3D92">
        <w:t xml:space="preserve"> </w:t>
      </w:r>
      <w:r w:rsidR="00F71849" w:rsidRPr="003F3D92">
        <w:t>Informe U</w:t>
      </w:r>
      <w:r w:rsidRPr="003F3D92">
        <w:t>IT-R S.[LESIM-FS]</w:t>
      </w:r>
      <w:r w:rsidR="00356280" w:rsidRPr="003F3D92">
        <w:t xml:space="preserve"> «Metodologías estadísticas para estimar la interferencia causada por estaciones terrenas terrestres en movimiento (L</w:t>
      </w:r>
      <w:r w:rsidR="00356280" w:rsidRPr="003F3D92">
        <w:noBreakHyphen/>
        <w:t>ESIM) que se comunican con estaciones espaciales geoestacionarias del servicio fijo por satélite en estaciones del servicio fijo (SF) que funcionan en la banda de frecuencias</w:t>
      </w:r>
      <w:r w:rsidR="00A32B60" w:rsidRPr="003F3D92">
        <w:t> </w:t>
      </w:r>
      <w:r w:rsidR="00356280" w:rsidRPr="003F3D92">
        <w:t>27,5-29,5 GHz»</w:t>
      </w:r>
    </w:p>
    <w:p w14:paraId="1385D271" w14:textId="18D99F25" w:rsidR="0002068C" w:rsidRPr="003F3D92" w:rsidRDefault="0002068C" w:rsidP="0002068C">
      <w:pPr>
        <w:pStyle w:val="enumlev1"/>
      </w:pPr>
      <w:r w:rsidRPr="003F3D92">
        <w:lastRenderedPageBreak/>
        <w:t>–</w:t>
      </w:r>
      <w:r w:rsidRPr="003F3D92">
        <w:tab/>
      </w:r>
      <w:r w:rsidR="00394976" w:rsidRPr="003F3D92">
        <w:t>Anteproyecto de nuevo</w:t>
      </w:r>
      <w:r w:rsidRPr="003F3D92">
        <w:t xml:space="preserve"> </w:t>
      </w:r>
      <w:r w:rsidR="00F71849" w:rsidRPr="003F3D92">
        <w:t>Informe U</w:t>
      </w:r>
      <w:r w:rsidRPr="003F3D92">
        <w:t>IT-R S.[ESIM]</w:t>
      </w:r>
      <w:r w:rsidR="00356280" w:rsidRPr="003F3D92">
        <w:t xml:space="preserve"> «Compatibilidad de las estaciones terrenas en movimiento (E</w:t>
      </w:r>
      <w:r w:rsidR="00394976" w:rsidRPr="003F3D92">
        <w:t>TEM</w:t>
      </w:r>
      <w:r w:rsidR="00356280" w:rsidRPr="003F3D92">
        <w:t>) con los enlaces de conexión no OSG del SMS en las bandas 19,3-19,7 GHz y 29,1-29,5 GHz»</w:t>
      </w:r>
    </w:p>
    <w:p w14:paraId="12517378" w14:textId="7282DAA3" w:rsidR="00356280" w:rsidRPr="003F3D92" w:rsidRDefault="00394976" w:rsidP="00356280">
      <w:r w:rsidRPr="003F3D92">
        <w:t>En el Informe UIT</w:t>
      </w:r>
      <w:r w:rsidR="00356280" w:rsidRPr="003F3D92">
        <w:t>-R S.2464</w:t>
      </w:r>
      <w:r w:rsidRPr="003F3D92">
        <w:t xml:space="preserve"> se proponen dos máscaras de dfp siguientes para las estaciones terrenas aeronáuticas en movimiento (ETEM-A) a fin de proteger el servicio móvil</w:t>
      </w:r>
      <w:r w:rsidR="00356280" w:rsidRPr="003F3D92">
        <w:t>:</w:t>
      </w:r>
    </w:p>
    <w:p w14:paraId="294B0870" w14:textId="2565C142" w:rsidR="00356280" w:rsidRPr="003F3D92" w:rsidRDefault="00356280" w:rsidP="00356280">
      <w:r w:rsidRPr="003F3D92">
        <w:rPr>
          <w:b/>
          <w:bCs/>
        </w:rPr>
        <w:t>(</w:t>
      </w:r>
      <w:r w:rsidR="00394976" w:rsidRPr="003F3D92">
        <w:rPr>
          <w:b/>
          <w:bCs/>
        </w:rPr>
        <w:t>Máscara de la Opción 1</w:t>
      </w:r>
      <w:r w:rsidRPr="003F3D92">
        <w:rPr>
          <w:b/>
          <w:bCs/>
        </w:rPr>
        <w:t>)</w:t>
      </w:r>
      <w:r w:rsidRPr="003F3D92">
        <w:t xml:space="preserve"> </w:t>
      </w:r>
      <w:r w:rsidR="00F71849" w:rsidRPr="003F3D92">
        <w:t>Cuando se encuentre en la visual del territorio de una administración, la dfp máxima producida</w:t>
      </w:r>
      <w:r w:rsidR="00394976" w:rsidRPr="003F3D92">
        <w:t xml:space="preserve"> </w:t>
      </w:r>
      <w:r w:rsidR="00F71849" w:rsidRPr="003F3D92">
        <w:t>(</w:t>
      </w:r>
      <w:r w:rsidR="00394976" w:rsidRPr="003F3D92">
        <w:t>en un ancho de banda de referencia de</w:t>
      </w:r>
      <w:r w:rsidR="00F71849" w:rsidRPr="003F3D92">
        <w:t xml:space="preserve"> 14 MHz) en la superficie de la Tierra por las emisiones de una sola ETEM</w:t>
      </w:r>
      <w:r w:rsidR="00394976" w:rsidRPr="003F3D92">
        <w:t>-A</w:t>
      </w:r>
      <w:r w:rsidR="00F71849" w:rsidRPr="003F3D92">
        <w:t xml:space="preserve"> no deberá sobrepasar:</w:t>
      </w:r>
    </w:p>
    <w:p w14:paraId="188A97D0" w14:textId="77777777" w:rsidR="00356280" w:rsidRPr="003F3D92" w:rsidRDefault="00356280" w:rsidP="00356280">
      <w:pPr>
        <w:pStyle w:val="enumlev1"/>
      </w:pPr>
      <w:r w:rsidRPr="003F3D92">
        <w:tab/>
        <w:t>DFP(δ) = –124,7</w:t>
      </w:r>
      <w:r w:rsidRPr="003F3D92">
        <w:tab/>
      </w:r>
      <w:r w:rsidRPr="003F3D92">
        <w:tab/>
      </w:r>
      <w:r w:rsidRPr="003F3D92">
        <w:tab/>
        <w:t>(dB(W/m</w:t>
      </w:r>
      <w:r w:rsidRPr="003F3D92">
        <w:rPr>
          <w:vertAlign w:val="superscript"/>
        </w:rPr>
        <w:t>2</w:t>
      </w:r>
      <w:r w:rsidRPr="003F3D92">
        <w:t xml:space="preserve"> </w:t>
      </w:r>
      <w:r w:rsidRPr="003F3D92">
        <w:sym w:font="Symbol" w:char="F0D7"/>
      </w:r>
      <w:r w:rsidRPr="003F3D92">
        <w:t xml:space="preserve"> 14 MHz))</w:t>
      </w:r>
      <w:r w:rsidRPr="003F3D92">
        <w:tab/>
      </w:r>
      <w:r w:rsidRPr="003F3D92">
        <w:tab/>
        <w:t>para</w:t>
      </w:r>
      <w:r w:rsidRPr="003F3D92">
        <w:tab/>
        <w:t>0° ≤ δ ≤ 0,01°</w:t>
      </w:r>
    </w:p>
    <w:p w14:paraId="17EED577" w14:textId="77777777" w:rsidR="00356280" w:rsidRPr="003F3D92" w:rsidRDefault="00356280" w:rsidP="00356280">
      <w:pPr>
        <w:pStyle w:val="enumlev1"/>
      </w:pPr>
      <w:r w:rsidRPr="003F3D92">
        <w:tab/>
        <w:t>DFP(δ) = –120,9+1,9∙log10(δ)</w:t>
      </w:r>
      <w:r w:rsidRPr="003F3D92">
        <w:tab/>
        <w:t>(dB(W/m</w:t>
      </w:r>
      <w:r w:rsidRPr="003F3D92">
        <w:rPr>
          <w:vertAlign w:val="superscript"/>
        </w:rPr>
        <w:t>2</w:t>
      </w:r>
      <w:r w:rsidRPr="003F3D92">
        <w:t xml:space="preserve"> </w:t>
      </w:r>
      <w:r w:rsidRPr="003F3D92">
        <w:sym w:font="Symbol" w:char="F0D7"/>
      </w:r>
      <w:r w:rsidRPr="003F3D92">
        <w:t xml:space="preserve"> 14 MHz))</w:t>
      </w:r>
      <w:r w:rsidRPr="003F3D92">
        <w:tab/>
      </w:r>
      <w:r w:rsidRPr="003F3D92">
        <w:tab/>
        <w:t>para</w:t>
      </w:r>
      <w:r w:rsidRPr="003F3D92">
        <w:tab/>
        <w:t>0,01° ≤ δ ≤ 0,3°</w:t>
      </w:r>
    </w:p>
    <w:p w14:paraId="407FF3F9" w14:textId="77777777" w:rsidR="00356280" w:rsidRPr="003F3D92" w:rsidRDefault="00356280" w:rsidP="00356280">
      <w:pPr>
        <w:pStyle w:val="enumlev1"/>
      </w:pPr>
      <w:r w:rsidRPr="003F3D92">
        <w:tab/>
        <w:t>DFP(δ) = –116,2+11∙log10(δ)</w:t>
      </w:r>
      <w:r w:rsidRPr="003F3D92">
        <w:tab/>
        <w:t>(dB(W/m</w:t>
      </w:r>
      <w:r w:rsidRPr="003F3D92">
        <w:rPr>
          <w:vertAlign w:val="superscript"/>
        </w:rPr>
        <w:t>2</w:t>
      </w:r>
      <w:r w:rsidRPr="003F3D92">
        <w:t xml:space="preserve"> </w:t>
      </w:r>
      <w:r w:rsidRPr="003F3D92">
        <w:sym w:font="Symbol" w:char="F0D7"/>
      </w:r>
      <w:r w:rsidRPr="003F3D92">
        <w:t xml:space="preserve"> 14 MHz))</w:t>
      </w:r>
      <w:r w:rsidRPr="003F3D92">
        <w:tab/>
      </w:r>
      <w:r w:rsidRPr="003F3D92">
        <w:tab/>
        <w:t>para</w:t>
      </w:r>
      <w:r w:rsidRPr="003F3D92">
        <w:tab/>
        <w:t>0,3° &lt; δ ≤ 1°</w:t>
      </w:r>
    </w:p>
    <w:p w14:paraId="07BF64B6" w14:textId="77777777" w:rsidR="00356280" w:rsidRPr="003F3D92" w:rsidRDefault="00356280" w:rsidP="00356280">
      <w:pPr>
        <w:pStyle w:val="enumlev1"/>
      </w:pPr>
      <w:r w:rsidRPr="003F3D92">
        <w:tab/>
        <w:t>DFP(δ) = –116,2+18∙log10(δ)</w:t>
      </w:r>
      <w:r w:rsidRPr="003F3D92">
        <w:tab/>
        <w:t>(dB(W/m</w:t>
      </w:r>
      <w:r w:rsidRPr="003F3D92">
        <w:rPr>
          <w:vertAlign w:val="superscript"/>
        </w:rPr>
        <w:t>2</w:t>
      </w:r>
      <w:r w:rsidRPr="003F3D92">
        <w:t xml:space="preserve"> </w:t>
      </w:r>
      <w:r w:rsidRPr="003F3D92">
        <w:sym w:font="Symbol" w:char="F0D7"/>
      </w:r>
      <w:r w:rsidRPr="003F3D92">
        <w:t xml:space="preserve"> 14 MHz))</w:t>
      </w:r>
      <w:r w:rsidRPr="003F3D92">
        <w:tab/>
      </w:r>
      <w:r w:rsidRPr="003F3D92">
        <w:tab/>
        <w:t>para</w:t>
      </w:r>
      <w:r w:rsidRPr="003F3D92">
        <w:tab/>
        <w:t>1° &lt; δ ≤ 2°</w:t>
      </w:r>
    </w:p>
    <w:p w14:paraId="54875802" w14:textId="77777777" w:rsidR="00356280" w:rsidRPr="003F3D92" w:rsidRDefault="00356280" w:rsidP="00356280">
      <w:pPr>
        <w:pStyle w:val="enumlev1"/>
      </w:pPr>
      <w:r w:rsidRPr="003F3D92">
        <w:tab/>
        <w:t>DFP(δ) = –117,9+23,7∙log10(δ)</w:t>
      </w:r>
      <w:r w:rsidRPr="003F3D92">
        <w:tab/>
        <w:t>(dB(W/m</w:t>
      </w:r>
      <w:r w:rsidRPr="003F3D92">
        <w:rPr>
          <w:vertAlign w:val="superscript"/>
        </w:rPr>
        <w:t>2</w:t>
      </w:r>
      <w:r w:rsidRPr="003F3D92">
        <w:t xml:space="preserve"> </w:t>
      </w:r>
      <w:r w:rsidRPr="003F3D92">
        <w:sym w:font="Symbol" w:char="F0D7"/>
      </w:r>
      <w:r w:rsidRPr="003F3D92">
        <w:t xml:space="preserve"> 14 MHz))</w:t>
      </w:r>
      <w:r w:rsidRPr="003F3D92">
        <w:tab/>
      </w:r>
      <w:r w:rsidRPr="003F3D92">
        <w:tab/>
        <w:t>para</w:t>
      </w:r>
      <w:r w:rsidRPr="003F3D92">
        <w:tab/>
        <w:t>2° &lt; δ ≤ 8°</w:t>
      </w:r>
    </w:p>
    <w:p w14:paraId="67481FEA" w14:textId="77777777" w:rsidR="00356280" w:rsidRPr="003F3D92" w:rsidRDefault="00356280" w:rsidP="00356280">
      <w:pPr>
        <w:pStyle w:val="enumlev1"/>
      </w:pPr>
      <w:r w:rsidRPr="003F3D92">
        <w:tab/>
        <w:t>DFP(δ) = –96,5</w:t>
      </w:r>
      <w:r w:rsidRPr="003F3D92">
        <w:tab/>
      </w:r>
      <w:r w:rsidRPr="003F3D92">
        <w:tab/>
      </w:r>
      <w:r w:rsidRPr="003F3D92">
        <w:tab/>
        <w:t>(dB(W/m</w:t>
      </w:r>
      <w:r w:rsidRPr="003F3D92">
        <w:rPr>
          <w:vertAlign w:val="superscript"/>
        </w:rPr>
        <w:t>2</w:t>
      </w:r>
      <w:r w:rsidRPr="003F3D92">
        <w:t xml:space="preserve"> </w:t>
      </w:r>
      <w:r w:rsidRPr="003F3D92">
        <w:sym w:font="Symbol" w:char="F0D7"/>
      </w:r>
      <w:r w:rsidRPr="003F3D92">
        <w:t xml:space="preserve"> 14 MHz))</w:t>
      </w:r>
      <w:r w:rsidRPr="003F3D92">
        <w:tab/>
      </w:r>
      <w:r w:rsidRPr="003F3D92">
        <w:tab/>
        <w:t>para</w:t>
      </w:r>
      <w:r w:rsidRPr="003F3D92">
        <w:tab/>
        <w:t>8° &lt; δ ≤ 90,0°</w:t>
      </w:r>
    </w:p>
    <w:p w14:paraId="54FD3005" w14:textId="77777777" w:rsidR="00356280" w:rsidRPr="003F3D92" w:rsidRDefault="00356280" w:rsidP="00356280">
      <w:r w:rsidRPr="003F3D92">
        <w:t>donde δ es el ángulo de incidencia de la onda radioeléctrica (grados sobre el horizonte).</w:t>
      </w:r>
    </w:p>
    <w:p w14:paraId="611EF2B7" w14:textId="7D20B106" w:rsidR="00F71849" w:rsidRPr="003F3D92" w:rsidRDefault="00F71849" w:rsidP="00A32B60">
      <w:pPr>
        <w:keepNext/>
        <w:keepLines/>
      </w:pPr>
      <w:r w:rsidRPr="003F3D92">
        <w:rPr>
          <w:b/>
          <w:bCs/>
        </w:rPr>
        <w:t>(</w:t>
      </w:r>
      <w:r w:rsidR="00394976" w:rsidRPr="003F3D92">
        <w:rPr>
          <w:b/>
          <w:bCs/>
        </w:rPr>
        <w:t>Máscara de la Opción 2</w:t>
      </w:r>
      <w:r w:rsidRPr="003F3D92">
        <w:rPr>
          <w:b/>
          <w:bCs/>
        </w:rPr>
        <w:t>)</w:t>
      </w:r>
      <w:r w:rsidRPr="003F3D92">
        <w:t xml:space="preserve"> Cuando se encuentre en la visual del territorio de una administración, la dfp máxima producida</w:t>
      </w:r>
      <w:r w:rsidR="00394976" w:rsidRPr="003F3D92">
        <w:t xml:space="preserve"> </w:t>
      </w:r>
      <w:r w:rsidRPr="003F3D92">
        <w:t>(</w:t>
      </w:r>
      <w:r w:rsidR="00394976" w:rsidRPr="003F3D92">
        <w:t>en un ancho de banda de referencia de 1</w:t>
      </w:r>
      <w:r w:rsidRPr="003F3D92">
        <w:t xml:space="preserve"> MHz) en la superficie de la Tierra por las emisiones de una sola ETEM</w:t>
      </w:r>
      <w:r w:rsidR="00394976" w:rsidRPr="003F3D92">
        <w:t>-A</w:t>
      </w:r>
      <w:r w:rsidRPr="003F3D92">
        <w:t xml:space="preserve"> no deberá sobrepasar:</w:t>
      </w:r>
    </w:p>
    <w:p w14:paraId="1ECD5598" w14:textId="77777777" w:rsidR="00F71849" w:rsidRPr="003F3D92" w:rsidRDefault="00F71849" w:rsidP="00A32B60">
      <w:pPr>
        <w:pStyle w:val="enumlev1"/>
        <w:keepNext/>
        <w:keepLines/>
      </w:pPr>
      <w:r w:rsidRPr="003F3D92">
        <w:tab/>
        <w:t>DFP(δ) = –122,7</w:t>
      </w:r>
      <w:r w:rsidRPr="003F3D92">
        <w:tab/>
      </w:r>
      <w:r w:rsidRPr="003F3D92">
        <w:tab/>
      </w:r>
      <w:r w:rsidRPr="003F3D92">
        <w:tab/>
        <w:t>(dBW/m</w:t>
      </w:r>
      <w:r w:rsidRPr="003F3D92">
        <w:rPr>
          <w:vertAlign w:val="superscript"/>
        </w:rPr>
        <w:t>2</w:t>
      </w:r>
      <w:r w:rsidRPr="003F3D92">
        <w:t>/1 MHz)</w:t>
      </w:r>
      <w:r w:rsidRPr="003F3D92">
        <w:tab/>
      </w:r>
      <w:r w:rsidRPr="003F3D92">
        <w:tab/>
        <w:t>para</w:t>
      </w:r>
      <w:r w:rsidRPr="003F3D92">
        <w:tab/>
        <w:t>0° ≤ δ ≤ 2°</w:t>
      </w:r>
    </w:p>
    <w:p w14:paraId="46596669" w14:textId="77777777" w:rsidR="00F71849" w:rsidRPr="003F3D92" w:rsidRDefault="00F71849" w:rsidP="00A32B60">
      <w:pPr>
        <w:pStyle w:val="enumlev1"/>
        <w:keepNext/>
        <w:keepLines/>
      </w:pPr>
      <w:r w:rsidRPr="003F3D92">
        <w:tab/>
        <w:t>DFP(δ) = –122,7 +2 * (δ – 2)</w:t>
      </w:r>
      <w:r w:rsidRPr="003F3D92">
        <w:tab/>
        <w:t>(dBW/m</w:t>
      </w:r>
      <w:r w:rsidRPr="003F3D92">
        <w:rPr>
          <w:vertAlign w:val="superscript"/>
        </w:rPr>
        <w:t>2</w:t>
      </w:r>
      <w:r w:rsidRPr="003F3D92">
        <w:t>/1 MHz)</w:t>
      </w:r>
      <w:r w:rsidRPr="003F3D92">
        <w:tab/>
      </w:r>
      <w:r w:rsidRPr="003F3D92">
        <w:tab/>
        <w:t>para</w:t>
      </w:r>
      <w:r w:rsidRPr="003F3D92">
        <w:tab/>
        <w:t>2° &lt; δ ≤ 2,3°</w:t>
      </w:r>
    </w:p>
    <w:p w14:paraId="6EBA9AD7" w14:textId="77777777" w:rsidR="00F71849" w:rsidRPr="003F3D92" w:rsidRDefault="00F71849" w:rsidP="00A32B60">
      <w:pPr>
        <w:pStyle w:val="enumlev1"/>
        <w:keepNext/>
        <w:keepLines/>
      </w:pPr>
      <w:r w:rsidRPr="003F3D92">
        <w:tab/>
        <w:t>DFP(δ) = –122,6 + 1,5 * (δ − 2)</w:t>
      </w:r>
      <w:r w:rsidRPr="003F3D92">
        <w:tab/>
        <w:t>(dBW /m</w:t>
      </w:r>
      <w:r w:rsidRPr="003F3D92">
        <w:rPr>
          <w:vertAlign w:val="superscript"/>
        </w:rPr>
        <w:t>2</w:t>
      </w:r>
      <w:r w:rsidRPr="003F3D92">
        <w:t>/1 MHz)</w:t>
      </w:r>
      <w:r w:rsidRPr="003F3D92">
        <w:tab/>
      </w:r>
      <w:r w:rsidRPr="003F3D92">
        <w:tab/>
        <w:t>para</w:t>
      </w:r>
      <w:r w:rsidRPr="003F3D92">
        <w:tab/>
        <w:t>2,3° &lt; δ ≤ 7,9°</w:t>
      </w:r>
    </w:p>
    <w:p w14:paraId="07D31C00" w14:textId="77777777" w:rsidR="00F71849" w:rsidRPr="003F3D92" w:rsidRDefault="00F71849" w:rsidP="00A32B60">
      <w:pPr>
        <w:pStyle w:val="enumlev1"/>
        <w:keepNext/>
        <w:keepLines/>
      </w:pPr>
      <w:r w:rsidRPr="003F3D92">
        <w:tab/>
        <w:t>DFP(δ) = −113,9</w:t>
      </w:r>
      <w:r w:rsidRPr="003F3D92">
        <w:tab/>
      </w:r>
      <w:r w:rsidRPr="003F3D92">
        <w:tab/>
      </w:r>
      <w:r w:rsidRPr="003F3D92">
        <w:tab/>
        <w:t>(dBW/m</w:t>
      </w:r>
      <w:r w:rsidRPr="003F3D92">
        <w:rPr>
          <w:vertAlign w:val="superscript"/>
        </w:rPr>
        <w:t>2</w:t>
      </w:r>
      <w:r w:rsidRPr="003F3D92">
        <w:t>/1 MHz)</w:t>
      </w:r>
      <w:r w:rsidRPr="003F3D92">
        <w:tab/>
      </w:r>
      <w:r w:rsidRPr="003F3D92">
        <w:tab/>
        <w:t>para</w:t>
      </w:r>
      <w:r w:rsidRPr="003F3D92">
        <w:tab/>
        <w:t>7,9° &lt; δ ≤ 90°</w:t>
      </w:r>
    </w:p>
    <w:p w14:paraId="1EB85477" w14:textId="77777777" w:rsidR="00F71849" w:rsidRPr="003F3D92" w:rsidRDefault="00F71849" w:rsidP="00F71849">
      <w:r w:rsidRPr="003F3D92">
        <w:t>donde δ es el ángulo de incidencia de la onda radioeléctrica (grados sobre el horizonte).</w:t>
      </w:r>
    </w:p>
    <w:p w14:paraId="2B7B2386" w14:textId="5D89881C" w:rsidR="00F71849" w:rsidRPr="003F3D92" w:rsidRDefault="00914454" w:rsidP="00F71849">
      <w:pPr>
        <w:rPr>
          <w:lang w:eastAsia="ko-KR"/>
        </w:rPr>
      </w:pPr>
      <w:r w:rsidRPr="003F3D92">
        <w:rPr>
          <w:lang w:eastAsia="ko-KR"/>
        </w:rPr>
        <w:t>Como se indica en el Informe UIT</w:t>
      </w:r>
      <w:r w:rsidR="00F71849" w:rsidRPr="003F3D92">
        <w:rPr>
          <w:lang w:eastAsia="ko-KR"/>
        </w:rPr>
        <w:t xml:space="preserve">-R S.2464, </w:t>
      </w:r>
      <w:r w:rsidRPr="003F3D92">
        <w:rPr>
          <w:lang w:eastAsia="ko-KR"/>
        </w:rPr>
        <w:t>las características de las ETEM estarán siempre dentro del abanico de características de las estaciones terrenas del SFS OSG estacionarias, pues respetan los límites de los acuerdos de coordinación con otras redes de satélites</w:t>
      </w:r>
      <w:r w:rsidR="00F71849" w:rsidRPr="003F3D92">
        <w:t>.</w:t>
      </w:r>
    </w:p>
    <w:p w14:paraId="2E0E9316" w14:textId="77A9ECA6" w:rsidR="00F71849" w:rsidRPr="003F3D92" w:rsidRDefault="00914454" w:rsidP="00F71849">
      <w:pPr>
        <w:rPr>
          <w:lang w:eastAsia="ko-KR"/>
        </w:rPr>
      </w:pPr>
      <w:r w:rsidRPr="003F3D92">
        <w:rPr>
          <w:lang w:eastAsia="zh-CN"/>
        </w:rPr>
        <w:t>Así pues, pueden utilizarse para los estudios en la gama de frecuencias 27,5-29,5 GHz las máscaras de densidad espectral de p.i.r.e. en función del ángulo fuera del eje definidas en la Recomendación UIT</w:t>
      </w:r>
      <w:r w:rsidR="00F71849" w:rsidRPr="003F3D92">
        <w:rPr>
          <w:lang w:eastAsia="zh-CN"/>
        </w:rPr>
        <w:t>-R S.524-9</w:t>
      </w:r>
      <w:r w:rsidRPr="003F3D92">
        <w:rPr>
          <w:lang w:eastAsia="zh-CN"/>
        </w:rPr>
        <w:t>. Por consiguiente, el ángulo de elevación de la ETEM-A hacia la estación espacial del SFS OSG con la que comunica la ETEM-A es uno de los principales factores que determinan el nivel de interferencia con respecto a los servicios terrenales</w:t>
      </w:r>
      <w:r w:rsidR="00F71849" w:rsidRPr="003F3D92">
        <w:rPr>
          <w:lang w:eastAsia="ko-KR"/>
        </w:rPr>
        <w:t>.</w:t>
      </w:r>
    </w:p>
    <w:p w14:paraId="002D90CE" w14:textId="10B9CA58" w:rsidR="00F71849" w:rsidRPr="003F3D92" w:rsidRDefault="00DC38D0" w:rsidP="00F71849">
      <w:pPr>
        <w:rPr>
          <w:lang w:eastAsia="ko-KR"/>
        </w:rPr>
      </w:pPr>
      <w:r w:rsidRPr="003F3D92">
        <w:rPr>
          <w:lang w:eastAsia="ko-KR"/>
        </w:rPr>
        <w:t>A fin de tener en cuenta la influencia del ángulo de elevación en función de la altitud de la ETEM</w:t>
      </w:r>
      <w:r w:rsidR="00A32B60" w:rsidRPr="003F3D92">
        <w:rPr>
          <w:lang w:eastAsia="ko-KR"/>
        </w:rPr>
        <w:noBreakHyphen/>
      </w:r>
      <w:r w:rsidRPr="003F3D92">
        <w:rPr>
          <w:lang w:eastAsia="ko-KR"/>
        </w:rPr>
        <w:t>A (ángulos de elevación de</w:t>
      </w:r>
      <w:r w:rsidR="00F71849" w:rsidRPr="003F3D92">
        <w:rPr>
          <w:lang w:eastAsia="ko-KR"/>
        </w:rPr>
        <w:t xml:space="preserve"> 20, 15, 10 </w:t>
      </w:r>
      <w:r w:rsidRPr="003F3D92">
        <w:rPr>
          <w:lang w:eastAsia="ko-KR"/>
        </w:rPr>
        <w:t>y</w:t>
      </w:r>
      <w:r w:rsidR="00F71849" w:rsidRPr="003F3D92">
        <w:rPr>
          <w:lang w:eastAsia="ko-KR"/>
        </w:rPr>
        <w:t xml:space="preserve"> 5 </w:t>
      </w:r>
      <w:r w:rsidRPr="003F3D92">
        <w:rPr>
          <w:lang w:eastAsia="ko-KR"/>
        </w:rPr>
        <w:t>grados y un ángulo de incidencia de 5 grados), a</w:t>
      </w:r>
      <w:r w:rsidR="00A32B60" w:rsidRPr="003F3D92">
        <w:rPr>
          <w:lang w:eastAsia="ko-KR"/>
        </w:rPr>
        <w:t> </w:t>
      </w:r>
      <w:r w:rsidRPr="003F3D92">
        <w:rPr>
          <w:lang w:eastAsia="ko-KR"/>
        </w:rPr>
        <w:t>continuación se calculan los valores de dfp en distintas altitudes y se comparan con la máscara de</w:t>
      </w:r>
      <w:r w:rsidR="00A32B60" w:rsidRPr="003F3D92">
        <w:rPr>
          <w:lang w:eastAsia="ko-KR"/>
        </w:rPr>
        <w:t> </w:t>
      </w:r>
      <w:r w:rsidRPr="003F3D92">
        <w:rPr>
          <w:lang w:eastAsia="ko-KR"/>
        </w:rPr>
        <w:t>dfp de la Opción 2. Cabe señalar que en estos cálculos no se ha tenido en cuenta la atenuación atmosférica</w:t>
      </w:r>
      <w:r w:rsidR="00F71849" w:rsidRPr="003F3D92">
        <w:rPr>
          <w:lang w:eastAsia="ko-KR"/>
        </w:rPr>
        <w:t>:</w:t>
      </w:r>
    </w:p>
    <w:p w14:paraId="057B797C" w14:textId="52FF0E24" w:rsidR="009A5D53" w:rsidRPr="003F3D92" w:rsidRDefault="009A5D53" w:rsidP="009A5D53">
      <w:pPr>
        <w:pStyle w:val="FigureNo"/>
        <w:rPr>
          <w:lang w:eastAsia="ko-KR"/>
        </w:rPr>
      </w:pPr>
      <w:r w:rsidRPr="003F3D92">
        <w:rPr>
          <w:lang w:eastAsia="ko-KR"/>
        </w:rPr>
        <w:lastRenderedPageBreak/>
        <w:t>Figur</w:t>
      </w:r>
      <w:r w:rsidRPr="003F3D92">
        <w:rPr>
          <w:lang w:eastAsia="ko-KR"/>
        </w:rPr>
        <w:t>a</w:t>
      </w:r>
      <w:r w:rsidRPr="003F3D92">
        <w:rPr>
          <w:lang w:eastAsia="ko-KR"/>
        </w:rPr>
        <w:t xml:space="preserve"> 1</w:t>
      </w:r>
    </w:p>
    <w:p w14:paraId="6CF04B28" w14:textId="3904DB77" w:rsidR="009A5D53" w:rsidRPr="003F3D92" w:rsidRDefault="009A5D53" w:rsidP="00B03B7A">
      <w:pPr>
        <w:pStyle w:val="Figuretitle"/>
        <w:keepNext/>
        <w:keepLines/>
        <w:spacing w:after="240"/>
        <w:jc w:val="center"/>
        <w:rPr>
          <w:b/>
          <w:bCs/>
          <w:sz w:val="20"/>
          <w:lang w:eastAsia="ko-KR"/>
        </w:rPr>
      </w:pPr>
      <w:r w:rsidRPr="003F3D92">
        <w:rPr>
          <w:b/>
          <w:bCs/>
          <w:sz w:val="20"/>
          <w:lang w:eastAsia="ko-KR"/>
        </w:rPr>
        <w:t>Hipótesis de cálculo del valor de dfp de una ETEM-A</w:t>
      </w:r>
      <w:bookmarkStart w:id="5" w:name="_GoBack"/>
      <w:bookmarkEnd w:id="5"/>
    </w:p>
    <w:p w14:paraId="1D1E8811" w14:textId="77777777" w:rsidR="00F71849" w:rsidRPr="003F3D92" w:rsidRDefault="00F71849" w:rsidP="009A5D53">
      <w:pPr>
        <w:pStyle w:val="Figure"/>
      </w:pPr>
      <w:r w:rsidRPr="003F3D92">
        <w:drawing>
          <wp:inline distT="0" distB="0" distL="0" distR="0" wp14:anchorId="1C7C1F76" wp14:editId="60CFB946">
            <wp:extent cx="4781550" cy="2281555"/>
            <wp:effectExtent l="0" t="0" r="0" b="444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1550" cy="2281555"/>
                    </a:xfrm>
                    <a:prstGeom prst="rect">
                      <a:avLst/>
                    </a:prstGeom>
                    <a:noFill/>
                    <a:ln>
                      <a:noFill/>
                    </a:ln>
                  </pic:spPr>
                </pic:pic>
              </a:graphicData>
            </a:graphic>
          </wp:inline>
        </w:drawing>
      </w:r>
    </w:p>
    <w:p w14:paraId="3A2B51F9" w14:textId="7DFEC679" w:rsidR="00DC38D0" w:rsidRPr="003F3D92" w:rsidRDefault="009A5D53" w:rsidP="009A5D53">
      <w:pPr>
        <w:pStyle w:val="Figurelegend"/>
        <w:rPr>
          <w:b/>
          <w:bCs/>
          <w:lang w:eastAsia="ko-KR"/>
        </w:rPr>
      </w:pPr>
      <w:r w:rsidRPr="003F3D92">
        <w:rPr>
          <w:b/>
          <w:bCs/>
          <w:lang w:eastAsia="ko-KR"/>
        </w:rPr>
        <w:t>Leyenda:</w:t>
      </w:r>
    </w:p>
    <w:p w14:paraId="36E451DC" w14:textId="420FFFB6" w:rsidR="00903BA1" w:rsidRPr="003F3D92" w:rsidRDefault="00903BA1" w:rsidP="009A5D53">
      <w:pPr>
        <w:pStyle w:val="Figurelegend"/>
        <w:rPr>
          <w:lang w:eastAsia="ko-KR"/>
        </w:rPr>
      </w:pPr>
      <w:r w:rsidRPr="003F3D92">
        <w:rPr>
          <w:lang w:eastAsia="ko-KR"/>
        </w:rPr>
        <w:t>ETEM-A</w:t>
      </w:r>
    </w:p>
    <w:p w14:paraId="70252A74" w14:textId="5AE0B1CE" w:rsidR="00903BA1" w:rsidRPr="003F3D92" w:rsidRDefault="00903BA1" w:rsidP="009A5D53">
      <w:pPr>
        <w:pStyle w:val="Figurelegend"/>
        <w:rPr>
          <w:lang w:eastAsia="ko-KR"/>
        </w:rPr>
      </w:pPr>
      <w:r w:rsidRPr="003F3D92">
        <w:rPr>
          <w:lang w:eastAsia="ko-KR"/>
        </w:rPr>
        <w:t>Estación espacial OSG del SFS</w:t>
      </w:r>
    </w:p>
    <w:p w14:paraId="5CDA938F" w14:textId="46A6AA88" w:rsidR="00903BA1" w:rsidRPr="003F3D92" w:rsidRDefault="00903BA1" w:rsidP="009A5D53">
      <w:pPr>
        <w:pStyle w:val="Figurelegend"/>
        <w:rPr>
          <w:lang w:eastAsia="ko-KR"/>
        </w:rPr>
      </w:pPr>
      <w:r w:rsidRPr="003F3D92">
        <w:rPr>
          <w:lang w:eastAsia="ko-KR"/>
        </w:rPr>
        <w:t>Estación base/móvil</w:t>
      </w:r>
    </w:p>
    <w:p w14:paraId="485BB2AF" w14:textId="40CF19F8" w:rsidR="00903BA1" w:rsidRPr="003F3D92" w:rsidRDefault="00903BA1" w:rsidP="009A5D53">
      <w:pPr>
        <w:pStyle w:val="Figurelegend"/>
        <w:rPr>
          <w:lang w:eastAsia="ko-KR"/>
        </w:rPr>
      </w:pPr>
      <w:r w:rsidRPr="003F3D92">
        <w:rPr>
          <w:lang w:eastAsia="ko-KR"/>
        </w:rPr>
        <w:t>Ángulo de elevación hacia el satélite</w:t>
      </w:r>
    </w:p>
    <w:p w14:paraId="00E2C655" w14:textId="5A0B1869" w:rsidR="00903BA1" w:rsidRPr="003F3D92" w:rsidRDefault="00903BA1" w:rsidP="009A5D53">
      <w:pPr>
        <w:pStyle w:val="Figurelegend"/>
        <w:rPr>
          <w:lang w:eastAsia="ko-KR"/>
        </w:rPr>
      </w:pPr>
      <w:r w:rsidRPr="003F3D92">
        <w:rPr>
          <w:lang w:eastAsia="ko-KR"/>
        </w:rPr>
        <w:t>Ángulo de incidencia</w:t>
      </w:r>
    </w:p>
    <w:p w14:paraId="6479E295" w14:textId="7D9F3409" w:rsidR="00903BA1" w:rsidRPr="003F3D92" w:rsidRDefault="00903BA1" w:rsidP="009A5D53">
      <w:pPr>
        <w:pStyle w:val="Figurelegend"/>
        <w:rPr>
          <w:lang w:eastAsia="ko-KR"/>
        </w:rPr>
      </w:pPr>
      <w:r w:rsidRPr="003F3D92">
        <w:rPr>
          <w:lang w:eastAsia="ko-KR"/>
        </w:rPr>
        <w:t>Ángulo fuera del eje de la ETEM-A</w:t>
      </w:r>
    </w:p>
    <w:p w14:paraId="322F47DF" w14:textId="6273122F" w:rsidR="00F71849" w:rsidRPr="003F3D92" w:rsidRDefault="00F71849" w:rsidP="00203A40">
      <w:pPr>
        <w:pStyle w:val="Heading1"/>
        <w:rPr>
          <w:lang w:eastAsia="ko-KR"/>
        </w:rPr>
      </w:pPr>
      <w:r w:rsidRPr="003F3D92">
        <w:rPr>
          <w:lang w:eastAsia="ko-KR"/>
        </w:rPr>
        <w:t>2</w:t>
      </w:r>
      <w:r w:rsidRPr="003F3D92">
        <w:rPr>
          <w:lang w:eastAsia="ko-KR"/>
        </w:rPr>
        <w:tab/>
        <w:t>Result</w:t>
      </w:r>
      <w:r w:rsidR="00DC38D0" w:rsidRPr="003F3D92">
        <w:rPr>
          <w:lang w:eastAsia="ko-KR"/>
        </w:rPr>
        <w:t>ado</w:t>
      </w:r>
      <w:r w:rsidRPr="003F3D92">
        <w:rPr>
          <w:lang w:eastAsia="ko-KR"/>
        </w:rPr>
        <w:t>s</w:t>
      </w:r>
    </w:p>
    <w:p w14:paraId="5AE4F447" w14:textId="2C1F22EC" w:rsidR="00F71849" w:rsidRPr="003F3D92" w:rsidRDefault="00DC38D0" w:rsidP="00203A40">
      <w:pPr>
        <w:rPr>
          <w:lang w:eastAsia="ko-KR"/>
        </w:rPr>
      </w:pPr>
      <w:r w:rsidRPr="003F3D92">
        <w:rPr>
          <w:lang w:eastAsia="ko-KR"/>
        </w:rPr>
        <w:t>A partir de la densidad de p.i.r.e. fuera del eje de una ETEM-A y de las características de atenuación del fuselaje descritas en la Recomendación UIT</w:t>
      </w:r>
      <w:r w:rsidR="00F71849" w:rsidRPr="003F3D92">
        <w:rPr>
          <w:lang w:eastAsia="ko-KR"/>
        </w:rPr>
        <w:t xml:space="preserve">-R S.524-9 </w:t>
      </w:r>
      <w:r w:rsidRPr="003F3D92">
        <w:rPr>
          <w:lang w:eastAsia="ko-KR"/>
        </w:rPr>
        <w:t>y el Informe UIT</w:t>
      </w:r>
      <w:r w:rsidR="00F71849" w:rsidRPr="003F3D92">
        <w:rPr>
          <w:lang w:eastAsia="ko-KR"/>
        </w:rPr>
        <w:t>-R M.2221, respectiv</w:t>
      </w:r>
      <w:r w:rsidRPr="003F3D92">
        <w:rPr>
          <w:lang w:eastAsia="ko-KR"/>
        </w:rPr>
        <w:t>amente, se han calculado los valores de dfp con ángulos de elevación de</w:t>
      </w:r>
      <w:r w:rsidR="00F71849" w:rsidRPr="003F3D92">
        <w:rPr>
          <w:lang w:eastAsia="ko-KR"/>
        </w:rPr>
        <w:t xml:space="preserve"> 20, 15, 10 </w:t>
      </w:r>
      <w:r w:rsidRPr="003F3D92">
        <w:rPr>
          <w:lang w:eastAsia="ko-KR"/>
        </w:rPr>
        <w:t>y</w:t>
      </w:r>
      <w:r w:rsidR="009D585A" w:rsidRPr="003F3D92">
        <w:rPr>
          <w:lang w:eastAsia="ko-KR"/>
        </w:rPr>
        <w:t> </w:t>
      </w:r>
      <w:r w:rsidR="00F71849" w:rsidRPr="003F3D92">
        <w:rPr>
          <w:lang w:eastAsia="ko-KR"/>
        </w:rPr>
        <w:t>5</w:t>
      </w:r>
      <w:r w:rsidR="00A32B60" w:rsidRPr="003F3D92">
        <w:rPr>
          <w:lang w:eastAsia="ko-KR"/>
        </w:rPr>
        <w:t> </w:t>
      </w:r>
      <w:r w:rsidRPr="003F3D92">
        <w:rPr>
          <w:lang w:eastAsia="ko-KR"/>
        </w:rPr>
        <w:t>grados y varias altitudes con un ángulo de incidencia de 5 grados. Los resultados se comparan con la máscara de dfp de la Opción 2</w:t>
      </w:r>
      <w:r w:rsidR="00F71849" w:rsidRPr="003F3D92">
        <w:rPr>
          <w:lang w:eastAsia="ko-KR"/>
        </w:rPr>
        <w:t>.</w:t>
      </w:r>
    </w:p>
    <w:p w14:paraId="4F317A22" w14:textId="7CC1D592" w:rsidR="00F71849" w:rsidRPr="003F3D92" w:rsidRDefault="00F71849" w:rsidP="0084441E">
      <w:pPr>
        <w:pStyle w:val="Headingb"/>
        <w:keepNext w:val="0"/>
        <w:spacing w:after="120"/>
        <w:rPr>
          <w:lang w:eastAsia="ko-KR"/>
        </w:rPr>
      </w:pPr>
      <w:r w:rsidRPr="003F3D92">
        <w:rPr>
          <w:lang w:eastAsia="ko-KR"/>
        </w:rPr>
        <w:t>&lt;</w:t>
      </w:r>
      <w:r w:rsidR="00DC38D0" w:rsidRPr="003F3D92">
        <w:rPr>
          <w:lang w:eastAsia="ko-KR"/>
        </w:rPr>
        <w:t>Ángulo de elevación de</w:t>
      </w:r>
      <w:r w:rsidRPr="003F3D92">
        <w:rPr>
          <w:lang w:eastAsia="ko-KR"/>
        </w:rPr>
        <w:t xml:space="preserve"> 20</w:t>
      </w:r>
      <w:r w:rsidRPr="003F3D92">
        <w:rPr>
          <w:vertAlign w:val="superscript"/>
          <w:lang w:eastAsia="ko-KR"/>
        </w:rPr>
        <w:t>o</w:t>
      </w:r>
      <w:r w:rsidRPr="003F3D92">
        <w:rPr>
          <w:lang w:eastAsia="ko-KR"/>
        </w:rPr>
        <w:t>&gt;</w:t>
      </w:r>
    </w:p>
    <w:p w14:paraId="3827537A" w14:textId="77777777" w:rsidR="00F71849" w:rsidRPr="003F3D92" w:rsidRDefault="00F71849" w:rsidP="0084441E">
      <w:pPr>
        <w:snapToGrid w:val="0"/>
        <w:spacing w:after="120"/>
        <w:jc w:val="both"/>
        <w:rPr>
          <w:b/>
          <w:sz w:val="2"/>
          <w:lang w:eastAsia="ko-KR"/>
        </w:rPr>
      </w:pPr>
    </w:p>
    <w:p w14:paraId="57BA4317" w14:textId="2A6BEB9C" w:rsidR="00F71849" w:rsidRPr="003F3D92" w:rsidRDefault="00F71849" w:rsidP="0084441E">
      <w:pPr>
        <w:snapToGrid w:val="0"/>
        <w:spacing w:after="120"/>
        <w:jc w:val="both"/>
        <w:rPr>
          <w:b/>
          <w:lang w:eastAsia="ko-KR"/>
        </w:rPr>
      </w:pPr>
      <w:r w:rsidRPr="003F3D92">
        <w:rPr>
          <w:lang w:eastAsia="zh-CN"/>
        </w:rPr>
        <w:drawing>
          <wp:inline distT="0" distB="0" distL="0" distR="0" wp14:anchorId="49E98E7B" wp14:editId="200BE472">
            <wp:extent cx="5822950" cy="2536825"/>
            <wp:effectExtent l="0" t="0" r="6350" b="0"/>
            <wp:docPr id="6" name="그림 6" descr="EMB000059fc06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08175896" descr="EMB000059fc06d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22950" cy="2536825"/>
                    </a:xfrm>
                    <a:prstGeom prst="rect">
                      <a:avLst/>
                    </a:prstGeom>
                    <a:noFill/>
                  </pic:spPr>
                </pic:pic>
              </a:graphicData>
            </a:graphic>
          </wp:inline>
        </w:drawing>
      </w:r>
    </w:p>
    <w:p w14:paraId="29E97B54" w14:textId="1BD1107F" w:rsidR="00DC38D0" w:rsidRPr="003F3D92" w:rsidRDefault="0084441E" w:rsidP="0084441E">
      <w:pPr>
        <w:pStyle w:val="Figurelegend"/>
        <w:keepNext w:val="0"/>
        <w:keepLines w:val="0"/>
        <w:rPr>
          <w:b/>
          <w:bCs/>
          <w:lang w:eastAsia="ko-KR"/>
        </w:rPr>
      </w:pPr>
      <w:r w:rsidRPr="003F3D92">
        <w:rPr>
          <w:b/>
          <w:bCs/>
          <w:lang w:eastAsia="ko-KR"/>
        </w:rPr>
        <w:t>Leyenda:</w:t>
      </w:r>
    </w:p>
    <w:p w14:paraId="1284934F" w14:textId="5CA9CB16" w:rsidR="00DC38D0" w:rsidRPr="003F3D92" w:rsidRDefault="0084441E" w:rsidP="0084441E">
      <w:pPr>
        <w:pStyle w:val="Figurelegend"/>
        <w:keepNext w:val="0"/>
        <w:keepLines w:val="0"/>
        <w:rPr>
          <w:bCs/>
          <w:lang w:eastAsia="ko-KR"/>
        </w:rPr>
      </w:pPr>
      <w:r w:rsidRPr="003F3D92">
        <w:rPr>
          <w:bCs/>
          <w:lang w:eastAsia="ko-KR"/>
        </w:rPr>
        <w:t>Clasificación</w:t>
      </w:r>
    </w:p>
    <w:p w14:paraId="3D480AA4" w14:textId="671F0C65" w:rsidR="00DC38D0" w:rsidRPr="003F3D92" w:rsidRDefault="0084441E" w:rsidP="0084441E">
      <w:pPr>
        <w:pStyle w:val="Figurelegend"/>
        <w:keepNext w:val="0"/>
        <w:keepLines w:val="0"/>
        <w:rPr>
          <w:bCs/>
          <w:lang w:eastAsia="ko-KR"/>
        </w:rPr>
      </w:pPr>
      <w:r w:rsidRPr="003F3D92">
        <w:rPr>
          <w:bCs/>
          <w:lang w:eastAsia="ko-KR"/>
        </w:rPr>
        <w:t>Caso</w:t>
      </w:r>
    </w:p>
    <w:p w14:paraId="0D51DFD6" w14:textId="73A822CC" w:rsidR="00DC38D0" w:rsidRPr="003F3D92" w:rsidRDefault="0084441E" w:rsidP="0084441E">
      <w:pPr>
        <w:pStyle w:val="Figurelegend"/>
        <w:keepNext w:val="0"/>
        <w:keepLines w:val="0"/>
        <w:rPr>
          <w:bCs/>
          <w:lang w:eastAsia="ko-KR"/>
        </w:rPr>
      </w:pPr>
      <w:r w:rsidRPr="003F3D92">
        <w:rPr>
          <w:bCs/>
          <w:lang w:eastAsia="ko-KR"/>
        </w:rPr>
        <w:t xml:space="preserve">Ángulo </w:t>
      </w:r>
      <w:r w:rsidR="00DC38D0" w:rsidRPr="003F3D92">
        <w:rPr>
          <w:bCs/>
          <w:lang w:eastAsia="ko-KR"/>
        </w:rPr>
        <w:t>de elevación (… grados)</w:t>
      </w:r>
    </w:p>
    <w:p w14:paraId="293683DC" w14:textId="405C434F" w:rsidR="00DC38D0" w:rsidRPr="003F3D92" w:rsidRDefault="0084441E" w:rsidP="0084441E">
      <w:pPr>
        <w:pStyle w:val="Figurelegend"/>
        <w:keepNext w:val="0"/>
        <w:keepLines w:val="0"/>
        <w:rPr>
          <w:bCs/>
          <w:lang w:eastAsia="ko-KR"/>
        </w:rPr>
      </w:pPr>
      <w:r w:rsidRPr="003F3D92">
        <w:rPr>
          <w:bCs/>
          <w:lang w:eastAsia="ko-KR"/>
        </w:rPr>
        <w:t xml:space="preserve">Ángulo </w:t>
      </w:r>
      <w:r w:rsidR="00DC38D0" w:rsidRPr="003F3D92">
        <w:rPr>
          <w:bCs/>
          <w:lang w:eastAsia="ko-KR"/>
        </w:rPr>
        <w:t>de incidencia (… grados)</w:t>
      </w:r>
    </w:p>
    <w:p w14:paraId="4E69FD6E" w14:textId="3FC7EED0" w:rsidR="00DC38D0" w:rsidRPr="003F3D92" w:rsidRDefault="0084441E" w:rsidP="0084441E">
      <w:pPr>
        <w:pStyle w:val="Figurelegend"/>
        <w:keepNext w:val="0"/>
        <w:keepLines w:val="0"/>
        <w:rPr>
          <w:bCs/>
          <w:lang w:eastAsia="ko-KR"/>
        </w:rPr>
      </w:pPr>
      <w:r w:rsidRPr="003F3D92">
        <w:rPr>
          <w:bCs/>
          <w:lang w:eastAsia="ko-KR"/>
        </w:rPr>
        <w:lastRenderedPageBreak/>
        <w:t xml:space="preserve">Ángulo </w:t>
      </w:r>
      <w:r w:rsidR="00DC38D0" w:rsidRPr="003F3D92">
        <w:rPr>
          <w:bCs/>
          <w:lang w:eastAsia="ko-KR"/>
        </w:rPr>
        <w:t>fuera del eje (… grados)</w:t>
      </w:r>
    </w:p>
    <w:p w14:paraId="23740E6B" w14:textId="612A78D9" w:rsidR="00DC38D0" w:rsidRPr="003F3D92" w:rsidRDefault="00611121" w:rsidP="0084441E">
      <w:pPr>
        <w:pStyle w:val="Figurelegend"/>
        <w:keepNext w:val="0"/>
        <w:keepLines w:val="0"/>
        <w:rPr>
          <w:bCs/>
          <w:lang w:eastAsia="ko-KR"/>
        </w:rPr>
      </w:pPr>
      <w:r w:rsidRPr="003F3D92">
        <w:rPr>
          <w:bCs/>
          <w:lang w:eastAsia="ko-KR"/>
        </w:rPr>
        <w:t>p.i.r.e. fuera del eje de la ETEM-A</w:t>
      </w:r>
    </w:p>
    <w:p w14:paraId="356B0908" w14:textId="455C7B02" w:rsidR="00611121" w:rsidRPr="003F3D92" w:rsidRDefault="0084441E" w:rsidP="0084441E">
      <w:pPr>
        <w:pStyle w:val="Figurelegend"/>
        <w:keepNext w:val="0"/>
        <w:keepLines w:val="0"/>
        <w:rPr>
          <w:bCs/>
          <w:lang w:eastAsia="ko-KR"/>
        </w:rPr>
      </w:pPr>
      <w:r w:rsidRPr="003F3D92">
        <w:rPr>
          <w:bCs/>
          <w:lang w:eastAsia="ko-KR"/>
        </w:rPr>
        <w:t xml:space="preserve">Distancia </w:t>
      </w:r>
      <w:r w:rsidR="00611121" w:rsidRPr="003F3D92">
        <w:rPr>
          <w:bCs/>
          <w:lang w:eastAsia="ko-KR"/>
        </w:rPr>
        <w:t>entre la ETEM-A y la estación base/móvil</w:t>
      </w:r>
    </w:p>
    <w:p w14:paraId="76C34612" w14:textId="66BC0D88" w:rsidR="00611121" w:rsidRPr="003F3D92" w:rsidRDefault="0084441E" w:rsidP="0084441E">
      <w:pPr>
        <w:pStyle w:val="Figurelegend"/>
        <w:keepNext w:val="0"/>
        <w:keepLines w:val="0"/>
        <w:rPr>
          <w:bCs/>
          <w:lang w:eastAsia="ko-KR"/>
        </w:rPr>
      </w:pPr>
      <w:r w:rsidRPr="003F3D92">
        <w:rPr>
          <w:bCs/>
          <w:lang w:eastAsia="ko-KR"/>
        </w:rPr>
        <w:t>Altitud</w:t>
      </w:r>
    </w:p>
    <w:p w14:paraId="30BF45E3" w14:textId="1A65C151" w:rsidR="00611121" w:rsidRPr="003F3D92" w:rsidRDefault="0084441E" w:rsidP="0084441E">
      <w:pPr>
        <w:pStyle w:val="Figurelegend"/>
        <w:keepNext w:val="0"/>
        <w:keepLines w:val="0"/>
        <w:rPr>
          <w:bCs/>
          <w:lang w:eastAsia="ko-KR"/>
        </w:rPr>
      </w:pPr>
      <w:r w:rsidRPr="003F3D92">
        <w:rPr>
          <w:bCs/>
          <w:lang w:eastAsia="ko-KR"/>
        </w:rPr>
        <w:t xml:space="preserve">Pérdida </w:t>
      </w:r>
      <w:r w:rsidR="00611121" w:rsidRPr="003F3D92">
        <w:rPr>
          <w:bCs/>
          <w:lang w:eastAsia="ko-KR"/>
        </w:rPr>
        <w:t>de dispersión</w:t>
      </w:r>
    </w:p>
    <w:p w14:paraId="00B495B4" w14:textId="7BA57339" w:rsidR="00611121" w:rsidRPr="003F3D92" w:rsidRDefault="0084441E" w:rsidP="0084441E">
      <w:pPr>
        <w:pStyle w:val="Figurelegend"/>
        <w:keepNext w:val="0"/>
        <w:keepLines w:val="0"/>
        <w:rPr>
          <w:bCs/>
          <w:lang w:eastAsia="ko-KR"/>
        </w:rPr>
      </w:pPr>
      <w:r w:rsidRPr="003F3D92">
        <w:rPr>
          <w:bCs/>
          <w:lang w:eastAsia="ko-KR"/>
        </w:rPr>
        <w:t xml:space="preserve">Atenuación </w:t>
      </w:r>
      <w:r w:rsidR="00611121" w:rsidRPr="003F3D92">
        <w:rPr>
          <w:bCs/>
          <w:lang w:eastAsia="ko-KR"/>
        </w:rPr>
        <w:t>debida al fuselaje</w:t>
      </w:r>
    </w:p>
    <w:p w14:paraId="7D5D0AC8" w14:textId="21484253" w:rsidR="00611121" w:rsidRPr="003F3D92" w:rsidRDefault="00611121" w:rsidP="0084441E">
      <w:pPr>
        <w:pStyle w:val="Figurelegend"/>
        <w:keepNext w:val="0"/>
        <w:keepLines w:val="0"/>
        <w:rPr>
          <w:bCs/>
          <w:lang w:eastAsia="ko-KR"/>
        </w:rPr>
      </w:pPr>
      <w:r w:rsidRPr="003F3D92">
        <w:rPr>
          <w:bCs/>
          <w:lang w:eastAsia="ko-KR"/>
        </w:rPr>
        <w:t>dfp calculada</w:t>
      </w:r>
    </w:p>
    <w:p w14:paraId="6C252B1D" w14:textId="2D6C9C76" w:rsidR="00611121" w:rsidRPr="003F3D92" w:rsidRDefault="0084441E" w:rsidP="0084441E">
      <w:pPr>
        <w:pStyle w:val="Figurelegend"/>
        <w:keepNext w:val="0"/>
        <w:keepLines w:val="0"/>
        <w:rPr>
          <w:bCs/>
          <w:lang w:eastAsia="ko-KR"/>
        </w:rPr>
      </w:pPr>
      <w:r w:rsidRPr="003F3D92">
        <w:rPr>
          <w:bCs/>
          <w:lang w:eastAsia="ko-KR"/>
        </w:rPr>
        <w:t xml:space="preserve">Límite </w:t>
      </w:r>
      <w:r w:rsidR="00611121" w:rsidRPr="003F3D92">
        <w:rPr>
          <w:bCs/>
          <w:lang w:eastAsia="ko-KR"/>
        </w:rPr>
        <w:t>de dfp propuesto</w:t>
      </w:r>
    </w:p>
    <w:p w14:paraId="0E1E71DB" w14:textId="37979B52" w:rsidR="00611121" w:rsidRPr="003F3D92" w:rsidRDefault="0084441E" w:rsidP="0084441E">
      <w:pPr>
        <w:pStyle w:val="Figurelegend"/>
        <w:keepNext w:val="0"/>
        <w:keepLines w:val="0"/>
        <w:rPr>
          <w:bCs/>
          <w:lang w:eastAsia="ko-KR"/>
        </w:rPr>
      </w:pPr>
      <w:r w:rsidRPr="003F3D92">
        <w:rPr>
          <w:bCs/>
          <w:lang w:eastAsia="ko-KR"/>
        </w:rPr>
        <w:t xml:space="preserve">Diferencia </w:t>
      </w:r>
      <w:r w:rsidR="00611121" w:rsidRPr="003F3D92">
        <w:rPr>
          <w:bCs/>
          <w:lang w:eastAsia="ko-KR"/>
        </w:rPr>
        <w:t>entre la dfp calculada y la dfp propuesta</w:t>
      </w:r>
    </w:p>
    <w:p w14:paraId="55F7F92F" w14:textId="286A3E8E" w:rsidR="00F71849" w:rsidRPr="003F3D92" w:rsidRDefault="00F71849" w:rsidP="0084441E">
      <w:pPr>
        <w:pStyle w:val="Headingb"/>
        <w:keepNext w:val="0"/>
        <w:spacing w:after="120"/>
        <w:rPr>
          <w:lang w:eastAsia="ko-KR"/>
        </w:rPr>
      </w:pPr>
      <w:r w:rsidRPr="003F3D92">
        <w:rPr>
          <w:lang w:eastAsia="ko-KR"/>
        </w:rPr>
        <w:t>&lt;</w:t>
      </w:r>
      <w:r w:rsidR="00611121" w:rsidRPr="003F3D92">
        <w:rPr>
          <w:lang w:eastAsia="ko-KR"/>
        </w:rPr>
        <w:t>Ángulo de elevación de</w:t>
      </w:r>
      <w:r w:rsidRPr="003F3D92">
        <w:rPr>
          <w:lang w:eastAsia="ko-KR"/>
        </w:rPr>
        <w:t xml:space="preserve"> 15</w:t>
      </w:r>
      <w:r w:rsidR="0084441E" w:rsidRPr="003F3D92">
        <w:rPr>
          <w:vertAlign w:val="superscript"/>
          <w:lang w:eastAsia="ko-KR"/>
        </w:rPr>
        <w:t>o</w:t>
      </w:r>
      <w:r w:rsidRPr="003F3D92">
        <w:rPr>
          <w:lang w:eastAsia="ko-KR"/>
        </w:rPr>
        <w:t>&gt;</w:t>
      </w:r>
    </w:p>
    <w:p w14:paraId="1FACA60B" w14:textId="1462B950" w:rsidR="00F71849" w:rsidRPr="003F3D92" w:rsidRDefault="00F71849" w:rsidP="0084441E">
      <w:pPr>
        <w:snapToGrid w:val="0"/>
        <w:spacing w:after="120"/>
        <w:jc w:val="both"/>
        <w:rPr>
          <w:b/>
          <w:lang w:eastAsia="ko-KR"/>
        </w:rPr>
      </w:pPr>
      <w:r w:rsidRPr="003F3D92">
        <w:rPr>
          <w:lang w:eastAsia="zh-CN"/>
        </w:rPr>
        <w:drawing>
          <wp:inline distT="0" distB="0" distL="0" distR="0" wp14:anchorId="78C9A995" wp14:editId="0F41CBD7">
            <wp:extent cx="5812155" cy="2531745"/>
            <wp:effectExtent l="0" t="0" r="0" b="1905"/>
            <wp:docPr id="5" name="그림 5" descr="EMB000059fc06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08549112" descr="EMB000059fc06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2155" cy="2531745"/>
                    </a:xfrm>
                    <a:prstGeom prst="rect">
                      <a:avLst/>
                    </a:prstGeom>
                    <a:noFill/>
                  </pic:spPr>
                </pic:pic>
              </a:graphicData>
            </a:graphic>
          </wp:inline>
        </w:drawing>
      </w:r>
    </w:p>
    <w:p w14:paraId="61399815" w14:textId="77777777" w:rsidR="0084441E" w:rsidRPr="003F3D92" w:rsidRDefault="0084441E" w:rsidP="0084441E">
      <w:pPr>
        <w:pStyle w:val="Figurelegend"/>
        <w:keepNext w:val="0"/>
        <w:keepLines w:val="0"/>
        <w:rPr>
          <w:b/>
          <w:bCs/>
          <w:lang w:eastAsia="ko-KR"/>
        </w:rPr>
      </w:pPr>
      <w:r w:rsidRPr="003F3D92">
        <w:rPr>
          <w:b/>
          <w:bCs/>
          <w:lang w:eastAsia="ko-KR"/>
        </w:rPr>
        <w:t>Leyenda:</w:t>
      </w:r>
    </w:p>
    <w:p w14:paraId="798C367E" w14:textId="77777777" w:rsidR="0084441E" w:rsidRPr="003F3D92" w:rsidRDefault="0084441E" w:rsidP="0084441E">
      <w:pPr>
        <w:pStyle w:val="Figurelegend"/>
        <w:keepNext w:val="0"/>
        <w:keepLines w:val="0"/>
        <w:rPr>
          <w:bCs/>
          <w:lang w:eastAsia="ko-KR"/>
        </w:rPr>
      </w:pPr>
      <w:r w:rsidRPr="003F3D92">
        <w:rPr>
          <w:bCs/>
          <w:lang w:eastAsia="ko-KR"/>
        </w:rPr>
        <w:t>Clasificación</w:t>
      </w:r>
    </w:p>
    <w:p w14:paraId="131369F3" w14:textId="77777777" w:rsidR="0084441E" w:rsidRPr="003F3D92" w:rsidRDefault="0084441E" w:rsidP="0084441E">
      <w:pPr>
        <w:pStyle w:val="Figurelegend"/>
        <w:keepNext w:val="0"/>
        <w:keepLines w:val="0"/>
        <w:rPr>
          <w:bCs/>
          <w:lang w:eastAsia="ko-KR"/>
        </w:rPr>
      </w:pPr>
      <w:r w:rsidRPr="003F3D92">
        <w:rPr>
          <w:bCs/>
          <w:lang w:eastAsia="ko-KR"/>
        </w:rPr>
        <w:t>Caso</w:t>
      </w:r>
    </w:p>
    <w:p w14:paraId="6AD45196" w14:textId="77777777" w:rsidR="0084441E" w:rsidRPr="003F3D92" w:rsidRDefault="0084441E" w:rsidP="0084441E">
      <w:pPr>
        <w:pStyle w:val="Figurelegend"/>
        <w:keepNext w:val="0"/>
        <w:keepLines w:val="0"/>
        <w:rPr>
          <w:bCs/>
          <w:lang w:eastAsia="ko-KR"/>
        </w:rPr>
      </w:pPr>
      <w:r w:rsidRPr="003F3D92">
        <w:rPr>
          <w:bCs/>
          <w:lang w:eastAsia="ko-KR"/>
        </w:rPr>
        <w:t>Ángulo de elevación (… grados)</w:t>
      </w:r>
    </w:p>
    <w:p w14:paraId="6E4ADE2D" w14:textId="77777777" w:rsidR="0084441E" w:rsidRPr="003F3D92" w:rsidRDefault="0084441E" w:rsidP="0084441E">
      <w:pPr>
        <w:pStyle w:val="Figurelegend"/>
        <w:keepNext w:val="0"/>
        <w:keepLines w:val="0"/>
        <w:rPr>
          <w:bCs/>
          <w:lang w:eastAsia="ko-KR"/>
        </w:rPr>
      </w:pPr>
      <w:r w:rsidRPr="003F3D92">
        <w:rPr>
          <w:bCs/>
          <w:lang w:eastAsia="ko-KR"/>
        </w:rPr>
        <w:t>Ángulo de incidencia (… grados)</w:t>
      </w:r>
    </w:p>
    <w:p w14:paraId="493A59C3" w14:textId="77777777" w:rsidR="0084441E" w:rsidRPr="003F3D92" w:rsidRDefault="0084441E" w:rsidP="0084441E">
      <w:pPr>
        <w:pStyle w:val="Figurelegend"/>
        <w:keepNext w:val="0"/>
        <w:keepLines w:val="0"/>
        <w:rPr>
          <w:bCs/>
          <w:lang w:eastAsia="ko-KR"/>
        </w:rPr>
      </w:pPr>
      <w:r w:rsidRPr="003F3D92">
        <w:rPr>
          <w:bCs/>
          <w:lang w:eastAsia="ko-KR"/>
        </w:rPr>
        <w:t>Ángulo fuera del eje (… grados)</w:t>
      </w:r>
    </w:p>
    <w:p w14:paraId="5E925997" w14:textId="77777777" w:rsidR="0084441E" w:rsidRPr="003F3D92" w:rsidRDefault="0084441E" w:rsidP="0084441E">
      <w:pPr>
        <w:pStyle w:val="Figurelegend"/>
        <w:keepNext w:val="0"/>
        <w:keepLines w:val="0"/>
        <w:rPr>
          <w:bCs/>
          <w:lang w:eastAsia="ko-KR"/>
        </w:rPr>
      </w:pPr>
      <w:r w:rsidRPr="003F3D92">
        <w:rPr>
          <w:bCs/>
          <w:lang w:eastAsia="ko-KR"/>
        </w:rPr>
        <w:t>p.i.r.e. fuera del eje de la ETEM-A</w:t>
      </w:r>
    </w:p>
    <w:p w14:paraId="2F83E833" w14:textId="77777777" w:rsidR="0084441E" w:rsidRPr="003F3D92" w:rsidRDefault="0084441E" w:rsidP="0084441E">
      <w:pPr>
        <w:pStyle w:val="Figurelegend"/>
        <w:keepNext w:val="0"/>
        <w:keepLines w:val="0"/>
        <w:rPr>
          <w:bCs/>
          <w:lang w:eastAsia="ko-KR"/>
        </w:rPr>
      </w:pPr>
      <w:r w:rsidRPr="003F3D92">
        <w:rPr>
          <w:bCs/>
          <w:lang w:eastAsia="ko-KR"/>
        </w:rPr>
        <w:t>Distancia entre la ETEM-A y la estación base/móvil</w:t>
      </w:r>
    </w:p>
    <w:p w14:paraId="726FA70B" w14:textId="77777777" w:rsidR="0084441E" w:rsidRPr="003F3D92" w:rsidRDefault="0084441E" w:rsidP="0084441E">
      <w:pPr>
        <w:pStyle w:val="Figurelegend"/>
        <w:keepNext w:val="0"/>
        <w:keepLines w:val="0"/>
        <w:rPr>
          <w:bCs/>
          <w:lang w:eastAsia="ko-KR"/>
        </w:rPr>
      </w:pPr>
      <w:r w:rsidRPr="003F3D92">
        <w:rPr>
          <w:bCs/>
          <w:lang w:eastAsia="ko-KR"/>
        </w:rPr>
        <w:t>Altitud</w:t>
      </w:r>
    </w:p>
    <w:p w14:paraId="40684BE1" w14:textId="77777777" w:rsidR="0084441E" w:rsidRPr="003F3D92" w:rsidRDefault="0084441E" w:rsidP="0084441E">
      <w:pPr>
        <w:pStyle w:val="Figurelegend"/>
        <w:keepNext w:val="0"/>
        <w:keepLines w:val="0"/>
        <w:rPr>
          <w:bCs/>
          <w:lang w:eastAsia="ko-KR"/>
        </w:rPr>
      </w:pPr>
      <w:r w:rsidRPr="003F3D92">
        <w:rPr>
          <w:bCs/>
          <w:lang w:eastAsia="ko-KR"/>
        </w:rPr>
        <w:t>Pérdida de dispersión</w:t>
      </w:r>
    </w:p>
    <w:p w14:paraId="7C33CC61" w14:textId="77777777" w:rsidR="0084441E" w:rsidRPr="003F3D92" w:rsidRDefault="0084441E" w:rsidP="0084441E">
      <w:pPr>
        <w:pStyle w:val="Figurelegend"/>
        <w:keepNext w:val="0"/>
        <w:keepLines w:val="0"/>
        <w:rPr>
          <w:bCs/>
          <w:lang w:eastAsia="ko-KR"/>
        </w:rPr>
      </w:pPr>
      <w:r w:rsidRPr="003F3D92">
        <w:rPr>
          <w:bCs/>
          <w:lang w:eastAsia="ko-KR"/>
        </w:rPr>
        <w:t>Atenuación debida al fuselaje</w:t>
      </w:r>
    </w:p>
    <w:p w14:paraId="6A3496AD" w14:textId="77777777" w:rsidR="0084441E" w:rsidRPr="003F3D92" w:rsidRDefault="0084441E" w:rsidP="0084441E">
      <w:pPr>
        <w:pStyle w:val="Figurelegend"/>
        <w:keepNext w:val="0"/>
        <w:keepLines w:val="0"/>
        <w:rPr>
          <w:bCs/>
          <w:lang w:eastAsia="ko-KR"/>
        </w:rPr>
      </w:pPr>
      <w:r w:rsidRPr="003F3D92">
        <w:rPr>
          <w:bCs/>
          <w:lang w:eastAsia="ko-KR"/>
        </w:rPr>
        <w:t>dfp calculada</w:t>
      </w:r>
    </w:p>
    <w:p w14:paraId="7E856B59" w14:textId="77777777" w:rsidR="0084441E" w:rsidRPr="003F3D92" w:rsidRDefault="0084441E" w:rsidP="0084441E">
      <w:pPr>
        <w:pStyle w:val="Figurelegend"/>
        <w:keepNext w:val="0"/>
        <w:keepLines w:val="0"/>
        <w:rPr>
          <w:bCs/>
          <w:lang w:eastAsia="ko-KR"/>
        </w:rPr>
      </w:pPr>
      <w:r w:rsidRPr="003F3D92">
        <w:rPr>
          <w:bCs/>
          <w:lang w:eastAsia="ko-KR"/>
        </w:rPr>
        <w:t>Límite de dfp propuesto</w:t>
      </w:r>
    </w:p>
    <w:p w14:paraId="5F7422E0" w14:textId="77777777" w:rsidR="0084441E" w:rsidRPr="003F3D92" w:rsidRDefault="0084441E" w:rsidP="0084441E">
      <w:pPr>
        <w:pStyle w:val="Figurelegend"/>
        <w:keepNext w:val="0"/>
        <w:keepLines w:val="0"/>
        <w:rPr>
          <w:bCs/>
          <w:lang w:eastAsia="ko-KR"/>
        </w:rPr>
      </w:pPr>
      <w:r w:rsidRPr="003F3D92">
        <w:rPr>
          <w:bCs/>
          <w:lang w:eastAsia="ko-KR"/>
        </w:rPr>
        <w:t>Diferencia entre la dfp calculada y la dfp propuesta</w:t>
      </w:r>
    </w:p>
    <w:p w14:paraId="16443B11" w14:textId="0FC01E0F" w:rsidR="00F71849" w:rsidRPr="003F3D92" w:rsidRDefault="00F71849" w:rsidP="0084441E">
      <w:pPr>
        <w:pStyle w:val="Headingb"/>
        <w:keepLines/>
        <w:rPr>
          <w:lang w:eastAsia="ko-KR"/>
        </w:rPr>
      </w:pPr>
      <w:r w:rsidRPr="003F3D92">
        <w:rPr>
          <w:lang w:eastAsia="ko-KR"/>
        </w:rPr>
        <w:lastRenderedPageBreak/>
        <w:t>&lt;</w:t>
      </w:r>
      <w:r w:rsidR="00611121" w:rsidRPr="003F3D92">
        <w:rPr>
          <w:lang w:eastAsia="ko-KR"/>
        </w:rPr>
        <w:t>Ángulo de elevación de</w:t>
      </w:r>
      <w:r w:rsidRPr="003F3D92">
        <w:rPr>
          <w:lang w:eastAsia="ko-KR"/>
        </w:rPr>
        <w:t xml:space="preserve"> 10</w:t>
      </w:r>
      <w:r w:rsidRPr="003F3D92">
        <w:rPr>
          <w:vertAlign w:val="superscript"/>
          <w:lang w:eastAsia="ko-KR"/>
        </w:rPr>
        <w:t>o</w:t>
      </w:r>
      <w:r w:rsidRPr="003F3D92">
        <w:rPr>
          <w:lang w:eastAsia="ko-KR"/>
        </w:rPr>
        <w:t>&gt;</w:t>
      </w:r>
    </w:p>
    <w:p w14:paraId="439E50FA" w14:textId="5CD298FE" w:rsidR="00F71849" w:rsidRPr="003F3D92" w:rsidRDefault="00F71849" w:rsidP="0084441E">
      <w:pPr>
        <w:keepNext/>
        <w:keepLines/>
        <w:snapToGrid w:val="0"/>
        <w:spacing w:after="120"/>
        <w:jc w:val="both"/>
        <w:rPr>
          <w:b/>
          <w:lang w:eastAsia="ko-KR"/>
        </w:rPr>
      </w:pPr>
      <w:r w:rsidRPr="003F3D92">
        <w:rPr>
          <w:lang w:eastAsia="zh-CN"/>
        </w:rPr>
        <w:drawing>
          <wp:inline distT="0" distB="0" distL="0" distR="0" wp14:anchorId="039BCDFA" wp14:editId="0C110B92">
            <wp:extent cx="5688965" cy="2477770"/>
            <wp:effectExtent l="0" t="0" r="6985" b="0"/>
            <wp:docPr id="4" name="그림 4" descr="EMB000059fc06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08549192" descr="EMB000059fc06e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88965" cy="2477770"/>
                    </a:xfrm>
                    <a:prstGeom prst="rect">
                      <a:avLst/>
                    </a:prstGeom>
                    <a:noFill/>
                  </pic:spPr>
                </pic:pic>
              </a:graphicData>
            </a:graphic>
          </wp:inline>
        </w:drawing>
      </w:r>
    </w:p>
    <w:p w14:paraId="73324A78" w14:textId="77777777" w:rsidR="0084441E" w:rsidRPr="003F3D92" w:rsidRDefault="0084441E" w:rsidP="0084441E">
      <w:pPr>
        <w:pStyle w:val="Figurelegend"/>
        <w:rPr>
          <w:b/>
          <w:bCs/>
          <w:lang w:eastAsia="ko-KR"/>
        </w:rPr>
      </w:pPr>
      <w:r w:rsidRPr="003F3D92">
        <w:rPr>
          <w:b/>
          <w:bCs/>
          <w:lang w:eastAsia="ko-KR"/>
        </w:rPr>
        <w:t>Leyenda:</w:t>
      </w:r>
    </w:p>
    <w:p w14:paraId="6B5FD21B" w14:textId="77777777" w:rsidR="0084441E" w:rsidRPr="003F3D92" w:rsidRDefault="0084441E" w:rsidP="0084441E">
      <w:pPr>
        <w:pStyle w:val="Figurelegend"/>
        <w:rPr>
          <w:bCs/>
          <w:lang w:eastAsia="ko-KR"/>
        </w:rPr>
      </w:pPr>
      <w:r w:rsidRPr="003F3D92">
        <w:rPr>
          <w:bCs/>
          <w:lang w:eastAsia="ko-KR"/>
        </w:rPr>
        <w:t>Clasificación</w:t>
      </w:r>
    </w:p>
    <w:p w14:paraId="560C4108" w14:textId="77777777" w:rsidR="0084441E" w:rsidRPr="003F3D92" w:rsidRDefault="0084441E" w:rsidP="0084441E">
      <w:pPr>
        <w:pStyle w:val="Figurelegend"/>
        <w:rPr>
          <w:bCs/>
          <w:lang w:eastAsia="ko-KR"/>
        </w:rPr>
      </w:pPr>
      <w:r w:rsidRPr="003F3D92">
        <w:rPr>
          <w:bCs/>
          <w:lang w:eastAsia="ko-KR"/>
        </w:rPr>
        <w:t>Caso</w:t>
      </w:r>
    </w:p>
    <w:p w14:paraId="2F27A70D" w14:textId="77777777" w:rsidR="0084441E" w:rsidRPr="003F3D92" w:rsidRDefault="0084441E" w:rsidP="0084441E">
      <w:pPr>
        <w:pStyle w:val="Figurelegend"/>
        <w:rPr>
          <w:bCs/>
          <w:lang w:eastAsia="ko-KR"/>
        </w:rPr>
      </w:pPr>
      <w:r w:rsidRPr="003F3D92">
        <w:rPr>
          <w:bCs/>
          <w:lang w:eastAsia="ko-KR"/>
        </w:rPr>
        <w:t>Ángulo de elevación (… grados)</w:t>
      </w:r>
    </w:p>
    <w:p w14:paraId="1F405AB7" w14:textId="77777777" w:rsidR="0084441E" w:rsidRPr="003F3D92" w:rsidRDefault="0084441E" w:rsidP="0084441E">
      <w:pPr>
        <w:pStyle w:val="Figurelegend"/>
        <w:rPr>
          <w:bCs/>
          <w:lang w:eastAsia="ko-KR"/>
        </w:rPr>
      </w:pPr>
      <w:r w:rsidRPr="003F3D92">
        <w:rPr>
          <w:bCs/>
          <w:lang w:eastAsia="ko-KR"/>
        </w:rPr>
        <w:t>Ángulo de incidencia (… grados)</w:t>
      </w:r>
    </w:p>
    <w:p w14:paraId="02E4F2C7" w14:textId="77777777" w:rsidR="0084441E" w:rsidRPr="003F3D92" w:rsidRDefault="0084441E" w:rsidP="0084441E">
      <w:pPr>
        <w:pStyle w:val="Figurelegend"/>
        <w:rPr>
          <w:bCs/>
          <w:lang w:eastAsia="ko-KR"/>
        </w:rPr>
      </w:pPr>
      <w:r w:rsidRPr="003F3D92">
        <w:rPr>
          <w:bCs/>
          <w:lang w:eastAsia="ko-KR"/>
        </w:rPr>
        <w:t>Ángulo fuera del eje (… grados)</w:t>
      </w:r>
    </w:p>
    <w:p w14:paraId="24427D08" w14:textId="77777777" w:rsidR="0084441E" w:rsidRPr="003F3D92" w:rsidRDefault="0084441E" w:rsidP="0084441E">
      <w:pPr>
        <w:pStyle w:val="Figurelegend"/>
        <w:rPr>
          <w:bCs/>
          <w:lang w:eastAsia="ko-KR"/>
        </w:rPr>
      </w:pPr>
      <w:r w:rsidRPr="003F3D92">
        <w:rPr>
          <w:bCs/>
          <w:lang w:eastAsia="ko-KR"/>
        </w:rPr>
        <w:t>p.i.r.e. fuera del eje de la ETEM-A</w:t>
      </w:r>
    </w:p>
    <w:p w14:paraId="25C3735A" w14:textId="77777777" w:rsidR="0084441E" w:rsidRPr="003F3D92" w:rsidRDefault="0084441E" w:rsidP="0084441E">
      <w:pPr>
        <w:pStyle w:val="Figurelegend"/>
        <w:rPr>
          <w:bCs/>
          <w:lang w:eastAsia="ko-KR"/>
        </w:rPr>
      </w:pPr>
      <w:r w:rsidRPr="003F3D92">
        <w:rPr>
          <w:bCs/>
          <w:lang w:eastAsia="ko-KR"/>
        </w:rPr>
        <w:t>Distancia entre la ETEM-A y la estación base/móvil</w:t>
      </w:r>
    </w:p>
    <w:p w14:paraId="562D0D33" w14:textId="77777777" w:rsidR="0084441E" w:rsidRPr="003F3D92" w:rsidRDefault="0084441E" w:rsidP="0084441E">
      <w:pPr>
        <w:pStyle w:val="Figurelegend"/>
        <w:rPr>
          <w:bCs/>
          <w:lang w:eastAsia="ko-KR"/>
        </w:rPr>
      </w:pPr>
      <w:r w:rsidRPr="003F3D92">
        <w:rPr>
          <w:bCs/>
          <w:lang w:eastAsia="ko-KR"/>
        </w:rPr>
        <w:t>Altitud</w:t>
      </w:r>
    </w:p>
    <w:p w14:paraId="19603EA3" w14:textId="77777777" w:rsidR="0084441E" w:rsidRPr="003F3D92" w:rsidRDefault="0084441E" w:rsidP="0084441E">
      <w:pPr>
        <w:pStyle w:val="Figurelegend"/>
        <w:rPr>
          <w:bCs/>
          <w:lang w:eastAsia="ko-KR"/>
        </w:rPr>
      </w:pPr>
      <w:r w:rsidRPr="003F3D92">
        <w:rPr>
          <w:bCs/>
          <w:lang w:eastAsia="ko-KR"/>
        </w:rPr>
        <w:t>Pérdida de dispersión</w:t>
      </w:r>
    </w:p>
    <w:p w14:paraId="1C4FB647" w14:textId="77777777" w:rsidR="0084441E" w:rsidRPr="003F3D92" w:rsidRDefault="0084441E" w:rsidP="0084441E">
      <w:pPr>
        <w:pStyle w:val="Figurelegend"/>
        <w:rPr>
          <w:bCs/>
          <w:lang w:eastAsia="ko-KR"/>
        </w:rPr>
      </w:pPr>
      <w:r w:rsidRPr="003F3D92">
        <w:rPr>
          <w:bCs/>
          <w:lang w:eastAsia="ko-KR"/>
        </w:rPr>
        <w:t>Atenuación debida al fuselaje</w:t>
      </w:r>
    </w:p>
    <w:p w14:paraId="39108B13" w14:textId="77777777" w:rsidR="0084441E" w:rsidRPr="003F3D92" w:rsidRDefault="0084441E" w:rsidP="0084441E">
      <w:pPr>
        <w:pStyle w:val="Figurelegend"/>
        <w:rPr>
          <w:bCs/>
          <w:lang w:eastAsia="ko-KR"/>
        </w:rPr>
      </w:pPr>
      <w:r w:rsidRPr="003F3D92">
        <w:rPr>
          <w:bCs/>
          <w:lang w:eastAsia="ko-KR"/>
        </w:rPr>
        <w:t>dfp calculada</w:t>
      </w:r>
    </w:p>
    <w:p w14:paraId="4AB4241B" w14:textId="77777777" w:rsidR="0084441E" w:rsidRPr="003F3D92" w:rsidRDefault="0084441E" w:rsidP="0084441E">
      <w:pPr>
        <w:pStyle w:val="Figurelegend"/>
        <w:rPr>
          <w:bCs/>
          <w:lang w:eastAsia="ko-KR"/>
        </w:rPr>
      </w:pPr>
      <w:r w:rsidRPr="003F3D92">
        <w:rPr>
          <w:bCs/>
          <w:lang w:eastAsia="ko-KR"/>
        </w:rPr>
        <w:t>Límite de dfp propuesto</w:t>
      </w:r>
    </w:p>
    <w:p w14:paraId="7BD9EF3B" w14:textId="77777777" w:rsidR="0084441E" w:rsidRPr="003F3D92" w:rsidRDefault="0084441E" w:rsidP="0084441E">
      <w:pPr>
        <w:pStyle w:val="Figurelegend"/>
        <w:rPr>
          <w:bCs/>
          <w:lang w:eastAsia="ko-KR"/>
        </w:rPr>
      </w:pPr>
      <w:r w:rsidRPr="003F3D92">
        <w:rPr>
          <w:bCs/>
          <w:lang w:eastAsia="ko-KR"/>
        </w:rPr>
        <w:t>Diferencia entre la dfp calculada y la dfp propuesta</w:t>
      </w:r>
    </w:p>
    <w:p w14:paraId="2340E084" w14:textId="540EA70A" w:rsidR="00F71849" w:rsidRPr="003F3D92" w:rsidRDefault="00F71849" w:rsidP="0084441E">
      <w:pPr>
        <w:pStyle w:val="Headingb"/>
        <w:rPr>
          <w:b w:val="0"/>
          <w:lang w:eastAsia="ko-KR"/>
        </w:rPr>
      </w:pPr>
      <w:r w:rsidRPr="003F3D92">
        <w:rPr>
          <w:lang w:eastAsia="ko-KR"/>
        </w:rPr>
        <w:t>&lt;</w:t>
      </w:r>
      <w:r w:rsidR="00611121" w:rsidRPr="003F3D92">
        <w:rPr>
          <w:lang w:eastAsia="ko-KR"/>
        </w:rPr>
        <w:t>Ángulo de elevación de</w:t>
      </w:r>
      <w:r w:rsidRPr="003F3D92">
        <w:rPr>
          <w:lang w:eastAsia="ko-KR"/>
        </w:rPr>
        <w:t xml:space="preserve"> 5</w:t>
      </w:r>
      <w:r w:rsidRPr="003F3D92">
        <w:rPr>
          <w:vertAlign w:val="superscript"/>
          <w:lang w:eastAsia="ko-KR"/>
        </w:rPr>
        <w:t>o</w:t>
      </w:r>
      <w:r w:rsidRPr="003F3D92">
        <w:rPr>
          <w:lang w:eastAsia="ko-KR"/>
        </w:rPr>
        <w:t>&gt;</w:t>
      </w:r>
    </w:p>
    <w:p w14:paraId="1D0EA08B" w14:textId="3D37DDB3" w:rsidR="00F71849" w:rsidRPr="003F3D92" w:rsidRDefault="00F71849" w:rsidP="00F71849">
      <w:pPr>
        <w:snapToGrid w:val="0"/>
        <w:spacing w:after="120"/>
        <w:jc w:val="both"/>
        <w:rPr>
          <w:b/>
          <w:lang w:eastAsia="ko-KR"/>
        </w:rPr>
      </w:pPr>
      <w:r w:rsidRPr="003F3D92">
        <w:rPr>
          <w:lang w:eastAsia="zh-CN"/>
        </w:rPr>
        <w:drawing>
          <wp:inline distT="0" distB="0" distL="0" distR="0" wp14:anchorId="3BE17BCD" wp14:editId="4453E1B0">
            <wp:extent cx="5742305" cy="2501265"/>
            <wp:effectExtent l="0" t="0" r="0" b="0"/>
            <wp:docPr id="7" name="그림 3" descr="EMB000059fc06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08551432" descr="EMB000059fc06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2305" cy="2501265"/>
                    </a:xfrm>
                    <a:prstGeom prst="rect">
                      <a:avLst/>
                    </a:prstGeom>
                    <a:noFill/>
                  </pic:spPr>
                </pic:pic>
              </a:graphicData>
            </a:graphic>
          </wp:inline>
        </w:drawing>
      </w:r>
    </w:p>
    <w:p w14:paraId="2D188066" w14:textId="77777777" w:rsidR="0084441E" w:rsidRPr="003F3D92" w:rsidRDefault="0084441E" w:rsidP="0084441E">
      <w:pPr>
        <w:pStyle w:val="Figurelegend"/>
        <w:rPr>
          <w:b/>
          <w:bCs/>
          <w:lang w:eastAsia="ko-KR"/>
        </w:rPr>
      </w:pPr>
      <w:r w:rsidRPr="003F3D92">
        <w:rPr>
          <w:b/>
          <w:bCs/>
          <w:lang w:eastAsia="ko-KR"/>
        </w:rPr>
        <w:lastRenderedPageBreak/>
        <w:t>Leyenda:</w:t>
      </w:r>
    </w:p>
    <w:p w14:paraId="20028154" w14:textId="77777777" w:rsidR="0084441E" w:rsidRPr="003F3D92" w:rsidRDefault="0084441E" w:rsidP="0084441E">
      <w:pPr>
        <w:pStyle w:val="Figurelegend"/>
        <w:rPr>
          <w:bCs/>
          <w:lang w:eastAsia="ko-KR"/>
        </w:rPr>
      </w:pPr>
      <w:r w:rsidRPr="003F3D92">
        <w:rPr>
          <w:bCs/>
          <w:lang w:eastAsia="ko-KR"/>
        </w:rPr>
        <w:t>Clasificación</w:t>
      </w:r>
    </w:p>
    <w:p w14:paraId="1B2836CE" w14:textId="77777777" w:rsidR="0084441E" w:rsidRPr="003F3D92" w:rsidRDefault="0084441E" w:rsidP="0084441E">
      <w:pPr>
        <w:pStyle w:val="Figurelegend"/>
        <w:rPr>
          <w:bCs/>
          <w:lang w:eastAsia="ko-KR"/>
        </w:rPr>
      </w:pPr>
      <w:r w:rsidRPr="003F3D92">
        <w:rPr>
          <w:bCs/>
          <w:lang w:eastAsia="ko-KR"/>
        </w:rPr>
        <w:t>Caso</w:t>
      </w:r>
    </w:p>
    <w:p w14:paraId="70CB34A8" w14:textId="77777777" w:rsidR="0084441E" w:rsidRPr="003F3D92" w:rsidRDefault="0084441E" w:rsidP="0084441E">
      <w:pPr>
        <w:pStyle w:val="Figurelegend"/>
        <w:rPr>
          <w:bCs/>
          <w:lang w:eastAsia="ko-KR"/>
        </w:rPr>
      </w:pPr>
      <w:r w:rsidRPr="003F3D92">
        <w:rPr>
          <w:bCs/>
          <w:lang w:eastAsia="ko-KR"/>
        </w:rPr>
        <w:t>Ángulo de elevación (… grados)</w:t>
      </w:r>
    </w:p>
    <w:p w14:paraId="3EAFF73C" w14:textId="77777777" w:rsidR="0084441E" w:rsidRPr="003F3D92" w:rsidRDefault="0084441E" w:rsidP="0084441E">
      <w:pPr>
        <w:pStyle w:val="Figurelegend"/>
        <w:rPr>
          <w:bCs/>
          <w:lang w:eastAsia="ko-KR"/>
        </w:rPr>
      </w:pPr>
      <w:r w:rsidRPr="003F3D92">
        <w:rPr>
          <w:bCs/>
          <w:lang w:eastAsia="ko-KR"/>
        </w:rPr>
        <w:t>Ángulo de incidencia (… grados)</w:t>
      </w:r>
    </w:p>
    <w:p w14:paraId="7FAC8957" w14:textId="77777777" w:rsidR="0084441E" w:rsidRPr="003F3D92" w:rsidRDefault="0084441E" w:rsidP="0084441E">
      <w:pPr>
        <w:pStyle w:val="Figurelegend"/>
        <w:rPr>
          <w:bCs/>
          <w:lang w:eastAsia="ko-KR"/>
        </w:rPr>
      </w:pPr>
      <w:r w:rsidRPr="003F3D92">
        <w:rPr>
          <w:bCs/>
          <w:lang w:eastAsia="ko-KR"/>
        </w:rPr>
        <w:t>Ángulo fuera del eje (… grados)</w:t>
      </w:r>
    </w:p>
    <w:p w14:paraId="191DD8ED" w14:textId="77777777" w:rsidR="0084441E" w:rsidRPr="003F3D92" w:rsidRDefault="0084441E" w:rsidP="0084441E">
      <w:pPr>
        <w:pStyle w:val="Figurelegend"/>
        <w:rPr>
          <w:bCs/>
          <w:lang w:eastAsia="ko-KR"/>
        </w:rPr>
      </w:pPr>
      <w:r w:rsidRPr="003F3D92">
        <w:rPr>
          <w:bCs/>
          <w:lang w:eastAsia="ko-KR"/>
        </w:rPr>
        <w:t>p.i.r.e. fuera del eje de la ETEM-A</w:t>
      </w:r>
    </w:p>
    <w:p w14:paraId="2917BB90" w14:textId="77777777" w:rsidR="0084441E" w:rsidRPr="003F3D92" w:rsidRDefault="0084441E" w:rsidP="0084441E">
      <w:pPr>
        <w:pStyle w:val="Figurelegend"/>
        <w:rPr>
          <w:bCs/>
          <w:lang w:eastAsia="ko-KR"/>
        </w:rPr>
      </w:pPr>
      <w:r w:rsidRPr="003F3D92">
        <w:rPr>
          <w:bCs/>
          <w:lang w:eastAsia="ko-KR"/>
        </w:rPr>
        <w:t>Distancia entre la ETEM-A y la estación base/móvil</w:t>
      </w:r>
    </w:p>
    <w:p w14:paraId="0E835763" w14:textId="77777777" w:rsidR="0084441E" w:rsidRPr="003F3D92" w:rsidRDefault="0084441E" w:rsidP="0084441E">
      <w:pPr>
        <w:pStyle w:val="Figurelegend"/>
        <w:rPr>
          <w:bCs/>
          <w:lang w:eastAsia="ko-KR"/>
        </w:rPr>
      </w:pPr>
      <w:r w:rsidRPr="003F3D92">
        <w:rPr>
          <w:bCs/>
          <w:lang w:eastAsia="ko-KR"/>
        </w:rPr>
        <w:t>Altitud</w:t>
      </w:r>
    </w:p>
    <w:p w14:paraId="5FBC1CCC" w14:textId="77777777" w:rsidR="0084441E" w:rsidRPr="003F3D92" w:rsidRDefault="0084441E" w:rsidP="0084441E">
      <w:pPr>
        <w:pStyle w:val="Figurelegend"/>
        <w:rPr>
          <w:bCs/>
          <w:lang w:eastAsia="ko-KR"/>
        </w:rPr>
      </w:pPr>
      <w:r w:rsidRPr="003F3D92">
        <w:rPr>
          <w:bCs/>
          <w:lang w:eastAsia="ko-KR"/>
        </w:rPr>
        <w:t>Pérdida de dispersión</w:t>
      </w:r>
    </w:p>
    <w:p w14:paraId="4EA9A1EA" w14:textId="77777777" w:rsidR="0084441E" w:rsidRPr="003F3D92" w:rsidRDefault="0084441E" w:rsidP="0084441E">
      <w:pPr>
        <w:pStyle w:val="Figurelegend"/>
        <w:rPr>
          <w:bCs/>
          <w:lang w:eastAsia="ko-KR"/>
        </w:rPr>
      </w:pPr>
      <w:r w:rsidRPr="003F3D92">
        <w:rPr>
          <w:bCs/>
          <w:lang w:eastAsia="ko-KR"/>
        </w:rPr>
        <w:t>Atenuación debida al fuselaje</w:t>
      </w:r>
    </w:p>
    <w:p w14:paraId="5CB565BF" w14:textId="77777777" w:rsidR="0084441E" w:rsidRPr="003F3D92" w:rsidRDefault="0084441E" w:rsidP="0084441E">
      <w:pPr>
        <w:pStyle w:val="Figurelegend"/>
        <w:rPr>
          <w:bCs/>
          <w:lang w:eastAsia="ko-KR"/>
        </w:rPr>
      </w:pPr>
      <w:r w:rsidRPr="003F3D92">
        <w:rPr>
          <w:bCs/>
          <w:lang w:eastAsia="ko-KR"/>
        </w:rPr>
        <w:t>dfp calculada</w:t>
      </w:r>
    </w:p>
    <w:p w14:paraId="360D4520" w14:textId="77777777" w:rsidR="0084441E" w:rsidRPr="003F3D92" w:rsidRDefault="0084441E" w:rsidP="0084441E">
      <w:pPr>
        <w:pStyle w:val="Figurelegend"/>
        <w:rPr>
          <w:bCs/>
          <w:lang w:eastAsia="ko-KR"/>
        </w:rPr>
      </w:pPr>
      <w:r w:rsidRPr="003F3D92">
        <w:rPr>
          <w:bCs/>
          <w:lang w:eastAsia="ko-KR"/>
        </w:rPr>
        <w:t>Límite de dfp propuesto</w:t>
      </w:r>
    </w:p>
    <w:p w14:paraId="3621B651" w14:textId="77777777" w:rsidR="0084441E" w:rsidRPr="003F3D92" w:rsidRDefault="0084441E" w:rsidP="0084441E">
      <w:pPr>
        <w:pStyle w:val="Figurelegend"/>
        <w:rPr>
          <w:bCs/>
          <w:lang w:eastAsia="ko-KR"/>
        </w:rPr>
      </w:pPr>
      <w:r w:rsidRPr="003F3D92">
        <w:rPr>
          <w:bCs/>
          <w:lang w:eastAsia="ko-KR"/>
        </w:rPr>
        <w:t>Diferencia entre la dfp calculada y la dfp propuesta</w:t>
      </w:r>
    </w:p>
    <w:p w14:paraId="03EC46B1" w14:textId="2821AE03" w:rsidR="00422C88" w:rsidRPr="003F3D92" w:rsidRDefault="00611121" w:rsidP="00A32B60">
      <w:pPr>
        <w:keepNext/>
        <w:keepLines/>
      </w:pPr>
      <w:r w:rsidRPr="003F3D92">
        <w:t xml:space="preserve">Es evidente que a </w:t>
      </w:r>
      <w:r w:rsidR="00422C88" w:rsidRPr="003F3D92">
        <w:t xml:space="preserve">6 km </w:t>
      </w:r>
      <w:r w:rsidRPr="003F3D92">
        <w:t>de altitud con un ángulo de elevación de</w:t>
      </w:r>
      <w:r w:rsidR="00422C88" w:rsidRPr="003F3D92">
        <w:t xml:space="preserve"> 20 </w:t>
      </w:r>
      <w:r w:rsidRPr="003F3D92">
        <w:t xml:space="preserve">grados y un ángulo de incidencia de 5 grados, la dfp calculada rebasa la máscara de dfp de la Opción 2. Sin embargo, si se tienen en cuenta las características de la atenuación atmosférica, es posible que los valores de dfp a </w:t>
      </w:r>
      <w:r w:rsidR="00422C88" w:rsidRPr="003F3D92">
        <w:t xml:space="preserve">6 km </w:t>
      </w:r>
      <w:r w:rsidRPr="003F3D92">
        <w:t xml:space="preserve">de </w:t>
      </w:r>
      <w:r w:rsidR="00422C88" w:rsidRPr="003F3D92">
        <w:t>altitud</w:t>
      </w:r>
      <w:r w:rsidRPr="003F3D92">
        <w:t xml:space="preserve"> con un ángulo de elevación de 20 grados no superen los de la máscara de dfp de la Opción 2</w:t>
      </w:r>
      <w:r w:rsidR="00422C88" w:rsidRPr="003F3D92">
        <w:t>.</w:t>
      </w:r>
    </w:p>
    <w:p w14:paraId="1A6099B1" w14:textId="66101E14" w:rsidR="00422C88" w:rsidRPr="003F3D92" w:rsidRDefault="00611121" w:rsidP="00422C88">
      <w:r w:rsidRPr="003F3D92">
        <w:t>Por consiguiente, se propone limitar a 20 grados el ángulo de elevación a una altitud de 6 km a fin de proteger el servicio móvil contra las ETEM-A, habida cuenta de las características reales de funcionamiento de las ETEM-A</w:t>
      </w:r>
      <w:r w:rsidR="00422C88" w:rsidRPr="003F3D92">
        <w:t>.</w:t>
      </w:r>
    </w:p>
    <w:p w14:paraId="2D87752C" w14:textId="16D5F51C" w:rsidR="00422C88" w:rsidRPr="003F3D92" w:rsidRDefault="00611121" w:rsidP="00422C88">
      <w:r w:rsidRPr="003F3D92">
        <w:t>Cabe señalar que con los siguientes supuestos una ETEM-A con un ángulo de elevación de 10</w:t>
      </w:r>
      <w:r w:rsidR="00A32B60" w:rsidRPr="003F3D92">
        <w:t> </w:t>
      </w:r>
      <w:r w:rsidRPr="003F3D92">
        <w:t>grados puede ajustarse a la máscara de dfp de la Opción 1 a una altitud de</w:t>
      </w:r>
      <w:r w:rsidR="00422C88" w:rsidRPr="003F3D92">
        <w:t xml:space="preserve"> 30</w:t>
      </w:r>
      <w:r w:rsidR="00A32B60" w:rsidRPr="003F3D92">
        <w:t> </w:t>
      </w:r>
      <w:r w:rsidR="00422C88" w:rsidRPr="003F3D92">
        <w:t xml:space="preserve">000 </w:t>
      </w:r>
      <w:r w:rsidRPr="003F3D92">
        <w:t>pies</w:t>
      </w:r>
      <w:r w:rsidR="00422C88" w:rsidRPr="003F3D92">
        <w:t xml:space="preserve"> (</w:t>
      </w:r>
      <w:r w:rsidRPr="003F3D92">
        <w:t>es decir,</w:t>
      </w:r>
      <w:r w:rsidR="00422C88" w:rsidRPr="003F3D92">
        <w:t xml:space="preserve"> 9</w:t>
      </w:r>
      <w:r w:rsidR="00A32B60" w:rsidRPr="003F3D92">
        <w:t> </w:t>
      </w:r>
      <w:r w:rsidR="00422C88" w:rsidRPr="003F3D92">
        <w:t>144 m) (</w:t>
      </w:r>
      <w:r w:rsidRPr="003F3D92">
        <w:t>véase el Anexo 1 al Informe</w:t>
      </w:r>
      <w:r w:rsidR="00422C88" w:rsidRPr="003F3D92">
        <w:t xml:space="preserve"> </w:t>
      </w:r>
      <w:hyperlink r:id="rId18" w:history="1">
        <w:r w:rsidR="00422C88" w:rsidRPr="003F3D92">
          <w:rPr>
            <w:rStyle w:val="Hyperlink"/>
          </w:rPr>
          <w:t>ECC 184</w:t>
        </w:r>
      </w:hyperlink>
      <w:r w:rsidR="00422C88" w:rsidRPr="003F3D92">
        <w:rPr>
          <w:u w:val="single"/>
        </w:rPr>
        <w:t>):</w:t>
      </w:r>
    </w:p>
    <w:p w14:paraId="7C596FAC" w14:textId="128BBFBB" w:rsidR="00422C88" w:rsidRPr="003F3D92" w:rsidRDefault="00422C88" w:rsidP="00422C88">
      <w:pPr>
        <w:pStyle w:val="enumlev1"/>
      </w:pPr>
      <w:r w:rsidRPr="003F3D92">
        <w:t>•</w:t>
      </w:r>
      <w:r w:rsidRPr="003F3D92">
        <w:tab/>
      </w:r>
      <w:r w:rsidR="00611121" w:rsidRPr="003F3D92">
        <w:t>pérdida de dispersión en el espacio libre de una aeronave a</w:t>
      </w:r>
      <w:r w:rsidRPr="003F3D92">
        <w:t xml:space="preserve"> 30</w:t>
      </w:r>
      <w:r w:rsidR="00A32B60" w:rsidRPr="003F3D92">
        <w:t> </w:t>
      </w:r>
      <w:r w:rsidRPr="003F3D92">
        <w:t xml:space="preserve">000 </w:t>
      </w:r>
      <w:r w:rsidR="00611121" w:rsidRPr="003F3D92">
        <w:t>pies</w:t>
      </w:r>
      <w:r w:rsidRPr="003F3D92">
        <w:t xml:space="preserve"> (9 144 m)</w:t>
      </w:r>
      <w:r w:rsidR="0084441E" w:rsidRPr="003F3D92">
        <w:t>;</w:t>
      </w:r>
    </w:p>
    <w:p w14:paraId="0E1E145F" w14:textId="41C911ED" w:rsidR="00422C88" w:rsidRPr="003F3D92" w:rsidRDefault="00422C88" w:rsidP="00422C88">
      <w:pPr>
        <w:pStyle w:val="enumlev1"/>
      </w:pPr>
      <w:r w:rsidRPr="003F3D92">
        <w:t>•</w:t>
      </w:r>
      <w:r w:rsidRPr="003F3D92">
        <w:tab/>
      </w:r>
      <w:r w:rsidR="00611121" w:rsidRPr="003F3D92">
        <w:t>pérdida por atenuación atmosférica (véase la Recomendación UIT</w:t>
      </w:r>
      <w:r w:rsidRPr="003F3D92">
        <w:t>-R P.676-8)</w:t>
      </w:r>
      <w:r w:rsidR="0084441E" w:rsidRPr="003F3D92">
        <w:t>;</w:t>
      </w:r>
      <w:r w:rsidRPr="003F3D92">
        <w:t xml:space="preserve"> </w:t>
      </w:r>
      <w:r w:rsidR="00611121" w:rsidRPr="003F3D92">
        <w:t>y</w:t>
      </w:r>
    </w:p>
    <w:p w14:paraId="33002FCB" w14:textId="499B5CCD" w:rsidR="00422C88" w:rsidRPr="003F3D92" w:rsidRDefault="00422C88" w:rsidP="00422C88">
      <w:pPr>
        <w:pStyle w:val="enumlev1"/>
      </w:pPr>
      <w:r w:rsidRPr="003F3D92">
        <w:t>•</w:t>
      </w:r>
      <w:r w:rsidRPr="003F3D92">
        <w:tab/>
      </w:r>
      <w:r w:rsidR="00611121" w:rsidRPr="003F3D92">
        <w:t>pérdida debida al fuselaje (véase el Informe UIT</w:t>
      </w:r>
      <w:r w:rsidRPr="003F3D92">
        <w:t>-R M.2221)</w:t>
      </w:r>
      <w:r w:rsidR="0084441E" w:rsidRPr="003F3D92">
        <w:t>.</w:t>
      </w:r>
    </w:p>
    <w:p w14:paraId="293649D3" w14:textId="6834CD23" w:rsidR="00422C88" w:rsidRPr="003F3D92" w:rsidRDefault="00422C88" w:rsidP="00422C88">
      <w:pPr>
        <w:pStyle w:val="Heading1"/>
      </w:pPr>
      <w:r w:rsidRPr="003F3D92">
        <w:t>3</w:t>
      </w:r>
      <w:r w:rsidRPr="003F3D92">
        <w:tab/>
      </w:r>
      <w:r w:rsidR="00611121" w:rsidRPr="003F3D92">
        <w:t>Opiniones y propuestas</w:t>
      </w:r>
    </w:p>
    <w:p w14:paraId="22BAFDA5" w14:textId="59C19BA5" w:rsidR="00422C88" w:rsidRPr="003F3D92" w:rsidRDefault="00611121" w:rsidP="00422C88">
      <w:r w:rsidRPr="003F3D92">
        <w:t xml:space="preserve">Habida cuenta de lo anterior, se propone limitar la </w:t>
      </w:r>
      <w:r w:rsidR="00DC4CE2" w:rsidRPr="003F3D92">
        <w:t>altitud y el ángulo de elevación de las ETEM-A a fin de proteger los servicios terrenales con una máscara de dfp adecuada. La propuesta se presenta en la propuesta común presentada por la República de Corea, Japón y Singapur para el punto 1.5 del orden del día</w:t>
      </w:r>
      <w:r w:rsidR="00422C88" w:rsidRPr="003F3D92">
        <w:t>.</w:t>
      </w:r>
    </w:p>
    <w:p w14:paraId="688DFF32" w14:textId="24966570" w:rsidR="006544B8" w:rsidRPr="003F3D92" w:rsidRDefault="00E01062">
      <w:pPr>
        <w:pStyle w:val="Reasons"/>
      </w:pPr>
      <w:r w:rsidRPr="003F3D92">
        <w:rPr>
          <w:b/>
        </w:rPr>
        <w:t>Motivos</w:t>
      </w:r>
      <w:r w:rsidRPr="003F3D92">
        <w:rPr>
          <w:bCs/>
        </w:rPr>
        <w:t>:</w:t>
      </w:r>
      <w:r w:rsidRPr="003F3D92">
        <w:rPr>
          <w:bCs/>
        </w:rPr>
        <w:tab/>
      </w:r>
      <w:r w:rsidR="00DC4CE2" w:rsidRPr="003F3D92">
        <w:t>Con esta contribución se pretende explicar la necesidad de fijar un ángulo de elevación mínimo para las ETEM que transmiten hacia el satélite del SFS OSG con el que se comunican, así como de limitar la altitud, como se propone en la contribución conjunta presentada por Japón, Corea (República de) y Singapur (República de</w:t>
      </w:r>
      <w:r w:rsidR="0002068C" w:rsidRPr="003F3D92">
        <w:t>).</w:t>
      </w:r>
    </w:p>
    <w:p w14:paraId="1B1D46D1" w14:textId="77777777" w:rsidR="0002068C" w:rsidRPr="003F3D92" w:rsidRDefault="0002068C" w:rsidP="0002068C"/>
    <w:p w14:paraId="4D32787F" w14:textId="77777777" w:rsidR="0002068C" w:rsidRPr="003F3D92" w:rsidRDefault="0002068C">
      <w:pPr>
        <w:jc w:val="center"/>
      </w:pPr>
      <w:r w:rsidRPr="003F3D92">
        <w:t>______________</w:t>
      </w:r>
    </w:p>
    <w:sectPr w:rsidR="0002068C" w:rsidRPr="003F3D92" w:rsidSect="00A32B60">
      <w:headerReference w:type="default" r:id="rId19"/>
      <w:footerReference w:type="even" r:id="rId20"/>
      <w:footerReference w:type="default" r:id="rId21"/>
      <w:footerReference w:type="first" r:id="rId22"/>
      <w:pgSz w:w="11907" w:h="16840" w:code="9"/>
      <w:pgMar w:top="1418" w:right="1134" w:bottom="1276"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93E92" w14:textId="77777777" w:rsidR="003C0613" w:rsidRDefault="003C0613">
      <w:r>
        <w:separator/>
      </w:r>
    </w:p>
  </w:endnote>
  <w:endnote w:type="continuationSeparator" w:id="0">
    <w:p w14:paraId="0599F91E"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A957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24ABA7" w14:textId="602B1AB5" w:rsidR="0077084A" w:rsidRPr="00D51060" w:rsidRDefault="0077084A">
    <w:pPr>
      <w:ind w:right="360"/>
    </w:pPr>
    <w:r>
      <w:fldChar w:fldCharType="begin"/>
    </w:r>
    <w:r w:rsidRPr="00D51060">
      <w:instrText xml:space="preserve"> FILENAME \p  \* MERGEFORMAT </w:instrText>
    </w:r>
    <w:r>
      <w:fldChar w:fldCharType="separate"/>
    </w:r>
    <w:r w:rsidR="00D51060" w:rsidRPr="00D51060">
      <w:rPr>
        <w:noProof/>
      </w:rPr>
      <w:t>P:\ESP\ITU-R\CONF-R\CMR19\000\061ADD05S.docx</w:t>
    </w:r>
    <w:r>
      <w:fldChar w:fldCharType="end"/>
    </w:r>
    <w:r w:rsidRPr="00D51060">
      <w:tab/>
    </w:r>
    <w:r>
      <w:fldChar w:fldCharType="begin"/>
    </w:r>
    <w:r>
      <w:instrText xml:space="preserve"> SAVEDATE \@ DD.MM.YY </w:instrText>
    </w:r>
    <w:r>
      <w:fldChar w:fldCharType="separate"/>
    </w:r>
    <w:r w:rsidR="00373C5B">
      <w:rPr>
        <w:noProof/>
      </w:rPr>
      <w:t>14.10.19</w:t>
    </w:r>
    <w:r>
      <w:fldChar w:fldCharType="end"/>
    </w:r>
    <w:r w:rsidRPr="00D51060">
      <w:tab/>
    </w:r>
    <w:r>
      <w:fldChar w:fldCharType="begin"/>
    </w:r>
    <w:r>
      <w:instrText xml:space="preserve"> PRINTDATE \@ DD.MM.YY </w:instrText>
    </w:r>
    <w:r>
      <w:fldChar w:fldCharType="separate"/>
    </w:r>
    <w:r w:rsidR="00D51060">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34EC" w14:textId="77777777" w:rsidR="0055050F" w:rsidRPr="0002068C" w:rsidRDefault="0055050F" w:rsidP="0055050F">
    <w:pPr>
      <w:pStyle w:val="Footer"/>
      <w:rPr>
        <w:lang w:val="en-US"/>
      </w:rPr>
    </w:pPr>
    <w:r>
      <w:fldChar w:fldCharType="begin"/>
    </w:r>
    <w:r w:rsidRPr="0002068C">
      <w:rPr>
        <w:lang w:val="en-US"/>
      </w:rPr>
      <w:instrText xml:space="preserve"> FILENAME \p  \* MERGEFORMAT </w:instrText>
    </w:r>
    <w:r>
      <w:fldChar w:fldCharType="separate"/>
    </w:r>
    <w:r>
      <w:rPr>
        <w:lang w:val="en-US"/>
      </w:rPr>
      <w:t>P:\ESP\ITU-R\CONF-R\CMR19\000\061ADD05S.docx</w:t>
    </w:r>
    <w:r>
      <w:fldChar w:fldCharType="end"/>
    </w:r>
    <w:r w:rsidRPr="0002068C">
      <w:rPr>
        <w:lang w:val="en-US"/>
      </w:rPr>
      <w:t xml:space="preserve"> (</w:t>
    </w:r>
    <w:r>
      <w:rPr>
        <w:lang w:val="en-US"/>
      </w:rPr>
      <w:t>462088</w:t>
    </w:r>
    <w:r w:rsidRPr="0002068C">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4019" w14:textId="6B2EDAD8" w:rsidR="0002068C" w:rsidRPr="0002068C" w:rsidRDefault="0002068C" w:rsidP="0002068C">
    <w:pPr>
      <w:pStyle w:val="Footer"/>
      <w:rPr>
        <w:lang w:val="en-US"/>
      </w:rPr>
    </w:pPr>
    <w:r>
      <w:fldChar w:fldCharType="begin"/>
    </w:r>
    <w:r w:rsidRPr="0002068C">
      <w:rPr>
        <w:lang w:val="en-US"/>
      </w:rPr>
      <w:instrText xml:space="preserve"> FILENAME \p  \* MERGEFORMAT </w:instrText>
    </w:r>
    <w:r>
      <w:fldChar w:fldCharType="separate"/>
    </w:r>
    <w:r w:rsidR="00D51060">
      <w:rPr>
        <w:lang w:val="en-US"/>
      </w:rPr>
      <w:t>P:\ESP\ITU-R\CONF-R\CMR19\000\061ADD05S.docx</w:t>
    </w:r>
    <w:r>
      <w:fldChar w:fldCharType="end"/>
    </w:r>
    <w:r w:rsidRPr="0002068C">
      <w:rPr>
        <w:lang w:val="en-US"/>
      </w:rPr>
      <w:t xml:space="preserve"> (</w:t>
    </w:r>
    <w:r>
      <w:rPr>
        <w:lang w:val="en-US"/>
      </w:rPr>
      <w:t>462088</w:t>
    </w:r>
    <w:r w:rsidRPr="0002068C">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1FC80" w14:textId="77777777" w:rsidR="003C0613" w:rsidRDefault="003C0613">
      <w:r>
        <w:rPr>
          <w:b/>
        </w:rPr>
        <w:t>_______________</w:t>
      </w:r>
    </w:p>
  </w:footnote>
  <w:footnote w:type="continuationSeparator" w:id="0">
    <w:p w14:paraId="13D25BEB"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C18B"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F7FCE08" w14:textId="77777777" w:rsidR="0077084A" w:rsidRDefault="008750A8" w:rsidP="00C44E9E">
    <w:pPr>
      <w:pStyle w:val="Header"/>
      <w:rPr>
        <w:lang w:val="en-US"/>
      </w:rPr>
    </w:pPr>
    <w:r>
      <w:rPr>
        <w:lang w:val="en-US"/>
      </w:rPr>
      <w:t>CMR1</w:t>
    </w:r>
    <w:r w:rsidR="00C44E9E">
      <w:rPr>
        <w:lang w:val="en-US"/>
      </w:rPr>
      <w:t>9</w:t>
    </w:r>
    <w:r>
      <w:rPr>
        <w:lang w:val="en-US"/>
      </w:rPr>
      <w:t>/</w:t>
    </w:r>
    <w:r w:rsidR="00702F3D">
      <w:t>61(Add.5)-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C7F6765"/>
    <w:multiLevelType w:val="hybridMultilevel"/>
    <w:tmpl w:val="0236332C"/>
    <w:lvl w:ilvl="0" w:tplc="F036D182">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86A49DE"/>
    <w:multiLevelType w:val="hybridMultilevel"/>
    <w:tmpl w:val="D97E5D92"/>
    <w:lvl w:ilvl="0" w:tplc="88EE9FEE">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068C"/>
    <w:rsid w:val="0002785D"/>
    <w:rsid w:val="00054CF1"/>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1F0632"/>
    <w:rsid w:val="00203A40"/>
    <w:rsid w:val="0023659C"/>
    <w:rsid w:val="00236D2A"/>
    <w:rsid w:val="0024569E"/>
    <w:rsid w:val="002528ED"/>
    <w:rsid w:val="00255F12"/>
    <w:rsid w:val="00262C09"/>
    <w:rsid w:val="002A791F"/>
    <w:rsid w:val="002C1A52"/>
    <w:rsid w:val="002C1B26"/>
    <w:rsid w:val="002C5D6C"/>
    <w:rsid w:val="002E701F"/>
    <w:rsid w:val="003248A9"/>
    <w:rsid w:val="00324FFA"/>
    <w:rsid w:val="0032680B"/>
    <w:rsid w:val="00356280"/>
    <w:rsid w:val="00363A65"/>
    <w:rsid w:val="00373C5B"/>
    <w:rsid w:val="00394976"/>
    <w:rsid w:val="003B1E8C"/>
    <w:rsid w:val="003C0613"/>
    <w:rsid w:val="003C2508"/>
    <w:rsid w:val="003D0AA3"/>
    <w:rsid w:val="003D4359"/>
    <w:rsid w:val="003E2086"/>
    <w:rsid w:val="003F3D92"/>
    <w:rsid w:val="003F7F66"/>
    <w:rsid w:val="00422C88"/>
    <w:rsid w:val="00423285"/>
    <w:rsid w:val="00440B3A"/>
    <w:rsid w:val="0044375A"/>
    <w:rsid w:val="0045384C"/>
    <w:rsid w:val="00454553"/>
    <w:rsid w:val="00472A86"/>
    <w:rsid w:val="004B124A"/>
    <w:rsid w:val="004B3095"/>
    <w:rsid w:val="004D25BE"/>
    <w:rsid w:val="004D2C7C"/>
    <w:rsid w:val="004E320E"/>
    <w:rsid w:val="004F1CFB"/>
    <w:rsid w:val="005133B5"/>
    <w:rsid w:val="00524392"/>
    <w:rsid w:val="00532097"/>
    <w:rsid w:val="0055050F"/>
    <w:rsid w:val="0058350F"/>
    <w:rsid w:val="00583C7E"/>
    <w:rsid w:val="0059098E"/>
    <w:rsid w:val="005D46FB"/>
    <w:rsid w:val="005F2605"/>
    <w:rsid w:val="005F3B0E"/>
    <w:rsid w:val="005F3DB8"/>
    <w:rsid w:val="005F559C"/>
    <w:rsid w:val="00602857"/>
    <w:rsid w:val="00611121"/>
    <w:rsid w:val="006124AD"/>
    <w:rsid w:val="00622949"/>
    <w:rsid w:val="00624009"/>
    <w:rsid w:val="006544B8"/>
    <w:rsid w:val="00662BA0"/>
    <w:rsid w:val="0067344B"/>
    <w:rsid w:val="00684A94"/>
    <w:rsid w:val="00692AAE"/>
    <w:rsid w:val="006A0E02"/>
    <w:rsid w:val="006C0E38"/>
    <w:rsid w:val="006D6E67"/>
    <w:rsid w:val="006E1A13"/>
    <w:rsid w:val="00701C20"/>
    <w:rsid w:val="00702F3D"/>
    <w:rsid w:val="0070518E"/>
    <w:rsid w:val="007354E9"/>
    <w:rsid w:val="007424E8"/>
    <w:rsid w:val="0074579D"/>
    <w:rsid w:val="00765578"/>
    <w:rsid w:val="00766333"/>
    <w:rsid w:val="0077084A"/>
    <w:rsid w:val="00773DD8"/>
    <w:rsid w:val="007952C7"/>
    <w:rsid w:val="007C0B95"/>
    <w:rsid w:val="007C2317"/>
    <w:rsid w:val="007D330A"/>
    <w:rsid w:val="0084441E"/>
    <w:rsid w:val="00866AE6"/>
    <w:rsid w:val="008750A8"/>
    <w:rsid w:val="008D3316"/>
    <w:rsid w:val="008D6909"/>
    <w:rsid w:val="008E5AF2"/>
    <w:rsid w:val="0090121B"/>
    <w:rsid w:val="00902598"/>
    <w:rsid w:val="00903BA1"/>
    <w:rsid w:val="00914454"/>
    <w:rsid w:val="009144C9"/>
    <w:rsid w:val="0094091F"/>
    <w:rsid w:val="00962171"/>
    <w:rsid w:val="00973754"/>
    <w:rsid w:val="009A5D53"/>
    <w:rsid w:val="009C0BED"/>
    <w:rsid w:val="009D585A"/>
    <w:rsid w:val="009E11EC"/>
    <w:rsid w:val="00A021CC"/>
    <w:rsid w:val="00A118DB"/>
    <w:rsid w:val="00A32B60"/>
    <w:rsid w:val="00A4450C"/>
    <w:rsid w:val="00AA5E6C"/>
    <w:rsid w:val="00AD26AB"/>
    <w:rsid w:val="00AE5677"/>
    <w:rsid w:val="00AE658F"/>
    <w:rsid w:val="00AF2F78"/>
    <w:rsid w:val="00B03B7A"/>
    <w:rsid w:val="00B239FA"/>
    <w:rsid w:val="00B36511"/>
    <w:rsid w:val="00B372AB"/>
    <w:rsid w:val="00B47331"/>
    <w:rsid w:val="00B52D55"/>
    <w:rsid w:val="00B8288C"/>
    <w:rsid w:val="00B86034"/>
    <w:rsid w:val="00BE2E80"/>
    <w:rsid w:val="00BE5EDD"/>
    <w:rsid w:val="00BE6A1F"/>
    <w:rsid w:val="00C126C4"/>
    <w:rsid w:val="00C16A37"/>
    <w:rsid w:val="00C44E9E"/>
    <w:rsid w:val="00C63EB5"/>
    <w:rsid w:val="00C8709C"/>
    <w:rsid w:val="00C87DA7"/>
    <w:rsid w:val="00C96258"/>
    <w:rsid w:val="00CC01E0"/>
    <w:rsid w:val="00CD5FEE"/>
    <w:rsid w:val="00CE60D2"/>
    <w:rsid w:val="00CE7431"/>
    <w:rsid w:val="00D00CA8"/>
    <w:rsid w:val="00D0288A"/>
    <w:rsid w:val="00D51060"/>
    <w:rsid w:val="00D72A5D"/>
    <w:rsid w:val="00DA71A3"/>
    <w:rsid w:val="00DC38D0"/>
    <w:rsid w:val="00DC4CE2"/>
    <w:rsid w:val="00DC629B"/>
    <w:rsid w:val="00DE1C31"/>
    <w:rsid w:val="00E01062"/>
    <w:rsid w:val="00E05BFF"/>
    <w:rsid w:val="00E262F1"/>
    <w:rsid w:val="00E3176A"/>
    <w:rsid w:val="00E36CE4"/>
    <w:rsid w:val="00E44AF1"/>
    <w:rsid w:val="00E54754"/>
    <w:rsid w:val="00E56BD3"/>
    <w:rsid w:val="00E71D14"/>
    <w:rsid w:val="00EA77F0"/>
    <w:rsid w:val="00F32316"/>
    <w:rsid w:val="00F66597"/>
    <w:rsid w:val="00F675D0"/>
    <w:rsid w:val="00F71849"/>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B57124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nhideWhenUsed/>
    <w:rsid w:val="00422C88"/>
    <w:rPr>
      <w:color w:val="0000FF" w:themeColor="hyperlink"/>
      <w:u w:val="single"/>
    </w:rPr>
  </w:style>
  <w:style w:type="character" w:styleId="UnresolvedMention">
    <w:name w:val="Unresolved Mention"/>
    <w:basedOn w:val="DefaultParagraphFont"/>
    <w:uiPriority w:val="99"/>
    <w:semiHidden/>
    <w:unhideWhenUsed/>
    <w:rsid w:val="00422C88"/>
    <w:rPr>
      <w:color w:val="605E5C"/>
      <w:shd w:val="clear" w:color="auto" w:fill="E1DFDD"/>
    </w:rPr>
  </w:style>
  <w:style w:type="character" w:customStyle="1" w:styleId="enumlev1Char">
    <w:name w:val="enumlev1 Char"/>
    <w:basedOn w:val="DefaultParagraphFont"/>
    <w:link w:val="enumlev1"/>
    <w:qFormat/>
    <w:rsid w:val="00356280"/>
    <w:rPr>
      <w:rFonts w:ascii="Times New Roman" w:hAnsi="Times New Roman"/>
      <w:sz w:val="24"/>
      <w:lang w:val="es-ES_tradnl" w:eastAsia="en-US"/>
    </w:rPr>
  </w:style>
  <w:style w:type="paragraph" w:styleId="ListParagraph">
    <w:name w:val="List Paragraph"/>
    <w:basedOn w:val="Normal"/>
    <w:uiPriority w:val="34"/>
    <w:qFormat/>
    <w:rsid w:val="00DC38D0"/>
    <w:pPr>
      <w:ind w:left="720"/>
      <w:contextualSpacing/>
    </w:pPr>
  </w:style>
  <w:style w:type="paragraph" w:styleId="BalloonText">
    <w:name w:val="Balloon Text"/>
    <w:basedOn w:val="Normal"/>
    <w:link w:val="BalloonTextChar"/>
    <w:semiHidden/>
    <w:unhideWhenUsed/>
    <w:rsid w:val="00AD26A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D26AB"/>
    <w:rPr>
      <w:rFonts w:ascii="Segoe UI" w:hAnsi="Segoe UI" w:cs="Segoe UI"/>
      <w:sz w:val="18"/>
      <w:szCs w:val="18"/>
      <w:lang w:val="es-ES_tradnl" w:eastAsia="en-US"/>
    </w:rPr>
  </w:style>
  <w:style w:type="paragraph" w:customStyle="1" w:styleId="FiguretitleBR">
    <w:name w:val="Figure_title_BR"/>
    <w:basedOn w:val="Normal"/>
    <w:next w:val="Figurewithouttitle"/>
    <w:rsid w:val="00B36511"/>
    <w:pPr>
      <w:keepLines/>
      <w:tabs>
        <w:tab w:val="clear" w:pos="1134"/>
        <w:tab w:val="clear" w:pos="1871"/>
        <w:tab w:val="clear" w:pos="2268"/>
        <w:tab w:val="left" w:pos="794"/>
        <w:tab w:val="left" w:pos="1191"/>
        <w:tab w:val="left" w:pos="1588"/>
        <w:tab w:val="left" w:pos="1985"/>
      </w:tabs>
      <w:spacing w:before="0" w:after="480"/>
      <w:jc w:val="center"/>
    </w:pPr>
    <w:rPr>
      <w:rFonts w:asciiTheme="minorHAnsi" w:hAnsiTheme="minorHAnsi"/>
      <w:b/>
    </w:rPr>
  </w:style>
  <w:style w:type="table" w:styleId="TableGrid">
    <w:name w:val="Table Grid"/>
    <w:basedOn w:val="TableNormal"/>
    <w:rsid w:val="00844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ecodocdb.dk/document/291"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R16-WRC19-C-0061!A5!MSW-S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A4A95-BE25-4644-85EB-09AD803AA996}">
  <ds:schemaRefs>
    <ds:schemaRef ds:uri="http://purl.org/dc/terms/"/>
    <ds:schemaRef ds:uri="http://www.w3.org/XML/1998/namespace"/>
    <ds:schemaRef ds:uri="996b2e75-67fd-4955-a3b0-5ab9934cb50b"/>
    <ds:schemaRef ds:uri="http://schemas.microsoft.com/office/2006/documentManagement/types"/>
    <ds:schemaRef ds:uri="http://schemas.microsoft.com/office/infopath/2007/PartnerControls"/>
    <ds:schemaRef ds:uri="32a1a8c5-2265-4ebc-b7a0-2071e2c5c9bb"/>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93C50C32-0629-43A9-8481-9B368E85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1374</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R16-WRC19-C-0061!A5!MSW-S</vt:lpstr>
    </vt:vector>
  </TitlesOfParts>
  <Manager>Secretaría General - Pool</Manager>
  <Company>Unión Internacional de Telecomunicaciones (UIT)</Company>
  <LinksUpToDate>false</LinksUpToDate>
  <CharactersWithSpaces>8915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R16-WRC19-C-0061!A5!MSW-S</dc:title>
  <dc:subject>Conferencia Mundial de Radiocomunicaciones - 2019</dc:subject>
  <dc:creator>Documents Proposals Manager (DPM)</dc:creator>
  <cp:keywords>DPM_v2019.10.8.1_prod</cp:keywords>
  <dc:description/>
  <cp:lastModifiedBy>Spanish12</cp:lastModifiedBy>
  <cp:revision>26</cp:revision>
  <cp:lastPrinted>2019-10-14T08:45:00Z</cp:lastPrinted>
  <dcterms:created xsi:type="dcterms:W3CDTF">2019-10-11T13:19:00Z</dcterms:created>
  <dcterms:modified xsi:type="dcterms:W3CDTF">2019-10-21T23:16:00Z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