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E6D84" w14:paraId="5CC35CB6" w14:textId="77777777" w:rsidTr="0050008E">
        <w:trPr>
          <w:cantSplit/>
        </w:trPr>
        <w:tc>
          <w:tcPr>
            <w:tcW w:w="6911" w:type="dxa"/>
          </w:tcPr>
          <w:p w14:paraId="538A3E5E" w14:textId="77777777" w:rsidR="0090121B" w:rsidRPr="006E6D84" w:rsidRDefault="005D46FB" w:rsidP="00C44E9E">
            <w:pPr>
              <w:spacing w:before="400" w:after="48" w:line="240" w:lineRule="atLeast"/>
              <w:rPr>
                <w:rFonts w:ascii="Verdana" w:hAnsi="Verdana"/>
                <w:position w:val="6"/>
              </w:rPr>
            </w:pPr>
            <w:r w:rsidRPr="006E6D84">
              <w:rPr>
                <w:rFonts w:ascii="Verdana" w:hAnsi="Verdana" w:cs="Times"/>
                <w:b/>
                <w:position w:val="6"/>
                <w:sz w:val="20"/>
              </w:rPr>
              <w:t>Conferencia Mundial de Radiocomunicaciones (CMR-1</w:t>
            </w:r>
            <w:r w:rsidR="00C44E9E" w:rsidRPr="006E6D84">
              <w:rPr>
                <w:rFonts w:ascii="Verdana" w:hAnsi="Verdana" w:cs="Times"/>
                <w:b/>
                <w:position w:val="6"/>
                <w:sz w:val="20"/>
              </w:rPr>
              <w:t>9</w:t>
            </w:r>
            <w:r w:rsidRPr="006E6D84">
              <w:rPr>
                <w:rFonts w:ascii="Verdana" w:hAnsi="Verdana" w:cs="Times"/>
                <w:b/>
                <w:position w:val="6"/>
                <w:sz w:val="20"/>
              </w:rPr>
              <w:t>)</w:t>
            </w:r>
            <w:r w:rsidRPr="006E6D84">
              <w:rPr>
                <w:rFonts w:ascii="Verdana" w:hAnsi="Verdana" w:cs="Times"/>
                <w:b/>
                <w:position w:val="6"/>
                <w:sz w:val="20"/>
              </w:rPr>
              <w:br/>
            </w:r>
            <w:r w:rsidR="006124AD" w:rsidRPr="006E6D84">
              <w:rPr>
                <w:rFonts w:ascii="Verdana" w:hAnsi="Verdana"/>
                <w:b/>
                <w:bCs/>
                <w:position w:val="6"/>
                <w:sz w:val="17"/>
                <w:szCs w:val="17"/>
              </w:rPr>
              <w:t>Sharm el-Sheikh (Egipto)</w:t>
            </w:r>
            <w:r w:rsidRPr="006E6D84">
              <w:rPr>
                <w:rFonts w:ascii="Verdana" w:hAnsi="Verdana"/>
                <w:b/>
                <w:bCs/>
                <w:position w:val="6"/>
                <w:sz w:val="17"/>
                <w:szCs w:val="17"/>
              </w:rPr>
              <w:t>, 2</w:t>
            </w:r>
            <w:r w:rsidR="00C44E9E" w:rsidRPr="006E6D84">
              <w:rPr>
                <w:rFonts w:ascii="Verdana" w:hAnsi="Verdana"/>
                <w:b/>
                <w:bCs/>
                <w:position w:val="6"/>
                <w:sz w:val="17"/>
                <w:szCs w:val="17"/>
              </w:rPr>
              <w:t xml:space="preserve">8 de octubre </w:t>
            </w:r>
            <w:r w:rsidR="00DE1C31" w:rsidRPr="006E6D84">
              <w:rPr>
                <w:rFonts w:ascii="Verdana" w:hAnsi="Verdana"/>
                <w:b/>
                <w:bCs/>
                <w:position w:val="6"/>
                <w:sz w:val="17"/>
                <w:szCs w:val="17"/>
              </w:rPr>
              <w:t>–</w:t>
            </w:r>
            <w:r w:rsidR="00C44E9E" w:rsidRPr="006E6D84">
              <w:rPr>
                <w:rFonts w:ascii="Verdana" w:hAnsi="Verdana"/>
                <w:b/>
                <w:bCs/>
                <w:position w:val="6"/>
                <w:sz w:val="17"/>
                <w:szCs w:val="17"/>
              </w:rPr>
              <w:t xml:space="preserve"> </w:t>
            </w:r>
            <w:r w:rsidRPr="006E6D84">
              <w:rPr>
                <w:rFonts w:ascii="Verdana" w:hAnsi="Verdana"/>
                <w:b/>
                <w:bCs/>
                <w:position w:val="6"/>
                <w:sz w:val="17"/>
                <w:szCs w:val="17"/>
              </w:rPr>
              <w:t>2</w:t>
            </w:r>
            <w:r w:rsidR="00C44E9E" w:rsidRPr="006E6D84">
              <w:rPr>
                <w:rFonts w:ascii="Verdana" w:hAnsi="Verdana"/>
                <w:b/>
                <w:bCs/>
                <w:position w:val="6"/>
                <w:sz w:val="17"/>
                <w:szCs w:val="17"/>
              </w:rPr>
              <w:t>2</w:t>
            </w:r>
            <w:r w:rsidRPr="006E6D84">
              <w:rPr>
                <w:rFonts w:ascii="Verdana" w:hAnsi="Verdana"/>
                <w:b/>
                <w:bCs/>
                <w:position w:val="6"/>
                <w:sz w:val="17"/>
                <w:szCs w:val="17"/>
              </w:rPr>
              <w:t xml:space="preserve"> de noviembre de 201</w:t>
            </w:r>
            <w:r w:rsidR="00C44E9E" w:rsidRPr="006E6D84">
              <w:rPr>
                <w:rFonts w:ascii="Verdana" w:hAnsi="Verdana"/>
                <w:b/>
                <w:bCs/>
                <w:position w:val="6"/>
                <w:sz w:val="17"/>
                <w:szCs w:val="17"/>
              </w:rPr>
              <w:t>9</w:t>
            </w:r>
          </w:p>
        </w:tc>
        <w:tc>
          <w:tcPr>
            <w:tcW w:w="3120" w:type="dxa"/>
          </w:tcPr>
          <w:p w14:paraId="798775E9" w14:textId="77777777" w:rsidR="0090121B" w:rsidRPr="006E6D84" w:rsidRDefault="00DA71A3" w:rsidP="00CE7431">
            <w:pPr>
              <w:spacing w:before="0" w:line="240" w:lineRule="atLeast"/>
              <w:jc w:val="right"/>
            </w:pPr>
            <w:r w:rsidRPr="006E6D84">
              <w:rPr>
                <w:rFonts w:ascii="Verdana" w:hAnsi="Verdana"/>
                <w:b/>
                <w:bCs/>
                <w:noProof/>
                <w:szCs w:val="24"/>
                <w:lang w:eastAsia="zh-CN"/>
              </w:rPr>
              <w:drawing>
                <wp:inline distT="0" distB="0" distL="0" distR="0" wp14:anchorId="65AC0DFF" wp14:editId="14A1EED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E6D84" w14:paraId="3629FFC5" w14:textId="77777777" w:rsidTr="0050008E">
        <w:trPr>
          <w:cantSplit/>
        </w:trPr>
        <w:tc>
          <w:tcPr>
            <w:tcW w:w="6911" w:type="dxa"/>
            <w:tcBorders>
              <w:bottom w:val="single" w:sz="12" w:space="0" w:color="auto"/>
            </w:tcBorders>
          </w:tcPr>
          <w:p w14:paraId="4DC88FB4" w14:textId="77777777" w:rsidR="0090121B" w:rsidRPr="006E6D84"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223DC136" w14:textId="77777777" w:rsidR="0090121B" w:rsidRPr="006E6D84" w:rsidRDefault="0090121B" w:rsidP="0090121B">
            <w:pPr>
              <w:spacing w:before="0" w:line="240" w:lineRule="atLeast"/>
              <w:rPr>
                <w:rFonts w:ascii="Verdana" w:hAnsi="Verdana"/>
                <w:szCs w:val="24"/>
              </w:rPr>
            </w:pPr>
          </w:p>
        </w:tc>
      </w:tr>
      <w:tr w:rsidR="0090121B" w:rsidRPr="006E6D84" w14:paraId="204C8425" w14:textId="77777777" w:rsidTr="0090121B">
        <w:trPr>
          <w:cantSplit/>
        </w:trPr>
        <w:tc>
          <w:tcPr>
            <w:tcW w:w="6911" w:type="dxa"/>
            <w:tcBorders>
              <w:top w:val="single" w:sz="12" w:space="0" w:color="auto"/>
            </w:tcBorders>
          </w:tcPr>
          <w:p w14:paraId="04460987" w14:textId="77777777" w:rsidR="0090121B" w:rsidRPr="006E6D8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DE8352C" w14:textId="77777777" w:rsidR="0090121B" w:rsidRPr="006E6D84" w:rsidRDefault="0090121B" w:rsidP="0090121B">
            <w:pPr>
              <w:spacing w:before="0" w:line="240" w:lineRule="atLeast"/>
              <w:rPr>
                <w:rFonts w:ascii="Verdana" w:hAnsi="Verdana"/>
                <w:sz w:val="20"/>
              </w:rPr>
            </w:pPr>
          </w:p>
        </w:tc>
      </w:tr>
      <w:tr w:rsidR="0090121B" w:rsidRPr="006E6D84" w14:paraId="24936366" w14:textId="77777777" w:rsidTr="0090121B">
        <w:trPr>
          <w:cantSplit/>
        </w:trPr>
        <w:tc>
          <w:tcPr>
            <w:tcW w:w="6911" w:type="dxa"/>
          </w:tcPr>
          <w:p w14:paraId="32764AE5" w14:textId="77777777" w:rsidR="0090121B" w:rsidRPr="006E6D84" w:rsidRDefault="001E7D42" w:rsidP="00EA77F0">
            <w:pPr>
              <w:pStyle w:val="Committee"/>
              <w:framePr w:hSpace="0" w:wrap="auto" w:hAnchor="text" w:yAlign="inline"/>
              <w:rPr>
                <w:sz w:val="18"/>
                <w:szCs w:val="18"/>
                <w:lang w:val="es-ES_tradnl"/>
              </w:rPr>
            </w:pPr>
            <w:r w:rsidRPr="006E6D84">
              <w:rPr>
                <w:sz w:val="18"/>
                <w:szCs w:val="18"/>
                <w:lang w:val="es-ES_tradnl"/>
              </w:rPr>
              <w:t>SESIÓN PLENARIA</w:t>
            </w:r>
          </w:p>
        </w:tc>
        <w:tc>
          <w:tcPr>
            <w:tcW w:w="3120" w:type="dxa"/>
          </w:tcPr>
          <w:p w14:paraId="7F2409A8" w14:textId="77777777" w:rsidR="0090121B" w:rsidRPr="006E6D84" w:rsidRDefault="00AE658F" w:rsidP="0045384C">
            <w:pPr>
              <w:spacing w:before="0"/>
              <w:rPr>
                <w:rFonts w:ascii="Verdana" w:hAnsi="Verdana"/>
                <w:sz w:val="18"/>
                <w:szCs w:val="18"/>
              </w:rPr>
            </w:pPr>
            <w:r w:rsidRPr="006E6D84">
              <w:rPr>
                <w:rFonts w:ascii="Verdana" w:hAnsi="Verdana"/>
                <w:b/>
                <w:sz w:val="18"/>
                <w:szCs w:val="18"/>
              </w:rPr>
              <w:t>Addéndum 2 al</w:t>
            </w:r>
            <w:r w:rsidRPr="006E6D84">
              <w:rPr>
                <w:rFonts w:ascii="Verdana" w:hAnsi="Verdana"/>
                <w:b/>
                <w:sz w:val="18"/>
                <w:szCs w:val="18"/>
              </w:rPr>
              <w:br/>
              <w:t>Documento 67(Add.21)</w:t>
            </w:r>
            <w:r w:rsidR="0090121B" w:rsidRPr="006E6D84">
              <w:rPr>
                <w:rFonts w:ascii="Verdana" w:hAnsi="Verdana"/>
                <w:b/>
                <w:sz w:val="18"/>
                <w:szCs w:val="18"/>
              </w:rPr>
              <w:t>-</w:t>
            </w:r>
            <w:r w:rsidRPr="006E6D84">
              <w:rPr>
                <w:rFonts w:ascii="Verdana" w:hAnsi="Verdana"/>
                <w:b/>
                <w:sz w:val="18"/>
                <w:szCs w:val="18"/>
              </w:rPr>
              <w:t>S</w:t>
            </w:r>
          </w:p>
        </w:tc>
      </w:tr>
      <w:bookmarkEnd w:id="0"/>
      <w:tr w:rsidR="000A5B9A" w:rsidRPr="006E6D84" w14:paraId="1701B885" w14:textId="77777777" w:rsidTr="0090121B">
        <w:trPr>
          <w:cantSplit/>
        </w:trPr>
        <w:tc>
          <w:tcPr>
            <w:tcW w:w="6911" w:type="dxa"/>
          </w:tcPr>
          <w:p w14:paraId="45591326" w14:textId="77777777" w:rsidR="000A5B9A" w:rsidRPr="006E6D84" w:rsidRDefault="000A5B9A" w:rsidP="0045384C">
            <w:pPr>
              <w:spacing w:before="0" w:after="48"/>
              <w:rPr>
                <w:rFonts w:ascii="Verdana" w:hAnsi="Verdana"/>
                <w:b/>
                <w:smallCaps/>
                <w:sz w:val="18"/>
                <w:szCs w:val="18"/>
              </w:rPr>
            </w:pPr>
          </w:p>
        </w:tc>
        <w:tc>
          <w:tcPr>
            <w:tcW w:w="3120" w:type="dxa"/>
          </w:tcPr>
          <w:p w14:paraId="05408382" w14:textId="77777777" w:rsidR="000A5B9A" w:rsidRPr="006E6D84" w:rsidRDefault="000A5B9A" w:rsidP="0045384C">
            <w:pPr>
              <w:spacing w:before="0"/>
              <w:rPr>
                <w:rFonts w:ascii="Verdana" w:hAnsi="Verdana"/>
                <w:b/>
                <w:sz w:val="18"/>
                <w:szCs w:val="18"/>
              </w:rPr>
            </w:pPr>
            <w:r w:rsidRPr="006E6D84">
              <w:rPr>
                <w:rFonts w:ascii="Verdana" w:hAnsi="Verdana"/>
                <w:b/>
                <w:sz w:val="18"/>
                <w:szCs w:val="18"/>
              </w:rPr>
              <w:t>7 de octubre de 2019</w:t>
            </w:r>
          </w:p>
        </w:tc>
      </w:tr>
      <w:tr w:rsidR="000A5B9A" w:rsidRPr="006E6D84" w14:paraId="4A8F946E" w14:textId="77777777" w:rsidTr="0090121B">
        <w:trPr>
          <w:cantSplit/>
        </w:trPr>
        <w:tc>
          <w:tcPr>
            <w:tcW w:w="6911" w:type="dxa"/>
          </w:tcPr>
          <w:p w14:paraId="381072D3" w14:textId="77777777" w:rsidR="000A5B9A" w:rsidRPr="006E6D84" w:rsidRDefault="000A5B9A" w:rsidP="0045384C">
            <w:pPr>
              <w:spacing w:before="0" w:after="48"/>
              <w:rPr>
                <w:rFonts w:ascii="Verdana" w:hAnsi="Verdana"/>
                <w:b/>
                <w:smallCaps/>
                <w:sz w:val="18"/>
                <w:szCs w:val="18"/>
              </w:rPr>
            </w:pPr>
          </w:p>
        </w:tc>
        <w:tc>
          <w:tcPr>
            <w:tcW w:w="3120" w:type="dxa"/>
          </w:tcPr>
          <w:p w14:paraId="6A11DE71" w14:textId="77777777" w:rsidR="000A5B9A" w:rsidRPr="006E6D84" w:rsidRDefault="000A5B9A" w:rsidP="0045384C">
            <w:pPr>
              <w:spacing w:before="0"/>
              <w:rPr>
                <w:rFonts w:ascii="Verdana" w:hAnsi="Verdana"/>
                <w:b/>
                <w:sz w:val="18"/>
                <w:szCs w:val="18"/>
              </w:rPr>
            </w:pPr>
            <w:r w:rsidRPr="006E6D84">
              <w:rPr>
                <w:rFonts w:ascii="Verdana" w:hAnsi="Verdana"/>
                <w:b/>
                <w:sz w:val="18"/>
                <w:szCs w:val="18"/>
              </w:rPr>
              <w:t>Original: inglés</w:t>
            </w:r>
          </w:p>
        </w:tc>
      </w:tr>
      <w:tr w:rsidR="000A5B9A" w:rsidRPr="006E6D84" w14:paraId="453A2D1D" w14:textId="77777777" w:rsidTr="006744FC">
        <w:trPr>
          <w:cantSplit/>
        </w:trPr>
        <w:tc>
          <w:tcPr>
            <w:tcW w:w="10031" w:type="dxa"/>
            <w:gridSpan w:val="2"/>
          </w:tcPr>
          <w:p w14:paraId="013E11B6" w14:textId="77777777" w:rsidR="000A5B9A" w:rsidRPr="006E6D84" w:rsidRDefault="000A5B9A" w:rsidP="0045384C">
            <w:pPr>
              <w:spacing w:before="0"/>
              <w:rPr>
                <w:rFonts w:ascii="Verdana" w:hAnsi="Verdana"/>
                <w:b/>
                <w:sz w:val="18"/>
                <w:szCs w:val="22"/>
              </w:rPr>
            </w:pPr>
          </w:p>
        </w:tc>
      </w:tr>
      <w:tr w:rsidR="000A5B9A" w:rsidRPr="006E6D84" w14:paraId="5C511A2B" w14:textId="77777777" w:rsidTr="0050008E">
        <w:trPr>
          <w:cantSplit/>
        </w:trPr>
        <w:tc>
          <w:tcPr>
            <w:tcW w:w="10031" w:type="dxa"/>
            <w:gridSpan w:val="2"/>
          </w:tcPr>
          <w:p w14:paraId="63E17BA3" w14:textId="77777777" w:rsidR="000A5B9A" w:rsidRPr="006E6D84" w:rsidRDefault="000A5B9A" w:rsidP="000A5B9A">
            <w:pPr>
              <w:pStyle w:val="Source"/>
            </w:pPr>
            <w:bookmarkStart w:id="1" w:name="dsource" w:colFirst="0" w:colLast="0"/>
            <w:r w:rsidRPr="006E6D84">
              <w:t>Papua Nueva Guinea</w:t>
            </w:r>
          </w:p>
        </w:tc>
      </w:tr>
      <w:tr w:rsidR="000A5B9A" w:rsidRPr="006E6D84" w14:paraId="1213732B" w14:textId="77777777" w:rsidTr="0050008E">
        <w:trPr>
          <w:cantSplit/>
        </w:trPr>
        <w:tc>
          <w:tcPr>
            <w:tcW w:w="10031" w:type="dxa"/>
            <w:gridSpan w:val="2"/>
          </w:tcPr>
          <w:p w14:paraId="2E65CA6D" w14:textId="77777777" w:rsidR="000A5B9A" w:rsidRPr="006E6D84" w:rsidRDefault="000A5B9A" w:rsidP="000A5B9A">
            <w:pPr>
              <w:pStyle w:val="Title1"/>
            </w:pPr>
            <w:bookmarkStart w:id="2" w:name="dtitle1" w:colFirst="0" w:colLast="0"/>
            <w:bookmarkEnd w:id="1"/>
            <w:r w:rsidRPr="006E6D84">
              <w:t>Propuestas para los trabajos de la Conferencia</w:t>
            </w:r>
          </w:p>
        </w:tc>
      </w:tr>
      <w:tr w:rsidR="000A5B9A" w:rsidRPr="006E6D84" w14:paraId="250251FC" w14:textId="77777777" w:rsidTr="0050008E">
        <w:trPr>
          <w:cantSplit/>
        </w:trPr>
        <w:tc>
          <w:tcPr>
            <w:tcW w:w="10031" w:type="dxa"/>
            <w:gridSpan w:val="2"/>
          </w:tcPr>
          <w:p w14:paraId="0F35FB9C" w14:textId="77777777" w:rsidR="000A5B9A" w:rsidRPr="006E6D84" w:rsidRDefault="000A5B9A" w:rsidP="000A5B9A">
            <w:pPr>
              <w:pStyle w:val="Title2"/>
            </w:pPr>
            <w:bookmarkStart w:id="3" w:name="dtitle2" w:colFirst="0" w:colLast="0"/>
            <w:bookmarkEnd w:id="2"/>
          </w:p>
        </w:tc>
      </w:tr>
      <w:tr w:rsidR="000A5B9A" w:rsidRPr="006E6D84" w14:paraId="31FE3A10" w14:textId="77777777" w:rsidTr="0050008E">
        <w:trPr>
          <w:cantSplit/>
        </w:trPr>
        <w:tc>
          <w:tcPr>
            <w:tcW w:w="10031" w:type="dxa"/>
            <w:gridSpan w:val="2"/>
          </w:tcPr>
          <w:p w14:paraId="651000DE" w14:textId="77777777" w:rsidR="000A5B9A" w:rsidRPr="006E6D84" w:rsidRDefault="000A5B9A" w:rsidP="000A5B9A">
            <w:pPr>
              <w:pStyle w:val="Agendaitem"/>
            </w:pPr>
            <w:bookmarkStart w:id="4" w:name="dtitle3" w:colFirst="0" w:colLast="0"/>
            <w:bookmarkEnd w:id="3"/>
            <w:r w:rsidRPr="006E6D84">
              <w:t>Punto 9.1(9.1.2) del orden del día</w:t>
            </w:r>
          </w:p>
        </w:tc>
      </w:tr>
    </w:tbl>
    <w:bookmarkEnd w:id="4"/>
    <w:p w14:paraId="0106437F" w14:textId="77777777" w:rsidR="001C0E40" w:rsidRPr="006E6D84" w:rsidRDefault="00DC24F7" w:rsidP="003D1919">
      <w:r w:rsidRPr="006E6D84">
        <w:t>9</w:t>
      </w:r>
      <w:r w:rsidRPr="006E6D84">
        <w:tab/>
        <w:t>examinar y aprobar el Informe del Director de la Oficina de Radiocomunicaciones, de conformidad con el Artículo 7 del Convenio:</w:t>
      </w:r>
    </w:p>
    <w:p w14:paraId="6857FDC8" w14:textId="77777777" w:rsidR="001C0E40" w:rsidRPr="006E6D84" w:rsidRDefault="00DC24F7" w:rsidP="003D1919">
      <w:r w:rsidRPr="006E6D84">
        <w:t>9.1</w:t>
      </w:r>
      <w:r w:rsidRPr="006E6D84">
        <w:tab/>
        <w:t>sobre las actividades del Sector de Radiocomunicaciones desde la CMR</w:t>
      </w:r>
      <w:r w:rsidRPr="006E6D84">
        <w:noBreakHyphen/>
        <w:t>15;</w:t>
      </w:r>
    </w:p>
    <w:p w14:paraId="12AFC6AA" w14:textId="77777777" w:rsidR="001C0E40" w:rsidRPr="006E6D84" w:rsidRDefault="00DC24F7" w:rsidP="003D1919">
      <w:r w:rsidRPr="006E6D84">
        <w:rPr>
          <w:rFonts w:cstheme="majorBidi"/>
          <w:color w:val="000000"/>
          <w:szCs w:val="24"/>
          <w:lang w:eastAsia="zh-CN"/>
        </w:rPr>
        <w:t>9.1 (</w:t>
      </w:r>
      <w:r w:rsidRPr="006E6D84">
        <w:rPr>
          <w:lang w:eastAsia="zh-CN"/>
        </w:rPr>
        <w:t>9.1.2)</w:t>
      </w:r>
      <w:r w:rsidRPr="006E6D84">
        <w:tab/>
      </w:r>
      <w:hyperlink w:anchor="RES_761" w:history="1">
        <w:r w:rsidRPr="006E6D84">
          <w:t xml:space="preserve">Resolución </w:t>
        </w:r>
        <w:r w:rsidRPr="006E6D84">
          <w:rPr>
            <w:b/>
            <w:bCs/>
          </w:rPr>
          <w:t>761 (CMR-15)</w:t>
        </w:r>
      </w:hyperlink>
      <w:r w:rsidRPr="006E6D84">
        <w:t xml:space="preserve"> – Compatibilidad de las telecomunicaciones móviles internacionales y el servicio de radiodifusión por satélite (sonora) en la banda de frecuencias 1 452</w:t>
      </w:r>
      <w:r w:rsidRPr="006E6D84">
        <w:noBreakHyphen/>
        <w:t>1 492 MHz en las Regiones 1 y 3</w:t>
      </w:r>
    </w:p>
    <w:p w14:paraId="65F6168D" w14:textId="467A8041" w:rsidR="009609D4" w:rsidRPr="006E6D84" w:rsidRDefault="006E6D84" w:rsidP="003D1919">
      <w:pPr>
        <w:pStyle w:val="Headingb"/>
      </w:pPr>
      <w:r w:rsidRPr="006E6D84">
        <w:t>Introducción</w:t>
      </w:r>
    </w:p>
    <w:p w14:paraId="29381A4C" w14:textId="77777777" w:rsidR="009609D4" w:rsidRPr="006E6D84" w:rsidRDefault="009609D4" w:rsidP="003D1919">
      <w:r w:rsidRPr="006E6D84">
        <w:t xml:space="preserve">De conformidad con la Resolución </w:t>
      </w:r>
      <w:r w:rsidRPr="006E6D84">
        <w:rPr>
          <w:b/>
          <w:bCs/>
        </w:rPr>
        <w:t>761 (CMR-15)</w:t>
      </w:r>
      <w:r w:rsidRPr="006E6D84">
        <w:t>, el UIT-R realizó los estudios reglamentarios y técnicos apropiados entre las telecomunicaciones móviles internacionales (IMT) y el servicio de radiodifusión por satélite (sonora) (SRS (sonora)) en la banda de frecuencias 1 452</w:t>
      </w:r>
      <w:r w:rsidRPr="006E6D84">
        <w:noBreakHyphen/>
        <w:t>1 492 MHz en las Regiones 1 y 3, habida cuenta de los requisitos operacionales de las IMT y el SRS (sonora).</w:t>
      </w:r>
    </w:p>
    <w:p w14:paraId="2D8B0E05" w14:textId="0E1C6B36" w:rsidR="009609D4" w:rsidRPr="006E6D84" w:rsidRDefault="006E6D84" w:rsidP="0036454D">
      <w:pPr>
        <w:rPr>
          <w:rFonts w:ascii="Calibri" w:hAnsi="Calibri" w:cs="Calibri"/>
          <w:b/>
          <w:color w:val="800000"/>
        </w:rPr>
      </w:pPr>
      <w:r>
        <w:t>La finalidad de e</w:t>
      </w:r>
      <w:r w:rsidR="009609D4" w:rsidRPr="006E6D84">
        <w:t xml:space="preserve">stos estudios </w:t>
      </w:r>
      <w:r>
        <w:t xml:space="preserve">es </w:t>
      </w:r>
      <w:r w:rsidR="009609D4" w:rsidRPr="006E6D84">
        <w:t>responde</w:t>
      </w:r>
      <w:r>
        <w:t>r</w:t>
      </w:r>
      <w:r w:rsidR="009609D4" w:rsidRPr="006E6D84">
        <w:t xml:space="preserve"> al </w:t>
      </w:r>
      <w:r w:rsidR="009609D4" w:rsidRPr="006E6D84">
        <w:rPr>
          <w:i/>
          <w:iCs/>
        </w:rPr>
        <w:t>resuelve invitar al UIT-R</w:t>
      </w:r>
      <w:r w:rsidR="009609D4" w:rsidRPr="006E6D84">
        <w:t xml:space="preserve"> de la Resolución </w:t>
      </w:r>
      <w:r w:rsidR="009609D4" w:rsidRPr="006E6D84">
        <w:rPr>
          <w:b/>
          <w:bCs/>
        </w:rPr>
        <w:t>761 (CMR-15)</w:t>
      </w:r>
      <w:r w:rsidR="009609D4" w:rsidRPr="006E6D84">
        <w:t>, con objeto de que la CMR-19 pueda adoptar decisiones en la materia, según proceda.</w:t>
      </w:r>
    </w:p>
    <w:p w14:paraId="4AA5B3A0" w14:textId="570C91DE" w:rsidR="009609D4" w:rsidRPr="006E6D84" w:rsidRDefault="009149AB" w:rsidP="003D1919">
      <w:r w:rsidRPr="006E6D84">
        <w:t>La banda de frecuencias 1 452</w:t>
      </w:r>
      <w:r w:rsidRPr="006E6D84">
        <w:noBreakHyphen/>
        <w:t xml:space="preserve">1 492 MHz está atribuida al servicio fijo (SF), el servicio móvil (SM), el servicio de radiodifusión (SR) y el servicio de radiodifusión por satélite (SRS). </w:t>
      </w:r>
      <w:r w:rsidR="006E6D84">
        <w:t>Sobre la base de</w:t>
      </w:r>
      <w:r w:rsidRPr="006E6D84">
        <w:t xml:space="preserve"> los resultados de la CMR-15, la banda de frecuencias 1 452-1 492 MHz se ha identificado para su utilización por las administraciones de las Regiones 1 y 3 que deseen introducir las IMT de conformidad con la Resolución </w:t>
      </w:r>
      <w:r w:rsidRPr="006E6D84">
        <w:rPr>
          <w:b/>
          <w:bCs/>
        </w:rPr>
        <w:t>223 (Rev.CMR-15)</w:t>
      </w:r>
      <w:r w:rsidRPr="006E6D84">
        <w:t xml:space="preserve"> y la Resolución </w:t>
      </w:r>
      <w:r w:rsidRPr="006E6D84">
        <w:rPr>
          <w:b/>
          <w:bCs/>
        </w:rPr>
        <w:t xml:space="preserve">761 (CMR-15) </w:t>
      </w:r>
      <w:r w:rsidRPr="006E6D84">
        <w:t xml:space="preserve">(véanse los números </w:t>
      </w:r>
      <w:r w:rsidRPr="006E6D84">
        <w:rPr>
          <w:b/>
        </w:rPr>
        <w:t>5.346</w:t>
      </w:r>
      <w:r w:rsidRPr="006E6D84">
        <w:t xml:space="preserve"> y </w:t>
      </w:r>
      <w:r w:rsidRPr="006E6D84">
        <w:rPr>
          <w:b/>
        </w:rPr>
        <w:t>5.346A</w:t>
      </w:r>
      <w:r w:rsidRPr="006E6D84">
        <w:t xml:space="preserve"> del RR). Conforme a lo estipulado en la Resolución </w:t>
      </w:r>
      <w:r w:rsidRPr="006E6D84">
        <w:rPr>
          <w:b/>
          <w:bCs/>
        </w:rPr>
        <w:t>528 (Rev.CMR-15)</w:t>
      </w:r>
      <w:r w:rsidRPr="006E6D84">
        <w:t xml:space="preserve">, en el periodo transitorio, los sistemas de radiodifusión por satélite pueden introducirse únicamente en los 25 MHz superiores de esta banda de frecuencias, de conformidad con los procedimientos que figuran en las Secciones A </w:t>
      </w:r>
      <w:proofErr w:type="spellStart"/>
      <w:r w:rsidRPr="006E6D84">
        <w:t>a</w:t>
      </w:r>
      <w:proofErr w:type="spellEnd"/>
      <w:r w:rsidRPr="006E6D84">
        <w:t xml:space="preserve"> C de la Resolución </w:t>
      </w:r>
      <w:r w:rsidRPr="006E6D84">
        <w:rPr>
          <w:b/>
          <w:bCs/>
        </w:rPr>
        <w:t xml:space="preserve">33 (Rev.CMR-15) </w:t>
      </w:r>
      <w:r w:rsidRPr="006E6D84">
        <w:t xml:space="preserve">o en los Artículos </w:t>
      </w:r>
      <w:r w:rsidRPr="006E6D84">
        <w:rPr>
          <w:b/>
        </w:rPr>
        <w:t>9</w:t>
      </w:r>
      <w:r w:rsidRPr="006E6D84">
        <w:t xml:space="preserve"> a </w:t>
      </w:r>
      <w:r w:rsidRPr="006E6D84">
        <w:rPr>
          <w:b/>
        </w:rPr>
        <w:t>14</w:t>
      </w:r>
      <w:r w:rsidRPr="006E6D84">
        <w:t xml:space="preserve"> del RR, según proceda (véanse los </w:t>
      </w:r>
      <w:r w:rsidRPr="006E6D84">
        <w:rPr>
          <w:i/>
          <w:iCs/>
        </w:rPr>
        <w:t xml:space="preserve">resuelve </w:t>
      </w:r>
      <w:r w:rsidRPr="006E6D84">
        <w:t xml:space="preserve">1 y 2 de la Resolución </w:t>
      </w:r>
      <w:r w:rsidRPr="006E6D84">
        <w:rPr>
          <w:b/>
          <w:bCs/>
        </w:rPr>
        <w:t>33 (Rev.CMR-15)</w:t>
      </w:r>
      <w:r w:rsidRPr="006E6D84">
        <w:t>). El servicio terrenal complementario puede introducirse durante dicho periodo, a reserva de que se efectúe la coordinación con las administraciones cuyos servicios puedan resultar afectados.</w:t>
      </w:r>
    </w:p>
    <w:p w14:paraId="51E8EAD9" w14:textId="23B7B139" w:rsidR="009609D4" w:rsidRPr="006E6D84" w:rsidRDefault="009149AB" w:rsidP="003D1919">
      <w:r w:rsidRPr="006E6D84">
        <w:t xml:space="preserve">Actualmente, los procedimientos de coordinación acordes a los números </w:t>
      </w:r>
      <w:r w:rsidRPr="006E6D84">
        <w:rPr>
          <w:b/>
        </w:rPr>
        <w:t>9.11</w:t>
      </w:r>
      <w:r w:rsidRPr="006E6D84">
        <w:t xml:space="preserve"> y </w:t>
      </w:r>
      <w:r w:rsidRPr="006E6D84">
        <w:rPr>
          <w:b/>
        </w:rPr>
        <w:t>9.19</w:t>
      </w:r>
      <w:r w:rsidRPr="006E6D84">
        <w:t xml:space="preserve"> del RR se aplican a fin de lograr las condiciones de compartición y compatibilidad necesarias entre el SRS y los servicios terrenales.</w:t>
      </w:r>
    </w:p>
    <w:p w14:paraId="6F866BFC" w14:textId="05EC44E3" w:rsidR="009609D4" w:rsidRPr="006E6D84" w:rsidRDefault="006E6D84" w:rsidP="003D1919">
      <w:pPr>
        <w:keepNext/>
        <w:keepLines/>
      </w:pPr>
      <w:r>
        <w:lastRenderedPageBreak/>
        <w:t>Con arreglo al punto 9.1 del orden del día de la CMR-19, tema 9.1.2, el Grupo de Trabajo (GT)</w:t>
      </w:r>
      <w:r w:rsidR="008604F3">
        <w:t> </w:t>
      </w:r>
      <w:r w:rsidR="009609D4" w:rsidRPr="006E6D84">
        <w:t xml:space="preserve">4A </w:t>
      </w:r>
      <w:r>
        <w:t>y el GT</w:t>
      </w:r>
      <w:r w:rsidR="008604F3">
        <w:t> </w:t>
      </w:r>
      <w:r w:rsidR="009609D4" w:rsidRPr="006E6D84">
        <w:t xml:space="preserve">5D </w:t>
      </w:r>
      <w:r>
        <w:t xml:space="preserve">son los responsables de los estudios respecto al SRS (sonora) y las IMT, respectivamente. </w:t>
      </w:r>
      <w:r w:rsidR="009149AB" w:rsidRPr="003D1919">
        <w:t xml:space="preserve">El Informe </w:t>
      </w:r>
      <w:r>
        <w:t>se elaboró y aprobó</w:t>
      </w:r>
      <w:r w:rsidR="009149AB" w:rsidRPr="003D1919">
        <w:t xml:space="preserve"> en la segunda sesión de la Reunión Preparatoria de la Conferencia (RPC), celebrada en Ginebra del 18 al 28 de febrero de 2019.</w:t>
      </w:r>
    </w:p>
    <w:p w14:paraId="12E984A2" w14:textId="6BC55F69" w:rsidR="009609D4" w:rsidRPr="0036454D" w:rsidRDefault="006E6D84" w:rsidP="0036454D">
      <w:pPr>
        <w:pStyle w:val="Headingb"/>
      </w:pPr>
      <w:r w:rsidRPr="0036454D">
        <w:t>Situación de los estudios técnicos (GT</w:t>
      </w:r>
      <w:r w:rsidR="008604F3">
        <w:t> </w:t>
      </w:r>
      <w:r w:rsidRPr="0036454D">
        <w:t>4A y GT</w:t>
      </w:r>
      <w:r w:rsidR="008604F3">
        <w:t> </w:t>
      </w:r>
      <w:r w:rsidRPr="0036454D">
        <w:t xml:space="preserve">5D) </w:t>
      </w:r>
    </w:p>
    <w:p w14:paraId="2391E57D" w14:textId="72072E41" w:rsidR="009609D4" w:rsidRPr="006E6D84" w:rsidRDefault="006E6D84">
      <w:r>
        <w:t xml:space="preserve">Una gran parte del trabajo se ha realizado a través de los estudios efectuados desde las CMR-15, pero no se ha definido ni acordado un conjunto de parámetros operativos que permita garantizar la estabilidad a largo plazo del SRS (sonora) y las IMT </w:t>
      </w:r>
      <w:r w:rsidR="003B78EE">
        <w:t xml:space="preserve">en la gama de frecuencias </w:t>
      </w:r>
      <w:r w:rsidR="009609D4" w:rsidRPr="006E6D84">
        <w:t>1</w:t>
      </w:r>
      <w:r w:rsidR="00156956">
        <w:t> </w:t>
      </w:r>
      <w:r w:rsidR="009609D4" w:rsidRPr="006E6D84">
        <w:t>452</w:t>
      </w:r>
      <w:r w:rsidR="00156956">
        <w:t>-</w:t>
      </w:r>
      <w:r w:rsidR="009609D4" w:rsidRPr="006E6D84">
        <w:t>1</w:t>
      </w:r>
      <w:r w:rsidR="00156956">
        <w:t> </w:t>
      </w:r>
      <w:r w:rsidR="009609D4" w:rsidRPr="006E6D84">
        <w:t>492 MHz.</w:t>
      </w:r>
    </w:p>
    <w:p w14:paraId="2F1DAD73" w14:textId="2B6BC17B" w:rsidR="009609D4" w:rsidRPr="006E6D84" w:rsidRDefault="003B78EE">
      <w:r>
        <w:t xml:space="preserve">En la actualidad está programado que el Grupo de Trabajo </w:t>
      </w:r>
      <w:r w:rsidR="009609D4" w:rsidRPr="006E6D84">
        <w:t xml:space="preserve">4A </w:t>
      </w:r>
      <w:r>
        <w:t xml:space="preserve">reanude sus trabajos en abril o mayo de 2020, a fin de seguir adelante con el estudio de compatibilidad. </w:t>
      </w:r>
    </w:p>
    <w:p w14:paraId="64478B50" w14:textId="0BD26D62" w:rsidR="009609D4" w:rsidRPr="003D1919" w:rsidRDefault="009609D4" w:rsidP="003D1919">
      <w:pPr>
        <w:pStyle w:val="Headingb"/>
      </w:pPr>
      <w:r w:rsidRPr="003D1919">
        <w:t>Prop</w:t>
      </w:r>
      <w:r w:rsidR="003B78EE">
        <w:t>uestas</w:t>
      </w:r>
    </w:p>
    <w:p w14:paraId="767A037A" w14:textId="24617D57" w:rsidR="009149AB" w:rsidRPr="006E6D84" w:rsidRDefault="003B78EE" w:rsidP="003D1919">
      <w:r>
        <w:t>Habida cuenta de</w:t>
      </w:r>
      <w:r w:rsidR="008A027F">
        <w:t>l</w:t>
      </w:r>
      <w:r>
        <w:t xml:space="preserve"> estudio de compatibilidad sin resolver, se sugiere a la UIT que proceda como sigue: </w:t>
      </w:r>
    </w:p>
    <w:p w14:paraId="120912E4" w14:textId="457AEF4D" w:rsidR="009149AB" w:rsidRPr="006E6D84" w:rsidRDefault="009149AB" w:rsidP="00896794">
      <w:pPr>
        <w:pStyle w:val="enumlev1"/>
      </w:pPr>
      <w:r w:rsidRPr="006E6D84">
        <w:t>1</w:t>
      </w:r>
      <w:r w:rsidRPr="006E6D84">
        <w:tab/>
      </w:r>
      <w:r w:rsidR="003B78EE">
        <w:t>Que la UIT posponga la adopción de cualquier medida en relación con el punto 9.1 del orden del día, tema</w:t>
      </w:r>
      <w:r w:rsidR="009609D4" w:rsidRPr="006E6D84">
        <w:t xml:space="preserve"> 9.1.2 </w:t>
      </w:r>
      <w:r w:rsidR="003B78EE">
        <w:t>SRS</w:t>
      </w:r>
      <w:r w:rsidR="009609D4" w:rsidRPr="006E6D84">
        <w:t xml:space="preserve"> (</w:t>
      </w:r>
      <w:r w:rsidR="003B78EE">
        <w:t>sonora</w:t>
      </w:r>
      <w:r w:rsidR="009609D4" w:rsidRPr="006E6D84">
        <w:t xml:space="preserve">) </w:t>
      </w:r>
      <w:r w:rsidR="003B78EE">
        <w:t xml:space="preserve">hasta que se haya completado el estudio de compatibilidad técnica. </w:t>
      </w:r>
    </w:p>
    <w:p w14:paraId="4E726C39" w14:textId="74680197" w:rsidR="009149AB" w:rsidRPr="006E6D84" w:rsidRDefault="009149AB" w:rsidP="00896794">
      <w:pPr>
        <w:pStyle w:val="enumlev1"/>
      </w:pPr>
      <w:r w:rsidRPr="006E6D84">
        <w:t>2</w:t>
      </w:r>
      <w:r w:rsidRPr="006E6D84">
        <w:tab/>
      </w:r>
      <w:r w:rsidR="003B78EE">
        <w:t xml:space="preserve">Que deje los procedimientos del RR como están </w:t>
      </w:r>
      <w:r w:rsidR="009609D4" w:rsidRPr="006E6D84">
        <w:t xml:space="preserve">(No Change) </w:t>
      </w:r>
      <w:r w:rsidR="003B78EE">
        <w:t xml:space="preserve">hasta que se complete la compatibilidad técnica y se disponga de los resultados para tomar una decisión. </w:t>
      </w:r>
    </w:p>
    <w:p w14:paraId="38507A29" w14:textId="2B503E53" w:rsidR="00896794" w:rsidRDefault="009149AB" w:rsidP="00896794">
      <w:pPr>
        <w:pStyle w:val="enumlev1"/>
      </w:pPr>
      <w:r w:rsidRPr="006E6D84">
        <w:t>3</w:t>
      </w:r>
      <w:r w:rsidRPr="006E6D84">
        <w:tab/>
      </w:r>
      <w:r w:rsidR="003B78EE">
        <w:t xml:space="preserve">Cabe señalar que en el Artículo </w:t>
      </w:r>
      <w:r w:rsidR="003B78EE" w:rsidRPr="00605F2C">
        <w:rPr>
          <w:b/>
          <w:bCs/>
        </w:rPr>
        <w:t>5</w:t>
      </w:r>
      <w:r w:rsidR="003B78EE">
        <w:t>, para el espectro operativo</w:t>
      </w:r>
      <w:r w:rsidR="009609D4" w:rsidRPr="006E6D84">
        <w:t xml:space="preserve"> 1</w:t>
      </w:r>
      <w:r w:rsidR="00D36780">
        <w:t> </w:t>
      </w:r>
      <w:r w:rsidR="009609D4" w:rsidRPr="006E6D84">
        <w:t>452-1</w:t>
      </w:r>
      <w:r w:rsidR="00D36780">
        <w:t> </w:t>
      </w:r>
      <w:r w:rsidR="009609D4" w:rsidRPr="006E6D84">
        <w:t xml:space="preserve">492 MHz, </w:t>
      </w:r>
      <w:r w:rsidR="003B78EE">
        <w:t xml:space="preserve">el SRS (sonora), bajo </w:t>
      </w:r>
      <w:r w:rsidR="003B78EE" w:rsidRPr="003B78EE">
        <w:t>RADIODIFUSIÓN POR SATÉLITE</w:t>
      </w:r>
      <w:r w:rsidR="003B78EE">
        <w:t>, es un servicio a título primario.</w:t>
      </w:r>
    </w:p>
    <w:p w14:paraId="5F49831C" w14:textId="50962ABE" w:rsidR="00605F2C" w:rsidRDefault="00896794" w:rsidP="00896794">
      <w:pPr>
        <w:pStyle w:val="enumlev1"/>
      </w:pPr>
      <w:r>
        <w:tab/>
      </w:r>
      <w:r w:rsidR="003B78EE">
        <w:t>Además, el sistema del SRS</w:t>
      </w:r>
      <w:r w:rsidR="003B78EE" w:rsidRPr="003B78EE">
        <w:t xml:space="preserve"> </w:t>
      </w:r>
      <w:r w:rsidR="003B78EE">
        <w:t xml:space="preserve">(sonora) ha estado funcionando en </w:t>
      </w:r>
      <w:r w:rsidR="00605F2C">
        <w:t xml:space="preserve">la órbita GEO desde 2000, y figura inscrito en el Registro Internacional de Frecuencias de la UIT con la red de satélites </w:t>
      </w:r>
      <w:r w:rsidR="009609D4" w:rsidRPr="006E6D84">
        <w:t xml:space="preserve">ASIABSS </w:t>
      </w:r>
      <w:r w:rsidR="00605F2C">
        <w:t>a</w:t>
      </w:r>
      <w:r w:rsidR="009609D4" w:rsidRPr="006E6D84">
        <w:t xml:space="preserve"> 105°</w:t>
      </w:r>
      <w:r w:rsidR="00D36780">
        <w:t> </w:t>
      </w:r>
      <w:bookmarkStart w:id="5" w:name="_GoBack"/>
      <w:bookmarkEnd w:id="5"/>
      <w:r w:rsidR="009609D4" w:rsidRPr="006E6D84">
        <w:t xml:space="preserve">E </w:t>
      </w:r>
      <w:r w:rsidR="00605F2C">
        <w:t xml:space="preserve">con fecha de expiración 14 de septiembre de 2031, y disfruta de la máxima prioridad. </w:t>
      </w:r>
    </w:p>
    <w:p w14:paraId="3A4A9B1C" w14:textId="7F2BC1B6" w:rsidR="009609D4" w:rsidRPr="006E6D84" w:rsidRDefault="009609D4" w:rsidP="003D1919">
      <w:r w:rsidRPr="006E6D84">
        <w:rPr>
          <w:noProof/>
          <w:lang w:eastAsia="en-GB"/>
        </w:rPr>
        <w:drawing>
          <wp:inline distT="0" distB="0" distL="0" distR="0" wp14:anchorId="6E2056BB" wp14:editId="69AC475B">
            <wp:extent cx="5114290"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4290" cy="3030220"/>
                    </a:xfrm>
                    <a:prstGeom prst="rect">
                      <a:avLst/>
                    </a:prstGeom>
                    <a:noFill/>
                    <a:ln>
                      <a:noFill/>
                    </a:ln>
                  </pic:spPr>
                </pic:pic>
              </a:graphicData>
            </a:graphic>
          </wp:inline>
        </w:drawing>
      </w:r>
      <w:r w:rsidRPr="006E6D84">
        <w:br/>
      </w:r>
    </w:p>
    <w:p w14:paraId="5B2D5397" w14:textId="77777777" w:rsidR="009609D4" w:rsidRPr="006E6D84" w:rsidRDefault="009609D4" w:rsidP="003D1919">
      <w:pPr>
        <w:tabs>
          <w:tab w:val="left" w:pos="720"/>
        </w:tabs>
        <w:overflowPunct/>
        <w:autoSpaceDE/>
        <w:adjustRightInd/>
        <w:spacing w:before="0"/>
        <w:jc w:val="right"/>
      </w:pPr>
      <w:r w:rsidRPr="006E6D84">
        <w:rPr>
          <w:noProof/>
          <w:lang w:eastAsia="en-GB"/>
        </w:rPr>
        <w:lastRenderedPageBreak/>
        <w:drawing>
          <wp:inline distT="0" distB="0" distL="0" distR="0" wp14:anchorId="113A5EFB" wp14:editId="075A6C66">
            <wp:extent cx="5858510" cy="21158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8510" cy="2115820"/>
                    </a:xfrm>
                    <a:prstGeom prst="rect">
                      <a:avLst/>
                    </a:prstGeom>
                    <a:noFill/>
                    <a:ln>
                      <a:noFill/>
                    </a:ln>
                  </pic:spPr>
                </pic:pic>
              </a:graphicData>
            </a:graphic>
          </wp:inline>
        </w:drawing>
      </w:r>
    </w:p>
    <w:p w14:paraId="74ECC090" w14:textId="77777777" w:rsidR="009609D4" w:rsidRPr="006E6D84" w:rsidRDefault="009609D4" w:rsidP="003D1919">
      <w:pPr>
        <w:tabs>
          <w:tab w:val="left" w:pos="720"/>
        </w:tabs>
        <w:overflowPunct/>
        <w:autoSpaceDE/>
        <w:adjustRightInd/>
        <w:spacing w:before="0"/>
      </w:pPr>
    </w:p>
    <w:p w14:paraId="7C652100" w14:textId="77777777" w:rsidR="00363A65" w:rsidRPr="006E6D84" w:rsidRDefault="00363A65" w:rsidP="003D1919"/>
    <w:p w14:paraId="4EAFF483" w14:textId="77777777" w:rsidR="008750A8" w:rsidRPr="006E6D84" w:rsidRDefault="008750A8" w:rsidP="003D1919">
      <w:pPr>
        <w:tabs>
          <w:tab w:val="clear" w:pos="1134"/>
          <w:tab w:val="clear" w:pos="1871"/>
          <w:tab w:val="clear" w:pos="2268"/>
        </w:tabs>
        <w:overflowPunct/>
        <w:autoSpaceDE/>
        <w:autoSpaceDN/>
        <w:adjustRightInd/>
        <w:spacing w:before="0"/>
        <w:textAlignment w:val="auto"/>
      </w:pPr>
      <w:r w:rsidRPr="006E6D84">
        <w:br w:type="page"/>
      </w:r>
    </w:p>
    <w:p w14:paraId="4F4414A3" w14:textId="77777777" w:rsidR="006537F1" w:rsidRPr="007629BE" w:rsidRDefault="00DC24F7" w:rsidP="007629BE">
      <w:pPr>
        <w:pStyle w:val="ArtNo"/>
      </w:pPr>
      <w:r w:rsidRPr="007629BE">
        <w:lastRenderedPageBreak/>
        <w:t xml:space="preserve">ARTÍCULO </w:t>
      </w:r>
      <w:r w:rsidRPr="007629BE">
        <w:rPr>
          <w:rStyle w:val="href"/>
        </w:rPr>
        <w:t>5</w:t>
      </w:r>
    </w:p>
    <w:p w14:paraId="01D8A343" w14:textId="77777777" w:rsidR="006537F1" w:rsidRPr="006E6D84" w:rsidRDefault="00DC24F7" w:rsidP="003D1919">
      <w:pPr>
        <w:pStyle w:val="Arttitle"/>
      </w:pPr>
      <w:r w:rsidRPr="006E6D84">
        <w:t>Atribuciones de frecuencia</w:t>
      </w:r>
    </w:p>
    <w:p w14:paraId="6EFBDFFC" w14:textId="77777777" w:rsidR="00FE0F52" w:rsidRPr="006E6D84" w:rsidRDefault="00DC24F7" w:rsidP="003D1919">
      <w:pPr>
        <w:pStyle w:val="Proposal"/>
      </w:pPr>
      <w:r w:rsidRPr="006E6D84">
        <w:rPr>
          <w:u w:val="single"/>
        </w:rPr>
        <w:t>NOC</w:t>
      </w:r>
      <w:r w:rsidRPr="006E6D84">
        <w:tab/>
        <w:t>PNG/67A21A2/1</w:t>
      </w:r>
    </w:p>
    <w:p w14:paraId="4FCCAB8D" w14:textId="77777777" w:rsidR="006537F1" w:rsidRPr="006E6D84" w:rsidRDefault="00DC24F7" w:rsidP="003D1919">
      <w:pPr>
        <w:pStyle w:val="Section1"/>
      </w:pPr>
      <w:r w:rsidRPr="006E6D84">
        <w:t>Sección IV – Cuadro de atribución de bandas de frecuencias</w:t>
      </w:r>
      <w:r w:rsidRPr="006E6D84">
        <w:br/>
      </w:r>
      <w:r w:rsidRPr="006E6D84">
        <w:rPr>
          <w:b w:val="0"/>
          <w:bCs/>
        </w:rPr>
        <w:t>(Véase el número</w:t>
      </w:r>
      <w:r w:rsidRPr="006E6D84">
        <w:t xml:space="preserve"> </w:t>
      </w:r>
      <w:r w:rsidRPr="006E6D84">
        <w:rPr>
          <w:rStyle w:val="Artref"/>
        </w:rPr>
        <w:t>2.1</w:t>
      </w:r>
      <w:r w:rsidRPr="006E6D84">
        <w:rPr>
          <w:b w:val="0"/>
          <w:bCs/>
        </w:rPr>
        <w:t>)</w:t>
      </w:r>
      <w:r w:rsidRPr="006E6D84">
        <w:br/>
      </w:r>
    </w:p>
    <w:p w14:paraId="79DE2B71" w14:textId="04AC70E8" w:rsidR="00FE0F52" w:rsidRPr="006E6D84" w:rsidRDefault="00DC24F7" w:rsidP="003D1919">
      <w:pPr>
        <w:pStyle w:val="Reasons"/>
      </w:pPr>
      <w:r w:rsidRPr="006E6D84">
        <w:rPr>
          <w:b/>
        </w:rPr>
        <w:t>Motivos:</w:t>
      </w:r>
      <w:r w:rsidRPr="006E6D84">
        <w:tab/>
      </w:r>
      <w:r w:rsidR="003D1919">
        <w:t xml:space="preserve">Dado que </w:t>
      </w:r>
      <w:r w:rsidR="003D1919" w:rsidRPr="006E6D84">
        <w:t xml:space="preserve">las normas y condiciones técnicas </w:t>
      </w:r>
      <w:r w:rsidR="003D1919">
        <w:t xml:space="preserve">del Reglamento de Radiocomunicaciones pueden </w:t>
      </w:r>
      <w:r w:rsidR="003D1919" w:rsidRPr="006E6D84">
        <w:t xml:space="preserve">garantizar la compatibilidad entre las IMT y el </w:t>
      </w:r>
      <w:r w:rsidR="003D1919">
        <w:t>servicio de radiodifusión por satélite (SRS)</w:t>
      </w:r>
      <w:r w:rsidR="003D1919" w:rsidRPr="006E6D84">
        <w:t xml:space="preserve"> (sonora) en la banda de frecuencias 1 452-1 492 MHz en las Regiones 1 y 3</w:t>
      </w:r>
      <w:r w:rsidR="003D1919">
        <w:t>, no deberían introducirse cambios en el Reglamento de Radiocomunicaciones.</w:t>
      </w:r>
      <w:r w:rsidR="003D1919" w:rsidRPr="006E6D84">
        <w:t xml:space="preserve"> </w:t>
      </w:r>
    </w:p>
    <w:p w14:paraId="5B358B7B" w14:textId="77777777" w:rsidR="00FE0F52" w:rsidRPr="006E6D84" w:rsidRDefault="00DC24F7" w:rsidP="003D1919">
      <w:pPr>
        <w:pStyle w:val="Proposal"/>
      </w:pPr>
      <w:r w:rsidRPr="006E6D84">
        <w:rPr>
          <w:u w:val="single"/>
        </w:rPr>
        <w:t>NOC</w:t>
      </w:r>
      <w:r w:rsidRPr="006E6D84">
        <w:tab/>
        <w:t>PNG/67A21A2/2</w:t>
      </w:r>
    </w:p>
    <w:p w14:paraId="3034CA39" w14:textId="77777777" w:rsidR="006537F1" w:rsidRPr="006E6D84" w:rsidRDefault="00DC24F7" w:rsidP="007629BE">
      <w:pPr>
        <w:pStyle w:val="ArtNo"/>
      </w:pPr>
      <w:r w:rsidRPr="007629BE">
        <w:t>ARTÍCULO</w:t>
      </w:r>
      <w:r w:rsidRPr="006E6D84">
        <w:t xml:space="preserve"> </w:t>
      </w:r>
      <w:r w:rsidRPr="006E6D84">
        <w:rPr>
          <w:rStyle w:val="href"/>
        </w:rPr>
        <w:t>21</w:t>
      </w:r>
    </w:p>
    <w:p w14:paraId="743EACB1" w14:textId="77777777" w:rsidR="006537F1" w:rsidRPr="006E6D84" w:rsidRDefault="00DC24F7" w:rsidP="003D1919">
      <w:pPr>
        <w:pStyle w:val="Arttitle"/>
      </w:pPr>
      <w:r w:rsidRPr="006E6D84">
        <w:t>Servicios terrenales y espaciales que comparten bandas</w:t>
      </w:r>
      <w:r w:rsidRPr="006E6D84">
        <w:br/>
        <w:t>de frecuencias por encima de 1 GHz</w:t>
      </w:r>
    </w:p>
    <w:p w14:paraId="23740727" w14:textId="7DECB437" w:rsidR="00FE0F52" w:rsidRPr="006E6D84" w:rsidRDefault="00DC24F7" w:rsidP="003D1919">
      <w:pPr>
        <w:pStyle w:val="Reasons"/>
      </w:pPr>
      <w:r w:rsidRPr="006E6D84">
        <w:rPr>
          <w:b/>
        </w:rPr>
        <w:t>Motivos:</w:t>
      </w:r>
      <w:r w:rsidRPr="006E6D84">
        <w:tab/>
      </w:r>
      <w:r w:rsidR="003D1919">
        <w:t xml:space="preserve">Cabe señalar que el actual procedimiento de coordinación del número 9.11 del RR podría proporcionar una estabilidad a largo plazo para la explotación de sistemas IMT, el cual podría garantizar suficientemente la protección de los sistemas IMT frente a la potencial recepción de interferencia ocasionada por los sistemas del SRS (sonido). </w:t>
      </w:r>
    </w:p>
    <w:p w14:paraId="35431898" w14:textId="77777777" w:rsidR="00FE0F52" w:rsidRPr="006E6D84" w:rsidRDefault="00DC24F7" w:rsidP="003D1919">
      <w:pPr>
        <w:pStyle w:val="Proposal"/>
      </w:pPr>
      <w:r w:rsidRPr="006E6D84">
        <w:rPr>
          <w:u w:val="single"/>
        </w:rPr>
        <w:t>NOC</w:t>
      </w:r>
      <w:r w:rsidRPr="006E6D84">
        <w:tab/>
        <w:t>PNG/67A21A2/3</w:t>
      </w:r>
    </w:p>
    <w:p w14:paraId="6A134640" w14:textId="77777777" w:rsidR="00AE737D" w:rsidRPr="006E6D84" w:rsidRDefault="00DC24F7" w:rsidP="007629BE">
      <w:pPr>
        <w:pStyle w:val="AppendixNo"/>
      </w:pPr>
      <w:r w:rsidRPr="006E6D84">
        <w:t xml:space="preserve">APÉNDICE </w:t>
      </w:r>
      <w:r w:rsidRPr="006E6D84">
        <w:rPr>
          <w:rStyle w:val="href"/>
        </w:rPr>
        <w:t>5</w:t>
      </w:r>
      <w:r w:rsidRPr="006E6D84">
        <w:t xml:space="preserve"> (</w:t>
      </w:r>
      <w:r w:rsidRPr="006E6D84">
        <w:rPr>
          <w:caps w:val="0"/>
        </w:rPr>
        <w:t>REV</w:t>
      </w:r>
      <w:r w:rsidRPr="006E6D84">
        <w:t>.CMR-15)</w:t>
      </w:r>
    </w:p>
    <w:p w14:paraId="007AE696" w14:textId="77777777" w:rsidR="00CB78AE" w:rsidRPr="006E6D84" w:rsidRDefault="00DC24F7" w:rsidP="003D1919">
      <w:pPr>
        <w:pStyle w:val="Appendixtitle"/>
        <w:rPr>
          <w:color w:val="000000"/>
        </w:rPr>
      </w:pPr>
      <w:r w:rsidRPr="006E6D84">
        <w:t>Identificación de las administraciones con las que ha de efectuarse</w:t>
      </w:r>
      <w:r w:rsidRPr="006E6D84">
        <w:br/>
        <w:t>una coordinación o cuyo acuerdo se ha de obtener a tenor</w:t>
      </w:r>
      <w:r w:rsidRPr="006E6D84">
        <w:br/>
        <w:t xml:space="preserve">de las disposiciones del Artículo </w:t>
      </w:r>
      <w:r w:rsidRPr="006E6D84">
        <w:rPr>
          <w:rStyle w:val="Artref"/>
          <w:color w:val="000000"/>
        </w:rPr>
        <w:t>9</w:t>
      </w:r>
    </w:p>
    <w:p w14:paraId="2ABDB290" w14:textId="3BACC28D" w:rsidR="00DC24F7" w:rsidRPr="006E6D84" w:rsidRDefault="00DC24F7" w:rsidP="003D1919">
      <w:pPr>
        <w:pStyle w:val="Reasons"/>
      </w:pPr>
      <w:r w:rsidRPr="006E6D84">
        <w:rPr>
          <w:b/>
        </w:rPr>
        <w:t>Motivos:</w:t>
      </w:r>
      <w:r w:rsidRPr="006E6D84">
        <w:tab/>
      </w:r>
      <w:r w:rsidR="003D1919">
        <w:t>Los actuales</w:t>
      </w:r>
      <w:r w:rsidRPr="006E6D84">
        <w:t xml:space="preserve"> procedimientos de coordinación </w:t>
      </w:r>
      <w:r w:rsidR="003D1919">
        <w:t>de</w:t>
      </w:r>
      <w:r w:rsidRPr="006E6D84">
        <w:t xml:space="preserve"> los números </w:t>
      </w:r>
      <w:r w:rsidRPr="00185CFC">
        <w:rPr>
          <w:bCs/>
        </w:rPr>
        <w:t>9.11</w:t>
      </w:r>
      <w:r w:rsidRPr="006E6D84">
        <w:t xml:space="preserve"> y </w:t>
      </w:r>
      <w:r w:rsidRPr="00185CFC">
        <w:rPr>
          <w:bCs/>
        </w:rPr>
        <w:t>9.19</w:t>
      </w:r>
      <w:r w:rsidRPr="006E6D84">
        <w:t xml:space="preserve"> del RR </w:t>
      </w:r>
      <w:r w:rsidR="003D1919">
        <w:t xml:space="preserve">pueden garantizar suficientemente las condiciones de compartición y compatibilidad entre el SRS (sonora) y los servicios terrenales. </w:t>
      </w:r>
    </w:p>
    <w:p w14:paraId="4A7808B7" w14:textId="77777777" w:rsidR="00DC24F7" w:rsidRPr="006E6D84" w:rsidRDefault="00DC24F7">
      <w:pPr>
        <w:jc w:val="center"/>
      </w:pPr>
      <w:r w:rsidRPr="006E6D84">
        <w:t>______________</w:t>
      </w:r>
    </w:p>
    <w:sectPr w:rsidR="00DC24F7" w:rsidRPr="006E6D84">
      <w:headerReference w:type="default" r:id="rId15"/>
      <w:footerReference w:type="even" r:id="rId16"/>
      <w:footerReference w:type="default" r:id="rId17"/>
      <w:footerReference w:type="first" r:id="rId18"/>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AB0E" w14:textId="77777777" w:rsidR="003C0613" w:rsidRDefault="003C0613">
      <w:r>
        <w:separator/>
      </w:r>
    </w:p>
  </w:endnote>
  <w:endnote w:type="continuationSeparator" w:id="0">
    <w:p w14:paraId="0A07FC0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60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EE8D9" w14:textId="7892D9C1" w:rsidR="0077084A" w:rsidRDefault="0077084A">
    <w:pPr>
      <w:ind w:right="360"/>
      <w:rPr>
        <w:lang w:val="en-US"/>
      </w:rPr>
    </w:pPr>
    <w:r>
      <w:fldChar w:fldCharType="begin"/>
    </w:r>
    <w:r>
      <w:rPr>
        <w:lang w:val="en-US"/>
      </w:rPr>
      <w:instrText xml:space="preserve"> FILENAME \p  \* MERGEFORMAT </w:instrText>
    </w:r>
    <w:r>
      <w:fldChar w:fldCharType="separate"/>
    </w:r>
    <w:r w:rsidR="008604F3">
      <w:rPr>
        <w:noProof/>
        <w:lang w:val="en-US"/>
      </w:rPr>
      <w:t>P:\ESP\ITU-R\CONF-R\CMR19\000\067ADD21ADD02S.docx</w:t>
    </w:r>
    <w:r>
      <w:fldChar w:fldCharType="end"/>
    </w:r>
    <w:r>
      <w:rPr>
        <w:lang w:val="en-US"/>
      </w:rPr>
      <w:tab/>
    </w:r>
    <w:r>
      <w:fldChar w:fldCharType="begin"/>
    </w:r>
    <w:r>
      <w:instrText xml:space="preserve"> SAVEDATE \@ DD.MM.YY </w:instrText>
    </w:r>
    <w:r>
      <w:fldChar w:fldCharType="separate"/>
    </w:r>
    <w:r w:rsidR="008604F3">
      <w:rPr>
        <w:noProof/>
      </w:rPr>
      <w:t>21.10.19</w:t>
    </w:r>
    <w:r>
      <w:fldChar w:fldCharType="end"/>
    </w:r>
    <w:r>
      <w:rPr>
        <w:lang w:val="en-US"/>
      </w:rPr>
      <w:tab/>
    </w:r>
    <w:r>
      <w:fldChar w:fldCharType="begin"/>
    </w:r>
    <w:r>
      <w:instrText xml:space="preserve"> PRINTDATE \@ DD.MM.YY </w:instrText>
    </w:r>
    <w:r>
      <w:fldChar w:fldCharType="separate"/>
    </w:r>
    <w:r w:rsidR="008604F3">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5632" w14:textId="2B0E9DF1" w:rsidR="0077084A" w:rsidRPr="009609D4" w:rsidRDefault="009609D4" w:rsidP="009609D4">
    <w:pPr>
      <w:pStyle w:val="Footer"/>
      <w:rPr>
        <w:lang w:val="en-US"/>
      </w:rPr>
    </w:pPr>
    <w:r>
      <w:fldChar w:fldCharType="begin"/>
    </w:r>
    <w:r>
      <w:rPr>
        <w:lang w:val="en-US"/>
      </w:rPr>
      <w:instrText xml:space="preserve"> FILENAME \p  \* MERGEFORMAT </w:instrText>
    </w:r>
    <w:r>
      <w:fldChar w:fldCharType="separate"/>
    </w:r>
    <w:r w:rsidR="008604F3">
      <w:rPr>
        <w:lang w:val="en-US"/>
      </w:rPr>
      <w:t>P:\ESP\ITU-R\CONF-R\CMR19\000\067ADD21ADD02S.docx</w:t>
    </w:r>
    <w:r>
      <w:fldChar w:fldCharType="end"/>
    </w:r>
    <w:r w:rsidRPr="009609D4">
      <w:rPr>
        <w:lang w:val="en-US"/>
      </w:rPr>
      <w:t xml:space="preserve"> </w:t>
    </w:r>
    <w:r>
      <w:rPr>
        <w:lang w:val="en-US"/>
      </w:rPr>
      <w:t>(462144)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1FFF" w14:textId="78851571" w:rsidR="0077084A" w:rsidRPr="009609D4" w:rsidRDefault="0077084A" w:rsidP="00B47331">
    <w:pPr>
      <w:pStyle w:val="Footer"/>
      <w:rPr>
        <w:lang w:val="en-US"/>
      </w:rPr>
    </w:pPr>
    <w:r>
      <w:fldChar w:fldCharType="begin"/>
    </w:r>
    <w:r>
      <w:rPr>
        <w:lang w:val="en-US"/>
      </w:rPr>
      <w:instrText xml:space="preserve"> FILENAME \p  \* MERGEFORMAT </w:instrText>
    </w:r>
    <w:r>
      <w:fldChar w:fldCharType="separate"/>
    </w:r>
    <w:r w:rsidR="008604F3">
      <w:rPr>
        <w:lang w:val="en-US"/>
      </w:rPr>
      <w:t>P:\ESP\ITU-R\CONF-R\CMR19\000\067ADD21ADD02S.docx</w:t>
    </w:r>
    <w:r>
      <w:fldChar w:fldCharType="end"/>
    </w:r>
    <w:r w:rsidR="009609D4" w:rsidRPr="009609D4">
      <w:rPr>
        <w:lang w:val="en-US"/>
      </w:rPr>
      <w:t xml:space="preserve"> </w:t>
    </w:r>
    <w:r w:rsidR="009609D4">
      <w:rPr>
        <w:lang w:val="en-US"/>
      </w:rPr>
      <w:t>(462144)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817F" w14:textId="77777777" w:rsidR="003C0613" w:rsidRDefault="003C0613">
      <w:r>
        <w:rPr>
          <w:b/>
        </w:rPr>
        <w:t>_______________</w:t>
      </w:r>
    </w:p>
  </w:footnote>
  <w:footnote w:type="continuationSeparator" w:id="0">
    <w:p w14:paraId="2D8B0E59"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07C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6F30B60" w14:textId="77777777" w:rsidR="0077084A" w:rsidRDefault="008750A8" w:rsidP="00C44E9E">
    <w:pPr>
      <w:pStyle w:val="Header"/>
      <w:rPr>
        <w:lang w:val="en-US"/>
      </w:rPr>
    </w:pPr>
    <w:r>
      <w:rPr>
        <w:lang w:val="en-US"/>
      </w:rPr>
      <w:t>CMR1</w:t>
    </w:r>
    <w:r w:rsidR="00C44E9E">
      <w:rPr>
        <w:lang w:val="en-US"/>
      </w:rPr>
      <w:t>9</w:t>
    </w:r>
    <w:r>
      <w:rPr>
        <w:lang w:val="en-US"/>
      </w:rPr>
      <w:t>/</w:t>
    </w:r>
    <w:r w:rsidR="00702F3D">
      <w:t>67(Add.21)(Add.2)-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C762247"/>
    <w:multiLevelType w:val="hybridMultilevel"/>
    <w:tmpl w:val="CC86C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56956"/>
    <w:rsid w:val="001616DC"/>
    <w:rsid w:val="00163962"/>
    <w:rsid w:val="00185CFC"/>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0E20"/>
    <w:rsid w:val="002E701F"/>
    <w:rsid w:val="003248A9"/>
    <w:rsid w:val="00324FFA"/>
    <w:rsid w:val="0032680B"/>
    <w:rsid w:val="00363A65"/>
    <w:rsid w:val="0036454D"/>
    <w:rsid w:val="003B1E8C"/>
    <w:rsid w:val="003B78EE"/>
    <w:rsid w:val="003C0613"/>
    <w:rsid w:val="003C2508"/>
    <w:rsid w:val="003D0AA3"/>
    <w:rsid w:val="003D1919"/>
    <w:rsid w:val="003E2086"/>
    <w:rsid w:val="003F7F66"/>
    <w:rsid w:val="004001B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05F2C"/>
    <w:rsid w:val="006124AD"/>
    <w:rsid w:val="00624009"/>
    <w:rsid w:val="00662BA0"/>
    <w:rsid w:val="0067344B"/>
    <w:rsid w:val="00684A94"/>
    <w:rsid w:val="00692AAE"/>
    <w:rsid w:val="006A671C"/>
    <w:rsid w:val="006C0E38"/>
    <w:rsid w:val="006C3C02"/>
    <w:rsid w:val="006D6E67"/>
    <w:rsid w:val="006E1A13"/>
    <w:rsid w:val="006E6D84"/>
    <w:rsid w:val="00701C20"/>
    <w:rsid w:val="00702F3D"/>
    <w:rsid w:val="0070518E"/>
    <w:rsid w:val="007354E9"/>
    <w:rsid w:val="007424E8"/>
    <w:rsid w:val="0074579D"/>
    <w:rsid w:val="007629BE"/>
    <w:rsid w:val="00765578"/>
    <w:rsid w:val="00766333"/>
    <w:rsid w:val="0077084A"/>
    <w:rsid w:val="007952C7"/>
    <w:rsid w:val="007C0B95"/>
    <w:rsid w:val="007C2317"/>
    <w:rsid w:val="007D330A"/>
    <w:rsid w:val="008604F3"/>
    <w:rsid w:val="00866AE6"/>
    <w:rsid w:val="008750A8"/>
    <w:rsid w:val="00896794"/>
    <w:rsid w:val="008A027F"/>
    <w:rsid w:val="008A5ACE"/>
    <w:rsid w:val="008D3316"/>
    <w:rsid w:val="008E5AF2"/>
    <w:rsid w:val="0090121B"/>
    <w:rsid w:val="009144C9"/>
    <w:rsid w:val="009149AB"/>
    <w:rsid w:val="0094091F"/>
    <w:rsid w:val="009609D4"/>
    <w:rsid w:val="00962171"/>
    <w:rsid w:val="00973754"/>
    <w:rsid w:val="009C0BED"/>
    <w:rsid w:val="009E11EC"/>
    <w:rsid w:val="00A021CC"/>
    <w:rsid w:val="00A118DB"/>
    <w:rsid w:val="00A208D8"/>
    <w:rsid w:val="00A4450C"/>
    <w:rsid w:val="00AA5E6C"/>
    <w:rsid w:val="00AB64D8"/>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36780"/>
    <w:rsid w:val="00D72A5D"/>
    <w:rsid w:val="00DA71A3"/>
    <w:rsid w:val="00DC24F7"/>
    <w:rsid w:val="00DC629B"/>
    <w:rsid w:val="00DE1C31"/>
    <w:rsid w:val="00E05BFF"/>
    <w:rsid w:val="00E262F1"/>
    <w:rsid w:val="00E3176A"/>
    <w:rsid w:val="00E36CE4"/>
    <w:rsid w:val="00E54754"/>
    <w:rsid w:val="00E56BD3"/>
    <w:rsid w:val="00E71D14"/>
    <w:rsid w:val="00EA77F0"/>
    <w:rsid w:val="00F0009E"/>
    <w:rsid w:val="00F32316"/>
    <w:rsid w:val="00F508D4"/>
    <w:rsid w:val="00F66597"/>
    <w:rsid w:val="00F675D0"/>
    <w:rsid w:val="00F8150C"/>
    <w:rsid w:val="00FB0646"/>
    <w:rsid w:val="00FD03C4"/>
    <w:rsid w:val="00FE0F5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F501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ListParagraph">
    <w:name w:val="List Paragraph"/>
    <w:basedOn w:val="Normal"/>
    <w:uiPriority w:val="34"/>
    <w:qFormat/>
    <w:rsid w:val="009609D4"/>
    <w:pPr>
      <w:ind w:left="720"/>
      <w:contextualSpacing/>
      <w:textAlignment w:val="auto"/>
    </w:pPr>
    <w:rPr>
      <w:rFonts w:eastAsia="SimSun"/>
      <w:lang w:val="en-GB"/>
    </w:rPr>
  </w:style>
  <w:style w:type="paragraph" w:styleId="BalloonText">
    <w:name w:val="Balloon Text"/>
    <w:basedOn w:val="Normal"/>
    <w:link w:val="BalloonTextChar"/>
    <w:semiHidden/>
    <w:unhideWhenUsed/>
    <w:rsid w:val="00F000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009E"/>
    <w:rPr>
      <w:rFonts w:ascii="Segoe UI" w:hAnsi="Segoe UI" w:cs="Segoe UI"/>
      <w:sz w:val="18"/>
      <w:szCs w:val="18"/>
      <w:lang w:val="es-ES_tradnl" w:eastAsia="en-US"/>
    </w:rPr>
  </w:style>
  <w:style w:type="character" w:customStyle="1" w:styleId="Artref10pt">
    <w:name w:val="Art_ref + 10 pt"/>
    <w:basedOn w:val="Artref"/>
    <w:rsid w:val="00605F2C"/>
    <w:rPr>
      <w:color w:val="000000"/>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05F2C"/>
    <w:rPr>
      <w:rFonts w:ascii="Times New Roman" w:hAnsi="Times New Roman"/>
      <w:sz w:val="24"/>
      <w:lang w:val="es-ES_tradnl" w:eastAsia="en-US"/>
    </w:rPr>
  </w:style>
  <w:style w:type="character" w:customStyle="1" w:styleId="NoteChar">
    <w:name w:val="Note Char"/>
    <w:basedOn w:val="DefaultParagraphFont"/>
    <w:link w:val="Note"/>
    <w:locked/>
    <w:rsid w:val="00605F2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R16-WRC19-C-0067!A21-A2!MSW-S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9ECDB-9AEA-475B-9662-80118518ED2B}">
  <ds:schemaRefs>
    <ds:schemaRef ds:uri="32a1a8c5-2265-4ebc-b7a0-2071e2c5c9bb"/>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E21C85A-59CA-4880-AC50-7914CED1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948</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R16-WRC19-C-0067!A21-A2!MSW-S</vt:lpstr>
    </vt:vector>
  </TitlesOfParts>
  <Manager>Secretaría General - Pool</Manager>
  <Company>Unión Internacional de Telecomunicaciones (UIT)</Company>
  <LinksUpToDate>false</LinksUpToDate>
  <CharactersWithSpaces>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R16-WRC19-C-0067!A21-A2!MSW-S</dc:title>
  <dc:subject>Conferencia Mundial de Radiocomunicaciones - 2019</dc:subject>
  <dc:creator>Documents Proposals Manager (DPM)</dc:creator>
  <cp:keywords>DPM_v2019.10.11.1_prod</cp:keywords>
  <dc:description/>
  <cp:lastModifiedBy>Spanish</cp:lastModifiedBy>
  <cp:revision>13</cp:revision>
  <cp:lastPrinted>2019-10-21T08:37:00Z</cp:lastPrinted>
  <dcterms:created xsi:type="dcterms:W3CDTF">2019-10-15T09:37:00Z</dcterms:created>
  <dcterms:modified xsi:type="dcterms:W3CDTF">2019-10-21T08:42:00Z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