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7A5172" w14:paraId="530440BA" w14:textId="77777777" w:rsidTr="0050008E">
        <w:trPr>
          <w:cantSplit/>
        </w:trPr>
        <w:tc>
          <w:tcPr>
            <w:tcW w:w="6911" w:type="dxa"/>
          </w:tcPr>
          <w:p w14:paraId="17D1C1F2" w14:textId="77777777" w:rsidR="00BB1D82" w:rsidRPr="007A5172" w:rsidRDefault="00851625" w:rsidP="007A5172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7A5172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7A5172">
              <w:rPr>
                <w:rFonts w:ascii="Verdana" w:hAnsi="Verdana"/>
                <w:b/>
                <w:bCs/>
                <w:sz w:val="20"/>
              </w:rPr>
              <w:t>9</w:t>
            </w:r>
            <w:r w:rsidRPr="007A5172">
              <w:rPr>
                <w:rFonts w:ascii="Verdana" w:hAnsi="Verdana"/>
                <w:b/>
                <w:bCs/>
                <w:sz w:val="20"/>
              </w:rPr>
              <w:t>)</w:t>
            </w:r>
            <w:r w:rsidRPr="007A5172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7A5172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7A5172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7A5172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7A5172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7A517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7A5172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7A5172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7A5172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7A517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7A5172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7A5172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7A5172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7A5172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650A30EF" w14:textId="77777777" w:rsidR="00BB1D82" w:rsidRPr="007A5172" w:rsidRDefault="000A55AE" w:rsidP="007A5172">
            <w:pPr>
              <w:spacing w:before="0"/>
              <w:jc w:val="right"/>
            </w:pPr>
            <w:r w:rsidRPr="007A5172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65C2740A" wp14:editId="6FEA8C28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7A5172" w14:paraId="27A3B7ED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533FBBB" w14:textId="77777777" w:rsidR="00BB1D82" w:rsidRPr="007A5172" w:rsidRDefault="00BB1D82" w:rsidP="007A5172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64D1ECF" w14:textId="77777777" w:rsidR="00BB1D82" w:rsidRPr="007A5172" w:rsidRDefault="00BB1D82" w:rsidP="007A5172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7A5172" w14:paraId="2C631150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ED3D8F0" w14:textId="77777777" w:rsidR="00BB1D82" w:rsidRPr="007A5172" w:rsidRDefault="00BB1D82" w:rsidP="007A5172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03640DC" w14:textId="77777777" w:rsidR="00BB1D82" w:rsidRPr="007A5172" w:rsidRDefault="00BB1D82" w:rsidP="007A5172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7A5172" w14:paraId="4DEC0B44" w14:textId="77777777" w:rsidTr="00BB1D82">
        <w:trPr>
          <w:cantSplit/>
        </w:trPr>
        <w:tc>
          <w:tcPr>
            <w:tcW w:w="6911" w:type="dxa"/>
          </w:tcPr>
          <w:p w14:paraId="6F9BF849" w14:textId="77777777" w:rsidR="00BB1D82" w:rsidRPr="007A5172" w:rsidRDefault="006D4724" w:rsidP="007A5172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A5172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14:paraId="4D90FAA3" w14:textId="77777777" w:rsidR="00BB1D82" w:rsidRPr="007A5172" w:rsidRDefault="006D4724" w:rsidP="007A5172">
            <w:pPr>
              <w:spacing w:before="0"/>
              <w:rPr>
                <w:rFonts w:ascii="Verdana" w:hAnsi="Verdana"/>
                <w:sz w:val="20"/>
              </w:rPr>
            </w:pPr>
            <w:r w:rsidRPr="007A5172">
              <w:rPr>
                <w:rFonts w:ascii="Verdana" w:hAnsi="Verdana"/>
                <w:b/>
                <w:sz w:val="20"/>
              </w:rPr>
              <w:t>Addendum 7 au</w:t>
            </w:r>
            <w:r w:rsidRPr="007A5172">
              <w:rPr>
                <w:rFonts w:ascii="Verdana" w:hAnsi="Verdana"/>
                <w:b/>
                <w:sz w:val="20"/>
              </w:rPr>
              <w:br/>
              <w:t>Document 68(Add.21)</w:t>
            </w:r>
            <w:r w:rsidR="00BB1D82" w:rsidRPr="007A5172">
              <w:rPr>
                <w:rFonts w:ascii="Verdana" w:hAnsi="Verdana"/>
                <w:b/>
                <w:sz w:val="20"/>
              </w:rPr>
              <w:t>-</w:t>
            </w:r>
            <w:r w:rsidRPr="007A5172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7A5172" w14:paraId="3F0D03A4" w14:textId="77777777" w:rsidTr="00BB1D82">
        <w:trPr>
          <w:cantSplit/>
        </w:trPr>
        <w:tc>
          <w:tcPr>
            <w:tcW w:w="6911" w:type="dxa"/>
          </w:tcPr>
          <w:p w14:paraId="7379178D" w14:textId="77777777" w:rsidR="00690C7B" w:rsidRPr="007A5172" w:rsidRDefault="00690C7B" w:rsidP="007A5172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078972FD" w14:textId="77777777" w:rsidR="00690C7B" w:rsidRPr="007A5172" w:rsidRDefault="00690C7B" w:rsidP="007A5172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A5172">
              <w:rPr>
                <w:rFonts w:ascii="Verdana" w:hAnsi="Verdana"/>
                <w:b/>
                <w:sz w:val="20"/>
              </w:rPr>
              <w:t>6 octobre 2019</w:t>
            </w:r>
          </w:p>
        </w:tc>
      </w:tr>
      <w:tr w:rsidR="00690C7B" w:rsidRPr="007A5172" w14:paraId="54E50E78" w14:textId="77777777" w:rsidTr="00BB1D82">
        <w:trPr>
          <w:cantSplit/>
        </w:trPr>
        <w:tc>
          <w:tcPr>
            <w:tcW w:w="6911" w:type="dxa"/>
          </w:tcPr>
          <w:p w14:paraId="7151791A" w14:textId="77777777" w:rsidR="00690C7B" w:rsidRPr="007A5172" w:rsidRDefault="00690C7B" w:rsidP="007A5172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5D9FC212" w14:textId="77777777" w:rsidR="00690C7B" w:rsidRPr="007A5172" w:rsidRDefault="00690C7B" w:rsidP="007A5172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A5172">
              <w:rPr>
                <w:rFonts w:ascii="Verdana" w:hAnsi="Verdana"/>
                <w:b/>
                <w:sz w:val="20"/>
              </w:rPr>
              <w:t>Original: arabe</w:t>
            </w:r>
          </w:p>
        </w:tc>
      </w:tr>
      <w:tr w:rsidR="00690C7B" w:rsidRPr="007A5172" w14:paraId="406FD83A" w14:textId="77777777" w:rsidTr="00C11970">
        <w:trPr>
          <w:cantSplit/>
        </w:trPr>
        <w:tc>
          <w:tcPr>
            <w:tcW w:w="10031" w:type="dxa"/>
            <w:gridSpan w:val="2"/>
          </w:tcPr>
          <w:p w14:paraId="7268FAF1" w14:textId="77777777" w:rsidR="00690C7B" w:rsidRPr="007A5172" w:rsidRDefault="00690C7B" w:rsidP="007A5172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7A5172" w14:paraId="755D469C" w14:textId="77777777" w:rsidTr="0050008E">
        <w:trPr>
          <w:cantSplit/>
        </w:trPr>
        <w:tc>
          <w:tcPr>
            <w:tcW w:w="10031" w:type="dxa"/>
            <w:gridSpan w:val="2"/>
          </w:tcPr>
          <w:p w14:paraId="1DC6F979" w14:textId="59A5EE7C" w:rsidR="00690C7B" w:rsidRPr="007A5172" w:rsidRDefault="00690C7B" w:rsidP="007A5172">
            <w:pPr>
              <w:pStyle w:val="Source"/>
            </w:pPr>
            <w:bookmarkStart w:id="1" w:name="dsource" w:colFirst="0" w:colLast="0"/>
            <w:r w:rsidRPr="007A5172">
              <w:t>Qatar (</w:t>
            </w:r>
            <w:r w:rsidR="00B352D7" w:rsidRPr="007A5172">
              <w:t>É</w:t>
            </w:r>
            <w:r w:rsidRPr="007A5172">
              <w:t>tat du)</w:t>
            </w:r>
          </w:p>
        </w:tc>
      </w:tr>
      <w:tr w:rsidR="00690C7B" w:rsidRPr="007A5172" w14:paraId="17D1D8AE" w14:textId="77777777" w:rsidTr="0050008E">
        <w:trPr>
          <w:cantSplit/>
        </w:trPr>
        <w:tc>
          <w:tcPr>
            <w:tcW w:w="10031" w:type="dxa"/>
            <w:gridSpan w:val="2"/>
          </w:tcPr>
          <w:p w14:paraId="166ABC98" w14:textId="77777777" w:rsidR="00690C7B" w:rsidRPr="007A5172" w:rsidRDefault="00690C7B" w:rsidP="007A5172">
            <w:pPr>
              <w:pStyle w:val="Title1"/>
            </w:pPr>
            <w:bookmarkStart w:id="2" w:name="dtitle1" w:colFirst="0" w:colLast="0"/>
            <w:bookmarkEnd w:id="1"/>
            <w:r w:rsidRPr="007A5172">
              <w:t>Propositions pour les travaux de la conférence</w:t>
            </w:r>
          </w:p>
        </w:tc>
      </w:tr>
      <w:tr w:rsidR="00690C7B" w:rsidRPr="007A5172" w14:paraId="040C3E65" w14:textId="77777777" w:rsidTr="0050008E">
        <w:trPr>
          <w:cantSplit/>
        </w:trPr>
        <w:tc>
          <w:tcPr>
            <w:tcW w:w="10031" w:type="dxa"/>
            <w:gridSpan w:val="2"/>
          </w:tcPr>
          <w:p w14:paraId="68724D4C" w14:textId="77777777" w:rsidR="00690C7B" w:rsidRPr="007A5172" w:rsidRDefault="00690C7B" w:rsidP="007A5172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:rsidRPr="007A5172" w14:paraId="0F930C95" w14:textId="77777777" w:rsidTr="0050008E">
        <w:trPr>
          <w:cantSplit/>
        </w:trPr>
        <w:tc>
          <w:tcPr>
            <w:tcW w:w="10031" w:type="dxa"/>
            <w:gridSpan w:val="2"/>
          </w:tcPr>
          <w:p w14:paraId="64C25DBD" w14:textId="77777777" w:rsidR="00690C7B" w:rsidRPr="007A5172" w:rsidRDefault="00690C7B" w:rsidP="007A5172">
            <w:pPr>
              <w:pStyle w:val="Agendaitem"/>
              <w:rPr>
                <w:lang w:val="fr-FR"/>
              </w:rPr>
            </w:pPr>
            <w:bookmarkStart w:id="4" w:name="dtitle3" w:colFirst="0" w:colLast="0"/>
            <w:bookmarkEnd w:id="3"/>
            <w:r w:rsidRPr="007A5172">
              <w:rPr>
                <w:lang w:val="fr-FR"/>
              </w:rPr>
              <w:t>Point 9.1(9.1.7) de l'ordre du jour</w:t>
            </w:r>
          </w:p>
        </w:tc>
      </w:tr>
    </w:tbl>
    <w:bookmarkEnd w:id="4"/>
    <w:p w14:paraId="17565958" w14:textId="77777777" w:rsidR="001C0E40" w:rsidRPr="007A5172" w:rsidRDefault="00CA3E20" w:rsidP="007A5172">
      <w:r w:rsidRPr="007A5172">
        <w:t>9</w:t>
      </w:r>
      <w:r w:rsidRPr="007A5172">
        <w:tab/>
        <w:t>examiner et approuver le rapport du Directeur du Bureau des radiocommunications, conformément à l'article 7 de la Convention:</w:t>
      </w:r>
    </w:p>
    <w:p w14:paraId="66AE34B2" w14:textId="77777777" w:rsidR="001C0E40" w:rsidRPr="007A5172" w:rsidRDefault="00CA3E20" w:rsidP="007A5172">
      <w:r w:rsidRPr="007A5172">
        <w:t>9.1</w:t>
      </w:r>
      <w:r w:rsidRPr="007A5172">
        <w:tab/>
        <w:t>sur les activités du Secteur des radiocommunications depuis la CMR</w:t>
      </w:r>
      <w:r w:rsidRPr="007A5172">
        <w:noBreakHyphen/>
        <w:t>15;</w:t>
      </w:r>
    </w:p>
    <w:p w14:paraId="4428858D" w14:textId="783247F2" w:rsidR="001C0E40" w:rsidRPr="007A5172" w:rsidRDefault="00CA3E20" w:rsidP="007A5172">
      <w:r w:rsidRPr="007A5172">
        <w:rPr>
          <w:rFonts w:cstheme="majorBidi"/>
          <w:color w:val="000000"/>
          <w:szCs w:val="24"/>
          <w:lang w:eastAsia="zh-CN"/>
        </w:rPr>
        <w:t>9.1 (</w:t>
      </w:r>
      <w:r w:rsidRPr="007A5172">
        <w:rPr>
          <w:lang w:eastAsia="zh-CN"/>
        </w:rPr>
        <w:t>9.1.7)</w:t>
      </w:r>
      <w:r w:rsidRPr="007A5172">
        <w:tab/>
      </w:r>
      <w:hyperlink w:anchor="RES_958" w:history="1">
        <w:r w:rsidRPr="007A5172">
          <w:t xml:space="preserve">Résolution </w:t>
        </w:r>
        <w:r w:rsidRPr="007A5172">
          <w:rPr>
            <w:b/>
            <w:bCs/>
          </w:rPr>
          <w:t>958 (CMR</w:t>
        </w:r>
        <w:r w:rsidRPr="007A5172">
          <w:rPr>
            <w:b/>
            <w:bCs/>
          </w:rPr>
          <w:noBreakHyphen/>
          <w:t>15)</w:t>
        </w:r>
      </w:hyperlink>
      <w:r w:rsidRPr="007A5172">
        <w:t xml:space="preserve"> – Annexe, point 2) </w:t>
      </w:r>
      <w:r w:rsidR="007A5172" w:rsidRPr="007A5172">
        <w:rPr>
          <w:lang w:eastAsia="zh-CN"/>
        </w:rPr>
        <w:t>Études</w:t>
      </w:r>
      <w:r w:rsidRPr="007A5172">
        <w:rPr>
          <w:lang w:eastAsia="zh-CN"/>
        </w:rPr>
        <w:t xml:space="preserve"> visant à déterminer: a) s'il est nécessaire de prendre éventuellement des mesures additionnelles pour limiter aux terminaux autorisés les émissions des terminaux sur la liaison montante, conformément au numéro </w:t>
      </w:r>
      <w:r w:rsidRPr="007A5172">
        <w:rPr>
          <w:b/>
          <w:bCs/>
          <w:lang w:eastAsia="zh-CN"/>
        </w:rPr>
        <w:t>18.1</w:t>
      </w:r>
      <w:r w:rsidRPr="007A5172">
        <w:rPr>
          <w:lang w:eastAsia="zh-CN"/>
        </w:rPr>
        <w:t>; b) les méthodes qui permettraient d'aider les administrations à gérer l'exploitation non autorisée des terminaux de stations terriennes déployés sur leur territoire, afin de leur fournir des orientations pour leur programme national de gestion du spectre, conformément à la Résolution UIT</w:t>
      </w:r>
      <w:r w:rsidRPr="007A5172">
        <w:rPr>
          <w:lang w:eastAsia="zh-CN"/>
        </w:rPr>
        <w:noBreakHyphen/>
        <w:t>R 64 (AR</w:t>
      </w:r>
      <w:r w:rsidRPr="007A5172">
        <w:rPr>
          <w:lang w:eastAsia="zh-CN"/>
        </w:rPr>
        <w:noBreakHyphen/>
        <w:t>15);</w:t>
      </w:r>
    </w:p>
    <w:p w14:paraId="1CCD3B0A" w14:textId="77777777" w:rsidR="00B352D7" w:rsidRPr="007A5172" w:rsidRDefault="00B352D7" w:rsidP="007A5172">
      <w:pPr>
        <w:pStyle w:val="Headingb"/>
      </w:pPr>
      <w:r w:rsidRPr="007A5172">
        <w:t>Introduction</w:t>
      </w:r>
    </w:p>
    <w:p w14:paraId="7D8D27A9" w14:textId="77777777" w:rsidR="00B352D7" w:rsidRPr="007A5172" w:rsidRDefault="00B352D7" w:rsidP="007A5172">
      <w:pPr>
        <w:spacing w:after="120"/>
        <w:rPr>
          <w:rFonts w:asciiTheme="majorBidi" w:hAnsiTheme="majorBidi"/>
        </w:rPr>
      </w:pPr>
      <w:bookmarkStart w:id="5" w:name="lt_pId023"/>
      <w:r w:rsidRPr="007A5172">
        <w:rPr>
          <w:rFonts w:asciiTheme="majorBidi" w:hAnsiTheme="majorBidi"/>
        </w:rPr>
        <w:t xml:space="preserve">Les études menées au titre du point 9.1 (question 9.1.7) de l'ordre du jour de la CMR-19 visaient à déterminer </w:t>
      </w:r>
      <w:r w:rsidRPr="007A5172">
        <w:rPr>
          <w:lang w:eastAsia="zh-CN"/>
        </w:rPr>
        <w:t>s'il est nécessaire de prendre des mesures additionnelles pour limiter aux stations terriennes autorisées les émissions des terminaux sur la liaison montante et d'adopter les méthodes permettant d'aider les administrations à gérer l'exploitation non autorisée de stations terriennes</w:t>
      </w:r>
      <w:bookmarkEnd w:id="5"/>
      <w:r w:rsidRPr="007A5172">
        <w:rPr>
          <w:lang w:eastAsia="zh-CN"/>
        </w:rPr>
        <w:t>.</w:t>
      </w:r>
    </w:p>
    <w:p w14:paraId="2B378C16" w14:textId="1D3753F5" w:rsidR="00B352D7" w:rsidRPr="007A5172" w:rsidRDefault="00B352D7" w:rsidP="007A5172">
      <w:pPr>
        <w:rPr>
          <w:rFonts w:asciiTheme="majorBidi" w:hAnsiTheme="majorBidi"/>
        </w:rPr>
      </w:pPr>
      <w:bookmarkStart w:id="6" w:name="lt_pId024"/>
      <w:r w:rsidRPr="007A5172">
        <w:rPr>
          <w:rFonts w:asciiTheme="majorBidi" w:hAnsiTheme="majorBidi"/>
        </w:rPr>
        <w:t xml:space="preserve">En ce qui concerne la </w:t>
      </w:r>
      <w:r w:rsidRPr="007A5172">
        <w:rPr>
          <w:rFonts w:asciiTheme="majorBidi" w:hAnsiTheme="majorBidi"/>
          <w:i/>
        </w:rPr>
        <w:t>Question 2a</w:t>
      </w:r>
      <w:r w:rsidRPr="007A5172">
        <w:rPr>
          <w:rFonts w:asciiTheme="majorBidi" w:hAnsiTheme="majorBidi"/>
          <w:i/>
          <w:iCs/>
        </w:rPr>
        <w:t>)</w:t>
      </w:r>
      <w:r w:rsidRPr="007A5172">
        <w:rPr>
          <w:rFonts w:asciiTheme="majorBidi" w:hAnsiTheme="majorBidi"/>
        </w:rPr>
        <w:t xml:space="preserve"> </w:t>
      </w:r>
      <w:r w:rsidRPr="007A5172">
        <w:t xml:space="preserve">figurant dans l'Annexe </w:t>
      </w:r>
      <w:r w:rsidRPr="007A5172">
        <w:rPr>
          <w:rFonts w:asciiTheme="majorBidi" w:hAnsiTheme="majorBidi"/>
        </w:rPr>
        <w:t xml:space="preserve">de la Résolution </w:t>
      </w:r>
      <w:r w:rsidRPr="007A5172">
        <w:rPr>
          <w:rFonts w:asciiTheme="majorBidi" w:hAnsiTheme="majorBidi"/>
          <w:b/>
        </w:rPr>
        <w:t>958 (CMR-15)</w:t>
      </w:r>
      <w:r w:rsidRPr="007A5172">
        <w:rPr>
          <w:rFonts w:asciiTheme="majorBidi" w:hAnsiTheme="majorBidi"/>
        </w:rPr>
        <w:t>, deux options ont été mises en évidence:</w:t>
      </w:r>
      <w:bookmarkEnd w:id="6"/>
    </w:p>
    <w:p w14:paraId="0D05EE0E" w14:textId="173ADF16" w:rsidR="00B352D7" w:rsidRPr="007A5172" w:rsidRDefault="00B352D7" w:rsidP="007A5172">
      <w:pPr>
        <w:pStyle w:val="enumlev1"/>
        <w:rPr>
          <w:color w:val="000000"/>
        </w:rPr>
      </w:pPr>
      <w:bookmarkStart w:id="7" w:name="lt_pId025"/>
      <w:r w:rsidRPr="007A5172">
        <w:t>–</w:t>
      </w:r>
      <w:r w:rsidRPr="007A5172">
        <w:tab/>
        <w:t xml:space="preserve">Option 1: </w:t>
      </w:r>
      <w:r w:rsidRPr="007A5172">
        <w:rPr>
          <w:color w:val="000000"/>
        </w:rPr>
        <w:t>aucune modification du Règlement des radiocommunications</w:t>
      </w:r>
      <w:r w:rsidR="00D42BC9" w:rsidRPr="007A5172">
        <w:rPr>
          <w:color w:val="000000"/>
        </w:rPr>
        <w:t xml:space="preserve"> (RR)</w:t>
      </w:r>
      <w:r w:rsidRPr="007A5172">
        <w:rPr>
          <w:color w:val="000000"/>
        </w:rPr>
        <w:t>, les mesures existant actuellement étant suffisantes.</w:t>
      </w:r>
      <w:bookmarkEnd w:id="7"/>
      <w:r w:rsidRPr="007A5172">
        <w:rPr>
          <w:color w:val="000000"/>
        </w:rPr>
        <w:t xml:space="preserve"> Le Règlement des radiocommunications, plus précisément les dispositions de l'Article </w:t>
      </w:r>
      <w:r w:rsidRPr="007A5172">
        <w:rPr>
          <w:b/>
          <w:color w:val="000000"/>
        </w:rPr>
        <w:t>18</w:t>
      </w:r>
      <w:r w:rsidRPr="007A5172">
        <w:rPr>
          <w:color w:val="000000"/>
        </w:rPr>
        <w:t>, énonce de manière claire et sans ambigüité l'obligation, pour pouvoir exploiter une station terrienne, d'y être dûment autorisé. De nouvelles dispositions dans le Règlement des radiocommunications n'aideront pas à résoudre le problème des stations terriennes exploitées de manière illicite.</w:t>
      </w:r>
    </w:p>
    <w:p w14:paraId="378A3C32" w14:textId="77777777" w:rsidR="00B352D7" w:rsidRPr="007A5172" w:rsidRDefault="00B352D7" w:rsidP="007A5172">
      <w:pPr>
        <w:pStyle w:val="enumlev1"/>
      </w:pPr>
      <w:r w:rsidRPr="007A5172">
        <w:t>–</w:t>
      </w:r>
      <w:r w:rsidRPr="007A5172">
        <w:tab/>
        <w:t xml:space="preserve">Option 2: élaborer une nouvelle Résolution de la CMR pour aider les administrations à appliquer le numéro </w:t>
      </w:r>
      <w:r w:rsidRPr="007A5172">
        <w:rPr>
          <w:b/>
        </w:rPr>
        <w:t>18.1</w:t>
      </w:r>
      <w:r w:rsidRPr="007A5172">
        <w:rPr>
          <w:bCs/>
        </w:rPr>
        <w:t xml:space="preserve"> </w:t>
      </w:r>
      <w:r w:rsidRPr="007A5172">
        <w:t>du RR.</w:t>
      </w:r>
    </w:p>
    <w:p w14:paraId="4D340AFA" w14:textId="162338F4" w:rsidR="00B352D7" w:rsidRPr="007A5172" w:rsidRDefault="00B352D7" w:rsidP="007A5172">
      <w:pPr>
        <w:rPr>
          <w:rFonts w:asciiTheme="majorBidi" w:hAnsiTheme="majorBidi"/>
        </w:rPr>
      </w:pPr>
      <w:bookmarkStart w:id="8" w:name="lt_pId027"/>
      <w:r w:rsidRPr="007A5172">
        <w:rPr>
          <w:rFonts w:asciiTheme="majorBidi" w:hAnsiTheme="majorBidi"/>
        </w:rPr>
        <w:lastRenderedPageBreak/>
        <w:t xml:space="preserve">S'agissant de la </w:t>
      </w:r>
      <w:r w:rsidRPr="007A5172">
        <w:rPr>
          <w:rFonts w:asciiTheme="majorBidi" w:hAnsiTheme="majorBidi"/>
          <w:i/>
        </w:rPr>
        <w:t>Question 2b</w:t>
      </w:r>
      <w:r w:rsidRPr="007A5172">
        <w:rPr>
          <w:rFonts w:asciiTheme="majorBidi" w:hAnsiTheme="majorBidi"/>
          <w:i/>
          <w:iCs/>
        </w:rPr>
        <w:t>)</w:t>
      </w:r>
      <w:r w:rsidRPr="007A5172">
        <w:rPr>
          <w:rFonts w:asciiTheme="majorBidi" w:hAnsiTheme="majorBidi"/>
        </w:rPr>
        <w:t xml:space="preserve"> </w:t>
      </w:r>
      <w:r w:rsidRPr="007A5172">
        <w:t xml:space="preserve">figurant dans l'Annexe de la </w:t>
      </w:r>
      <w:r w:rsidRPr="007A5172">
        <w:rPr>
          <w:rFonts w:asciiTheme="majorBidi" w:hAnsiTheme="majorBidi"/>
        </w:rPr>
        <w:t xml:space="preserve">Résolution </w:t>
      </w:r>
      <w:r w:rsidRPr="007A5172">
        <w:rPr>
          <w:rFonts w:asciiTheme="majorBidi" w:hAnsiTheme="majorBidi"/>
          <w:b/>
        </w:rPr>
        <w:t>958 (CMR-15)</w:t>
      </w:r>
      <w:r w:rsidRPr="007A5172">
        <w:rPr>
          <w:rFonts w:asciiTheme="majorBidi" w:hAnsiTheme="majorBidi"/>
        </w:rPr>
        <w:t>, une option a été identifiée:</w:t>
      </w:r>
      <w:bookmarkEnd w:id="8"/>
    </w:p>
    <w:p w14:paraId="6095F73A" w14:textId="2D914D56" w:rsidR="00B352D7" w:rsidRPr="007A5172" w:rsidRDefault="00B352D7" w:rsidP="007A5172">
      <w:pPr>
        <w:pStyle w:val="enumlev1"/>
      </w:pPr>
      <w:bookmarkStart w:id="9" w:name="lt_pId028"/>
      <w:r w:rsidRPr="007A5172">
        <w:t>–</w:t>
      </w:r>
      <w:r w:rsidRPr="007A5172">
        <w:tab/>
        <w:t xml:space="preserve">Fournir les lignes directrices nécessaires sur les </w:t>
      </w:r>
      <w:r w:rsidRPr="007A5172">
        <w:rPr>
          <w:color w:val="000000"/>
        </w:rPr>
        <w:t>installations de contrôle des émissions par satellite</w:t>
      </w:r>
      <w:r w:rsidRPr="007A5172">
        <w:t>, et revoir éventuellement les Rapports ou les Manuels de l'UIT</w:t>
      </w:r>
      <w:r w:rsidRPr="007A5172">
        <w:noBreakHyphen/>
        <w:t xml:space="preserve">R, et/ou étoffer ces rapports et manuels, afin d'aider les administrations à gérer l'exploitation non autorisée des stations terriennes déployées sur leur territoire, </w:t>
      </w:r>
      <w:r w:rsidR="00D42BC9" w:rsidRPr="007A5172">
        <w:rPr>
          <w:color w:val="000000"/>
        </w:rPr>
        <w:t>en vue</w:t>
      </w:r>
      <w:r w:rsidRPr="007A5172">
        <w:rPr>
          <w:color w:val="000000"/>
        </w:rPr>
        <w:t xml:space="preserve"> de leur fournir des orientations pour leur programme national de gestion du spectre</w:t>
      </w:r>
      <w:bookmarkEnd w:id="9"/>
      <w:r w:rsidRPr="007A5172">
        <w:t>.</w:t>
      </w:r>
    </w:p>
    <w:p w14:paraId="49F01195" w14:textId="425868EB" w:rsidR="00B352D7" w:rsidRPr="007A5172" w:rsidRDefault="00D42BC9" w:rsidP="007A5172">
      <w:pPr>
        <w:pStyle w:val="Headingb"/>
      </w:pPr>
      <w:r w:rsidRPr="007A5172">
        <w:t>Propositions</w:t>
      </w:r>
    </w:p>
    <w:p w14:paraId="19DF671C" w14:textId="55CE0AAC" w:rsidR="00B352D7" w:rsidRPr="007A5172" w:rsidRDefault="00D42BC9" w:rsidP="007A5172">
      <w:r w:rsidRPr="007A5172">
        <w:t>L'Administration du Qatar propose d'avoir recours à l'Option 1 au titre de la Question 2a afin de traiter ce point de l'ordre du jour</w:t>
      </w:r>
      <w:r w:rsidR="00B352D7" w:rsidRPr="007A5172">
        <w:t>.</w:t>
      </w:r>
    </w:p>
    <w:p w14:paraId="7537A370" w14:textId="77777777" w:rsidR="00B352D7" w:rsidRPr="007A5172" w:rsidRDefault="00B352D7" w:rsidP="007A5172">
      <w:pPr>
        <w:pStyle w:val="Headingb"/>
      </w:pPr>
      <w:bookmarkStart w:id="10" w:name="lt_pId209"/>
      <w:r w:rsidRPr="007A5172">
        <w:t>Question 2a figurant dans l'Annexe de la Résolution 958 (CMR-15)</w:t>
      </w:r>
      <w:bookmarkEnd w:id="10"/>
    </w:p>
    <w:p w14:paraId="7286037C" w14:textId="6839AE8C" w:rsidR="00B352D7" w:rsidRPr="007A5172" w:rsidRDefault="00B352D7" w:rsidP="007A5172">
      <w:pPr>
        <w:pStyle w:val="Headingb"/>
        <w:rPr>
          <w:lang w:eastAsia="zh-CN"/>
        </w:rPr>
      </w:pPr>
      <w:bookmarkStart w:id="11" w:name="lt_pId210"/>
      <w:r w:rsidRPr="007A5172">
        <w:t>Question 2a Op</w:t>
      </w:r>
      <w:bookmarkStart w:id="12" w:name="_GoBack"/>
      <w:bookmarkEnd w:id="12"/>
      <w:r w:rsidRPr="007A5172">
        <w:t>tion 1</w:t>
      </w:r>
      <w:r w:rsidRPr="007A5172">
        <w:rPr>
          <w:lang w:eastAsia="zh-CN"/>
        </w:rPr>
        <w:t xml:space="preserve">: </w:t>
      </w:r>
      <w:r w:rsidRPr="007A5172">
        <w:rPr>
          <w:color w:val="000000"/>
        </w:rPr>
        <w:t>Pas de modification du Règlement des radiocommunications</w:t>
      </w:r>
      <w:bookmarkEnd w:id="11"/>
    </w:p>
    <w:p w14:paraId="619859D9" w14:textId="77777777" w:rsidR="003A583E" w:rsidRPr="007A5172" w:rsidRDefault="003A583E" w:rsidP="007A5172"/>
    <w:p w14:paraId="2CBBBBB1" w14:textId="77777777" w:rsidR="0015203F" w:rsidRPr="007A5172" w:rsidRDefault="0015203F" w:rsidP="007A517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A5172">
        <w:br w:type="page"/>
      </w:r>
    </w:p>
    <w:p w14:paraId="391C3152" w14:textId="77777777" w:rsidR="002D79F9" w:rsidRPr="007A5172" w:rsidRDefault="00CA3E20" w:rsidP="007A5172">
      <w:pPr>
        <w:pStyle w:val="Proposal"/>
      </w:pPr>
      <w:r w:rsidRPr="007A5172">
        <w:rPr>
          <w:u w:val="single"/>
        </w:rPr>
        <w:lastRenderedPageBreak/>
        <w:t>NOC</w:t>
      </w:r>
      <w:r w:rsidRPr="007A5172">
        <w:tab/>
        <w:t>QAT/68A21A7/1</w:t>
      </w:r>
      <w:r w:rsidRPr="007A5172">
        <w:rPr>
          <w:vanish/>
          <w:color w:val="7F7F7F" w:themeColor="text1" w:themeTint="80"/>
          <w:vertAlign w:val="superscript"/>
        </w:rPr>
        <w:t>#50359</w:t>
      </w:r>
    </w:p>
    <w:p w14:paraId="099CDD3A" w14:textId="77777777" w:rsidR="00AC60E1" w:rsidRPr="007A5172" w:rsidRDefault="00CA3E20" w:rsidP="007A5172">
      <w:pPr>
        <w:pStyle w:val="Volumetitle"/>
        <w:rPr>
          <w:bCs/>
          <w:lang w:val="fr-FR"/>
        </w:rPr>
      </w:pPr>
      <w:r w:rsidRPr="007A5172">
        <w:rPr>
          <w:bCs/>
          <w:lang w:val="fr-FR"/>
        </w:rPr>
        <w:t>articles</w:t>
      </w:r>
    </w:p>
    <w:p w14:paraId="61DFA3A7" w14:textId="77777777" w:rsidR="002D79F9" w:rsidRPr="007A5172" w:rsidRDefault="002D79F9" w:rsidP="007A5172">
      <w:pPr>
        <w:pStyle w:val="Reasons"/>
      </w:pPr>
    </w:p>
    <w:p w14:paraId="5B96369A" w14:textId="77777777" w:rsidR="002D79F9" w:rsidRPr="007A5172" w:rsidRDefault="00CA3E20" w:rsidP="007A5172">
      <w:pPr>
        <w:pStyle w:val="Proposal"/>
      </w:pPr>
      <w:r w:rsidRPr="007A5172">
        <w:rPr>
          <w:u w:val="single"/>
        </w:rPr>
        <w:t>NOC</w:t>
      </w:r>
      <w:r w:rsidRPr="007A5172">
        <w:tab/>
        <w:t>QAT/68A21A7/2</w:t>
      </w:r>
      <w:r w:rsidRPr="007A5172">
        <w:rPr>
          <w:vanish/>
          <w:color w:val="7F7F7F" w:themeColor="text1" w:themeTint="80"/>
          <w:vertAlign w:val="superscript"/>
        </w:rPr>
        <w:t>#50360</w:t>
      </w:r>
    </w:p>
    <w:p w14:paraId="2CB9923B" w14:textId="77777777" w:rsidR="00AC60E1" w:rsidRPr="007A5172" w:rsidRDefault="00CA3E20" w:rsidP="007A5172">
      <w:pPr>
        <w:pStyle w:val="Volumetitle"/>
        <w:rPr>
          <w:bCs/>
          <w:lang w:val="fr-FR"/>
        </w:rPr>
      </w:pPr>
      <w:r w:rsidRPr="007A5172">
        <w:rPr>
          <w:bCs/>
          <w:lang w:val="fr-FR"/>
        </w:rPr>
        <w:t>appendices</w:t>
      </w:r>
    </w:p>
    <w:p w14:paraId="662BA491" w14:textId="77777777" w:rsidR="002D79F9" w:rsidRPr="007A5172" w:rsidRDefault="002D79F9" w:rsidP="007A5172">
      <w:pPr>
        <w:pStyle w:val="Reasons"/>
      </w:pPr>
    </w:p>
    <w:p w14:paraId="3355454A" w14:textId="77777777" w:rsidR="002D79F9" w:rsidRPr="007A5172" w:rsidRDefault="00CA3E20" w:rsidP="007A5172">
      <w:pPr>
        <w:pStyle w:val="Proposal"/>
      </w:pPr>
      <w:r w:rsidRPr="007A5172">
        <w:rPr>
          <w:u w:val="single"/>
        </w:rPr>
        <w:t>NOC</w:t>
      </w:r>
      <w:r w:rsidRPr="007A5172">
        <w:tab/>
        <w:t>QAT/68A21A7/3</w:t>
      </w:r>
      <w:r w:rsidRPr="007A5172">
        <w:rPr>
          <w:vanish/>
          <w:color w:val="7F7F7F" w:themeColor="text1" w:themeTint="80"/>
          <w:vertAlign w:val="superscript"/>
        </w:rPr>
        <w:t>#50361</w:t>
      </w:r>
    </w:p>
    <w:p w14:paraId="694FEFF6" w14:textId="77777777" w:rsidR="00AC60E1" w:rsidRPr="007A5172" w:rsidRDefault="00CA3E20" w:rsidP="007A5172">
      <w:pPr>
        <w:pStyle w:val="Volumetitle"/>
        <w:rPr>
          <w:bCs/>
          <w:lang w:val="fr-FR"/>
        </w:rPr>
      </w:pPr>
      <w:bookmarkStart w:id="13" w:name="lt_pId212"/>
      <w:r w:rsidRPr="00EF5355">
        <w:rPr>
          <w:bCs/>
          <w:lang w:val="fr-FR"/>
        </w:rPr>
        <w:t>RÉSOLUTIONS</w:t>
      </w:r>
      <w:bookmarkEnd w:id="13"/>
    </w:p>
    <w:p w14:paraId="3AB5A688" w14:textId="6E0C9630" w:rsidR="002D79F9" w:rsidRPr="007A5172" w:rsidRDefault="002D79F9" w:rsidP="007A5172">
      <w:pPr>
        <w:pStyle w:val="Reasons"/>
      </w:pPr>
    </w:p>
    <w:p w14:paraId="05A1F75A" w14:textId="77777777" w:rsidR="00306550" w:rsidRPr="007A5172" w:rsidRDefault="00306550" w:rsidP="007A5172">
      <w:pPr>
        <w:jc w:val="center"/>
      </w:pPr>
      <w:r w:rsidRPr="007A5172">
        <w:t>______________</w:t>
      </w:r>
    </w:p>
    <w:sectPr w:rsidR="00306550" w:rsidRPr="007A5172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8D418" w14:textId="77777777" w:rsidR="0070076C" w:rsidRDefault="0070076C">
      <w:r>
        <w:separator/>
      </w:r>
    </w:p>
  </w:endnote>
  <w:endnote w:type="continuationSeparator" w:id="0">
    <w:p w14:paraId="0B31BA14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DAA3B" w14:textId="14981E5A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F5355">
      <w:rPr>
        <w:noProof/>
        <w:lang w:val="en-US"/>
      </w:rPr>
      <w:t>P:\FRA\ITU-R\CONF-R\CMR19\000\068ADD21ADD07F.docx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F5355">
      <w:rPr>
        <w:noProof/>
      </w:rPr>
      <w:t>24.10.19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F5355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C80D6" w14:textId="312FD476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F5355">
      <w:rPr>
        <w:lang w:val="en-US"/>
      </w:rPr>
      <w:t>P:\FRA\ITU-R\CONF-R\CMR19\000\068ADD21ADD07F.docx</w:t>
    </w:r>
    <w:r>
      <w:fldChar w:fldCharType="end"/>
    </w:r>
    <w:r w:rsidR="00CA3E20" w:rsidRPr="00D42BC9">
      <w:rPr>
        <w:lang w:val="en-US"/>
      </w:rPr>
      <w:t xml:space="preserve"> (462102)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D0B02" w14:textId="15560663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F5355">
      <w:rPr>
        <w:lang w:val="en-US"/>
      </w:rPr>
      <w:t>P:\FRA\ITU-R\CONF-R\CMR19\000\068ADD21ADD07F.docx</w:t>
    </w:r>
    <w:r>
      <w:fldChar w:fldCharType="end"/>
    </w:r>
    <w:r w:rsidR="00B352D7" w:rsidRPr="00D42BC9">
      <w:rPr>
        <w:lang w:val="en-US"/>
      </w:rPr>
      <w:t xml:space="preserve"> (462102)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FC349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54F65E72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857CA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0BCC8D45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68(Add.21)(Add.7)-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73FE4"/>
    <w:rsid w:val="0018169B"/>
    <w:rsid w:val="0019352B"/>
    <w:rsid w:val="001960D0"/>
    <w:rsid w:val="001A11F6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9F9"/>
    <w:rsid w:val="002D7E0A"/>
    <w:rsid w:val="00306550"/>
    <w:rsid w:val="00315AFE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B10CE"/>
    <w:rsid w:val="005C3768"/>
    <w:rsid w:val="005C6C3F"/>
    <w:rsid w:val="00604155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57677"/>
    <w:rsid w:val="00764342"/>
    <w:rsid w:val="00774362"/>
    <w:rsid w:val="00786598"/>
    <w:rsid w:val="00790C74"/>
    <w:rsid w:val="007A04E8"/>
    <w:rsid w:val="007A5172"/>
    <w:rsid w:val="007B2C34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52D7"/>
    <w:rsid w:val="00B3749C"/>
    <w:rsid w:val="00B64FD0"/>
    <w:rsid w:val="00BA5BD0"/>
    <w:rsid w:val="00BB1D82"/>
    <w:rsid w:val="00BC123D"/>
    <w:rsid w:val="00BD51C5"/>
    <w:rsid w:val="00BF26E7"/>
    <w:rsid w:val="00C53FCA"/>
    <w:rsid w:val="00C76BAF"/>
    <w:rsid w:val="00C814B9"/>
    <w:rsid w:val="00CA3E20"/>
    <w:rsid w:val="00CD516F"/>
    <w:rsid w:val="00D119A7"/>
    <w:rsid w:val="00D25FBA"/>
    <w:rsid w:val="00D32B28"/>
    <w:rsid w:val="00D42954"/>
    <w:rsid w:val="00D42BC9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5355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47DE0ED8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enumlev1Char">
    <w:name w:val="enumlev1 Char"/>
    <w:basedOn w:val="DefaultParagraphFont"/>
    <w:link w:val="enumlev1"/>
    <w:qFormat/>
    <w:locked/>
    <w:rsid w:val="00B352D7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R16-WRC19-C-0068!A21-A7!MSW-F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F29D53-29DC-4BEB-99E0-1173F673F1F2}">
  <ds:schemaRefs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32a1a8c5-2265-4ebc-b7a0-2071e2c5c9bb"/>
    <ds:schemaRef ds:uri="http://schemas.microsoft.com/office/2006/documentManagement/types"/>
    <ds:schemaRef ds:uri="http://purl.org/dc/terms/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9F73F9-A7EA-46D7-84DD-A22CA0862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64F746-4046-41F5-A026-C2CDFF0A3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465</Words>
  <Characters>2781</Characters>
  <Application>Microsoft Office Word</Application>
  <DocSecurity>0</DocSecurity>
  <Lines>71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R16-WRC19-C-0068!A21-A7!MSW-F</vt:lpstr>
    </vt:vector>
  </TitlesOfParts>
  <Manager>Secrétariat général - Pool</Manager>
  <Company>Union internationale des télécommunications (UIT)</Company>
  <LinksUpToDate>false</LinksUpToDate>
  <CharactersWithSpaces>3212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R16-WRC19-C-0068!A21-A7!MSW-F</dc:title>
  <dc:subject>Conférence mondiale des radiocommunications - 2019</dc:subject>
  <dc:creator>Documents Proposals Manager (DPM)</dc:creator>
  <cp:keywords>DPM_v2019.10.15.2_prod</cp:keywords>
  <dc:description/>
  <cp:lastModifiedBy>French</cp:lastModifiedBy>
  <cp:revision>4</cp:revision>
  <cp:lastPrinted>2019-10-24T13:43:00Z</cp:lastPrinted>
  <dcterms:created xsi:type="dcterms:W3CDTF">2019-10-24T08:52:00Z</dcterms:created>
  <dcterms:modified xsi:type="dcterms:W3CDTF">2019-10-24T13:49:00Z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