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E627D" w14:paraId="7FD613EF" w14:textId="77777777" w:rsidTr="0050008E">
        <w:trPr>
          <w:cantSplit/>
        </w:trPr>
        <w:tc>
          <w:tcPr>
            <w:tcW w:w="6911" w:type="dxa"/>
          </w:tcPr>
          <w:p w14:paraId="0FB0D2CE" w14:textId="77777777" w:rsidR="0090121B" w:rsidRPr="00BE627D" w:rsidRDefault="005D46FB" w:rsidP="00C44E9E">
            <w:pPr>
              <w:spacing w:before="400" w:after="48" w:line="240" w:lineRule="atLeast"/>
              <w:rPr>
                <w:rFonts w:ascii="Verdana" w:hAnsi="Verdana"/>
                <w:position w:val="6"/>
                <w:lang w:val="es-ES"/>
              </w:rPr>
            </w:pPr>
            <w:r w:rsidRPr="00BE627D">
              <w:rPr>
                <w:rFonts w:ascii="Verdana" w:hAnsi="Verdana" w:cs="Times"/>
                <w:b/>
                <w:position w:val="6"/>
                <w:sz w:val="20"/>
                <w:lang w:val="es-ES"/>
              </w:rPr>
              <w:t>Conferencia Mundial de Radiocomunicaciones (CMR-1</w:t>
            </w:r>
            <w:r w:rsidR="00C44E9E" w:rsidRPr="00BE627D">
              <w:rPr>
                <w:rFonts w:ascii="Verdana" w:hAnsi="Verdana" w:cs="Times"/>
                <w:b/>
                <w:position w:val="6"/>
                <w:sz w:val="20"/>
                <w:lang w:val="es-ES"/>
              </w:rPr>
              <w:t>9</w:t>
            </w:r>
            <w:r w:rsidRPr="00BE627D">
              <w:rPr>
                <w:rFonts w:ascii="Verdana" w:hAnsi="Verdana" w:cs="Times"/>
                <w:b/>
                <w:position w:val="6"/>
                <w:sz w:val="20"/>
                <w:lang w:val="es-ES"/>
              </w:rPr>
              <w:t>)</w:t>
            </w:r>
            <w:r w:rsidRPr="00BE627D">
              <w:rPr>
                <w:rFonts w:ascii="Verdana" w:hAnsi="Verdana" w:cs="Times"/>
                <w:b/>
                <w:position w:val="6"/>
                <w:sz w:val="20"/>
                <w:lang w:val="es-ES"/>
              </w:rPr>
              <w:br/>
            </w:r>
            <w:r w:rsidR="006124AD" w:rsidRPr="00BE627D">
              <w:rPr>
                <w:rFonts w:ascii="Verdana" w:hAnsi="Verdana"/>
                <w:b/>
                <w:bCs/>
                <w:position w:val="6"/>
                <w:sz w:val="17"/>
                <w:szCs w:val="17"/>
                <w:lang w:val="es-ES"/>
              </w:rPr>
              <w:t>Sharm el-Sheikh (Egipto)</w:t>
            </w:r>
            <w:r w:rsidRPr="00BE627D">
              <w:rPr>
                <w:rFonts w:ascii="Verdana" w:hAnsi="Verdana"/>
                <w:b/>
                <w:bCs/>
                <w:position w:val="6"/>
                <w:sz w:val="17"/>
                <w:szCs w:val="17"/>
                <w:lang w:val="es-ES"/>
              </w:rPr>
              <w:t>, 2</w:t>
            </w:r>
            <w:r w:rsidR="00C44E9E" w:rsidRPr="00BE627D">
              <w:rPr>
                <w:rFonts w:ascii="Verdana" w:hAnsi="Verdana"/>
                <w:b/>
                <w:bCs/>
                <w:position w:val="6"/>
                <w:sz w:val="17"/>
                <w:szCs w:val="17"/>
                <w:lang w:val="es-ES"/>
              </w:rPr>
              <w:t xml:space="preserve">8 de octubre </w:t>
            </w:r>
            <w:r w:rsidR="00DE1C31" w:rsidRPr="00BE627D">
              <w:rPr>
                <w:rFonts w:ascii="Verdana" w:hAnsi="Verdana"/>
                <w:b/>
                <w:bCs/>
                <w:position w:val="6"/>
                <w:sz w:val="17"/>
                <w:szCs w:val="17"/>
                <w:lang w:val="es-ES"/>
              </w:rPr>
              <w:t>–</w:t>
            </w:r>
            <w:r w:rsidR="00C44E9E" w:rsidRPr="00BE627D">
              <w:rPr>
                <w:rFonts w:ascii="Verdana" w:hAnsi="Verdana"/>
                <w:b/>
                <w:bCs/>
                <w:position w:val="6"/>
                <w:sz w:val="17"/>
                <w:szCs w:val="17"/>
                <w:lang w:val="es-ES"/>
              </w:rPr>
              <w:t xml:space="preserve"> </w:t>
            </w:r>
            <w:r w:rsidRPr="00BE627D">
              <w:rPr>
                <w:rFonts w:ascii="Verdana" w:hAnsi="Verdana"/>
                <w:b/>
                <w:bCs/>
                <w:position w:val="6"/>
                <w:sz w:val="17"/>
                <w:szCs w:val="17"/>
                <w:lang w:val="es-ES"/>
              </w:rPr>
              <w:t>2</w:t>
            </w:r>
            <w:r w:rsidR="00C44E9E" w:rsidRPr="00BE627D">
              <w:rPr>
                <w:rFonts w:ascii="Verdana" w:hAnsi="Verdana"/>
                <w:b/>
                <w:bCs/>
                <w:position w:val="6"/>
                <w:sz w:val="17"/>
                <w:szCs w:val="17"/>
                <w:lang w:val="es-ES"/>
              </w:rPr>
              <w:t>2</w:t>
            </w:r>
            <w:r w:rsidRPr="00BE627D">
              <w:rPr>
                <w:rFonts w:ascii="Verdana" w:hAnsi="Verdana"/>
                <w:b/>
                <w:bCs/>
                <w:position w:val="6"/>
                <w:sz w:val="17"/>
                <w:szCs w:val="17"/>
                <w:lang w:val="es-ES"/>
              </w:rPr>
              <w:t xml:space="preserve"> de noviembre de 201</w:t>
            </w:r>
            <w:r w:rsidR="00C44E9E" w:rsidRPr="00BE627D">
              <w:rPr>
                <w:rFonts w:ascii="Verdana" w:hAnsi="Verdana"/>
                <w:b/>
                <w:bCs/>
                <w:position w:val="6"/>
                <w:sz w:val="17"/>
                <w:szCs w:val="17"/>
                <w:lang w:val="es-ES"/>
              </w:rPr>
              <w:t>9</w:t>
            </w:r>
          </w:p>
        </w:tc>
        <w:tc>
          <w:tcPr>
            <w:tcW w:w="3120" w:type="dxa"/>
          </w:tcPr>
          <w:p w14:paraId="0D93F2CB" w14:textId="77777777" w:rsidR="0090121B" w:rsidRPr="00BE627D" w:rsidRDefault="00DA71A3" w:rsidP="00CE7431">
            <w:pPr>
              <w:spacing w:before="0" w:line="240" w:lineRule="atLeast"/>
              <w:jc w:val="right"/>
              <w:rPr>
                <w:lang w:val="es-ES"/>
              </w:rPr>
            </w:pPr>
            <w:r w:rsidRPr="00BE627D">
              <w:rPr>
                <w:rFonts w:ascii="Verdana" w:hAnsi="Verdana"/>
                <w:b/>
                <w:bCs/>
                <w:noProof/>
                <w:szCs w:val="24"/>
                <w:lang w:val="es-ES" w:eastAsia="zh-CN"/>
              </w:rPr>
              <w:drawing>
                <wp:inline distT="0" distB="0" distL="0" distR="0" wp14:anchorId="3E61F0B7" wp14:editId="4E5C79E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E627D" w14:paraId="2A2E9E95" w14:textId="77777777" w:rsidTr="0050008E">
        <w:trPr>
          <w:cantSplit/>
        </w:trPr>
        <w:tc>
          <w:tcPr>
            <w:tcW w:w="6911" w:type="dxa"/>
            <w:tcBorders>
              <w:bottom w:val="single" w:sz="12" w:space="0" w:color="auto"/>
            </w:tcBorders>
          </w:tcPr>
          <w:p w14:paraId="52C7AEE2" w14:textId="77777777" w:rsidR="0090121B" w:rsidRPr="00BE627D" w:rsidRDefault="0090121B" w:rsidP="0090121B">
            <w:pPr>
              <w:spacing w:before="0" w:after="48" w:line="240" w:lineRule="atLeast"/>
              <w:rPr>
                <w:b/>
                <w:smallCaps/>
                <w:szCs w:val="24"/>
                <w:lang w:val="es-ES"/>
              </w:rPr>
            </w:pPr>
            <w:bookmarkStart w:id="0" w:name="dhead"/>
          </w:p>
        </w:tc>
        <w:tc>
          <w:tcPr>
            <w:tcW w:w="3120" w:type="dxa"/>
            <w:tcBorders>
              <w:bottom w:val="single" w:sz="12" w:space="0" w:color="auto"/>
            </w:tcBorders>
          </w:tcPr>
          <w:p w14:paraId="518D0611" w14:textId="77777777" w:rsidR="0090121B" w:rsidRPr="00BE627D" w:rsidRDefault="0090121B" w:rsidP="0090121B">
            <w:pPr>
              <w:spacing w:before="0" w:line="240" w:lineRule="atLeast"/>
              <w:rPr>
                <w:rFonts w:ascii="Verdana" w:hAnsi="Verdana"/>
                <w:szCs w:val="24"/>
                <w:lang w:val="es-ES"/>
              </w:rPr>
            </w:pPr>
          </w:p>
        </w:tc>
      </w:tr>
      <w:tr w:rsidR="0090121B" w:rsidRPr="00BE627D" w14:paraId="0D0D6C46" w14:textId="77777777" w:rsidTr="0090121B">
        <w:trPr>
          <w:cantSplit/>
        </w:trPr>
        <w:tc>
          <w:tcPr>
            <w:tcW w:w="6911" w:type="dxa"/>
            <w:tcBorders>
              <w:top w:val="single" w:sz="12" w:space="0" w:color="auto"/>
            </w:tcBorders>
          </w:tcPr>
          <w:p w14:paraId="59867CE4" w14:textId="77777777" w:rsidR="0090121B" w:rsidRPr="00BE627D"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14:paraId="17720A9A" w14:textId="77777777" w:rsidR="0090121B" w:rsidRPr="00BE627D" w:rsidRDefault="0090121B" w:rsidP="0090121B">
            <w:pPr>
              <w:spacing w:before="0" w:line="240" w:lineRule="atLeast"/>
              <w:rPr>
                <w:rFonts w:ascii="Verdana" w:hAnsi="Verdana"/>
                <w:sz w:val="20"/>
                <w:lang w:val="es-ES"/>
              </w:rPr>
            </w:pPr>
          </w:p>
        </w:tc>
      </w:tr>
      <w:tr w:rsidR="0090121B" w:rsidRPr="00BE627D" w14:paraId="0324926B" w14:textId="77777777" w:rsidTr="0090121B">
        <w:trPr>
          <w:cantSplit/>
        </w:trPr>
        <w:tc>
          <w:tcPr>
            <w:tcW w:w="6911" w:type="dxa"/>
          </w:tcPr>
          <w:p w14:paraId="56FF60FE" w14:textId="77777777" w:rsidR="0090121B" w:rsidRPr="00BE627D" w:rsidRDefault="001E7D42" w:rsidP="00EA77F0">
            <w:pPr>
              <w:pStyle w:val="Committee"/>
              <w:framePr w:hSpace="0" w:wrap="auto" w:hAnchor="text" w:yAlign="inline"/>
              <w:rPr>
                <w:sz w:val="18"/>
                <w:szCs w:val="18"/>
                <w:lang w:val="es-ES"/>
              </w:rPr>
            </w:pPr>
            <w:r w:rsidRPr="00BE627D">
              <w:rPr>
                <w:sz w:val="18"/>
                <w:szCs w:val="18"/>
                <w:lang w:val="es-ES"/>
              </w:rPr>
              <w:t>SESIÓN PLENARIA</w:t>
            </w:r>
          </w:p>
        </w:tc>
        <w:tc>
          <w:tcPr>
            <w:tcW w:w="3120" w:type="dxa"/>
          </w:tcPr>
          <w:p w14:paraId="1E38C685" w14:textId="77777777" w:rsidR="0090121B" w:rsidRPr="00BE627D" w:rsidRDefault="00AE658F" w:rsidP="0045384C">
            <w:pPr>
              <w:spacing w:before="0"/>
              <w:rPr>
                <w:rFonts w:ascii="Verdana" w:hAnsi="Verdana"/>
                <w:sz w:val="18"/>
                <w:szCs w:val="18"/>
                <w:lang w:val="es-ES"/>
              </w:rPr>
            </w:pPr>
            <w:r w:rsidRPr="00BE627D">
              <w:rPr>
                <w:rFonts w:ascii="Verdana" w:hAnsi="Verdana"/>
                <w:b/>
                <w:sz w:val="18"/>
                <w:szCs w:val="18"/>
                <w:lang w:val="es-ES"/>
              </w:rPr>
              <w:t>Addéndum 7 al</w:t>
            </w:r>
            <w:r w:rsidRPr="00BE627D">
              <w:rPr>
                <w:rFonts w:ascii="Verdana" w:hAnsi="Verdana"/>
                <w:b/>
                <w:sz w:val="18"/>
                <w:szCs w:val="18"/>
                <w:lang w:val="es-ES"/>
              </w:rPr>
              <w:br/>
              <w:t>Documento 68(Add.21)</w:t>
            </w:r>
            <w:r w:rsidR="0090121B" w:rsidRPr="00BE627D">
              <w:rPr>
                <w:rFonts w:ascii="Verdana" w:hAnsi="Verdana"/>
                <w:b/>
                <w:sz w:val="18"/>
                <w:szCs w:val="18"/>
                <w:lang w:val="es-ES"/>
              </w:rPr>
              <w:t>-</w:t>
            </w:r>
            <w:r w:rsidRPr="00BE627D">
              <w:rPr>
                <w:rFonts w:ascii="Verdana" w:hAnsi="Verdana"/>
                <w:b/>
                <w:sz w:val="18"/>
                <w:szCs w:val="18"/>
                <w:lang w:val="es-ES"/>
              </w:rPr>
              <w:t>S</w:t>
            </w:r>
          </w:p>
        </w:tc>
      </w:tr>
      <w:bookmarkEnd w:id="0"/>
      <w:tr w:rsidR="000A5B9A" w:rsidRPr="00BE627D" w14:paraId="71FAB0A9" w14:textId="77777777" w:rsidTr="0090121B">
        <w:trPr>
          <w:cantSplit/>
        </w:trPr>
        <w:tc>
          <w:tcPr>
            <w:tcW w:w="6911" w:type="dxa"/>
          </w:tcPr>
          <w:p w14:paraId="2D11CBE5" w14:textId="77777777" w:rsidR="000A5B9A" w:rsidRPr="00BE627D" w:rsidRDefault="000A5B9A" w:rsidP="0045384C">
            <w:pPr>
              <w:spacing w:before="0" w:after="48"/>
              <w:rPr>
                <w:rFonts w:ascii="Verdana" w:hAnsi="Verdana"/>
                <w:b/>
                <w:smallCaps/>
                <w:sz w:val="18"/>
                <w:szCs w:val="18"/>
                <w:lang w:val="es-ES"/>
              </w:rPr>
            </w:pPr>
          </w:p>
        </w:tc>
        <w:tc>
          <w:tcPr>
            <w:tcW w:w="3120" w:type="dxa"/>
          </w:tcPr>
          <w:p w14:paraId="1EC7CC70" w14:textId="77777777" w:rsidR="000A5B9A" w:rsidRPr="00BE627D" w:rsidRDefault="000A5B9A" w:rsidP="0045384C">
            <w:pPr>
              <w:spacing w:before="0"/>
              <w:rPr>
                <w:rFonts w:ascii="Verdana" w:hAnsi="Verdana"/>
                <w:b/>
                <w:sz w:val="18"/>
                <w:szCs w:val="18"/>
                <w:lang w:val="es-ES"/>
              </w:rPr>
            </w:pPr>
            <w:r w:rsidRPr="00BE627D">
              <w:rPr>
                <w:rFonts w:ascii="Verdana" w:hAnsi="Verdana"/>
                <w:b/>
                <w:sz w:val="18"/>
                <w:szCs w:val="18"/>
                <w:lang w:val="es-ES"/>
              </w:rPr>
              <w:t>6 de octubre de 2019</w:t>
            </w:r>
          </w:p>
        </w:tc>
      </w:tr>
      <w:tr w:rsidR="000A5B9A" w:rsidRPr="00BE627D" w14:paraId="700E5698" w14:textId="77777777" w:rsidTr="0090121B">
        <w:trPr>
          <w:cantSplit/>
        </w:trPr>
        <w:tc>
          <w:tcPr>
            <w:tcW w:w="6911" w:type="dxa"/>
          </w:tcPr>
          <w:p w14:paraId="39584AA4" w14:textId="77777777" w:rsidR="000A5B9A" w:rsidRPr="00BE627D" w:rsidRDefault="000A5B9A" w:rsidP="0045384C">
            <w:pPr>
              <w:spacing w:before="0" w:after="48"/>
              <w:rPr>
                <w:rFonts w:ascii="Verdana" w:hAnsi="Verdana"/>
                <w:b/>
                <w:smallCaps/>
                <w:sz w:val="18"/>
                <w:szCs w:val="18"/>
                <w:lang w:val="es-ES"/>
              </w:rPr>
            </w:pPr>
          </w:p>
        </w:tc>
        <w:tc>
          <w:tcPr>
            <w:tcW w:w="3120" w:type="dxa"/>
          </w:tcPr>
          <w:p w14:paraId="0B344A2D" w14:textId="77777777" w:rsidR="000A5B9A" w:rsidRPr="00BE627D" w:rsidRDefault="000A5B9A" w:rsidP="0045384C">
            <w:pPr>
              <w:spacing w:before="0"/>
              <w:rPr>
                <w:rFonts w:ascii="Verdana" w:hAnsi="Verdana"/>
                <w:b/>
                <w:sz w:val="18"/>
                <w:szCs w:val="18"/>
                <w:lang w:val="es-ES"/>
              </w:rPr>
            </w:pPr>
            <w:r w:rsidRPr="00BE627D">
              <w:rPr>
                <w:rFonts w:ascii="Verdana" w:hAnsi="Verdana"/>
                <w:b/>
                <w:sz w:val="18"/>
                <w:szCs w:val="18"/>
                <w:lang w:val="es-ES"/>
              </w:rPr>
              <w:t>Original: árabe</w:t>
            </w:r>
          </w:p>
        </w:tc>
      </w:tr>
      <w:tr w:rsidR="000A5B9A" w:rsidRPr="00BE627D" w14:paraId="7E917291" w14:textId="77777777" w:rsidTr="006744FC">
        <w:trPr>
          <w:cantSplit/>
        </w:trPr>
        <w:tc>
          <w:tcPr>
            <w:tcW w:w="10031" w:type="dxa"/>
            <w:gridSpan w:val="2"/>
          </w:tcPr>
          <w:p w14:paraId="711CF289" w14:textId="77777777" w:rsidR="000A5B9A" w:rsidRPr="00BE627D" w:rsidRDefault="000A5B9A" w:rsidP="0045384C">
            <w:pPr>
              <w:spacing w:before="0"/>
              <w:rPr>
                <w:rFonts w:ascii="Verdana" w:hAnsi="Verdana"/>
                <w:b/>
                <w:sz w:val="18"/>
                <w:szCs w:val="22"/>
                <w:lang w:val="es-ES"/>
              </w:rPr>
            </w:pPr>
          </w:p>
        </w:tc>
      </w:tr>
      <w:tr w:rsidR="000A5B9A" w:rsidRPr="00BE627D" w14:paraId="6F290D72" w14:textId="77777777" w:rsidTr="0050008E">
        <w:trPr>
          <w:cantSplit/>
        </w:trPr>
        <w:tc>
          <w:tcPr>
            <w:tcW w:w="10031" w:type="dxa"/>
            <w:gridSpan w:val="2"/>
          </w:tcPr>
          <w:p w14:paraId="2CE52E2C" w14:textId="77777777" w:rsidR="000A5B9A" w:rsidRPr="00BE627D" w:rsidRDefault="000A5B9A" w:rsidP="000A5B9A">
            <w:pPr>
              <w:pStyle w:val="Source"/>
              <w:rPr>
                <w:lang w:val="es-ES"/>
              </w:rPr>
            </w:pPr>
            <w:bookmarkStart w:id="1" w:name="dsource" w:colFirst="0" w:colLast="0"/>
            <w:r w:rsidRPr="00BE627D">
              <w:rPr>
                <w:lang w:val="es-ES"/>
              </w:rPr>
              <w:t>Qatar (Estado de)</w:t>
            </w:r>
          </w:p>
        </w:tc>
      </w:tr>
      <w:tr w:rsidR="000A5B9A" w:rsidRPr="00BE627D" w14:paraId="3426FF2E" w14:textId="77777777" w:rsidTr="0050008E">
        <w:trPr>
          <w:cantSplit/>
        </w:trPr>
        <w:tc>
          <w:tcPr>
            <w:tcW w:w="10031" w:type="dxa"/>
            <w:gridSpan w:val="2"/>
          </w:tcPr>
          <w:p w14:paraId="14F5C8DA" w14:textId="77777777" w:rsidR="000A5B9A" w:rsidRPr="00BE627D" w:rsidRDefault="000A5B9A" w:rsidP="000A5B9A">
            <w:pPr>
              <w:pStyle w:val="Title1"/>
              <w:rPr>
                <w:lang w:val="es-ES"/>
              </w:rPr>
            </w:pPr>
            <w:bookmarkStart w:id="2" w:name="dtitle1" w:colFirst="0" w:colLast="0"/>
            <w:bookmarkEnd w:id="1"/>
            <w:r w:rsidRPr="00BE627D">
              <w:rPr>
                <w:lang w:val="es-ES"/>
              </w:rPr>
              <w:t>Propuestas para los trabajos de la Conferencia</w:t>
            </w:r>
          </w:p>
        </w:tc>
      </w:tr>
      <w:tr w:rsidR="000A5B9A" w:rsidRPr="00BE627D" w14:paraId="5B3868DA" w14:textId="77777777" w:rsidTr="0050008E">
        <w:trPr>
          <w:cantSplit/>
        </w:trPr>
        <w:tc>
          <w:tcPr>
            <w:tcW w:w="10031" w:type="dxa"/>
            <w:gridSpan w:val="2"/>
          </w:tcPr>
          <w:p w14:paraId="57185316" w14:textId="77777777" w:rsidR="000A5B9A" w:rsidRPr="00BE627D" w:rsidRDefault="000A5B9A" w:rsidP="000A5B9A">
            <w:pPr>
              <w:pStyle w:val="Title2"/>
              <w:rPr>
                <w:lang w:val="es-ES"/>
              </w:rPr>
            </w:pPr>
            <w:bookmarkStart w:id="3" w:name="dtitle2" w:colFirst="0" w:colLast="0"/>
            <w:bookmarkEnd w:id="2"/>
          </w:p>
        </w:tc>
      </w:tr>
      <w:tr w:rsidR="000A5B9A" w:rsidRPr="00BE627D" w14:paraId="1C8BD439" w14:textId="77777777" w:rsidTr="0050008E">
        <w:trPr>
          <w:cantSplit/>
        </w:trPr>
        <w:tc>
          <w:tcPr>
            <w:tcW w:w="10031" w:type="dxa"/>
            <w:gridSpan w:val="2"/>
          </w:tcPr>
          <w:p w14:paraId="1E1B68AF" w14:textId="77777777" w:rsidR="000A5B9A" w:rsidRPr="00BE627D" w:rsidRDefault="000A5B9A" w:rsidP="000A5B9A">
            <w:pPr>
              <w:pStyle w:val="Agendaitem"/>
              <w:rPr>
                <w:lang w:val="es-ES"/>
              </w:rPr>
            </w:pPr>
            <w:bookmarkStart w:id="4" w:name="dtitle3" w:colFirst="0" w:colLast="0"/>
            <w:bookmarkEnd w:id="3"/>
            <w:r w:rsidRPr="00BE627D">
              <w:rPr>
                <w:lang w:val="es-ES"/>
              </w:rPr>
              <w:t>Punto 9.1(9.1.7) del orden del día</w:t>
            </w:r>
          </w:p>
        </w:tc>
      </w:tr>
    </w:tbl>
    <w:bookmarkEnd w:id="4"/>
    <w:p w14:paraId="3B594F98" w14:textId="77777777" w:rsidR="001C0E40" w:rsidRPr="00BE627D" w:rsidRDefault="007862F4" w:rsidP="003A37B0">
      <w:pPr>
        <w:rPr>
          <w:lang w:val="es-ES"/>
        </w:rPr>
      </w:pPr>
      <w:r w:rsidRPr="00BE627D">
        <w:rPr>
          <w:lang w:val="es-ES"/>
        </w:rPr>
        <w:t>9</w:t>
      </w:r>
      <w:r w:rsidRPr="00BE627D">
        <w:rPr>
          <w:lang w:val="es-ES"/>
        </w:rPr>
        <w:tab/>
        <w:t>examinar y aprobar el Informe del Director de la Oficina de Radiocomunicaciones, de conformidad con el Artículo 7 del Convenio:</w:t>
      </w:r>
    </w:p>
    <w:p w14:paraId="6C4F5F98" w14:textId="77777777" w:rsidR="001C0E40" w:rsidRPr="00BE627D" w:rsidRDefault="007862F4" w:rsidP="003A37B0">
      <w:pPr>
        <w:rPr>
          <w:lang w:val="es-ES"/>
        </w:rPr>
      </w:pPr>
      <w:r w:rsidRPr="00BE627D">
        <w:rPr>
          <w:lang w:val="es-ES"/>
        </w:rPr>
        <w:t>9.1</w:t>
      </w:r>
      <w:r w:rsidRPr="00BE627D">
        <w:rPr>
          <w:lang w:val="es-ES"/>
        </w:rPr>
        <w:tab/>
        <w:t>sobre las actividades del Sector de Radiocomunicaciones desde la CMR</w:t>
      </w:r>
      <w:r w:rsidRPr="00BE627D">
        <w:rPr>
          <w:lang w:val="es-ES"/>
        </w:rPr>
        <w:noBreakHyphen/>
        <w:t>15;</w:t>
      </w:r>
    </w:p>
    <w:p w14:paraId="3C134135" w14:textId="350C9DF9" w:rsidR="001C0E40" w:rsidRPr="00BE627D" w:rsidRDefault="007862F4" w:rsidP="00736D1B">
      <w:pPr>
        <w:rPr>
          <w:lang w:val="es-ES"/>
        </w:rPr>
      </w:pPr>
      <w:r w:rsidRPr="00BE627D">
        <w:rPr>
          <w:rFonts w:cstheme="majorBidi"/>
          <w:color w:val="000000"/>
          <w:szCs w:val="24"/>
          <w:lang w:val="es-ES" w:eastAsia="zh-CN"/>
        </w:rPr>
        <w:t>9.1 (</w:t>
      </w:r>
      <w:r w:rsidRPr="00BE627D">
        <w:rPr>
          <w:lang w:val="es-ES" w:eastAsia="zh-CN"/>
        </w:rPr>
        <w:t>9.1.7)</w:t>
      </w:r>
      <w:r w:rsidRPr="00BE627D">
        <w:rPr>
          <w:lang w:val="es-ES"/>
        </w:rPr>
        <w:tab/>
      </w:r>
      <w:hyperlink w:anchor="RES_958" w:history="1">
        <w:r w:rsidRPr="00BE627D">
          <w:rPr>
            <w:lang w:val="es-ES"/>
          </w:rPr>
          <w:t xml:space="preserve">Resolución </w:t>
        </w:r>
        <w:r w:rsidRPr="00BE627D">
          <w:rPr>
            <w:b/>
            <w:bCs/>
            <w:lang w:val="es-ES"/>
          </w:rPr>
          <w:t>958 (CMR-15)</w:t>
        </w:r>
      </w:hyperlink>
      <w:r w:rsidRPr="00BE627D">
        <w:rPr>
          <w:lang w:val="es-ES"/>
        </w:rPr>
        <w:t xml:space="preserve"> – (Punto 2 del Anexo) Estudios para examinar: a) si se necesitan medidas adicionales para limitar las transmisiones de enlace ascendente de los terminales a los terminales autorizados, de conformidad con el número </w:t>
      </w:r>
      <w:r w:rsidRPr="00BE627D">
        <w:rPr>
          <w:b/>
          <w:bCs/>
          <w:lang w:val="es-ES"/>
        </w:rPr>
        <w:t>18.1</w:t>
      </w:r>
      <w:r w:rsidRPr="00BE627D">
        <w:rPr>
          <w:lang w:val="es-ES"/>
        </w:rPr>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BE627D">
        <w:rPr>
          <w:lang w:val="es-ES"/>
        </w:rPr>
        <w:noBreakHyphen/>
        <w:t>15);</w:t>
      </w:r>
    </w:p>
    <w:p w14:paraId="401522F6" w14:textId="6075FEC9" w:rsidR="00BD6765" w:rsidRPr="00BE627D" w:rsidRDefault="00BD6765" w:rsidP="00BD6765">
      <w:pPr>
        <w:pStyle w:val="Headingb"/>
        <w:rPr>
          <w:lang w:val="es-ES"/>
        </w:rPr>
      </w:pPr>
      <w:r w:rsidRPr="00BE627D">
        <w:rPr>
          <w:lang w:val="es-ES"/>
        </w:rPr>
        <w:t>Introducción</w:t>
      </w:r>
    </w:p>
    <w:p w14:paraId="4E948F8E" w14:textId="77777777" w:rsidR="00BD6765" w:rsidRPr="00BE627D" w:rsidRDefault="00BD6765" w:rsidP="00BD6765">
      <w:pPr>
        <w:rPr>
          <w:lang w:val="es-ES"/>
        </w:rPr>
      </w:pPr>
      <w:r w:rsidRPr="00BE627D">
        <w:rPr>
          <w:lang w:val="es-ES"/>
        </w:rPr>
        <w:t>Los estudios elaborados en virtud del punto 9.1 (tema 9.1.7) del orden del día de la CMR-19 versan sobre la necesidad de adoptar medidas adicionales para limitar las transmisiones de enlace ascendente de las estaciones terrenas a las estaciones terrenas autorizadas y posibles métodos para ayudar a las administraciones a gestionar el funcionamiento no autorizado de las estaciones terrenas.</w:t>
      </w:r>
    </w:p>
    <w:p w14:paraId="34542C2E" w14:textId="77777777" w:rsidR="00BD6765" w:rsidRPr="00BE627D" w:rsidRDefault="00BD6765" w:rsidP="001970F3">
      <w:pPr>
        <w:rPr>
          <w:rFonts w:asciiTheme="majorBidi" w:hAnsiTheme="majorBidi"/>
          <w:lang w:val="es-ES"/>
        </w:rPr>
      </w:pPr>
      <w:r w:rsidRPr="00BE627D">
        <w:rPr>
          <w:lang w:val="es-ES"/>
        </w:rPr>
        <w:t xml:space="preserve">Con respecto al </w:t>
      </w:r>
      <w:r w:rsidRPr="00BE627D">
        <w:rPr>
          <w:i/>
          <w:iCs/>
          <w:lang w:val="es-ES"/>
        </w:rPr>
        <w:t>Apartado</w:t>
      </w:r>
      <w:r w:rsidRPr="00BE627D">
        <w:rPr>
          <w:lang w:val="es-ES"/>
        </w:rPr>
        <w:t xml:space="preserve"> </w:t>
      </w:r>
      <w:r w:rsidRPr="00BE627D">
        <w:rPr>
          <w:i/>
          <w:iCs/>
          <w:lang w:val="es-ES"/>
        </w:rPr>
        <w:t>2a)</w:t>
      </w:r>
      <w:r w:rsidRPr="00BE627D">
        <w:rPr>
          <w:lang w:val="es-ES"/>
        </w:rPr>
        <w:t xml:space="preserve"> del Anexo a la Resolución </w:t>
      </w:r>
      <w:r w:rsidRPr="00BE627D">
        <w:rPr>
          <w:b/>
          <w:bCs/>
          <w:lang w:val="es-ES"/>
        </w:rPr>
        <w:t>958 (CMR-15)</w:t>
      </w:r>
      <w:r w:rsidRPr="00BE627D">
        <w:rPr>
          <w:lang w:val="es-ES"/>
        </w:rPr>
        <w:t>, se han definido dos opciones:</w:t>
      </w:r>
    </w:p>
    <w:p w14:paraId="1C2FA247" w14:textId="423C61A0" w:rsidR="00BD6765" w:rsidRPr="00BE627D" w:rsidRDefault="00BD6765" w:rsidP="001970F3">
      <w:pPr>
        <w:pStyle w:val="enumlev1"/>
        <w:rPr>
          <w:lang w:val="es-ES"/>
        </w:rPr>
      </w:pPr>
      <w:r w:rsidRPr="00BE627D">
        <w:rPr>
          <w:lang w:val="es-ES"/>
        </w:rPr>
        <w:t>–</w:t>
      </w:r>
      <w:r w:rsidRPr="00BE627D">
        <w:rPr>
          <w:lang w:val="es-ES"/>
        </w:rPr>
        <w:tab/>
        <w:t xml:space="preserve">Opción 1: no modificar el Reglamento de Radiocomunicaciones (RR), puesto que las medidas vigentes son suficientes. En el Reglamento de Radiocomunicaciones, concretamente en las disposiciones del Artículo </w:t>
      </w:r>
      <w:r w:rsidRPr="00BE627D">
        <w:rPr>
          <w:b/>
          <w:bCs/>
          <w:lang w:val="es-ES"/>
        </w:rPr>
        <w:t>18</w:t>
      </w:r>
      <w:r w:rsidRPr="00BE627D">
        <w:rPr>
          <w:lang w:val="es-ES"/>
        </w:rPr>
        <w:t>, se exige clara e inequívocamente que las estaciones terrenas sólo pueden operar si están debidamente autorizadas. Introducir nuevas disposiciones en el Reglamento de Radiocomunicaciones no contribuirá a suprimir las estaciones terrenas que funcionan ilícitamente</w:t>
      </w:r>
      <w:r w:rsidRPr="00BE627D">
        <w:rPr>
          <w:rFonts w:ascii="Arial" w:hAnsi="Arial" w:cs="Arial"/>
          <w:color w:val="000000"/>
          <w:lang w:val="es-ES"/>
        </w:rPr>
        <w:t>.</w:t>
      </w:r>
    </w:p>
    <w:p w14:paraId="6A712ECB" w14:textId="77777777" w:rsidR="00BD6765" w:rsidRPr="00BE627D" w:rsidRDefault="00BD6765" w:rsidP="001970F3">
      <w:pPr>
        <w:pStyle w:val="enumlev1"/>
        <w:rPr>
          <w:rFonts w:asciiTheme="majorBidi" w:hAnsiTheme="majorBidi"/>
          <w:lang w:val="es-ES"/>
        </w:rPr>
      </w:pPr>
      <w:r w:rsidRPr="00BE627D">
        <w:rPr>
          <w:lang w:val="es-ES"/>
        </w:rPr>
        <w:t>–</w:t>
      </w:r>
      <w:r w:rsidRPr="00BE627D">
        <w:rPr>
          <w:lang w:val="es-ES"/>
        </w:rPr>
        <w:tab/>
        <w:t xml:space="preserve">Opción 2: elaborar una nueva Resolución de la CMR para ayudar a las administraciones a aplicar el número </w:t>
      </w:r>
      <w:r w:rsidRPr="00BE627D">
        <w:rPr>
          <w:b/>
          <w:bCs/>
          <w:lang w:val="es-ES"/>
        </w:rPr>
        <w:t>18.1</w:t>
      </w:r>
      <w:r w:rsidRPr="00BE627D">
        <w:rPr>
          <w:lang w:val="es-ES"/>
        </w:rPr>
        <w:t xml:space="preserve"> del RR.</w:t>
      </w:r>
    </w:p>
    <w:p w14:paraId="131D1A02" w14:textId="77777777" w:rsidR="00BD6765" w:rsidRPr="00BE627D" w:rsidRDefault="00BD6765" w:rsidP="001970F3">
      <w:pPr>
        <w:rPr>
          <w:lang w:val="es-ES"/>
        </w:rPr>
      </w:pPr>
      <w:r w:rsidRPr="00BE627D">
        <w:rPr>
          <w:lang w:val="es-ES"/>
        </w:rPr>
        <w:t xml:space="preserve">Con respecto al </w:t>
      </w:r>
      <w:r w:rsidRPr="00BE627D">
        <w:rPr>
          <w:i/>
          <w:iCs/>
          <w:lang w:val="es-ES"/>
        </w:rPr>
        <w:t>Apartado</w:t>
      </w:r>
      <w:r w:rsidRPr="00BE627D">
        <w:rPr>
          <w:lang w:val="es-ES"/>
        </w:rPr>
        <w:t xml:space="preserve"> </w:t>
      </w:r>
      <w:r w:rsidRPr="00BE627D">
        <w:rPr>
          <w:i/>
          <w:iCs/>
          <w:lang w:val="es-ES"/>
        </w:rPr>
        <w:t>2b)</w:t>
      </w:r>
      <w:r w:rsidRPr="00BE627D">
        <w:rPr>
          <w:lang w:val="es-ES"/>
        </w:rPr>
        <w:t xml:space="preserve"> del Anexo a la Resolución </w:t>
      </w:r>
      <w:r w:rsidRPr="00BE627D">
        <w:rPr>
          <w:b/>
          <w:bCs/>
          <w:lang w:val="es-ES"/>
        </w:rPr>
        <w:t>958 (CMR-15)</w:t>
      </w:r>
      <w:r w:rsidRPr="00BE627D">
        <w:rPr>
          <w:lang w:val="es-ES"/>
        </w:rPr>
        <w:t>, se ha definido una opción:</w:t>
      </w:r>
    </w:p>
    <w:p w14:paraId="49B952D0" w14:textId="79F487DA" w:rsidR="00363A65" w:rsidRPr="00BE627D" w:rsidRDefault="00BD6765" w:rsidP="001970F3">
      <w:pPr>
        <w:pStyle w:val="enumlev1"/>
        <w:rPr>
          <w:lang w:val="es-ES"/>
        </w:rPr>
      </w:pPr>
      <w:r w:rsidRPr="00BE627D">
        <w:rPr>
          <w:lang w:val="es-ES"/>
        </w:rPr>
        <w:lastRenderedPageBreak/>
        <w:t>–</w:t>
      </w:r>
      <w:r w:rsidRPr="00BE627D">
        <w:rPr>
          <w:lang w:val="es-ES"/>
        </w:rPr>
        <w:tab/>
        <w:t>elaborar las directrices necesarias en materia de capacidades de comprobación técnica de satélites, junto con la posible revisión y/o desarrollo ulterior de Informes o Manuales del UIT-R, a fin de ayudar a las administraciones a gestionar el funcionamiento no autorizado de estaciones terrenas implantados en su territorio, como herramienta de orientación para sus programas nacionales de gestión del espectro.</w:t>
      </w:r>
    </w:p>
    <w:p w14:paraId="65AAD71E" w14:textId="77777777" w:rsidR="008750A8" w:rsidRPr="00BE627D" w:rsidRDefault="008750A8" w:rsidP="001970F3">
      <w:pPr>
        <w:tabs>
          <w:tab w:val="clear" w:pos="1134"/>
          <w:tab w:val="clear" w:pos="1871"/>
          <w:tab w:val="clear" w:pos="2268"/>
        </w:tabs>
        <w:overflowPunct/>
        <w:autoSpaceDE/>
        <w:autoSpaceDN/>
        <w:adjustRightInd/>
        <w:spacing w:before="0"/>
        <w:textAlignment w:val="auto"/>
        <w:rPr>
          <w:lang w:val="es-ES"/>
        </w:rPr>
      </w:pPr>
      <w:r w:rsidRPr="00BE627D">
        <w:rPr>
          <w:lang w:val="es-ES"/>
        </w:rPr>
        <w:br w:type="page"/>
      </w:r>
    </w:p>
    <w:p w14:paraId="00C57373" w14:textId="4F77D121" w:rsidR="00B22FA8" w:rsidRPr="00BE627D" w:rsidRDefault="00BE627D" w:rsidP="001970F3">
      <w:pPr>
        <w:pStyle w:val="Headingb"/>
        <w:rPr>
          <w:lang w:val="es-ES"/>
        </w:rPr>
      </w:pPr>
      <w:r>
        <w:rPr>
          <w:lang w:val="es-ES"/>
        </w:rPr>
        <w:lastRenderedPageBreak/>
        <w:t>Propuestas</w:t>
      </w:r>
    </w:p>
    <w:p w14:paraId="517C5987" w14:textId="4D300212" w:rsidR="00B22FA8" w:rsidRPr="00BE627D" w:rsidRDefault="00BE627D" w:rsidP="001970F3">
      <w:pPr>
        <w:rPr>
          <w:lang w:val="es-ES"/>
        </w:rPr>
      </w:pPr>
      <w:r>
        <w:rPr>
          <w:lang w:val="es-ES"/>
        </w:rPr>
        <w:t xml:space="preserve">La </w:t>
      </w:r>
      <w:r w:rsidRPr="00BE627D">
        <w:rPr>
          <w:lang w:val="es-ES"/>
        </w:rPr>
        <w:t xml:space="preserve">Administración de Qatar </w:t>
      </w:r>
      <w:r>
        <w:rPr>
          <w:lang w:val="es-ES"/>
        </w:rPr>
        <w:t xml:space="preserve">propone que se elija la opción 1 del apartado </w:t>
      </w:r>
      <w:r w:rsidR="00B22FA8" w:rsidRPr="00BE627D">
        <w:rPr>
          <w:lang w:val="es-ES"/>
        </w:rPr>
        <w:t>2a</w:t>
      </w:r>
      <w:r>
        <w:rPr>
          <w:lang w:val="es-ES"/>
        </w:rPr>
        <w:t>)</w:t>
      </w:r>
      <w:r w:rsidR="00B22FA8" w:rsidRPr="00BE627D">
        <w:rPr>
          <w:lang w:val="es-ES"/>
        </w:rPr>
        <w:t xml:space="preserve"> </w:t>
      </w:r>
      <w:r>
        <w:rPr>
          <w:lang w:val="es-ES"/>
        </w:rPr>
        <w:t>para satisfacer este punto del orden del día</w:t>
      </w:r>
      <w:r w:rsidR="00B22FA8" w:rsidRPr="00BE627D">
        <w:rPr>
          <w:lang w:val="es-ES"/>
        </w:rPr>
        <w:t>.</w:t>
      </w:r>
    </w:p>
    <w:p w14:paraId="14741111" w14:textId="639475E9" w:rsidR="00B22FA8" w:rsidRPr="00BE627D" w:rsidRDefault="00B22FA8" w:rsidP="001970F3">
      <w:pPr>
        <w:pStyle w:val="Headingb"/>
        <w:rPr>
          <w:lang w:val="es-ES"/>
        </w:rPr>
      </w:pPr>
      <w:r w:rsidRPr="00BE627D">
        <w:rPr>
          <w:lang w:val="es-ES"/>
        </w:rPr>
        <w:t>Apartado 2a) del Anexo a la Resolución 958 (CMR-15)</w:t>
      </w:r>
    </w:p>
    <w:p w14:paraId="402CDF01" w14:textId="43BF7BA3" w:rsidR="00B22FA8" w:rsidRPr="00BE627D" w:rsidRDefault="00B22FA8" w:rsidP="001970F3">
      <w:pPr>
        <w:pStyle w:val="Headingb"/>
        <w:rPr>
          <w:lang w:val="es-ES"/>
        </w:rPr>
      </w:pPr>
      <w:r w:rsidRPr="00BE627D">
        <w:rPr>
          <w:lang w:val="es-ES"/>
        </w:rPr>
        <w:t>Apartado 2a) – Opción 1: No modificar el Reglamento de Radiocomunicaciones</w:t>
      </w:r>
    </w:p>
    <w:p w14:paraId="660B86C4" w14:textId="1CAB645E" w:rsidR="00DE76BA" w:rsidRPr="00BE627D" w:rsidRDefault="007862F4" w:rsidP="001970F3">
      <w:pPr>
        <w:pStyle w:val="Proposal"/>
        <w:rPr>
          <w:lang w:val="es-ES"/>
        </w:rPr>
      </w:pPr>
      <w:r w:rsidRPr="00BE627D">
        <w:rPr>
          <w:u w:val="single"/>
          <w:lang w:val="es-ES"/>
        </w:rPr>
        <w:t>NOC</w:t>
      </w:r>
      <w:r w:rsidRPr="00BE627D">
        <w:rPr>
          <w:lang w:val="es-ES"/>
        </w:rPr>
        <w:tab/>
        <w:t>QAT/68A21A7/1</w:t>
      </w:r>
      <w:r w:rsidRPr="00BE627D">
        <w:rPr>
          <w:vanish/>
          <w:color w:val="7F7F7F" w:themeColor="text1" w:themeTint="80"/>
          <w:vertAlign w:val="superscript"/>
          <w:lang w:val="es-ES"/>
        </w:rPr>
        <w:t>#50359</w:t>
      </w:r>
    </w:p>
    <w:p w14:paraId="633E0A7B" w14:textId="77777777" w:rsidR="00B571EC" w:rsidRPr="00BE627D" w:rsidRDefault="007862F4" w:rsidP="001970F3">
      <w:pPr>
        <w:pStyle w:val="Volumetitle"/>
        <w:rPr>
          <w:lang w:val="es-ES"/>
        </w:rPr>
      </w:pPr>
      <w:r w:rsidRPr="00BE627D">
        <w:rPr>
          <w:b/>
          <w:bCs/>
          <w:lang w:val="es-ES"/>
        </w:rPr>
        <w:t>ARTíCuLoS</w:t>
      </w:r>
    </w:p>
    <w:p w14:paraId="5E25057F" w14:textId="77777777" w:rsidR="00DE76BA" w:rsidRPr="00BE627D" w:rsidRDefault="00DE76BA" w:rsidP="001970F3">
      <w:pPr>
        <w:pStyle w:val="Reasons"/>
        <w:rPr>
          <w:lang w:val="es-ES"/>
        </w:rPr>
      </w:pPr>
    </w:p>
    <w:p w14:paraId="4D50B9CB" w14:textId="77777777" w:rsidR="00DE76BA" w:rsidRPr="00BE627D" w:rsidRDefault="007862F4" w:rsidP="001970F3">
      <w:pPr>
        <w:pStyle w:val="Proposal"/>
        <w:rPr>
          <w:lang w:val="es-ES"/>
        </w:rPr>
      </w:pPr>
      <w:r w:rsidRPr="00BE627D">
        <w:rPr>
          <w:u w:val="single"/>
          <w:lang w:val="es-ES"/>
        </w:rPr>
        <w:t>NOC</w:t>
      </w:r>
      <w:r w:rsidRPr="00BE627D">
        <w:rPr>
          <w:lang w:val="es-ES"/>
        </w:rPr>
        <w:tab/>
        <w:t>QAT/68A21A7/2</w:t>
      </w:r>
      <w:r w:rsidRPr="00BE627D">
        <w:rPr>
          <w:vanish/>
          <w:color w:val="7F7F7F" w:themeColor="text1" w:themeTint="80"/>
          <w:vertAlign w:val="superscript"/>
          <w:lang w:val="es-ES"/>
        </w:rPr>
        <w:t>#50360</w:t>
      </w:r>
    </w:p>
    <w:p w14:paraId="2CF486BA" w14:textId="77777777" w:rsidR="00B571EC" w:rsidRPr="00BE627D" w:rsidRDefault="007862F4" w:rsidP="001970F3">
      <w:pPr>
        <w:pStyle w:val="Volumetitle"/>
        <w:rPr>
          <w:lang w:val="es-ES"/>
        </w:rPr>
      </w:pPr>
      <w:r w:rsidRPr="00BE627D">
        <w:rPr>
          <w:b/>
          <w:bCs/>
          <w:lang w:val="es-ES"/>
        </w:rPr>
        <w:t>APéNDICES</w:t>
      </w:r>
    </w:p>
    <w:p w14:paraId="3BE14937" w14:textId="77777777" w:rsidR="00DE76BA" w:rsidRPr="00BE627D" w:rsidRDefault="00DE76BA" w:rsidP="001970F3">
      <w:pPr>
        <w:pStyle w:val="Reasons"/>
        <w:rPr>
          <w:lang w:val="es-ES"/>
        </w:rPr>
      </w:pPr>
    </w:p>
    <w:p w14:paraId="4CC28CEF" w14:textId="77777777" w:rsidR="00DE76BA" w:rsidRPr="00BE627D" w:rsidRDefault="007862F4" w:rsidP="001970F3">
      <w:pPr>
        <w:pStyle w:val="Proposal"/>
        <w:rPr>
          <w:lang w:val="es-ES"/>
        </w:rPr>
      </w:pPr>
      <w:r w:rsidRPr="00BE627D">
        <w:rPr>
          <w:u w:val="single"/>
          <w:lang w:val="es-ES"/>
        </w:rPr>
        <w:t>NOC</w:t>
      </w:r>
      <w:r w:rsidRPr="00BE627D">
        <w:rPr>
          <w:lang w:val="es-ES"/>
        </w:rPr>
        <w:tab/>
        <w:t>QAT/68A21A7/3</w:t>
      </w:r>
      <w:r w:rsidRPr="00BE627D">
        <w:rPr>
          <w:vanish/>
          <w:color w:val="7F7F7F" w:themeColor="text1" w:themeTint="80"/>
          <w:vertAlign w:val="superscript"/>
          <w:lang w:val="es-ES"/>
        </w:rPr>
        <w:t>#50361</w:t>
      </w:r>
    </w:p>
    <w:p w14:paraId="5EA59160" w14:textId="77777777" w:rsidR="00B571EC" w:rsidRPr="00BE627D" w:rsidRDefault="007862F4" w:rsidP="001970F3">
      <w:pPr>
        <w:pStyle w:val="Volumetitle"/>
        <w:rPr>
          <w:b/>
          <w:bCs/>
          <w:lang w:val="es-ES"/>
        </w:rPr>
      </w:pPr>
      <w:r w:rsidRPr="00BE627D">
        <w:rPr>
          <w:b/>
          <w:bCs/>
          <w:lang w:val="es-ES"/>
        </w:rPr>
        <w:t>RESOLUCIONES</w:t>
      </w:r>
    </w:p>
    <w:p w14:paraId="70E2ADF5" w14:textId="77777777" w:rsidR="007862F4" w:rsidRPr="00BE627D" w:rsidRDefault="007862F4" w:rsidP="001970F3">
      <w:pPr>
        <w:pStyle w:val="Reasons"/>
        <w:rPr>
          <w:lang w:val="es-ES"/>
        </w:rPr>
      </w:pPr>
      <w:bookmarkStart w:id="5" w:name="_GoBack"/>
      <w:bookmarkEnd w:id="5"/>
    </w:p>
    <w:p w14:paraId="43389321" w14:textId="4CFFC8F7" w:rsidR="007862F4" w:rsidRPr="00BE627D" w:rsidRDefault="007862F4" w:rsidP="001970F3">
      <w:pPr>
        <w:jc w:val="center"/>
        <w:rPr>
          <w:lang w:val="es-ES"/>
        </w:rPr>
      </w:pPr>
      <w:r w:rsidRPr="00BE627D">
        <w:rPr>
          <w:lang w:val="es-ES"/>
        </w:rPr>
        <w:t>______________</w:t>
      </w:r>
    </w:p>
    <w:sectPr w:rsidR="007862F4" w:rsidRPr="00BE627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2426E" w14:textId="77777777" w:rsidR="003C0613" w:rsidRDefault="003C0613">
      <w:r>
        <w:separator/>
      </w:r>
    </w:p>
  </w:endnote>
  <w:endnote w:type="continuationSeparator" w:id="0">
    <w:p w14:paraId="2DF99C7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BDE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C84D4" w14:textId="348503C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46EAD">
      <w:rPr>
        <w:noProof/>
      </w:rPr>
      <w:t>18.10.19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B8BA" w14:textId="4D87E2F9" w:rsidR="0077084A" w:rsidRDefault="0043077F" w:rsidP="0043077F">
    <w:pPr>
      <w:pStyle w:val="Footer"/>
      <w:rPr>
        <w:lang w:val="en-US"/>
      </w:rPr>
    </w:pPr>
    <w:r>
      <w:fldChar w:fldCharType="begin"/>
    </w:r>
    <w:r w:rsidRPr="0043077F">
      <w:rPr>
        <w:lang w:val="en-US"/>
      </w:rPr>
      <w:instrText xml:space="preserve"> FILENAME \p  \* MERGEFORMAT </w:instrText>
    </w:r>
    <w:r>
      <w:fldChar w:fldCharType="separate"/>
    </w:r>
    <w:r w:rsidRPr="0043077F">
      <w:rPr>
        <w:lang w:val="en-US"/>
      </w:rPr>
      <w:t>P:\ESP\ITU-R\CONF-R\CMR19\000\068ADD21ADD07S.docx</w:t>
    </w:r>
    <w:r>
      <w:fldChar w:fldCharType="end"/>
    </w:r>
    <w:r>
      <w:rPr>
        <w:lang w:val="en-US"/>
      </w:rPr>
      <w:t xml:space="preserve"> </w:t>
    </w:r>
    <w:r w:rsidR="00302FEA">
      <w:rPr>
        <w:lang w:val="en-US"/>
      </w:rPr>
      <w:t>(462102)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6433" w14:textId="5AC4CBE2" w:rsidR="0077084A" w:rsidRPr="0043077F" w:rsidRDefault="0043077F" w:rsidP="0043077F">
    <w:pPr>
      <w:pStyle w:val="Footer"/>
      <w:rPr>
        <w:lang w:val="en-US"/>
      </w:rPr>
    </w:pPr>
    <w:r>
      <w:fldChar w:fldCharType="begin"/>
    </w:r>
    <w:r w:rsidRPr="0043077F">
      <w:rPr>
        <w:lang w:val="en-US"/>
      </w:rPr>
      <w:instrText xml:space="preserve"> FILENAME \p  \* MERGEFORMAT </w:instrText>
    </w:r>
    <w:r>
      <w:fldChar w:fldCharType="separate"/>
    </w:r>
    <w:r w:rsidRPr="0043077F">
      <w:rPr>
        <w:lang w:val="en-US"/>
      </w:rPr>
      <w:t>P:\ESP\ITU-R\CONF-R\CMR19\000\068ADD21ADD07S.docx</w:t>
    </w:r>
    <w:r>
      <w:fldChar w:fldCharType="end"/>
    </w:r>
    <w:r>
      <w:rPr>
        <w:lang w:val="en-US"/>
      </w:rPr>
      <w:t xml:space="preserve"> </w:t>
    </w:r>
    <w:r w:rsidR="00302FEA">
      <w:rPr>
        <w:lang w:val="en-US"/>
      </w:rPr>
      <w:t>(462102)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F341" w14:textId="77777777" w:rsidR="003C0613" w:rsidRDefault="003C0613">
      <w:r>
        <w:rPr>
          <w:b/>
        </w:rPr>
        <w:t>_______________</w:t>
      </w:r>
    </w:p>
  </w:footnote>
  <w:footnote w:type="continuationSeparator" w:id="0">
    <w:p w14:paraId="1650A4F0"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218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E627D">
      <w:rPr>
        <w:rStyle w:val="PageNumber"/>
        <w:noProof/>
      </w:rPr>
      <w:t>3</w:t>
    </w:r>
    <w:r>
      <w:rPr>
        <w:rStyle w:val="PageNumber"/>
      </w:rPr>
      <w:fldChar w:fldCharType="end"/>
    </w:r>
  </w:p>
  <w:p w14:paraId="7D3058C3" w14:textId="77777777" w:rsidR="0077084A" w:rsidRDefault="008750A8" w:rsidP="00C44E9E">
    <w:pPr>
      <w:pStyle w:val="Header"/>
      <w:rPr>
        <w:lang w:val="en-US"/>
      </w:rPr>
    </w:pPr>
    <w:r>
      <w:rPr>
        <w:lang w:val="en-US"/>
      </w:rPr>
      <w:t>CMR1</w:t>
    </w:r>
    <w:r w:rsidR="00C44E9E">
      <w:rPr>
        <w:lang w:val="en-US"/>
      </w:rPr>
      <w:t>9</w:t>
    </w:r>
    <w:r>
      <w:rPr>
        <w:lang w:val="en-US"/>
      </w:rPr>
      <w:t>/</w:t>
    </w:r>
    <w:r w:rsidR="00702F3D">
      <w:t>68(Add.</w:t>
    </w:r>
    <w:proofErr w:type="gramStart"/>
    <w:r w:rsidR="00702F3D">
      <w:t>21)(</w:t>
    </w:r>
    <w:proofErr w:type="gramEnd"/>
    <w:r w:rsidR="00702F3D">
      <w:t>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0F3"/>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2FEA"/>
    <w:rsid w:val="003248A9"/>
    <w:rsid w:val="00324FFA"/>
    <w:rsid w:val="0032680B"/>
    <w:rsid w:val="00363A65"/>
    <w:rsid w:val="003B1E8C"/>
    <w:rsid w:val="003C0613"/>
    <w:rsid w:val="003C2508"/>
    <w:rsid w:val="003D0AA3"/>
    <w:rsid w:val="003E2086"/>
    <w:rsid w:val="003F7F66"/>
    <w:rsid w:val="0043077F"/>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62F4"/>
    <w:rsid w:val="007952C7"/>
    <w:rsid w:val="007C0B95"/>
    <w:rsid w:val="007C2317"/>
    <w:rsid w:val="007D330A"/>
    <w:rsid w:val="00866AE6"/>
    <w:rsid w:val="008750A8"/>
    <w:rsid w:val="008D3316"/>
    <w:rsid w:val="008E5AF2"/>
    <w:rsid w:val="0090121B"/>
    <w:rsid w:val="009144C9"/>
    <w:rsid w:val="0094091F"/>
    <w:rsid w:val="00946EAD"/>
    <w:rsid w:val="00962171"/>
    <w:rsid w:val="00973754"/>
    <w:rsid w:val="009C0BED"/>
    <w:rsid w:val="009E11EC"/>
    <w:rsid w:val="00A021CC"/>
    <w:rsid w:val="00A118DB"/>
    <w:rsid w:val="00A4450C"/>
    <w:rsid w:val="00AA5E6C"/>
    <w:rsid w:val="00AE5677"/>
    <w:rsid w:val="00AE658F"/>
    <w:rsid w:val="00AF2F78"/>
    <w:rsid w:val="00B22FA8"/>
    <w:rsid w:val="00B239FA"/>
    <w:rsid w:val="00B372AB"/>
    <w:rsid w:val="00B47331"/>
    <w:rsid w:val="00B52D55"/>
    <w:rsid w:val="00B8288C"/>
    <w:rsid w:val="00B86034"/>
    <w:rsid w:val="00BD6765"/>
    <w:rsid w:val="00BE2E80"/>
    <w:rsid w:val="00BE5EDD"/>
    <w:rsid w:val="00BE627D"/>
    <w:rsid w:val="00BE6A1F"/>
    <w:rsid w:val="00C126C4"/>
    <w:rsid w:val="00C44E9E"/>
    <w:rsid w:val="00C63EB5"/>
    <w:rsid w:val="00C87DA7"/>
    <w:rsid w:val="00CC01E0"/>
    <w:rsid w:val="00CD14D5"/>
    <w:rsid w:val="00CD5FEE"/>
    <w:rsid w:val="00CE60D2"/>
    <w:rsid w:val="00CE7431"/>
    <w:rsid w:val="00D00CA8"/>
    <w:rsid w:val="00D0288A"/>
    <w:rsid w:val="00D72A5D"/>
    <w:rsid w:val="00DA71A3"/>
    <w:rsid w:val="00DC629B"/>
    <w:rsid w:val="00DE1C31"/>
    <w:rsid w:val="00DE76BA"/>
    <w:rsid w:val="00E05BFF"/>
    <w:rsid w:val="00E262F1"/>
    <w:rsid w:val="00E3176A"/>
    <w:rsid w:val="00E36CE4"/>
    <w:rsid w:val="00E54754"/>
    <w:rsid w:val="00E56BD3"/>
    <w:rsid w:val="00E71D14"/>
    <w:rsid w:val="00EA77F0"/>
    <w:rsid w:val="00EB11A3"/>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D0770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enumlev1Char">
    <w:name w:val="enumlev1 Char"/>
    <w:basedOn w:val="DefaultParagraphFont"/>
    <w:link w:val="enumlev1"/>
    <w:qFormat/>
    <w:locked/>
    <w:rsid w:val="00BD6765"/>
    <w:rPr>
      <w:rFonts w:ascii="Times New Roman" w:hAnsi="Times New Roman"/>
      <w:sz w:val="24"/>
      <w:lang w:val="es-ES_tradnl" w:eastAsia="en-US"/>
    </w:rPr>
  </w:style>
  <w:style w:type="character" w:customStyle="1" w:styleId="TableheadChar">
    <w:name w:val="Table_head Char"/>
    <w:basedOn w:val="DefaultParagraphFont"/>
    <w:link w:val="Tablehead"/>
    <w:qFormat/>
    <w:locked/>
    <w:rsid w:val="00BD6765"/>
    <w:rPr>
      <w:rFonts w:ascii="Times New Roman" w:hAnsi="Times New Roman"/>
      <w:b/>
      <w:lang w:val="es-ES_tradnl" w:eastAsia="en-US"/>
    </w:rPr>
  </w:style>
  <w:style w:type="paragraph" w:styleId="BalloonText">
    <w:name w:val="Balloon Text"/>
    <w:basedOn w:val="Normal"/>
    <w:link w:val="BalloonTextChar"/>
    <w:semiHidden/>
    <w:unhideWhenUsed/>
    <w:rsid w:val="00B22FA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2FA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R16-WRC19-C-0068!A21-A7!MSW-S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C030DB07-4814-428A-802A-045B547504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B9D9E-5A43-4E36-864C-DCB30BFE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447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R16-WRC19-C-0068!A21-A7!MSW-S</vt:lpstr>
    </vt:vector>
  </TitlesOfParts>
  <Manager>Secretaría General - Pool</Manager>
  <Company>Unión Internacional de Telecomunicaciones (UIT)</Company>
  <LinksUpToDate>false</LinksUpToDate>
  <CharactersWithSpaces>3105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R16-WRC19-C-0068!A21-A7!MSW-S</dc:title>
  <dc:subject>Conferencia Mundial de Radiocomunicaciones - 2019</dc:subject>
  <dc:creator>Documents Proposals Manager (DPM)</dc:creator>
  <cp:keywords>DPM_v2019.10.15.2_prod</cp:keywords>
  <dc:description/>
  <cp:lastModifiedBy>Spanish</cp:lastModifiedBy>
  <cp:revision>5</cp:revision>
  <cp:lastPrinted>2003-02-19T20:20:00Z</cp:lastPrinted>
  <dcterms:created xsi:type="dcterms:W3CDTF">2019-10-18T15:57:00Z</dcterms:created>
  <dcterms:modified xsi:type="dcterms:W3CDTF">2019-10-18T16:41:00Z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