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C2FE1" w14:paraId="63EBF0D5" w14:textId="77777777" w:rsidTr="0050008E">
        <w:trPr>
          <w:cantSplit/>
        </w:trPr>
        <w:tc>
          <w:tcPr>
            <w:tcW w:w="6911" w:type="dxa"/>
          </w:tcPr>
          <w:p w14:paraId="26F7EB74" w14:textId="77777777" w:rsidR="0090121B" w:rsidRPr="003C2FE1" w:rsidRDefault="005D46FB" w:rsidP="00B014D2">
            <w:pPr>
              <w:spacing w:before="400" w:after="48"/>
              <w:rPr>
                <w:rFonts w:ascii="Verdana" w:hAnsi="Verdana"/>
                <w:position w:val="6"/>
              </w:rPr>
            </w:pPr>
            <w:r w:rsidRPr="003C2FE1">
              <w:rPr>
                <w:rFonts w:ascii="Verdana" w:hAnsi="Verdana" w:cs="Times"/>
                <w:b/>
                <w:position w:val="6"/>
                <w:sz w:val="20"/>
              </w:rPr>
              <w:t>Conferencia Mundial de Radiocomunicaciones (CMR-1</w:t>
            </w:r>
            <w:r w:rsidR="00C44E9E" w:rsidRPr="003C2FE1">
              <w:rPr>
                <w:rFonts w:ascii="Verdana" w:hAnsi="Verdana" w:cs="Times"/>
                <w:b/>
                <w:position w:val="6"/>
                <w:sz w:val="20"/>
              </w:rPr>
              <w:t>9</w:t>
            </w:r>
            <w:r w:rsidRPr="003C2FE1">
              <w:rPr>
                <w:rFonts w:ascii="Verdana" w:hAnsi="Verdana" w:cs="Times"/>
                <w:b/>
                <w:position w:val="6"/>
                <w:sz w:val="20"/>
              </w:rPr>
              <w:t>)</w:t>
            </w:r>
            <w:r w:rsidRPr="003C2FE1">
              <w:rPr>
                <w:rFonts w:ascii="Verdana" w:hAnsi="Verdana" w:cs="Times"/>
                <w:b/>
                <w:position w:val="6"/>
                <w:sz w:val="20"/>
              </w:rPr>
              <w:br/>
            </w:r>
            <w:r w:rsidR="006124AD" w:rsidRPr="003C2FE1">
              <w:rPr>
                <w:rFonts w:ascii="Verdana" w:hAnsi="Verdana"/>
                <w:b/>
                <w:bCs/>
                <w:position w:val="6"/>
                <w:sz w:val="17"/>
                <w:szCs w:val="17"/>
              </w:rPr>
              <w:t>Sharm el-Sheikh (Egipto)</w:t>
            </w:r>
            <w:r w:rsidRPr="003C2FE1">
              <w:rPr>
                <w:rFonts w:ascii="Verdana" w:hAnsi="Verdana"/>
                <w:b/>
                <w:bCs/>
                <w:position w:val="6"/>
                <w:sz w:val="17"/>
                <w:szCs w:val="17"/>
              </w:rPr>
              <w:t>, 2</w:t>
            </w:r>
            <w:r w:rsidR="00C44E9E" w:rsidRPr="003C2FE1">
              <w:rPr>
                <w:rFonts w:ascii="Verdana" w:hAnsi="Verdana"/>
                <w:b/>
                <w:bCs/>
                <w:position w:val="6"/>
                <w:sz w:val="17"/>
                <w:szCs w:val="17"/>
              </w:rPr>
              <w:t xml:space="preserve">8 de octubre </w:t>
            </w:r>
            <w:r w:rsidR="00DE1C31" w:rsidRPr="003C2FE1">
              <w:rPr>
                <w:rFonts w:ascii="Verdana" w:hAnsi="Verdana"/>
                <w:b/>
                <w:bCs/>
                <w:position w:val="6"/>
                <w:sz w:val="17"/>
                <w:szCs w:val="17"/>
              </w:rPr>
              <w:t>–</w:t>
            </w:r>
            <w:r w:rsidR="00C44E9E" w:rsidRPr="003C2FE1">
              <w:rPr>
                <w:rFonts w:ascii="Verdana" w:hAnsi="Verdana"/>
                <w:b/>
                <w:bCs/>
                <w:position w:val="6"/>
                <w:sz w:val="17"/>
                <w:szCs w:val="17"/>
              </w:rPr>
              <w:t xml:space="preserve"> </w:t>
            </w:r>
            <w:r w:rsidRPr="003C2FE1">
              <w:rPr>
                <w:rFonts w:ascii="Verdana" w:hAnsi="Verdana"/>
                <w:b/>
                <w:bCs/>
                <w:position w:val="6"/>
                <w:sz w:val="17"/>
                <w:szCs w:val="17"/>
              </w:rPr>
              <w:t>2</w:t>
            </w:r>
            <w:r w:rsidR="00C44E9E" w:rsidRPr="003C2FE1">
              <w:rPr>
                <w:rFonts w:ascii="Verdana" w:hAnsi="Verdana"/>
                <w:b/>
                <w:bCs/>
                <w:position w:val="6"/>
                <w:sz w:val="17"/>
                <w:szCs w:val="17"/>
              </w:rPr>
              <w:t>2</w:t>
            </w:r>
            <w:r w:rsidRPr="003C2FE1">
              <w:rPr>
                <w:rFonts w:ascii="Verdana" w:hAnsi="Verdana"/>
                <w:b/>
                <w:bCs/>
                <w:position w:val="6"/>
                <w:sz w:val="17"/>
                <w:szCs w:val="17"/>
              </w:rPr>
              <w:t xml:space="preserve"> de noviembre de 201</w:t>
            </w:r>
            <w:r w:rsidR="00C44E9E" w:rsidRPr="003C2FE1">
              <w:rPr>
                <w:rFonts w:ascii="Verdana" w:hAnsi="Verdana"/>
                <w:b/>
                <w:bCs/>
                <w:position w:val="6"/>
                <w:sz w:val="17"/>
                <w:szCs w:val="17"/>
              </w:rPr>
              <w:t>9</w:t>
            </w:r>
          </w:p>
        </w:tc>
        <w:tc>
          <w:tcPr>
            <w:tcW w:w="3120" w:type="dxa"/>
          </w:tcPr>
          <w:p w14:paraId="10107F2F" w14:textId="77777777" w:rsidR="0090121B" w:rsidRPr="003C2FE1" w:rsidRDefault="00DA71A3" w:rsidP="00B014D2">
            <w:pPr>
              <w:spacing w:before="0"/>
              <w:jc w:val="right"/>
            </w:pPr>
            <w:bookmarkStart w:id="0" w:name="ditulogo"/>
            <w:bookmarkEnd w:id="0"/>
            <w:r w:rsidRPr="003C2FE1">
              <w:rPr>
                <w:rFonts w:ascii="Verdana" w:hAnsi="Verdana"/>
                <w:b/>
                <w:bCs/>
                <w:noProof/>
                <w:szCs w:val="24"/>
                <w:lang w:eastAsia="zh-CN"/>
              </w:rPr>
              <w:drawing>
                <wp:inline distT="0" distB="0" distL="0" distR="0" wp14:anchorId="0E169AAA" wp14:editId="14381D2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C2FE1" w14:paraId="3605B4CB" w14:textId="77777777" w:rsidTr="0050008E">
        <w:trPr>
          <w:cantSplit/>
        </w:trPr>
        <w:tc>
          <w:tcPr>
            <w:tcW w:w="6911" w:type="dxa"/>
            <w:tcBorders>
              <w:bottom w:val="single" w:sz="12" w:space="0" w:color="auto"/>
            </w:tcBorders>
          </w:tcPr>
          <w:p w14:paraId="6D831582" w14:textId="77777777" w:rsidR="0090121B" w:rsidRPr="003C2FE1" w:rsidRDefault="0090121B" w:rsidP="00B014D2">
            <w:pPr>
              <w:spacing w:before="0" w:after="48"/>
              <w:rPr>
                <w:b/>
                <w:smallCaps/>
                <w:szCs w:val="24"/>
              </w:rPr>
            </w:pPr>
            <w:bookmarkStart w:id="1" w:name="dhead"/>
          </w:p>
        </w:tc>
        <w:tc>
          <w:tcPr>
            <w:tcW w:w="3120" w:type="dxa"/>
            <w:tcBorders>
              <w:bottom w:val="single" w:sz="12" w:space="0" w:color="auto"/>
            </w:tcBorders>
          </w:tcPr>
          <w:p w14:paraId="58DD1F46" w14:textId="77777777" w:rsidR="0090121B" w:rsidRPr="003C2FE1" w:rsidRDefault="0090121B" w:rsidP="00B014D2">
            <w:pPr>
              <w:spacing w:before="0"/>
              <w:rPr>
                <w:rFonts w:ascii="Verdana" w:hAnsi="Verdana"/>
                <w:szCs w:val="24"/>
              </w:rPr>
            </w:pPr>
          </w:p>
        </w:tc>
      </w:tr>
      <w:tr w:rsidR="0090121B" w:rsidRPr="003C2FE1" w14:paraId="37350EBA" w14:textId="77777777" w:rsidTr="0090121B">
        <w:trPr>
          <w:cantSplit/>
        </w:trPr>
        <w:tc>
          <w:tcPr>
            <w:tcW w:w="6911" w:type="dxa"/>
            <w:tcBorders>
              <w:top w:val="single" w:sz="12" w:space="0" w:color="auto"/>
            </w:tcBorders>
          </w:tcPr>
          <w:p w14:paraId="13F5ACF6" w14:textId="77777777" w:rsidR="0090121B" w:rsidRPr="003C2FE1" w:rsidRDefault="0090121B" w:rsidP="00B014D2">
            <w:pPr>
              <w:spacing w:before="0" w:after="48"/>
              <w:rPr>
                <w:rFonts w:ascii="Verdana" w:hAnsi="Verdana"/>
                <w:b/>
                <w:smallCaps/>
                <w:sz w:val="20"/>
              </w:rPr>
            </w:pPr>
          </w:p>
        </w:tc>
        <w:tc>
          <w:tcPr>
            <w:tcW w:w="3120" w:type="dxa"/>
            <w:tcBorders>
              <w:top w:val="single" w:sz="12" w:space="0" w:color="auto"/>
            </w:tcBorders>
          </w:tcPr>
          <w:p w14:paraId="52F90B58" w14:textId="77777777" w:rsidR="0090121B" w:rsidRPr="003C2FE1" w:rsidRDefault="0090121B" w:rsidP="00B014D2">
            <w:pPr>
              <w:spacing w:before="0"/>
              <w:rPr>
                <w:rFonts w:ascii="Verdana" w:hAnsi="Verdana"/>
                <w:sz w:val="20"/>
              </w:rPr>
            </w:pPr>
          </w:p>
        </w:tc>
      </w:tr>
      <w:tr w:rsidR="0090121B" w:rsidRPr="003C2FE1" w14:paraId="5441DFA9" w14:textId="77777777" w:rsidTr="0090121B">
        <w:trPr>
          <w:cantSplit/>
        </w:trPr>
        <w:tc>
          <w:tcPr>
            <w:tcW w:w="6911" w:type="dxa"/>
          </w:tcPr>
          <w:p w14:paraId="0982D4A8" w14:textId="77777777" w:rsidR="0090121B" w:rsidRPr="003C2FE1" w:rsidRDefault="001E7D42" w:rsidP="00B014D2">
            <w:pPr>
              <w:pStyle w:val="Committee"/>
              <w:framePr w:hSpace="0" w:wrap="auto" w:hAnchor="text" w:yAlign="inline"/>
              <w:spacing w:line="240" w:lineRule="auto"/>
              <w:rPr>
                <w:sz w:val="18"/>
                <w:szCs w:val="18"/>
                <w:lang w:val="es-ES_tradnl"/>
              </w:rPr>
            </w:pPr>
            <w:r w:rsidRPr="003C2FE1">
              <w:rPr>
                <w:sz w:val="18"/>
                <w:szCs w:val="18"/>
                <w:lang w:val="es-ES_tradnl"/>
              </w:rPr>
              <w:t>SESIÓN PLENARIA</w:t>
            </w:r>
          </w:p>
        </w:tc>
        <w:tc>
          <w:tcPr>
            <w:tcW w:w="3120" w:type="dxa"/>
          </w:tcPr>
          <w:p w14:paraId="7B24F7C3" w14:textId="77777777" w:rsidR="0090121B" w:rsidRPr="003C2FE1" w:rsidRDefault="00AE658F" w:rsidP="00B014D2">
            <w:pPr>
              <w:spacing w:before="0"/>
              <w:rPr>
                <w:rFonts w:ascii="Verdana" w:hAnsi="Verdana"/>
                <w:sz w:val="18"/>
                <w:szCs w:val="18"/>
              </w:rPr>
            </w:pPr>
            <w:r w:rsidRPr="003C2FE1">
              <w:rPr>
                <w:rFonts w:ascii="Verdana" w:hAnsi="Verdana"/>
                <w:b/>
                <w:sz w:val="18"/>
                <w:szCs w:val="18"/>
              </w:rPr>
              <w:t>Documento 73</w:t>
            </w:r>
            <w:r w:rsidR="0090121B" w:rsidRPr="003C2FE1">
              <w:rPr>
                <w:rFonts w:ascii="Verdana" w:hAnsi="Verdana"/>
                <w:b/>
                <w:sz w:val="18"/>
                <w:szCs w:val="18"/>
              </w:rPr>
              <w:t>-</w:t>
            </w:r>
            <w:r w:rsidRPr="003C2FE1">
              <w:rPr>
                <w:rFonts w:ascii="Verdana" w:hAnsi="Verdana"/>
                <w:b/>
                <w:sz w:val="18"/>
                <w:szCs w:val="18"/>
              </w:rPr>
              <w:t>S</w:t>
            </w:r>
          </w:p>
        </w:tc>
      </w:tr>
      <w:bookmarkEnd w:id="1"/>
      <w:tr w:rsidR="000A5B9A" w:rsidRPr="003C2FE1" w14:paraId="1861CAB5" w14:textId="77777777" w:rsidTr="0090121B">
        <w:trPr>
          <w:cantSplit/>
        </w:trPr>
        <w:tc>
          <w:tcPr>
            <w:tcW w:w="6911" w:type="dxa"/>
          </w:tcPr>
          <w:p w14:paraId="7E2E3EEB" w14:textId="77777777" w:rsidR="000A5B9A" w:rsidRPr="003C2FE1" w:rsidRDefault="000A5B9A" w:rsidP="00B014D2">
            <w:pPr>
              <w:spacing w:before="0" w:after="48"/>
              <w:rPr>
                <w:rFonts w:ascii="Verdana" w:hAnsi="Verdana"/>
                <w:b/>
                <w:smallCaps/>
                <w:sz w:val="18"/>
                <w:szCs w:val="18"/>
              </w:rPr>
            </w:pPr>
          </w:p>
        </w:tc>
        <w:tc>
          <w:tcPr>
            <w:tcW w:w="3120" w:type="dxa"/>
          </w:tcPr>
          <w:p w14:paraId="4F30A61F" w14:textId="77777777" w:rsidR="000A5B9A" w:rsidRPr="003C2FE1" w:rsidRDefault="000A5B9A" w:rsidP="00B014D2">
            <w:pPr>
              <w:spacing w:before="0"/>
              <w:rPr>
                <w:rFonts w:ascii="Verdana" w:hAnsi="Verdana"/>
                <w:b/>
                <w:sz w:val="18"/>
                <w:szCs w:val="18"/>
              </w:rPr>
            </w:pPr>
            <w:r w:rsidRPr="003C2FE1">
              <w:rPr>
                <w:rFonts w:ascii="Verdana" w:hAnsi="Verdana"/>
                <w:b/>
                <w:sz w:val="18"/>
                <w:szCs w:val="18"/>
              </w:rPr>
              <w:t>8 de octubre de 2019</w:t>
            </w:r>
          </w:p>
        </w:tc>
      </w:tr>
      <w:tr w:rsidR="000A5B9A" w:rsidRPr="003C2FE1" w14:paraId="133686B3" w14:textId="77777777" w:rsidTr="0090121B">
        <w:trPr>
          <w:cantSplit/>
        </w:trPr>
        <w:tc>
          <w:tcPr>
            <w:tcW w:w="6911" w:type="dxa"/>
          </w:tcPr>
          <w:p w14:paraId="7AAA3441" w14:textId="77777777" w:rsidR="000A5B9A" w:rsidRPr="003C2FE1" w:rsidRDefault="000A5B9A" w:rsidP="00B014D2">
            <w:pPr>
              <w:spacing w:before="0" w:after="48"/>
              <w:rPr>
                <w:rFonts w:ascii="Verdana" w:hAnsi="Verdana"/>
                <w:b/>
                <w:smallCaps/>
                <w:sz w:val="18"/>
                <w:szCs w:val="18"/>
              </w:rPr>
            </w:pPr>
          </w:p>
        </w:tc>
        <w:tc>
          <w:tcPr>
            <w:tcW w:w="3120" w:type="dxa"/>
          </w:tcPr>
          <w:p w14:paraId="6EA38BC9" w14:textId="77777777" w:rsidR="000A5B9A" w:rsidRPr="003C2FE1" w:rsidRDefault="000A5B9A" w:rsidP="00B014D2">
            <w:pPr>
              <w:spacing w:before="0"/>
              <w:rPr>
                <w:rFonts w:ascii="Verdana" w:hAnsi="Verdana"/>
                <w:b/>
                <w:sz w:val="18"/>
                <w:szCs w:val="18"/>
              </w:rPr>
            </w:pPr>
            <w:r w:rsidRPr="003C2FE1">
              <w:rPr>
                <w:rFonts w:ascii="Verdana" w:hAnsi="Verdana"/>
                <w:b/>
                <w:sz w:val="18"/>
                <w:szCs w:val="18"/>
              </w:rPr>
              <w:t>Original: inglés</w:t>
            </w:r>
          </w:p>
        </w:tc>
      </w:tr>
      <w:tr w:rsidR="000A5B9A" w:rsidRPr="003C2FE1" w14:paraId="25B2DAD5" w14:textId="77777777" w:rsidTr="006744FC">
        <w:trPr>
          <w:cantSplit/>
        </w:trPr>
        <w:tc>
          <w:tcPr>
            <w:tcW w:w="10031" w:type="dxa"/>
            <w:gridSpan w:val="2"/>
          </w:tcPr>
          <w:p w14:paraId="2DDA2B10" w14:textId="77777777" w:rsidR="000A5B9A" w:rsidRPr="003C2FE1" w:rsidRDefault="000A5B9A" w:rsidP="00B014D2">
            <w:pPr>
              <w:spacing w:before="0"/>
              <w:rPr>
                <w:rFonts w:ascii="Verdana" w:hAnsi="Verdana"/>
                <w:b/>
                <w:sz w:val="18"/>
                <w:szCs w:val="22"/>
              </w:rPr>
            </w:pPr>
          </w:p>
        </w:tc>
      </w:tr>
      <w:tr w:rsidR="000A5B9A" w:rsidRPr="003C2FE1" w14:paraId="67389092" w14:textId="77777777" w:rsidTr="0050008E">
        <w:trPr>
          <w:cantSplit/>
        </w:trPr>
        <w:tc>
          <w:tcPr>
            <w:tcW w:w="10031" w:type="dxa"/>
            <w:gridSpan w:val="2"/>
          </w:tcPr>
          <w:p w14:paraId="5981E4EF" w14:textId="3659D2B7" w:rsidR="000A5B9A" w:rsidRPr="003C2FE1" w:rsidRDefault="000A5B9A" w:rsidP="00B014D2">
            <w:pPr>
              <w:pStyle w:val="Source"/>
            </w:pPr>
            <w:bookmarkStart w:id="2" w:name="dsource" w:colFirst="0" w:colLast="0"/>
            <w:r w:rsidRPr="003C2FE1">
              <w:t>Brunei Darussalam/Camboya (Reino de)/Corea (República de)/</w:t>
            </w:r>
            <w:r w:rsidR="002429BC" w:rsidRPr="003C2FE1">
              <w:br/>
            </w:r>
            <w:r w:rsidRPr="003C2FE1">
              <w:t>Lao (República Democrática Popular)/Singapur (República de)/</w:t>
            </w:r>
            <w:r w:rsidR="002429BC" w:rsidRPr="003C2FE1">
              <w:br/>
            </w:r>
            <w:r w:rsidRPr="003C2FE1">
              <w:t>Viet Nam (República Socialista de)</w:t>
            </w:r>
          </w:p>
        </w:tc>
      </w:tr>
      <w:tr w:rsidR="000A5B9A" w:rsidRPr="003C2FE1" w14:paraId="5D465E38" w14:textId="77777777" w:rsidTr="0050008E">
        <w:trPr>
          <w:cantSplit/>
        </w:trPr>
        <w:tc>
          <w:tcPr>
            <w:tcW w:w="10031" w:type="dxa"/>
            <w:gridSpan w:val="2"/>
          </w:tcPr>
          <w:p w14:paraId="000F1286" w14:textId="0FE01E46" w:rsidR="000A5B9A" w:rsidRPr="003C2FE1" w:rsidRDefault="003B61D9" w:rsidP="00B014D2">
            <w:pPr>
              <w:pStyle w:val="Title1"/>
            </w:pPr>
            <w:bookmarkStart w:id="3" w:name="dtitle1" w:colFirst="0" w:colLast="0"/>
            <w:bookmarkEnd w:id="2"/>
            <w:r w:rsidRPr="003C2FE1">
              <w:t>PROPUESTAS PARA LOS TRABAJOS DE LA CONFERENCIA</w:t>
            </w:r>
          </w:p>
        </w:tc>
      </w:tr>
      <w:tr w:rsidR="000A5B9A" w:rsidRPr="003C2FE1" w14:paraId="6AD33C50" w14:textId="77777777" w:rsidTr="0050008E">
        <w:trPr>
          <w:cantSplit/>
        </w:trPr>
        <w:tc>
          <w:tcPr>
            <w:tcW w:w="10031" w:type="dxa"/>
            <w:gridSpan w:val="2"/>
          </w:tcPr>
          <w:p w14:paraId="6F996561" w14:textId="77777777" w:rsidR="000A5B9A" w:rsidRPr="003C2FE1" w:rsidRDefault="000A5B9A" w:rsidP="00B014D2">
            <w:pPr>
              <w:pStyle w:val="Title2"/>
            </w:pPr>
            <w:bookmarkStart w:id="4" w:name="dtitle2" w:colFirst="0" w:colLast="0"/>
            <w:bookmarkEnd w:id="3"/>
          </w:p>
        </w:tc>
      </w:tr>
      <w:tr w:rsidR="000A5B9A" w:rsidRPr="003C2FE1" w14:paraId="3C0233F0" w14:textId="77777777" w:rsidTr="0050008E">
        <w:trPr>
          <w:cantSplit/>
        </w:trPr>
        <w:tc>
          <w:tcPr>
            <w:tcW w:w="10031" w:type="dxa"/>
            <w:gridSpan w:val="2"/>
          </w:tcPr>
          <w:p w14:paraId="44BDAF7D" w14:textId="77777777" w:rsidR="000A5B9A" w:rsidRPr="003C2FE1" w:rsidRDefault="000A5B9A" w:rsidP="00B014D2">
            <w:pPr>
              <w:pStyle w:val="Agendaitem"/>
            </w:pPr>
            <w:bookmarkStart w:id="5" w:name="dtitle3" w:colFirst="0" w:colLast="0"/>
            <w:bookmarkEnd w:id="4"/>
            <w:r w:rsidRPr="003C2FE1">
              <w:t>Punto 1.13 del orden del día</w:t>
            </w:r>
          </w:p>
        </w:tc>
      </w:tr>
    </w:tbl>
    <w:bookmarkEnd w:id="5"/>
    <w:p w14:paraId="3B8F5CBF" w14:textId="77777777" w:rsidR="001C0E40" w:rsidRPr="003C2FE1" w:rsidRDefault="00D22950" w:rsidP="00B014D2">
      <w:r w:rsidRPr="003C2FE1">
        <w:t>1.13</w:t>
      </w:r>
      <w:r w:rsidRPr="003C2FE1">
        <w:tab/>
        <w:t>considerar la identificación de bandas de frecuencias para el futuro despliegue de las Telecomunicaciones Móv</w:t>
      </w:r>
      <w:bookmarkStart w:id="6" w:name="_GoBack"/>
      <w:bookmarkEnd w:id="6"/>
      <w:r w:rsidRPr="003C2FE1">
        <w:t xml:space="preserve">iles Internacionales </w:t>
      </w:r>
      <w:r w:rsidRPr="003C2FE1">
        <w:rPr>
          <w:lang w:eastAsia="ja-JP"/>
        </w:rPr>
        <w:t>(</w:t>
      </w:r>
      <w:r w:rsidRPr="003C2FE1">
        <w:t>IMT</w:t>
      </w:r>
      <w:r w:rsidRPr="003C2FE1">
        <w:rPr>
          <w:lang w:eastAsia="ko-KR"/>
        </w:rPr>
        <w:t>)</w:t>
      </w:r>
      <w:r w:rsidRPr="003C2FE1">
        <w:t>, incluidas posibles atribuciones adicionales al servicio móvil a título primario, de conformidad con la Resolución </w:t>
      </w:r>
      <w:r w:rsidRPr="003C2FE1">
        <w:rPr>
          <w:rFonts w:eastAsia="SimSun"/>
          <w:b/>
          <w:szCs w:val="24"/>
          <w:lang w:eastAsia="zh-CN"/>
        </w:rPr>
        <w:t>238 (CMR-15)</w:t>
      </w:r>
      <w:r w:rsidRPr="003C2FE1">
        <w:rPr>
          <w:rFonts w:eastAsia="SimSun"/>
          <w:szCs w:val="24"/>
          <w:lang w:eastAsia="zh-CN"/>
        </w:rPr>
        <w:t>;</w:t>
      </w:r>
    </w:p>
    <w:p w14:paraId="2E4C2883" w14:textId="77777777" w:rsidR="00F715BB" w:rsidRPr="003C2FE1" w:rsidRDefault="00D22950" w:rsidP="00B014D2">
      <w:pPr>
        <w:pStyle w:val="Proposal"/>
      </w:pPr>
      <w:r w:rsidRPr="003C2FE1">
        <w:tab/>
        <w:t>BRU/CBG/KOR/LAO/SNG/VTN/73/1</w:t>
      </w:r>
    </w:p>
    <w:p w14:paraId="25A8C8FE" w14:textId="74B7CFE3" w:rsidR="005828E6" w:rsidRPr="003C2FE1" w:rsidRDefault="005828E6" w:rsidP="00B014D2">
      <w:pPr>
        <w:pStyle w:val="Heading1"/>
      </w:pPr>
      <w:r w:rsidRPr="003C2FE1">
        <w:t>1</w:t>
      </w:r>
      <w:r w:rsidRPr="003C2FE1">
        <w:tab/>
      </w:r>
      <w:r w:rsidR="00BD7BCF" w:rsidRPr="003C2FE1">
        <w:t>Antecedentes</w:t>
      </w:r>
    </w:p>
    <w:p w14:paraId="57337544" w14:textId="5EEB627D" w:rsidR="005828E6" w:rsidRPr="003C2FE1" w:rsidRDefault="003C2FE1" w:rsidP="00B014D2">
      <w:r w:rsidRPr="003C2FE1">
        <w:t>Dado e</w:t>
      </w:r>
      <w:r w:rsidR="00BD7BCF" w:rsidRPr="003C2FE1">
        <w:t>l aumento de la demanda de conectividad y aplicaciones con grandes volúmenes de datos, es fundamental disponer puntualmente del espectro necesario para soportar el futuro desarrollo de los sistemas IMT. Más importante aún es armonizar las bandas de espectro a nivel mundial para facilitar la itinerancia mundial y disfrutar de equipos de telecomunicaciones competitivos gracias a las economías de escala</w:t>
      </w:r>
      <w:r w:rsidR="005828E6" w:rsidRPr="003C2FE1">
        <w:t>.</w:t>
      </w:r>
    </w:p>
    <w:p w14:paraId="6C2685FF" w14:textId="51F91BA9" w:rsidR="005828E6" w:rsidRPr="003C2FE1" w:rsidRDefault="00BD7BCF" w:rsidP="00B014D2">
      <w:r w:rsidRPr="003C2FE1">
        <w:t>Cabe señalar q</w:t>
      </w:r>
      <w:r w:rsidR="00335E0C" w:rsidRPr="003C2FE1">
        <w:t>ue los sistemas IMT están evolucionado para proporcionar diversas posibilidades de utilización y aplicaciones como las comunicaciones móviles de banda ancha mejoradas, las comunicaciones masivas tipo máquina y las comunicaciones ultrafiables y de ultrabaja latencia</w:t>
      </w:r>
      <w:r w:rsidR="005828E6" w:rsidRPr="003C2FE1">
        <w:t xml:space="preserve">. </w:t>
      </w:r>
      <w:r w:rsidR="004D73AE" w:rsidRPr="003C2FE1">
        <w:t>El amplio abanico de aplicaciones genera una mayor demanda de unos recursos espectrales ya escasos y de bloques contiguos de espectro más grandes en las bandas de altas frecuencias, necesarios para soportar estas nuevas aplicaciones</w:t>
      </w:r>
      <w:r w:rsidR="005828E6" w:rsidRPr="003C2FE1">
        <w:t>.</w:t>
      </w:r>
    </w:p>
    <w:p w14:paraId="1CEF6EBE" w14:textId="75174D65" w:rsidR="005828E6" w:rsidRPr="003C2FE1" w:rsidRDefault="005828E6" w:rsidP="00B014D2">
      <w:pPr>
        <w:pStyle w:val="Heading1"/>
      </w:pPr>
      <w:r w:rsidRPr="003C2FE1">
        <w:t>2</w:t>
      </w:r>
      <w:r w:rsidRPr="003C2FE1">
        <w:tab/>
      </w:r>
      <w:r w:rsidR="004D73AE" w:rsidRPr="003C2FE1">
        <w:t>Opinión</w:t>
      </w:r>
    </w:p>
    <w:p w14:paraId="2878201A" w14:textId="363F0175" w:rsidR="005828E6" w:rsidRPr="003C2FE1" w:rsidRDefault="005828E6" w:rsidP="00B014D2">
      <w:pPr>
        <w:pStyle w:val="Heading2"/>
      </w:pPr>
      <w:r w:rsidRPr="003C2FE1">
        <w:t>2.1</w:t>
      </w:r>
      <w:r w:rsidRPr="003C2FE1">
        <w:tab/>
        <w:t>Alternativ</w:t>
      </w:r>
      <w:r w:rsidR="004D73AE" w:rsidRPr="003C2FE1">
        <w:t>a</w:t>
      </w:r>
      <w:r w:rsidRPr="003C2FE1">
        <w:t>s</w:t>
      </w:r>
    </w:p>
    <w:p w14:paraId="23745E50" w14:textId="6BD91BAB" w:rsidR="005828E6" w:rsidRPr="003C2FE1" w:rsidRDefault="004D73AE" w:rsidP="00B014D2">
      <w:r w:rsidRPr="003C2FE1">
        <w:t>No consideramos necesario l</w:t>
      </w:r>
      <w:r w:rsidR="00335E0C" w:rsidRPr="003C2FE1">
        <w:t>imitar las IMT a la atribución al SMT en las bandas de frecuencias de las IMT existentes y no es necesario para las nuevas bandas de frecuencias IMT, pues las características de las IMT, incluida su implantación, ya se describen en las Recomendaciones e Informes UIT-R</w:t>
      </w:r>
      <w:r w:rsidR="005828E6" w:rsidRPr="003C2FE1">
        <w:t xml:space="preserve">. </w:t>
      </w:r>
      <w:r w:rsidRPr="003C2FE1">
        <w:t>Además, cabe señalar que la gama de frecuencias de</w:t>
      </w:r>
      <w:r w:rsidR="005828E6" w:rsidRPr="003C2FE1">
        <w:t xml:space="preserve"> 26 GHz </w:t>
      </w:r>
      <w:r w:rsidRPr="003C2FE1">
        <w:t>ya está atribuida al servicio móvil (SM) a título primario en la Región</w:t>
      </w:r>
      <w:r w:rsidR="005828E6" w:rsidRPr="003C2FE1">
        <w:t xml:space="preserve"> 3</w:t>
      </w:r>
      <w:r w:rsidRPr="003C2FE1">
        <w:t>, por lo que la Alternativa 1 no se aplica a la Región</w:t>
      </w:r>
      <w:r w:rsidR="00F74E74" w:rsidRPr="003C2FE1">
        <w:t> </w:t>
      </w:r>
      <w:r w:rsidR="005828E6" w:rsidRPr="003C2FE1">
        <w:t>3.</w:t>
      </w:r>
    </w:p>
    <w:p w14:paraId="4252E6DF" w14:textId="61D2A307" w:rsidR="005828E6" w:rsidRPr="003C2FE1" w:rsidRDefault="005828E6" w:rsidP="00896E05">
      <w:pPr>
        <w:pStyle w:val="Heading2"/>
      </w:pPr>
      <w:r w:rsidRPr="003C2FE1">
        <w:lastRenderedPageBreak/>
        <w:t>2.2</w:t>
      </w:r>
      <w:r w:rsidRPr="003C2FE1">
        <w:tab/>
      </w:r>
      <w:r w:rsidR="004D73AE" w:rsidRPr="003C2FE1">
        <w:t>Nivel de emisiones no deseadas en la banda</w:t>
      </w:r>
      <w:r w:rsidRPr="003C2FE1">
        <w:t xml:space="preserve"> 36-37 GHz</w:t>
      </w:r>
    </w:p>
    <w:p w14:paraId="016FE19E" w14:textId="03AA3E2D" w:rsidR="005828E6" w:rsidRPr="003C2FE1" w:rsidRDefault="004D73AE" w:rsidP="00B014D2">
      <w:r w:rsidRPr="003C2FE1">
        <w:t>La banda de frecuencias</w:t>
      </w:r>
      <w:r w:rsidR="005828E6" w:rsidRPr="003C2FE1">
        <w:t xml:space="preserve"> 36</w:t>
      </w:r>
      <w:r w:rsidR="005828E6" w:rsidRPr="003C2FE1">
        <w:noBreakHyphen/>
        <w:t xml:space="preserve">37 GHz </w:t>
      </w:r>
      <w:r w:rsidRPr="003C2FE1">
        <w:t>también está atribuida a título primario al SM y el SF, y las condiciones de coexistencia con el servicio de exploración de la Tierra por satélite (SETS) (pasivo) ya se contemplan en la Resolución</w:t>
      </w:r>
      <w:r w:rsidR="005828E6" w:rsidRPr="003C2FE1">
        <w:t> </w:t>
      </w:r>
      <w:r w:rsidR="005828E6" w:rsidRPr="003C2FE1">
        <w:rPr>
          <w:b/>
          <w:bCs/>
        </w:rPr>
        <w:t>752 (</w:t>
      </w:r>
      <w:r w:rsidRPr="003C2FE1">
        <w:rPr>
          <w:b/>
          <w:bCs/>
        </w:rPr>
        <w:t>CMR</w:t>
      </w:r>
      <w:r w:rsidR="005828E6" w:rsidRPr="003C2FE1">
        <w:rPr>
          <w:b/>
          <w:bCs/>
        </w:rPr>
        <w:noBreakHyphen/>
        <w:t>07)</w:t>
      </w:r>
      <w:r w:rsidR="005828E6" w:rsidRPr="003C2FE1">
        <w:t>.</w:t>
      </w:r>
    </w:p>
    <w:p w14:paraId="3C2F0D64" w14:textId="1C4A0F77" w:rsidR="005828E6" w:rsidRPr="003C2FE1" w:rsidRDefault="005828E6" w:rsidP="00B014D2">
      <w:pPr>
        <w:pStyle w:val="Heading2"/>
      </w:pPr>
      <w:r w:rsidRPr="003C2FE1">
        <w:t>2.3</w:t>
      </w:r>
      <w:r w:rsidRPr="003C2FE1">
        <w:tab/>
      </w:r>
      <w:r w:rsidR="004D73AE" w:rsidRPr="003C2FE1">
        <w:t>Margen de protección</w:t>
      </w:r>
    </w:p>
    <w:p w14:paraId="7421887F" w14:textId="7539B1EA" w:rsidR="005828E6" w:rsidRPr="003C2FE1" w:rsidRDefault="00D94779" w:rsidP="00B014D2">
      <w:r w:rsidRPr="003C2FE1">
        <w:t>Hay que decir que casi todos los estudios de compartición y compatibilidad realizados por el GTE</w:t>
      </w:r>
      <w:r w:rsidR="00F74E74" w:rsidRPr="003C2FE1">
        <w:t> </w:t>
      </w:r>
      <w:r w:rsidRPr="003C2FE1">
        <w:t>5/1 del UIT-R indican que hay un amplio margen para proteger los demás servicios de las</w:t>
      </w:r>
      <w:r w:rsidR="000C5CEF" w:rsidRPr="003C2FE1">
        <w:t xml:space="preserve"> </w:t>
      </w:r>
      <w:r w:rsidRPr="003C2FE1">
        <w:t>IMT</w:t>
      </w:r>
      <w:r w:rsidR="005828E6" w:rsidRPr="003C2FE1">
        <w:t>.</w:t>
      </w:r>
    </w:p>
    <w:p w14:paraId="457E6D44" w14:textId="1F5E0481" w:rsidR="005828E6" w:rsidRPr="003C2FE1" w:rsidRDefault="00D94779" w:rsidP="00B014D2">
      <w:r w:rsidRPr="003C2FE1">
        <w:t>De los estudios del UIT-R y el Informe de la RPC se desprende que hay un margen de protección suficiente para proteger las estaciones espaciales receptoras del servicio entre satélites (SES) y del servicio fijo por satélite (SFS) (Tierra-espacio) en la banda</w:t>
      </w:r>
      <w:r w:rsidR="005828E6" w:rsidRPr="003C2FE1">
        <w:t xml:space="preserve"> 24</w:t>
      </w:r>
      <w:r w:rsidRPr="003C2FE1">
        <w:t>,</w:t>
      </w:r>
      <w:r w:rsidR="005828E6" w:rsidRPr="003C2FE1">
        <w:t>25-27</w:t>
      </w:r>
      <w:r w:rsidRPr="003C2FE1">
        <w:t>,</w:t>
      </w:r>
      <w:r w:rsidR="005828E6" w:rsidRPr="003C2FE1">
        <w:t>5 GHz</w:t>
      </w:r>
      <w:r w:rsidRPr="003C2FE1">
        <w:t>. Por consiguiente, para la Condición A2e se ha de considerar la Opción 9, a saber, que no es necesario definir condiciones reglamentarias</w:t>
      </w:r>
      <w:r w:rsidR="005828E6" w:rsidRPr="003C2FE1">
        <w:t>.</w:t>
      </w:r>
    </w:p>
    <w:p w14:paraId="1E32B0BB" w14:textId="3C8311AD" w:rsidR="005828E6" w:rsidRPr="003C2FE1" w:rsidRDefault="00D94779" w:rsidP="00B014D2">
      <w:r w:rsidRPr="003C2FE1">
        <w:t xml:space="preserve">Para las demás condiciones del Método A2 se habrán de considerar las opciones que suponen no definir otras condiciones reglamentarias. Las condiciones operativas pueden imponerse mediante los requisitos técnicos de cada administración. Por consiguiente, estamos a favor de las opciones </w:t>
      </w:r>
      <w:r w:rsidR="00E27B22" w:rsidRPr="003C2FE1">
        <w:t>«</w:t>
      </w:r>
      <w:r w:rsidRPr="003C2FE1">
        <w:t>ninguna condición necesaria</w:t>
      </w:r>
      <w:r w:rsidR="00E27B22" w:rsidRPr="003C2FE1">
        <w:t>»</w:t>
      </w:r>
      <w:r w:rsidRPr="003C2FE1">
        <w:t xml:space="preserve"> para los Métodos</w:t>
      </w:r>
      <w:r w:rsidR="005828E6" w:rsidRPr="003C2FE1">
        <w:t xml:space="preserve"> A2, C2, D2 </w:t>
      </w:r>
      <w:r w:rsidRPr="003C2FE1">
        <w:t>y</w:t>
      </w:r>
      <w:r w:rsidR="005828E6" w:rsidRPr="003C2FE1">
        <w:t xml:space="preserve"> E2, </w:t>
      </w:r>
      <w:r w:rsidRPr="003C2FE1">
        <w:t>a excepción de la condición</w:t>
      </w:r>
      <w:r w:rsidR="005828E6" w:rsidRPr="003C2FE1">
        <w:t xml:space="preserve"> A2a </w:t>
      </w:r>
      <w:r w:rsidRPr="003C2FE1">
        <w:t>del Método</w:t>
      </w:r>
      <w:r w:rsidR="005828E6" w:rsidRPr="003C2FE1">
        <w:t xml:space="preserve"> A2.</w:t>
      </w:r>
    </w:p>
    <w:p w14:paraId="19B2C669" w14:textId="1C597B93" w:rsidR="005828E6" w:rsidRPr="003C2FE1" w:rsidRDefault="005828E6" w:rsidP="00B014D2">
      <w:pPr>
        <w:pStyle w:val="Heading1"/>
      </w:pPr>
      <w:r w:rsidRPr="003C2FE1">
        <w:t>3</w:t>
      </w:r>
      <w:r w:rsidRPr="003C2FE1">
        <w:tab/>
        <w:t>Prop</w:t>
      </w:r>
      <w:r w:rsidR="00D94779" w:rsidRPr="003C2FE1">
        <w:t>uestas</w:t>
      </w:r>
    </w:p>
    <w:p w14:paraId="7A7260C4" w14:textId="564722B6" w:rsidR="005828E6" w:rsidRPr="003C2FE1" w:rsidRDefault="00D94779" w:rsidP="00B014D2">
      <w:r w:rsidRPr="003C2FE1">
        <w:t>Para las siguientes Condiciones de los Puntos</w:t>
      </w:r>
      <w:r w:rsidR="005828E6" w:rsidRPr="003C2FE1">
        <w:t xml:space="preserve"> A, C, D </w:t>
      </w:r>
      <w:r w:rsidRPr="003C2FE1">
        <w:t>y</w:t>
      </w:r>
      <w:r w:rsidR="005828E6" w:rsidRPr="003C2FE1">
        <w:t xml:space="preserve"> E</w:t>
      </w:r>
      <w:r w:rsidRPr="003C2FE1">
        <w:t xml:space="preserve"> no es necesario tomar medida alguna de acuerdo con los resultados de los estudios de compartición y compatibilidad, que muestran que hay un amplio margen para la protección de los demás servicios</w:t>
      </w:r>
      <w:r w:rsidR="005828E6" w:rsidRPr="003C2FE1">
        <w:t>:</w:t>
      </w:r>
    </w:p>
    <w:p w14:paraId="10F72901" w14:textId="39C97C24" w:rsidR="005828E6" w:rsidRPr="003C2FE1" w:rsidRDefault="005828E6" w:rsidP="00B014D2">
      <w:pPr>
        <w:pStyle w:val="Heading2"/>
      </w:pPr>
      <w:r w:rsidRPr="003C2FE1">
        <w:t>3.1</w:t>
      </w:r>
      <w:r w:rsidRPr="003C2FE1">
        <w:tab/>
      </w:r>
      <w:r w:rsidR="00D94779" w:rsidRPr="003C2FE1">
        <w:t>Punto</w:t>
      </w:r>
      <w:r w:rsidRPr="003C2FE1">
        <w:t xml:space="preserve"> A: 24</w:t>
      </w:r>
      <w:r w:rsidR="00D94779" w:rsidRPr="003C2FE1">
        <w:t>,</w:t>
      </w:r>
      <w:r w:rsidRPr="003C2FE1">
        <w:t>25-27</w:t>
      </w:r>
      <w:r w:rsidR="00D94779" w:rsidRPr="003C2FE1">
        <w:t>,</w:t>
      </w:r>
      <w:r w:rsidRPr="003C2FE1">
        <w:t>5 GHz</w:t>
      </w:r>
    </w:p>
    <w:p w14:paraId="74ECD11E" w14:textId="005F5ACE" w:rsidR="005828E6" w:rsidRPr="003C2FE1" w:rsidRDefault="005828E6" w:rsidP="00B014D2">
      <w:pPr>
        <w:pStyle w:val="enumlev1"/>
      </w:pPr>
      <w:r w:rsidRPr="003C2FE1">
        <w:t>–</w:t>
      </w:r>
      <w:r w:rsidRPr="003C2FE1">
        <w:tab/>
      </w:r>
      <w:r w:rsidR="00D94779" w:rsidRPr="003C2FE1">
        <w:t>Condición</w:t>
      </w:r>
      <w:r w:rsidRPr="003C2FE1">
        <w:t xml:space="preserve"> A2c: </w:t>
      </w:r>
      <w:r w:rsidR="00D94779" w:rsidRPr="003C2FE1">
        <w:t>Opción</w:t>
      </w:r>
      <w:r w:rsidRPr="003C2FE1">
        <w:t xml:space="preserve"> 5 (</w:t>
      </w:r>
      <w:r w:rsidR="00D94779" w:rsidRPr="003C2FE1">
        <w:t>Ninguna condición necesaria</w:t>
      </w:r>
      <w:r w:rsidRPr="003C2FE1">
        <w:t>)</w:t>
      </w:r>
    </w:p>
    <w:p w14:paraId="3C1F7039" w14:textId="49C5AD44" w:rsidR="005828E6" w:rsidRPr="003C2FE1" w:rsidRDefault="005828E6" w:rsidP="00B014D2">
      <w:pPr>
        <w:pStyle w:val="enumlev1"/>
      </w:pPr>
      <w:r w:rsidRPr="003C2FE1">
        <w:t>–</w:t>
      </w:r>
      <w:r w:rsidRPr="003C2FE1">
        <w:tab/>
      </w:r>
      <w:r w:rsidR="00D94779" w:rsidRPr="003C2FE1">
        <w:t>Condición</w:t>
      </w:r>
      <w:r w:rsidRPr="003C2FE1">
        <w:t xml:space="preserve"> A2d: </w:t>
      </w:r>
      <w:r w:rsidR="00D94779" w:rsidRPr="003C2FE1">
        <w:t>Opción</w:t>
      </w:r>
      <w:r w:rsidRPr="003C2FE1">
        <w:t xml:space="preserve"> 4 (</w:t>
      </w:r>
      <w:r w:rsidR="00D94779" w:rsidRPr="003C2FE1">
        <w:t>Ninguna condición necesaria</w:t>
      </w:r>
      <w:r w:rsidRPr="003C2FE1">
        <w:t>)</w:t>
      </w:r>
    </w:p>
    <w:p w14:paraId="1D210C28" w14:textId="50F7F9FE" w:rsidR="005828E6" w:rsidRPr="003C2FE1" w:rsidRDefault="005828E6" w:rsidP="00B014D2">
      <w:pPr>
        <w:pStyle w:val="enumlev1"/>
      </w:pPr>
      <w:r w:rsidRPr="003C2FE1">
        <w:t>–</w:t>
      </w:r>
      <w:r w:rsidRPr="003C2FE1">
        <w:tab/>
      </w:r>
      <w:r w:rsidR="00D94779" w:rsidRPr="003C2FE1">
        <w:t>Condición</w:t>
      </w:r>
      <w:r w:rsidRPr="003C2FE1">
        <w:t xml:space="preserve"> A2e: </w:t>
      </w:r>
      <w:r w:rsidR="00D94779" w:rsidRPr="003C2FE1">
        <w:t>Opción</w:t>
      </w:r>
      <w:r w:rsidRPr="003C2FE1">
        <w:t xml:space="preserve"> 9 (</w:t>
      </w:r>
      <w:r w:rsidR="00D94779" w:rsidRPr="003C2FE1">
        <w:t>Ninguna condición necesaria</w:t>
      </w:r>
      <w:r w:rsidRPr="003C2FE1">
        <w:t>)</w:t>
      </w:r>
    </w:p>
    <w:p w14:paraId="17DC1F05" w14:textId="76807C77" w:rsidR="005828E6" w:rsidRPr="003C2FE1" w:rsidRDefault="005828E6" w:rsidP="00B014D2">
      <w:pPr>
        <w:pStyle w:val="enumlev1"/>
      </w:pPr>
      <w:r w:rsidRPr="003C2FE1">
        <w:t>–</w:t>
      </w:r>
      <w:r w:rsidRPr="003C2FE1">
        <w:tab/>
      </w:r>
      <w:r w:rsidR="00D94779" w:rsidRPr="003C2FE1">
        <w:t>Condición</w:t>
      </w:r>
      <w:r w:rsidRPr="003C2FE1">
        <w:t xml:space="preserve"> A2f: </w:t>
      </w:r>
      <w:r w:rsidR="00D94779" w:rsidRPr="003C2FE1">
        <w:t>Opción</w:t>
      </w:r>
      <w:r w:rsidRPr="003C2FE1">
        <w:t xml:space="preserve"> 3 (</w:t>
      </w:r>
      <w:r w:rsidR="00D94779" w:rsidRPr="003C2FE1">
        <w:t>Ninguna condición necesaria</w:t>
      </w:r>
      <w:r w:rsidRPr="003C2FE1">
        <w:t>)</w:t>
      </w:r>
    </w:p>
    <w:p w14:paraId="729EB70A" w14:textId="716DC750" w:rsidR="005828E6" w:rsidRPr="003C2FE1" w:rsidRDefault="005828E6" w:rsidP="00B014D2">
      <w:pPr>
        <w:pStyle w:val="enumlev1"/>
      </w:pPr>
      <w:r w:rsidRPr="003C2FE1">
        <w:t>–</w:t>
      </w:r>
      <w:r w:rsidRPr="003C2FE1">
        <w:tab/>
      </w:r>
      <w:r w:rsidR="00D94779" w:rsidRPr="003C2FE1">
        <w:t>Condición</w:t>
      </w:r>
      <w:r w:rsidRPr="003C2FE1">
        <w:t xml:space="preserve"> A2g: </w:t>
      </w:r>
      <w:r w:rsidR="00D94779" w:rsidRPr="003C2FE1">
        <w:t>Opción</w:t>
      </w:r>
      <w:r w:rsidRPr="003C2FE1">
        <w:t xml:space="preserve"> 5 (</w:t>
      </w:r>
      <w:r w:rsidR="00D94779" w:rsidRPr="003C2FE1">
        <w:t>Ninguna condición necesaria</w:t>
      </w:r>
      <w:r w:rsidRPr="003C2FE1">
        <w:t>)</w:t>
      </w:r>
    </w:p>
    <w:p w14:paraId="4DE0EBA0" w14:textId="4A4C893C" w:rsidR="005828E6" w:rsidRPr="003C2FE1" w:rsidRDefault="005828E6" w:rsidP="00B014D2">
      <w:pPr>
        <w:pStyle w:val="Heading2"/>
      </w:pPr>
      <w:r w:rsidRPr="003C2FE1">
        <w:t>3.2</w:t>
      </w:r>
      <w:r w:rsidRPr="003C2FE1">
        <w:tab/>
      </w:r>
      <w:r w:rsidR="00D94779" w:rsidRPr="003C2FE1">
        <w:t>Punto</w:t>
      </w:r>
      <w:r w:rsidRPr="003C2FE1">
        <w:t xml:space="preserve"> C: 37</w:t>
      </w:r>
      <w:r w:rsidR="00D94779" w:rsidRPr="003C2FE1">
        <w:t>,</w:t>
      </w:r>
      <w:r w:rsidRPr="003C2FE1">
        <w:t>0-40</w:t>
      </w:r>
      <w:r w:rsidR="00D94779" w:rsidRPr="003C2FE1">
        <w:t>,</w:t>
      </w:r>
      <w:r w:rsidRPr="003C2FE1">
        <w:t>5 GHz</w:t>
      </w:r>
    </w:p>
    <w:p w14:paraId="48BC2FAB" w14:textId="3ACCE1EF" w:rsidR="005828E6" w:rsidRPr="003C2FE1" w:rsidRDefault="005828E6" w:rsidP="00B014D2">
      <w:pPr>
        <w:pStyle w:val="enumlev1"/>
      </w:pPr>
      <w:r w:rsidRPr="003C2FE1">
        <w:t>–</w:t>
      </w:r>
      <w:r w:rsidRPr="003C2FE1">
        <w:tab/>
      </w:r>
      <w:r w:rsidR="00D94779" w:rsidRPr="003C2FE1">
        <w:t>Condición</w:t>
      </w:r>
      <w:r w:rsidRPr="003C2FE1">
        <w:t xml:space="preserve"> C2a: </w:t>
      </w:r>
      <w:r w:rsidR="00D94779" w:rsidRPr="003C2FE1">
        <w:t>Opción</w:t>
      </w:r>
      <w:r w:rsidRPr="003C2FE1">
        <w:t xml:space="preserve"> 2 (</w:t>
      </w:r>
      <w:r w:rsidR="00D94779" w:rsidRPr="003C2FE1">
        <w:t>Ninguna condición necesaria</w:t>
      </w:r>
      <w:r w:rsidRPr="003C2FE1">
        <w:t>)</w:t>
      </w:r>
    </w:p>
    <w:p w14:paraId="767D8517" w14:textId="7FDBE401" w:rsidR="005828E6" w:rsidRPr="003C2FE1" w:rsidRDefault="005828E6" w:rsidP="00B014D2">
      <w:pPr>
        <w:pStyle w:val="enumlev1"/>
      </w:pPr>
      <w:r w:rsidRPr="003C2FE1">
        <w:t>–</w:t>
      </w:r>
      <w:r w:rsidRPr="003C2FE1">
        <w:tab/>
      </w:r>
      <w:r w:rsidR="00D94779" w:rsidRPr="003C2FE1">
        <w:t>Condición</w:t>
      </w:r>
      <w:r w:rsidRPr="003C2FE1">
        <w:t xml:space="preserve"> C2b: </w:t>
      </w:r>
      <w:r w:rsidR="00D94779" w:rsidRPr="003C2FE1">
        <w:t>Opción</w:t>
      </w:r>
      <w:r w:rsidRPr="003C2FE1">
        <w:t xml:space="preserve"> 6 (</w:t>
      </w:r>
      <w:r w:rsidR="00D94779" w:rsidRPr="003C2FE1">
        <w:t>Ninguna condición necesaria</w:t>
      </w:r>
      <w:r w:rsidRPr="003C2FE1">
        <w:t>)</w:t>
      </w:r>
    </w:p>
    <w:p w14:paraId="4867B89E" w14:textId="3B112CA1" w:rsidR="005828E6" w:rsidRPr="003C2FE1" w:rsidRDefault="005828E6" w:rsidP="00B014D2">
      <w:pPr>
        <w:pStyle w:val="enumlev1"/>
      </w:pPr>
      <w:r w:rsidRPr="003C2FE1">
        <w:t>–</w:t>
      </w:r>
      <w:r w:rsidRPr="003C2FE1">
        <w:tab/>
      </w:r>
      <w:r w:rsidR="00D94779" w:rsidRPr="003C2FE1">
        <w:t>Condición</w:t>
      </w:r>
      <w:r w:rsidRPr="003C2FE1">
        <w:t xml:space="preserve"> C2c: </w:t>
      </w:r>
      <w:r w:rsidR="00D94779" w:rsidRPr="003C2FE1">
        <w:t>Opción</w:t>
      </w:r>
      <w:r w:rsidRPr="003C2FE1">
        <w:t xml:space="preserve"> 3 (</w:t>
      </w:r>
      <w:r w:rsidR="00D94779" w:rsidRPr="003C2FE1">
        <w:t>Ninguna condición necesaria</w:t>
      </w:r>
      <w:r w:rsidRPr="003C2FE1">
        <w:t>)</w:t>
      </w:r>
    </w:p>
    <w:p w14:paraId="4E226994" w14:textId="582B5436" w:rsidR="005828E6" w:rsidRPr="003C2FE1" w:rsidRDefault="005828E6" w:rsidP="00B014D2">
      <w:pPr>
        <w:pStyle w:val="enumlev1"/>
      </w:pPr>
      <w:r w:rsidRPr="003C2FE1">
        <w:t>–</w:t>
      </w:r>
      <w:r w:rsidRPr="003C2FE1">
        <w:tab/>
      </w:r>
      <w:r w:rsidR="00D94779" w:rsidRPr="003C2FE1">
        <w:t>Condición</w:t>
      </w:r>
      <w:r w:rsidRPr="003C2FE1">
        <w:t xml:space="preserve"> C2d: </w:t>
      </w:r>
      <w:r w:rsidR="00D94779" w:rsidRPr="003C2FE1">
        <w:t>Opción</w:t>
      </w:r>
      <w:r w:rsidRPr="003C2FE1">
        <w:t xml:space="preserve"> 2 (</w:t>
      </w:r>
      <w:r w:rsidR="00D94779" w:rsidRPr="003C2FE1">
        <w:t>Ninguna condición necesaria</w:t>
      </w:r>
      <w:r w:rsidRPr="003C2FE1">
        <w:t>)</w:t>
      </w:r>
    </w:p>
    <w:p w14:paraId="193926FD" w14:textId="70DC376C" w:rsidR="005828E6" w:rsidRPr="003C2FE1" w:rsidRDefault="005828E6" w:rsidP="00B014D2">
      <w:pPr>
        <w:pStyle w:val="enumlev1"/>
      </w:pPr>
      <w:r w:rsidRPr="003C2FE1">
        <w:t>–</w:t>
      </w:r>
      <w:r w:rsidRPr="003C2FE1">
        <w:tab/>
      </w:r>
      <w:r w:rsidR="00D94779" w:rsidRPr="003C2FE1">
        <w:t>Condición</w:t>
      </w:r>
      <w:r w:rsidRPr="003C2FE1">
        <w:t xml:space="preserve"> C2e: </w:t>
      </w:r>
      <w:r w:rsidR="00D94779" w:rsidRPr="003C2FE1">
        <w:t>Opción</w:t>
      </w:r>
      <w:r w:rsidRPr="003C2FE1">
        <w:t xml:space="preserve"> 3 (</w:t>
      </w:r>
      <w:r w:rsidR="00D94779" w:rsidRPr="003C2FE1">
        <w:t>Ninguna condición necesaria</w:t>
      </w:r>
      <w:r w:rsidRPr="003C2FE1">
        <w:t>)</w:t>
      </w:r>
    </w:p>
    <w:p w14:paraId="409971AE" w14:textId="29CEE956" w:rsidR="005828E6" w:rsidRPr="003C2FE1" w:rsidRDefault="005828E6" w:rsidP="00B014D2">
      <w:pPr>
        <w:pStyle w:val="Heading2"/>
      </w:pPr>
      <w:r w:rsidRPr="003C2FE1">
        <w:t>3.3</w:t>
      </w:r>
      <w:r w:rsidRPr="003C2FE1">
        <w:tab/>
      </w:r>
      <w:r w:rsidR="00D94779" w:rsidRPr="003C2FE1">
        <w:t>Punto</w:t>
      </w:r>
      <w:r w:rsidRPr="003C2FE1">
        <w:t xml:space="preserve"> D: 40</w:t>
      </w:r>
      <w:r w:rsidR="00D94779" w:rsidRPr="003C2FE1">
        <w:t>,</w:t>
      </w:r>
      <w:r w:rsidRPr="003C2FE1">
        <w:t>5-42</w:t>
      </w:r>
      <w:r w:rsidR="00D94779" w:rsidRPr="003C2FE1">
        <w:t>,</w:t>
      </w:r>
      <w:r w:rsidRPr="003C2FE1">
        <w:t>5 GHz</w:t>
      </w:r>
    </w:p>
    <w:p w14:paraId="59AAFBC6" w14:textId="037904EB" w:rsidR="005828E6" w:rsidRPr="003C2FE1" w:rsidRDefault="005828E6" w:rsidP="00B014D2">
      <w:pPr>
        <w:pStyle w:val="enumlev1"/>
      </w:pPr>
      <w:r w:rsidRPr="003C2FE1">
        <w:t>–</w:t>
      </w:r>
      <w:r w:rsidRPr="003C2FE1">
        <w:tab/>
      </w:r>
      <w:r w:rsidR="00D94779" w:rsidRPr="003C2FE1">
        <w:t>Condición</w:t>
      </w:r>
      <w:r w:rsidRPr="003C2FE1">
        <w:t xml:space="preserve"> D2a: </w:t>
      </w:r>
      <w:r w:rsidR="00D94779" w:rsidRPr="003C2FE1">
        <w:t>Opción</w:t>
      </w:r>
      <w:r w:rsidRPr="003C2FE1">
        <w:t xml:space="preserve"> 6 (</w:t>
      </w:r>
      <w:r w:rsidR="00D94779" w:rsidRPr="003C2FE1">
        <w:t>Ninguna condición necesaria</w:t>
      </w:r>
      <w:r w:rsidRPr="003C2FE1">
        <w:t>)</w:t>
      </w:r>
    </w:p>
    <w:p w14:paraId="0F89B36C" w14:textId="28350664" w:rsidR="005828E6" w:rsidRPr="003C2FE1" w:rsidRDefault="005828E6" w:rsidP="00B014D2">
      <w:pPr>
        <w:pStyle w:val="enumlev1"/>
      </w:pPr>
      <w:r w:rsidRPr="003C2FE1">
        <w:t>–</w:t>
      </w:r>
      <w:r w:rsidRPr="003C2FE1">
        <w:tab/>
      </w:r>
      <w:r w:rsidR="00D94779" w:rsidRPr="003C2FE1">
        <w:t>Condición</w:t>
      </w:r>
      <w:r w:rsidRPr="003C2FE1">
        <w:t xml:space="preserve"> D2b: </w:t>
      </w:r>
      <w:r w:rsidR="00D94779" w:rsidRPr="003C2FE1">
        <w:t>Opción</w:t>
      </w:r>
      <w:r w:rsidRPr="003C2FE1">
        <w:t xml:space="preserve"> 3 (</w:t>
      </w:r>
      <w:r w:rsidR="00D94779" w:rsidRPr="003C2FE1">
        <w:t>Ninguna condición necesaria</w:t>
      </w:r>
      <w:r w:rsidRPr="003C2FE1">
        <w:t>)</w:t>
      </w:r>
    </w:p>
    <w:p w14:paraId="30B4FD91" w14:textId="44D33083" w:rsidR="005828E6" w:rsidRPr="003C2FE1" w:rsidRDefault="005828E6" w:rsidP="00B014D2">
      <w:pPr>
        <w:pStyle w:val="enumlev1"/>
      </w:pPr>
      <w:r w:rsidRPr="003C2FE1">
        <w:t>–</w:t>
      </w:r>
      <w:r w:rsidRPr="003C2FE1">
        <w:tab/>
      </w:r>
      <w:r w:rsidR="00D94779" w:rsidRPr="003C2FE1">
        <w:t>Condición</w:t>
      </w:r>
      <w:r w:rsidRPr="003C2FE1">
        <w:t xml:space="preserve"> D2c: </w:t>
      </w:r>
      <w:r w:rsidR="00D94779" w:rsidRPr="003C2FE1">
        <w:t>Opción</w:t>
      </w:r>
      <w:r w:rsidRPr="003C2FE1">
        <w:t xml:space="preserve"> 3 (</w:t>
      </w:r>
      <w:r w:rsidR="00D94779" w:rsidRPr="003C2FE1">
        <w:t>Ninguna condición necesaria</w:t>
      </w:r>
      <w:r w:rsidRPr="003C2FE1">
        <w:t>)</w:t>
      </w:r>
    </w:p>
    <w:p w14:paraId="2A707A85" w14:textId="77FF98D9" w:rsidR="005828E6" w:rsidRPr="003C2FE1" w:rsidRDefault="005828E6" w:rsidP="00B014D2">
      <w:pPr>
        <w:pStyle w:val="Heading2"/>
      </w:pPr>
      <w:r w:rsidRPr="003C2FE1">
        <w:lastRenderedPageBreak/>
        <w:t>3.4</w:t>
      </w:r>
      <w:r w:rsidRPr="003C2FE1">
        <w:tab/>
      </w:r>
      <w:r w:rsidR="00D94779" w:rsidRPr="003C2FE1">
        <w:t>Punto</w:t>
      </w:r>
      <w:r w:rsidRPr="003C2FE1">
        <w:t xml:space="preserve"> E: 42</w:t>
      </w:r>
      <w:r w:rsidR="00D94779" w:rsidRPr="003C2FE1">
        <w:t>,</w:t>
      </w:r>
      <w:r w:rsidRPr="003C2FE1">
        <w:t>5-43</w:t>
      </w:r>
      <w:r w:rsidR="00D94779" w:rsidRPr="003C2FE1">
        <w:t>,</w:t>
      </w:r>
      <w:r w:rsidRPr="003C2FE1">
        <w:t>5 GHz</w:t>
      </w:r>
    </w:p>
    <w:p w14:paraId="381907CC" w14:textId="0C0DD0E7" w:rsidR="005828E6" w:rsidRPr="003C2FE1" w:rsidRDefault="005828E6" w:rsidP="00E27B22">
      <w:pPr>
        <w:pStyle w:val="enumlev1"/>
      </w:pPr>
      <w:r w:rsidRPr="003C2FE1">
        <w:t>–</w:t>
      </w:r>
      <w:r w:rsidRPr="003C2FE1">
        <w:tab/>
      </w:r>
      <w:r w:rsidR="00D94779" w:rsidRPr="003C2FE1">
        <w:t>Condición</w:t>
      </w:r>
      <w:r w:rsidRPr="003C2FE1">
        <w:t xml:space="preserve"> E2a: </w:t>
      </w:r>
      <w:r w:rsidR="00D94779" w:rsidRPr="003C2FE1">
        <w:t>Opción</w:t>
      </w:r>
      <w:r w:rsidRPr="003C2FE1">
        <w:t xml:space="preserve"> 7 (</w:t>
      </w:r>
      <w:r w:rsidR="00D94779" w:rsidRPr="003C2FE1">
        <w:t>Ninguna condición necesaria</w:t>
      </w:r>
      <w:r w:rsidRPr="003C2FE1">
        <w:t>)</w:t>
      </w:r>
    </w:p>
    <w:p w14:paraId="334D01E4" w14:textId="5DCE4DED" w:rsidR="005828E6" w:rsidRPr="003C2FE1" w:rsidRDefault="005828E6" w:rsidP="00E27B22">
      <w:pPr>
        <w:pStyle w:val="enumlev1"/>
      </w:pPr>
      <w:r w:rsidRPr="003C2FE1">
        <w:t>–</w:t>
      </w:r>
      <w:r w:rsidRPr="003C2FE1">
        <w:tab/>
      </w:r>
      <w:r w:rsidR="00D94779" w:rsidRPr="003C2FE1">
        <w:t>Condición</w:t>
      </w:r>
      <w:r w:rsidRPr="003C2FE1">
        <w:t xml:space="preserve"> E2b: </w:t>
      </w:r>
      <w:r w:rsidR="00D94779" w:rsidRPr="003C2FE1">
        <w:t>Opción</w:t>
      </w:r>
      <w:r w:rsidRPr="003C2FE1">
        <w:t xml:space="preserve"> 3 (</w:t>
      </w:r>
      <w:r w:rsidR="00D94779" w:rsidRPr="003C2FE1">
        <w:t>Ninguna condición necesaria</w:t>
      </w:r>
      <w:r w:rsidRPr="003C2FE1">
        <w:t>)</w:t>
      </w:r>
    </w:p>
    <w:p w14:paraId="2C4E4712" w14:textId="15946222" w:rsidR="005828E6" w:rsidRPr="003C2FE1" w:rsidRDefault="005828E6" w:rsidP="00E27B22">
      <w:pPr>
        <w:pStyle w:val="enumlev1"/>
      </w:pPr>
      <w:r w:rsidRPr="003C2FE1">
        <w:t>–</w:t>
      </w:r>
      <w:r w:rsidRPr="003C2FE1">
        <w:tab/>
      </w:r>
      <w:r w:rsidR="00D94779" w:rsidRPr="003C2FE1">
        <w:t>Condición</w:t>
      </w:r>
      <w:r w:rsidRPr="003C2FE1">
        <w:t xml:space="preserve"> E2c: </w:t>
      </w:r>
      <w:r w:rsidR="00D94779" w:rsidRPr="003C2FE1">
        <w:t>Opción</w:t>
      </w:r>
      <w:r w:rsidRPr="003C2FE1">
        <w:t xml:space="preserve"> 5 (</w:t>
      </w:r>
      <w:r w:rsidR="00D94779" w:rsidRPr="003C2FE1">
        <w:t>Ninguna condición necesaria</w:t>
      </w:r>
      <w:r w:rsidRPr="003C2FE1">
        <w:t>)</w:t>
      </w:r>
    </w:p>
    <w:p w14:paraId="52093CB4" w14:textId="336367E0" w:rsidR="005828E6" w:rsidRPr="003C2FE1" w:rsidRDefault="005828E6" w:rsidP="00E27B22">
      <w:pPr>
        <w:pStyle w:val="enumlev1"/>
      </w:pPr>
      <w:r w:rsidRPr="003C2FE1">
        <w:t>–</w:t>
      </w:r>
      <w:r w:rsidRPr="003C2FE1">
        <w:tab/>
      </w:r>
      <w:r w:rsidR="00D94779" w:rsidRPr="003C2FE1">
        <w:t>Condición</w:t>
      </w:r>
      <w:r w:rsidRPr="003C2FE1">
        <w:t xml:space="preserve"> E2d: </w:t>
      </w:r>
      <w:r w:rsidR="00D94779" w:rsidRPr="003C2FE1">
        <w:t>Opción</w:t>
      </w:r>
      <w:r w:rsidRPr="003C2FE1">
        <w:t xml:space="preserve"> 3 (</w:t>
      </w:r>
      <w:r w:rsidR="00D94779" w:rsidRPr="003C2FE1">
        <w:t>Ninguna condición necesaria</w:t>
      </w:r>
      <w:r w:rsidRPr="003C2FE1">
        <w:t>)</w:t>
      </w:r>
    </w:p>
    <w:p w14:paraId="476AA3F3" w14:textId="51759D47" w:rsidR="005828E6" w:rsidRPr="003C2FE1" w:rsidRDefault="005828E6" w:rsidP="00B014D2">
      <w:pPr>
        <w:pStyle w:val="Reasons"/>
      </w:pPr>
      <w:r w:rsidRPr="003C2FE1">
        <w:rPr>
          <w:b/>
        </w:rPr>
        <w:t>Motivos</w:t>
      </w:r>
      <w:r w:rsidRPr="003C2FE1">
        <w:rPr>
          <w:b/>
          <w:bCs/>
        </w:rPr>
        <w:t>:</w:t>
      </w:r>
      <w:r w:rsidRPr="003C2FE1">
        <w:rPr>
          <w:b/>
          <w:bCs/>
        </w:rPr>
        <w:tab/>
      </w:r>
      <w:r w:rsidR="00D94779" w:rsidRPr="003C2FE1">
        <w:t xml:space="preserve">No es necesario </w:t>
      </w:r>
      <w:r w:rsidR="00EB25C4" w:rsidRPr="003C2FE1">
        <w:t>tomar medidas pues los resultados de los estudios de compartición y compatibilidad muestran que hay un amplio margen para la protección de los demás servicios</w:t>
      </w:r>
      <w:r w:rsidRPr="003C2FE1">
        <w:t>.</w:t>
      </w:r>
    </w:p>
    <w:p w14:paraId="1780CD2C" w14:textId="77777777" w:rsidR="005828E6" w:rsidRPr="003C2FE1" w:rsidRDefault="005828E6" w:rsidP="00B4673D"/>
    <w:p w14:paraId="434BC49C" w14:textId="77777777" w:rsidR="005828E6" w:rsidRPr="003C2FE1" w:rsidRDefault="005828E6" w:rsidP="00B014D2">
      <w:pPr>
        <w:jc w:val="center"/>
      </w:pPr>
      <w:r w:rsidRPr="003C2FE1">
        <w:t>______________</w:t>
      </w:r>
    </w:p>
    <w:sectPr w:rsidR="005828E6" w:rsidRPr="003C2FE1">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5D0C8" w14:textId="77777777" w:rsidR="003C0613" w:rsidRDefault="003C0613">
      <w:r>
        <w:separator/>
      </w:r>
    </w:p>
  </w:endnote>
  <w:endnote w:type="continuationSeparator" w:id="0">
    <w:p w14:paraId="7563E6D1"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205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E1D5DD" w14:textId="3B0E5D52" w:rsidR="0077084A" w:rsidRPr="002429BC" w:rsidRDefault="0077084A">
    <w:pPr>
      <w:ind w:right="360"/>
    </w:pPr>
    <w:r>
      <w:fldChar w:fldCharType="begin"/>
    </w:r>
    <w:r w:rsidRPr="002429BC">
      <w:instrText xml:space="preserve"> FILENAME \p  \* MERGEFORMAT </w:instrText>
    </w:r>
    <w:r>
      <w:fldChar w:fldCharType="separate"/>
    </w:r>
    <w:r w:rsidR="003C2FE1">
      <w:rPr>
        <w:noProof/>
      </w:rPr>
      <w:t>P:\ESP\ITU-R\CONF-R\CMR19\000\073S.docx</w:t>
    </w:r>
    <w:r>
      <w:fldChar w:fldCharType="end"/>
    </w:r>
    <w:r w:rsidRPr="002429BC">
      <w:tab/>
    </w:r>
    <w:r>
      <w:fldChar w:fldCharType="begin"/>
    </w:r>
    <w:r>
      <w:instrText xml:space="preserve"> SAVEDATE \@ DD.MM.YY </w:instrText>
    </w:r>
    <w:r>
      <w:fldChar w:fldCharType="separate"/>
    </w:r>
    <w:r w:rsidR="003C2FE1">
      <w:rPr>
        <w:noProof/>
      </w:rPr>
      <w:t>25.10.19</w:t>
    </w:r>
    <w:r>
      <w:fldChar w:fldCharType="end"/>
    </w:r>
    <w:r w:rsidRPr="002429BC">
      <w:tab/>
    </w:r>
    <w:r>
      <w:fldChar w:fldCharType="begin"/>
    </w:r>
    <w:r>
      <w:instrText xml:space="preserve"> PRINTDATE \@ DD.MM.YY </w:instrText>
    </w:r>
    <w:r>
      <w:fldChar w:fldCharType="separate"/>
    </w:r>
    <w:r w:rsidR="003C2FE1">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CD57" w14:textId="0C069B8A" w:rsidR="00174454" w:rsidRDefault="00174454" w:rsidP="00174454">
    <w:pPr>
      <w:pStyle w:val="Footer"/>
      <w:rPr>
        <w:lang w:val="en-US"/>
      </w:rPr>
    </w:pPr>
    <w:r>
      <w:fldChar w:fldCharType="begin"/>
    </w:r>
    <w:r>
      <w:rPr>
        <w:lang w:val="en-US"/>
      </w:rPr>
      <w:instrText xml:space="preserve"> FILENAME \p  \* MERGEFORMAT </w:instrText>
    </w:r>
    <w:r>
      <w:fldChar w:fldCharType="separate"/>
    </w:r>
    <w:r w:rsidR="003C2FE1">
      <w:rPr>
        <w:lang w:val="en-US"/>
      </w:rPr>
      <w:t>P:\ESP\ITU-R\CONF-R\CMR19\000\073S.docx</w:t>
    </w:r>
    <w:r>
      <w:fldChar w:fldCharType="end"/>
    </w:r>
    <w:r w:rsidRPr="00BD7BCF">
      <w:rPr>
        <w:lang w:val="en-US"/>
      </w:rPr>
      <w:t xml:space="preserve"> (462133)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09A50" w14:textId="6445BFF1"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3C2FE1">
      <w:rPr>
        <w:lang w:val="en-US"/>
      </w:rPr>
      <w:t>P:\ESP\ITU-R\CONF-R\CMR19\000\073S.docx</w:t>
    </w:r>
    <w:r>
      <w:fldChar w:fldCharType="end"/>
    </w:r>
    <w:r w:rsidR="00174454" w:rsidRPr="00BD7BCF">
      <w:rPr>
        <w:lang w:val="en-US"/>
      </w:rPr>
      <w:t xml:space="preserve"> (462133)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CA0C" w14:textId="77777777" w:rsidR="003C0613" w:rsidRDefault="003C0613">
      <w:r>
        <w:rPr>
          <w:b/>
        </w:rPr>
        <w:t>_______________</w:t>
      </w:r>
    </w:p>
  </w:footnote>
  <w:footnote w:type="continuationSeparator" w:id="0">
    <w:p w14:paraId="229F645A"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0526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B76E5E2" w14:textId="77777777" w:rsidR="0077084A" w:rsidRDefault="008750A8" w:rsidP="00C44E9E">
    <w:pPr>
      <w:pStyle w:val="Header"/>
      <w:rPr>
        <w:lang w:val="en-US"/>
      </w:rPr>
    </w:pPr>
    <w:r>
      <w:rPr>
        <w:lang w:val="en-US"/>
      </w:rPr>
      <w:t>CMR1</w:t>
    </w:r>
    <w:r w:rsidR="00C44E9E">
      <w:rPr>
        <w:lang w:val="en-US"/>
      </w:rPr>
      <w:t>9</w:t>
    </w:r>
    <w:r>
      <w:rPr>
        <w:lang w:val="en-US"/>
      </w:rPr>
      <w:t>/</w:t>
    </w:r>
    <w:r w:rsidR="00702F3D">
      <w:t>73-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C5CEF"/>
    <w:rsid w:val="000E5BF9"/>
    <w:rsid w:val="000F0E6D"/>
    <w:rsid w:val="00116880"/>
    <w:rsid w:val="00121170"/>
    <w:rsid w:val="00123CC5"/>
    <w:rsid w:val="0015142D"/>
    <w:rsid w:val="001616DC"/>
    <w:rsid w:val="00163962"/>
    <w:rsid w:val="00174454"/>
    <w:rsid w:val="00191A97"/>
    <w:rsid w:val="00192ED3"/>
    <w:rsid w:val="0019729C"/>
    <w:rsid w:val="001A083F"/>
    <w:rsid w:val="001C41FA"/>
    <w:rsid w:val="001E2B52"/>
    <w:rsid w:val="001E3F27"/>
    <w:rsid w:val="001E7D42"/>
    <w:rsid w:val="0023659C"/>
    <w:rsid w:val="00236D2A"/>
    <w:rsid w:val="002429BC"/>
    <w:rsid w:val="0024569E"/>
    <w:rsid w:val="00255F12"/>
    <w:rsid w:val="00262C09"/>
    <w:rsid w:val="002A791F"/>
    <w:rsid w:val="002C1A52"/>
    <w:rsid w:val="002C1B26"/>
    <w:rsid w:val="002C5D6C"/>
    <w:rsid w:val="002E701F"/>
    <w:rsid w:val="003248A9"/>
    <w:rsid w:val="00324FFA"/>
    <w:rsid w:val="0032680B"/>
    <w:rsid w:val="00335E0C"/>
    <w:rsid w:val="00363A65"/>
    <w:rsid w:val="003B1E8C"/>
    <w:rsid w:val="003B61D9"/>
    <w:rsid w:val="003C0613"/>
    <w:rsid w:val="003C2508"/>
    <w:rsid w:val="003C2FE1"/>
    <w:rsid w:val="003D0AA3"/>
    <w:rsid w:val="003E2086"/>
    <w:rsid w:val="003F7F66"/>
    <w:rsid w:val="00440B3A"/>
    <w:rsid w:val="0044375A"/>
    <w:rsid w:val="0045384C"/>
    <w:rsid w:val="00454553"/>
    <w:rsid w:val="00472A86"/>
    <w:rsid w:val="004B124A"/>
    <w:rsid w:val="004B3095"/>
    <w:rsid w:val="004D2C7C"/>
    <w:rsid w:val="004D73AE"/>
    <w:rsid w:val="005133B5"/>
    <w:rsid w:val="00524392"/>
    <w:rsid w:val="00532097"/>
    <w:rsid w:val="00571F1C"/>
    <w:rsid w:val="005828E6"/>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4F37"/>
    <w:rsid w:val="007952C7"/>
    <w:rsid w:val="007C0B95"/>
    <w:rsid w:val="007C2317"/>
    <w:rsid w:val="007D330A"/>
    <w:rsid w:val="00866AE6"/>
    <w:rsid w:val="008750A8"/>
    <w:rsid w:val="00896E05"/>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014D2"/>
    <w:rsid w:val="00B225B5"/>
    <w:rsid w:val="00B239FA"/>
    <w:rsid w:val="00B372AB"/>
    <w:rsid w:val="00B4673D"/>
    <w:rsid w:val="00B47331"/>
    <w:rsid w:val="00B52D55"/>
    <w:rsid w:val="00B8288C"/>
    <w:rsid w:val="00B86034"/>
    <w:rsid w:val="00BD7BCF"/>
    <w:rsid w:val="00BE2E80"/>
    <w:rsid w:val="00BE5EDD"/>
    <w:rsid w:val="00BE6A1F"/>
    <w:rsid w:val="00C126C4"/>
    <w:rsid w:val="00C44E9E"/>
    <w:rsid w:val="00C63EB5"/>
    <w:rsid w:val="00C87DA7"/>
    <w:rsid w:val="00C9275F"/>
    <w:rsid w:val="00CC01E0"/>
    <w:rsid w:val="00CD2014"/>
    <w:rsid w:val="00CD5FEE"/>
    <w:rsid w:val="00CE5A11"/>
    <w:rsid w:val="00CE60D2"/>
    <w:rsid w:val="00CE7431"/>
    <w:rsid w:val="00D00CA8"/>
    <w:rsid w:val="00D0288A"/>
    <w:rsid w:val="00D1572A"/>
    <w:rsid w:val="00D22950"/>
    <w:rsid w:val="00D72A5D"/>
    <w:rsid w:val="00D94779"/>
    <w:rsid w:val="00DA71A3"/>
    <w:rsid w:val="00DC629B"/>
    <w:rsid w:val="00DE1C31"/>
    <w:rsid w:val="00E05BFF"/>
    <w:rsid w:val="00E262F1"/>
    <w:rsid w:val="00E27B22"/>
    <w:rsid w:val="00E3176A"/>
    <w:rsid w:val="00E36CE4"/>
    <w:rsid w:val="00E54754"/>
    <w:rsid w:val="00E56BD3"/>
    <w:rsid w:val="00E71D14"/>
    <w:rsid w:val="00EA77F0"/>
    <w:rsid w:val="00EB25C4"/>
    <w:rsid w:val="00F32316"/>
    <w:rsid w:val="00F66597"/>
    <w:rsid w:val="00F675D0"/>
    <w:rsid w:val="00F715BB"/>
    <w:rsid w:val="00F74E74"/>
    <w:rsid w:val="00F8150C"/>
    <w:rsid w:val="00FD03C4"/>
    <w:rsid w:val="00FE4574"/>
    <w:rsid w:val="00FF70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6D15B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nhideWhenUsed/>
    <w:rsid w:val="005828E6"/>
    <w:rPr>
      <w:color w:val="0000FF" w:themeColor="hyperlink"/>
      <w:u w:val="single"/>
    </w:rPr>
  </w:style>
  <w:style w:type="character" w:styleId="UnresolvedMention">
    <w:name w:val="Unresolved Mention"/>
    <w:basedOn w:val="DefaultParagraphFont"/>
    <w:uiPriority w:val="99"/>
    <w:semiHidden/>
    <w:unhideWhenUsed/>
    <w:rsid w:val="005828E6"/>
    <w:rPr>
      <w:color w:val="605E5C"/>
      <w:shd w:val="clear" w:color="auto" w:fill="E1DFDD"/>
    </w:rPr>
  </w:style>
  <w:style w:type="paragraph" w:styleId="BalloonText">
    <w:name w:val="Balloon Text"/>
    <w:basedOn w:val="Normal"/>
    <w:link w:val="BalloonTextChar"/>
    <w:semiHidden/>
    <w:unhideWhenUsed/>
    <w:rsid w:val="00571F1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71F1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458EA22C-46D9-4D43-9DCD-A980E2B1BA99}">
  <ds:schemaRefs>
    <ds:schemaRef ds:uri="32a1a8c5-2265-4ebc-b7a0-2071e2c5c9bb"/>
    <ds:schemaRef ds:uri="http://schemas.microsoft.com/office/2006/documentManagement/types"/>
    <ds:schemaRef ds:uri="http://purl.org/dc/dcmitype/"/>
    <ds:schemaRef ds:uri="http://purl.org/dc/elements/1.1/"/>
    <ds:schemaRef ds:uri="http://schemas.openxmlformats.org/package/2006/metadata/core-properties"/>
    <ds:schemaRef ds:uri="996b2e75-67fd-4955-a3b0-5ab9934cb50b"/>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BBFB09-BCFD-4759-8A20-02F65A29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750</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R16-WRC19-C-0073!!MSW-S</vt:lpstr>
    </vt:vector>
  </TitlesOfParts>
  <Manager>Secretaría General - Pool</Manager>
  <Company>Unión Internacional de Telecomunicaciones (UIT)</Company>
  <LinksUpToDate>false</LinksUpToDate>
  <CharactersWithSpaces>5040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R16-WRC19-C-0073!!MSW-S</dc:title>
  <dc:subject>Conferencia Mundial de Radiocomunicaciones - 2019</dc:subject>
  <dc:creator>Documents Proposals Manager (DPM)</dc:creator>
  <cp:keywords>DPM_v2019.10.8.1_prod</cp:keywords>
  <dc:description/>
  <cp:lastModifiedBy>Spanish</cp:lastModifiedBy>
  <cp:revision>15</cp:revision>
  <cp:lastPrinted>2019-10-25T00:13:00Z</cp:lastPrinted>
  <dcterms:created xsi:type="dcterms:W3CDTF">2019-10-24T18:28:00Z</dcterms:created>
  <dcterms:modified xsi:type="dcterms:W3CDTF">2019-10-25T00:19:00Z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