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90125" w14:paraId="26973749" w14:textId="77777777" w:rsidTr="00E60C93">
        <w:trPr>
          <w:cantSplit/>
        </w:trPr>
        <w:tc>
          <w:tcPr>
            <w:tcW w:w="6521" w:type="dxa"/>
          </w:tcPr>
          <w:p w14:paraId="466FB4BD" w14:textId="6B633054" w:rsidR="005651C9" w:rsidRPr="00690125" w:rsidRDefault="00E65919" w:rsidP="001863F2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012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90125">
              <w:rPr>
                <w:rFonts w:ascii="Verdana" w:hAnsi="Verdana"/>
                <w:b/>
                <w:bCs/>
                <w:szCs w:val="22"/>
              </w:rPr>
              <w:t>9</w:t>
            </w:r>
            <w:r w:rsidRPr="00690125">
              <w:rPr>
                <w:rFonts w:ascii="Verdana" w:hAnsi="Verdana"/>
                <w:b/>
                <w:bCs/>
                <w:szCs w:val="22"/>
              </w:rPr>
              <w:t>)</w:t>
            </w:r>
            <w:r w:rsidRPr="0069012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9012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9012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012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9012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</w:t>
            </w:r>
            <w:r w:rsidR="001863F2" w:rsidRPr="0069012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 </w:t>
            </w:r>
            <w:r w:rsidR="00F65316" w:rsidRPr="0069012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октября – 22</w:t>
            </w:r>
            <w:r w:rsidR="001863F2" w:rsidRPr="0069012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 </w:t>
            </w:r>
            <w:r w:rsidR="00F65316" w:rsidRPr="0069012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ноября 2019</w:t>
            </w:r>
            <w:r w:rsidR="001863F2" w:rsidRPr="0069012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 </w:t>
            </w:r>
            <w:r w:rsidR="00F65316" w:rsidRPr="0069012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3510" w:type="dxa"/>
          </w:tcPr>
          <w:p w14:paraId="46758C61" w14:textId="77777777" w:rsidR="005651C9" w:rsidRPr="00690125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90125">
              <w:rPr>
                <w:szCs w:val="22"/>
                <w:lang w:eastAsia="ru-RU"/>
              </w:rPr>
              <w:drawing>
                <wp:inline distT="0" distB="0" distL="0" distR="0" wp14:anchorId="27B0AF1C" wp14:editId="403A9B6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90125" w14:paraId="56E481E7" w14:textId="77777777" w:rsidTr="00E60C9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230C164" w14:textId="77777777" w:rsidR="005651C9" w:rsidRPr="0069012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377D2F2" w14:textId="77777777" w:rsidR="005651C9" w:rsidRPr="0069012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90125" w14:paraId="08CE6124" w14:textId="77777777" w:rsidTr="00E60C9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7585BA7" w14:textId="77777777" w:rsidR="005651C9" w:rsidRPr="0069012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3C0DC40" w14:textId="77777777" w:rsidR="005651C9" w:rsidRPr="0069012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90125" w14:paraId="3AFCF013" w14:textId="77777777" w:rsidTr="00E60C93">
        <w:trPr>
          <w:cantSplit/>
        </w:trPr>
        <w:tc>
          <w:tcPr>
            <w:tcW w:w="6521" w:type="dxa"/>
          </w:tcPr>
          <w:p w14:paraId="7071460B" w14:textId="77777777" w:rsidR="005651C9" w:rsidRPr="0069012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9012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498F507" w14:textId="77777777" w:rsidR="005651C9" w:rsidRPr="0069012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9012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69012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75</w:t>
            </w:r>
            <w:r w:rsidR="005651C9" w:rsidRPr="0069012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9012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90125" w14:paraId="5E3CA809" w14:textId="77777777" w:rsidTr="00E60C93">
        <w:trPr>
          <w:cantSplit/>
        </w:trPr>
        <w:tc>
          <w:tcPr>
            <w:tcW w:w="6521" w:type="dxa"/>
          </w:tcPr>
          <w:p w14:paraId="1492DD46" w14:textId="77777777" w:rsidR="000F33D8" w:rsidRPr="006901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13F8E22" w14:textId="50F73C46" w:rsidR="000F33D8" w:rsidRPr="00690125" w:rsidRDefault="000F33D8" w:rsidP="001863F2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012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1863F2" w:rsidRPr="00690125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Pr="00690125">
              <w:rPr>
                <w:rFonts w:ascii="Verdana" w:hAnsi="Verdana"/>
                <w:b/>
                <w:bCs/>
                <w:sz w:val="18"/>
                <w:szCs w:val="18"/>
              </w:rPr>
              <w:t>октября 2019</w:t>
            </w:r>
            <w:r w:rsidR="001863F2" w:rsidRPr="00690125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Pr="00690125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690125" w14:paraId="7DD652BB" w14:textId="77777777" w:rsidTr="00E60C93">
        <w:trPr>
          <w:cantSplit/>
        </w:trPr>
        <w:tc>
          <w:tcPr>
            <w:tcW w:w="6521" w:type="dxa"/>
          </w:tcPr>
          <w:p w14:paraId="58073A82" w14:textId="77777777" w:rsidR="000F33D8" w:rsidRPr="006901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85C73E1" w14:textId="77777777" w:rsidR="000F33D8" w:rsidRPr="0069012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012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90125" w14:paraId="437D199B" w14:textId="77777777" w:rsidTr="009546EA">
        <w:trPr>
          <w:cantSplit/>
        </w:trPr>
        <w:tc>
          <w:tcPr>
            <w:tcW w:w="10031" w:type="dxa"/>
            <w:gridSpan w:val="2"/>
          </w:tcPr>
          <w:p w14:paraId="2230C187" w14:textId="77777777" w:rsidR="000F33D8" w:rsidRPr="0069012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90125" w14:paraId="51748CBE" w14:textId="77777777">
        <w:trPr>
          <w:cantSplit/>
        </w:trPr>
        <w:tc>
          <w:tcPr>
            <w:tcW w:w="10031" w:type="dxa"/>
            <w:gridSpan w:val="2"/>
          </w:tcPr>
          <w:p w14:paraId="314C26AD" w14:textId="3E175FED" w:rsidR="000F33D8" w:rsidRPr="0069012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90125">
              <w:rPr>
                <w:szCs w:val="26"/>
              </w:rPr>
              <w:t xml:space="preserve">Самоа (Независимое </w:t>
            </w:r>
            <w:r w:rsidR="00690125" w:rsidRPr="00690125">
              <w:rPr>
                <w:szCs w:val="26"/>
              </w:rPr>
              <w:t>Государство</w:t>
            </w:r>
            <w:r w:rsidRPr="00690125">
              <w:rPr>
                <w:szCs w:val="26"/>
              </w:rPr>
              <w:t>)</w:t>
            </w:r>
          </w:p>
        </w:tc>
      </w:tr>
      <w:tr w:rsidR="000F33D8" w:rsidRPr="00690125" w14:paraId="124B62A7" w14:textId="77777777">
        <w:trPr>
          <w:cantSplit/>
        </w:trPr>
        <w:tc>
          <w:tcPr>
            <w:tcW w:w="10031" w:type="dxa"/>
            <w:gridSpan w:val="2"/>
          </w:tcPr>
          <w:p w14:paraId="7F484350" w14:textId="77777777" w:rsidR="000F33D8" w:rsidRPr="00690125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9012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90125" w14:paraId="37BE3525" w14:textId="77777777">
        <w:trPr>
          <w:cantSplit/>
        </w:trPr>
        <w:tc>
          <w:tcPr>
            <w:tcW w:w="10031" w:type="dxa"/>
            <w:gridSpan w:val="2"/>
          </w:tcPr>
          <w:p w14:paraId="71146D9E" w14:textId="77777777" w:rsidR="000F33D8" w:rsidRPr="0069012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90125" w14:paraId="652F0D01" w14:textId="77777777">
        <w:trPr>
          <w:cantSplit/>
        </w:trPr>
        <w:tc>
          <w:tcPr>
            <w:tcW w:w="10031" w:type="dxa"/>
            <w:gridSpan w:val="2"/>
          </w:tcPr>
          <w:p w14:paraId="170991E7" w14:textId="77777777" w:rsidR="000F33D8" w:rsidRPr="0069012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90125">
              <w:rPr>
                <w:lang w:val="ru-RU"/>
              </w:rPr>
              <w:t>Пункт 1.13 повестки дня</w:t>
            </w:r>
          </w:p>
        </w:tc>
      </w:tr>
    </w:tbl>
    <w:bookmarkEnd w:id="7"/>
    <w:p w14:paraId="5912C125" w14:textId="60B9C8A6" w:rsidR="00D51940" w:rsidRPr="00690125" w:rsidRDefault="00165849" w:rsidP="000878E6">
      <w:pPr>
        <w:rPr>
          <w:szCs w:val="22"/>
        </w:rPr>
      </w:pPr>
      <w:r w:rsidRPr="00690125">
        <w:t>1.13</w:t>
      </w:r>
      <w:r w:rsidRPr="00690125">
        <w:tab/>
      </w:r>
      <w:r w:rsidR="009B00E7" w:rsidRPr="00690125">
        <w:t xml:space="preserve">Рассмотреть </w:t>
      </w:r>
      <w:r w:rsidRPr="00690125">
        <w:t>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690125">
        <w:rPr>
          <w:b/>
          <w:bCs/>
        </w:rPr>
        <w:t>238 (ВКР-15)</w:t>
      </w:r>
      <w:r w:rsidR="009B00E7" w:rsidRPr="00690125">
        <w:t>.</w:t>
      </w:r>
    </w:p>
    <w:p w14:paraId="50A44DF3" w14:textId="1A81BFBB" w:rsidR="00E60C93" w:rsidRPr="00690125" w:rsidRDefault="00E60C93" w:rsidP="00E60C93">
      <w:pPr>
        <w:pStyle w:val="Heading1"/>
        <w:rPr>
          <w:sz w:val="24"/>
        </w:rPr>
      </w:pPr>
      <w:r w:rsidRPr="00690125">
        <w:t>1</w:t>
      </w:r>
      <w:r w:rsidRPr="00690125">
        <w:tab/>
      </w:r>
      <w:r w:rsidR="001863F2" w:rsidRPr="00690125">
        <w:t>Общая информация</w:t>
      </w:r>
    </w:p>
    <w:p w14:paraId="4A4F315A" w14:textId="39AC3371" w:rsidR="00E60C93" w:rsidRPr="00690125" w:rsidRDefault="001863F2" w:rsidP="00041012">
      <w:r w:rsidRPr="00690125">
        <w:t xml:space="preserve">Пункт 1.13 повестки дня предусматривает изучение </w:t>
      </w:r>
      <w:r w:rsidR="00811635" w:rsidRPr="00690125">
        <w:t xml:space="preserve">спектра общим объемом </w:t>
      </w:r>
      <w:r w:rsidRPr="00690125">
        <w:t xml:space="preserve">33 ГГц в </w:t>
      </w:r>
      <w:r w:rsidR="00811635" w:rsidRPr="00690125">
        <w:t xml:space="preserve">полосах частот </w:t>
      </w:r>
      <w:r w:rsidRPr="00690125">
        <w:t xml:space="preserve">от 24,25 ГГц до 86 ГГц, многие из которых распределены спутниковым службам на равной первичной основе. В некоторых из этих полос уже сегодня успешно работают спутниковые системы или же они запланированы для будущих спутниковых систем. В связи с этим следует тщательно изучить </w:t>
      </w:r>
      <w:r w:rsidR="009B00E7" w:rsidRPr="00690125">
        <w:t xml:space="preserve">вопрос </w:t>
      </w:r>
      <w:r w:rsidRPr="00690125">
        <w:t>о полосах частот, определяемых для Международной подвижной электросвязи (IMT) в соответствии с пунктом 1.13 повестки дня, чтобы обеспечить услуги 5G IMT теми спектральными ресурсами, которые им реально необходимы, не ставя под угрозу работу существующих спутниковых систем и инвестиции, сделанные в эти полосы частот.</w:t>
      </w:r>
    </w:p>
    <w:p w14:paraId="5B252DE0" w14:textId="789FA8C9" w:rsidR="00E60C93" w:rsidRPr="00690125" w:rsidRDefault="00E60C93" w:rsidP="00D404B0">
      <w:pPr>
        <w:pStyle w:val="Headingb"/>
        <w:ind w:left="794" w:hanging="794"/>
        <w:rPr>
          <w:lang w:val="ru-RU"/>
        </w:rPr>
      </w:pPr>
      <w:r w:rsidRPr="00690125">
        <w:rPr>
          <w:lang w:val="ru-RU"/>
        </w:rPr>
        <w:t>i)</w:t>
      </w:r>
      <w:r w:rsidRPr="00690125">
        <w:rPr>
          <w:lang w:val="ru-RU"/>
        </w:rPr>
        <w:tab/>
      </w:r>
      <w:r w:rsidR="001863F2" w:rsidRPr="00690125">
        <w:rPr>
          <w:lang w:val="ru-RU"/>
        </w:rPr>
        <w:t>Спутниковые системы способствуют обеспечению универсальной возможности установления соединений, развертыванию сетей 5G и инновациям</w:t>
      </w:r>
    </w:p>
    <w:p w14:paraId="7365AD59" w14:textId="66E934F4" w:rsidR="00E60C93" w:rsidRPr="00690125" w:rsidRDefault="001863F2" w:rsidP="00BB0573">
      <w:r w:rsidRPr="00690125">
        <w:t>На протяжении десятилетий спутниковые системы обеспечивают насущную возможность установления соединений в островных государствах Тихого океана и других частях Азиатско-Тихоокеанского региона. Даже с учетом расширения подводных кабельных систем в Тихом океане некоторые страны региона не обеспечены связью по волоконно-оптическим каналам или обеспечены е</w:t>
      </w:r>
      <w:r w:rsidR="009B00E7" w:rsidRPr="00690125">
        <w:t>ю</w:t>
      </w:r>
      <w:r w:rsidRPr="00690125">
        <w:t xml:space="preserve"> в недостаточной степени. Поэтому спутниковые системы играют важную роль в повышении качества жизни населения островных государств Тихого океана и Азиатско-Тихоокеанского региона в целом. Например, с помощью спутниковых систем операторы сетей подвижной связи во всем регионе могут экономически эффективным способом довести свои сети 3G и 4G до необслуживаемых и обслуживаемых в недостаточной степени районов, в том числе на территории Индонезии, Мьянмы, Пакистана, Папуа</w:t>
      </w:r>
      <w:r w:rsidR="00D404B0" w:rsidRPr="00690125">
        <w:t>-</w:t>
      </w:r>
      <w:r w:rsidRPr="00690125">
        <w:t xml:space="preserve">Новой Гвинеи и других островных государств Тихого океана. Кроме того, спутниковые системы вносят вклад в экономическое благополучие региона, предоставляя доступ к сетям связи для </w:t>
      </w:r>
      <w:bookmarkStart w:id="8" w:name="_GoBack"/>
      <w:bookmarkEnd w:id="8"/>
      <w:r w:rsidRPr="00690125">
        <w:t xml:space="preserve">следующих отраслей: i) туризм, </w:t>
      </w:r>
      <w:proofErr w:type="spellStart"/>
      <w:r w:rsidRPr="00690125">
        <w:t>ресурсодобывающий</w:t>
      </w:r>
      <w:proofErr w:type="spellEnd"/>
      <w:r w:rsidRPr="00690125">
        <w:t xml:space="preserve"> и нефтегазовый секторы; </w:t>
      </w:r>
      <w:proofErr w:type="spellStart"/>
      <w:r w:rsidRPr="00690125">
        <w:t>ii</w:t>
      </w:r>
      <w:proofErr w:type="spellEnd"/>
      <w:r w:rsidRPr="00690125">
        <w:t xml:space="preserve">) банковские услуги; </w:t>
      </w:r>
      <w:proofErr w:type="spellStart"/>
      <w:r w:rsidRPr="00690125">
        <w:t>iii</w:t>
      </w:r>
      <w:proofErr w:type="spellEnd"/>
      <w:r w:rsidRPr="00690125">
        <w:t xml:space="preserve">) проведение операций по оказанию помощи в случае бедствий; </w:t>
      </w:r>
      <w:proofErr w:type="spellStart"/>
      <w:r w:rsidRPr="00690125">
        <w:t>iv</w:t>
      </w:r>
      <w:proofErr w:type="spellEnd"/>
      <w:r w:rsidRPr="00690125">
        <w:t>) надзор и контроль за использованием природных ресурсов; v) правительственная связь и государственные программы, такие как электронное здравоохранение и электронное обучение.</w:t>
      </w:r>
    </w:p>
    <w:p w14:paraId="1EB83143" w14:textId="17797E69" w:rsidR="00E60C93" w:rsidRPr="00690125" w:rsidRDefault="008B6612" w:rsidP="00BB0573">
      <w:r w:rsidRPr="00690125">
        <w:lastRenderedPageBreak/>
        <w:t>Ожидается, что спутниковые системы продолжат играть эту важную роль и в экосистеме IMT</w:t>
      </w:r>
      <w:r w:rsidRPr="00690125">
        <w:noBreakHyphen/>
        <w:t>2020/5G за счет выполнения, в частности, следующих функций:</w:t>
      </w:r>
    </w:p>
    <w:p w14:paraId="1B46899F" w14:textId="3E47C37C" w:rsidR="00E60C93" w:rsidRPr="00690125" w:rsidRDefault="00E60C93" w:rsidP="00BB0573">
      <w:pPr>
        <w:pStyle w:val="enumlev1"/>
      </w:pPr>
      <w:r w:rsidRPr="00690125">
        <w:rPr>
          <w:iCs/>
        </w:rPr>
        <w:t>a</w:t>
      </w:r>
      <w:r w:rsidR="00BB0573" w:rsidRPr="00690125">
        <w:rPr>
          <w:iCs/>
        </w:rPr>
        <w:t>)</w:t>
      </w:r>
      <w:r w:rsidRPr="00690125">
        <w:tab/>
      </w:r>
      <w:r w:rsidR="008B6612" w:rsidRPr="00690125">
        <w:t>обеспечение возможности установления соединений для пунктов, в которых отсутствуют соединения</w:t>
      </w:r>
      <w:r w:rsidR="009B00E7" w:rsidRPr="00690125">
        <w:t>,</w:t>
      </w:r>
      <w:r w:rsidR="008B6612" w:rsidRPr="00690125">
        <w:t xml:space="preserve"> с помощью наземных систем за счет прямого подключения к сетям IMT</w:t>
      </w:r>
      <w:r w:rsidR="008B6612" w:rsidRPr="00690125">
        <w:noBreakHyphen/>
        <w:t>2020/5G или их экономически эффективного расширения для охвата удаленных, необслуживаемы</w:t>
      </w:r>
      <w:r w:rsidR="00D906BA" w:rsidRPr="00690125">
        <w:t>х</w:t>
      </w:r>
      <w:r w:rsidR="008B6612" w:rsidRPr="00690125">
        <w:t xml:space="preserve"> и обслуживаемы</w:t>
      </w:r>
      <w:r w:rsidR="00D906BA" w:rsidRPr="00690125">
        <w:t>х</w:t>
      </w:r>
      <w:r w:rsidR="008B6612" w:rsidRPr="00690125">
        <w:t xml:space="preserve"> в недостаточной степени район</w:t>
      </w:r>
      <w:r w:rsidR="00D906BA" w:rsidRPr="00690125">
        <w:t>ов</w:t>
      </w:r>
      <w:r w:rsidR="008B6612" w:rsidRPr="00690125">
        <w:t>;</w:t>
      </w:r>
    </w:p>
    <w:p w14:paraId="7C1A47AA" w14:textId="630A43E2" w:rsidR="00E60C93" w:rsidRPr="00690125" w:rsidRDefault="00E60C93" w:rsidP="00BB0573">
      <w:pPr>
        <w:pStyle w:val="enumlev1"/>
      </w:pPr>
      <w:r w:rsidRPr="00690125">
        <w:rPr>
          <w:iCs/>
        </w:rPr>
        <w:t>b</w:t>
      </w:r>
      <w:r w:rsidR="00BB0573" w:rsidRPr="00690125">
        <w:rPr>
          <w:iCs/>
        </w:rPr>
        <w:t>)</w:t>
      </w:r>
      <w:r w:rsidRPr="00690125">
        <w:tab/>
      </w:r>
      <w:r w:rsidR="00C83D81" w:rsidRPr="00690125">
        <w:t>обеспечение возможности установления широкополосных соединений на воздушных и плавательных судах, а также подвижных составах железных дорог (земные станции в движении – ESIM);</w:t>
      </w:r>
    </w:p>
    <w:p w14:paraId="173C39B9" w14:textId="4E147BE3" w:rsidR="00E60C93" w:rsidRPr="00690125" w:rsidRDefault="00E60C93" w:rsidP="00BB0573">
      <w:pPr>
        <w:pStyle w:val="enumlev1"/>
      </w:pPr>
      <w:r w:rsidRPr="00690125">
        <w:rPr>
          <w:iCs/>
        </w:rPr>
        <w:t>c</w:t>
      </w:r>
      <w:r w:rsidR="00BB0573" w:rsidRPr="00690125">
        <w:rPr>
          <w:iCs/>
        </w:rPr>
        <w:t>)</w:t>
      </w:r>
      <w:r w:rsidRPr="00690125">
        <w:tab/>
      </w:r>
      <w:r w:rsidR="00C83D81" w:rsidRPr="00690125">
        <w:t>прямое или транзитное соединение для передачи агрегированных данных межмашинного взаимодействия (M2M) и интернета вещей (</w:t>
      </w:r>
      <w:proofErr w:type="spellStart"/>
      <w:r w:rsidR="00C83D81" w:rsidRPr="00690125">
        <w:t>IoT</w:t>
      </w:r>
      <w:proofErr w:type="spellEnd"/>
      <w:r w:rsidR="00C83D81" w:rsidRPr="00690125">
        <w:t>) из множества пунктов для поддержки сетей датчиков, приложений "умных" городов, а также подключенных к сети автомобилей, самолетов и судов;</w:t>
      </w:r>
    </w:p>
    <w:p w14:paraId="7C7F3682" w14:textId="7BF57864" w:rsidR="00E60C93" w:rsidRPr="00690125" w:rsidRDefault="00E60C93" w:rsidP="00BB0573">
      <w:pPr>
        <w:pStyle w:val="enumlev1"/>
      </w:pPr>
      <w:r w:rsidRPr="00690125">
        <w:rPr>
          <w:iCs/>
        </w:rPr>
        <w:t>d</w:t>
      </w:r>
      <w:r w:rsidR="00BB0573" w:rsidRPr="00690125">
        <w:rPr>
          <w:iCs/>
        </w:rPr>
        <w:t>)</w:t>
      </w:r>
      <w:r w:rsidRPr="00690125">
        <w:tab/>
      </w:r>
      <w:r w:rsidR="00C83D81" w:rsidRPr="00690125">
        <w:t>многоадресная передача контента, к которому обращаются, в кэши хранения данных на</w:t>
      </w:r>
      <w:r w:rsidR="003D0865" w:rsidRPr="00690125">
        <w:t> </w:t>
      </w:r>
      <w:r w:rsidR="00C83D81" w:rsidRPr="00690125">
        <w:t>множеств</w:t>
      </w:r>
      <w:r w:rsidR="009B00E7" w:rsidRPr="00690125">
        <w:t>е</w:t>
      </w:r>
      <w:r w:rsidR="00C83D81" w:rsidRPr="00690125">
        <w:t xml:space="preserve"> базовых станций</w:t>
      </w:r>
      <w:r w:rsidRPr="00690125">
        <w:t xml:space="preserve"> IMT-2020/5G</w:t>
      </w:r>
      <w:r w:rsidR="00C83D81" w:rsidRPr="00690125">
        <w:t>, с тем чтобы наземные сети 5G могли удовлетворить требования к короткой задержке, предъявляемые некоторыми применениями 5G;</w:t>
      </w:r>
    </w:p>
    <w:p w14:paraId="375B244B" w14:textId="3EB530EC" w:rsidR="00E60C93" w:rsidRPr="00690125" w:rsidRDefault="00E60C93" w:rsidP="00BB0573">
      <w:pPr>
        <w:pStyle w:val="enumlev1"/>
      </w:pPr>
      <w:r w:rsidRPr="00690125">
        <w:rPr>
          <w:iCs/>
        </w:rPr>
        <w:t>e</w:t>
      </w:r>
      <w:r w:rsidR="00BB0573" w:rsidRPr="00690125">
        <w:rPr>
          <w:iCs/>
        </w:rPr>
        <w:t>)</w:t>
      </w:r>
      <w:r w:rsidRPr="00690125">
        <w:tab/>
      </w:r>
      <w:r w:rsidR="00C83D81" w:rsidRPr="00690125">
        <w:t>восстановление соединений в случае отключения существующих наземных сетей (например, после стихийного бедствия).</w:t>
      </w:r>
    </w:p>
    <w:p w14:paraId="3E8C2FE2" w14:textId="327015C1" w:rsidR="00E60C93" w:rsidRPr="00690125" w:rsidRDefault="003D0865" w:rsidP="00BB0573">
      <w:r w:rsidRPr="00690125">
        <w:t>Кроме того, космический и земной сегменты спутниковой отрасли постоянно модернизируются в целях широкомасштабного повышения эффективности использования спектра и обеспечения на порядок более высоких скоростей передачи данных при значительно меньших затратах.</w:t>
      </w:r>
    </w:p>
    <w:p w14:paraId="12B61827" w14:textId="504516C2" w:rsidR="00E60C93" w:rsidRPr="00690125" w:rsidRDefault="00E60C93" w:rsidP="00D404B0">
      <w:pPr>
        <w:pStyle w:val="Headingb"/>
        <w:ind w:left="794" w:hanging="794"/>
        <w:rPr>
          <w:lang w:val="ru-RU"/>
        </w:rPr>
      </w:pPr>
      <w:proofErr w:type="spellStart"/>
      <w:r w:rsidRPr="00690125">
        <w:rPr>
          <w:lang w:val="ru-RU"/>
        </w:rPr>
        <w:t>ii</w:t>
      </w:r>
      <w:proofErr w:type="spellEnd"/>
      <w:r w:rsidRPr="00690125">
        <w:rPr>
          <w:lang w:val="ru-RU"/>
        </w:rPr>
        <w:t>)</w:t>
      </w:r>
      <w:r w:rsidRPr="00690125">
        <w:rPr>
          <w:lang w:val="ru-RU"/>
        </w:rPr>
        <w:tab/>
      </w:r>
      <w:r w:rsidR="003D0865" w:rsidRPr="00690125">
        <w:rPr>
          <w:lang w:val="ru-RU"/>
        </w:rPr>
        <w:t>Гарантированный доступ к спутниковому спектру имеет важнейшее значение для Азиатско-Тихоокеанского региона и за его пределами</w:t>
      </w:r>
    </w:p>
    <w:p w14:paraId="4DD305DC" w14:textId="7908CD7D" w:rsidR="00294D08" w:rsidRPr="00690125" w:rsidRDefault="00294D08" w:rsidP="00294D08">
      <w:r w:rsidRPr="00690125">
        <w:t xml:space="preserve">В спутниках с высокой пропускной способностью (HTS) используется несколько концентрированных сфокусированных лучей с зонами охвата в 100 раз меньшими, чем у региональных лучей, и высокой степенью повторного использования частот, а в некоторых случаях применяются также сверхширокополосные ретрансляторы. HTS способны обеспечить в 20 раз более высокую пропускную способность (например, 30–100 Гбит/с) и более низкую стоимость передачи одного бита, чем другие типы спутников, что позволяет с помощью систем связи высокой пропускной способности экономически эффективно передавать данные в районах с недостаточным обслуживанием, а также для применений воздушной, сухопутной и морской подвижной связи, транзитных линий подвижной связи 4/5G, международной электросвязи и </w:t>
      </w:r>
      <w:proofErr w:type="spellStart"/>
      <w:r w:rsidRPr="00690125">
        <w:t>видеораспределения</w:t>
      </w:r>
      <w:proofErr w:type="spellEnd"/>
      <w:r w:rsidRPr="00690125">
        <w:t>.</w:t>
      </w:r>
    </w:p>
    <w:p w14:paraId="3394A9A8" w14:textId="30FB1D6D" w:rsidR="00294D08" w:rsidRPr="00690125" w:rsidRDefault="00294D08" w:rsidP="00294D08">
      <w:r w:rsidRPr="00690125">
        <w:t xml:space="preserve">Регион в широких его рамках обслуживается сейчас рядом HTS, работающих в C-, </w:t>
      </w:r>
      <w:proofErr w:type="spellStart"/>
      <w:r w:rsidRPr="00690125">
        <w:t>Ku</w:t>
      </w:r>
      <w:proofErr w:type="spellEnd"/>
      <w:r w:rsidRPr="00690125">
        <w:t xml:space="preserve">- и </w:t>
      </w:r>
      <w:proofErr w:type="spellStart"/>
      <w:r w:rsidRPr="00690125">
        <w:t>Ka</w:t>
      </w:r>
      <w:proofErr w:type="spellEnd"/>
      <w:r w:rsidRPr="00690125">
        <w:noBreakHyphen/>
        <w:t>диапазон</w:t>
      </w:r>
      <w:r w:rsidR="009B00E7" w:rsidRPr="00690125">
        <w:t>ах</w:t>
      </w:r>
      <w:r w:rsidRPr="00690125">
        <w:t xml:space="preserve">. Связь в </w:t>
      </w:r>
      <w:proofErr w:type="spellStart"/>
      <w:r w:rsidRPr="00690125">
        <w:t>Ka</w:t>
      </w:r>
      <w:proofErr w:type="spellEnd"/>
      <w:r w:rsidRPr="00690125">
        <w:t xml:space="preserve">-диапазоне (26 или 28 ГГц) обеспечивают, в частности, следующие спутники: </w:t>
      </w:r>
      <w:proofErr w:type="spellStart"/>
      <w:r w:rsidRPr="00690125">
        <w:t>IPStar</w:t>
      </w:r>
      <w:proofErr w:type="spellEnd"/>
      <w:r w:rsidRPr="00690125">
        <w:t xml:space="preserve">, O3b (группировка MEO), </w:t>
      </w:r>
      <w:proofErr w:type="spellStart"/>
      <w:r w:rsidRPr="00690125">
        <w:t>Sky</w:t>
      </w:r>
      <w:proofErr w:type="spellEnd"/>
      <w:r w:rsidRPr="00690125">
        <w:t xml:space="preserve"> </w:t>
      </w:r>
      <w:proofErr w:type="spellStart"/>
      <w:r w:rsidRPr="00690125">
        <w:t>Muster</w:t>
      </w:r>
      <w:proofErr w:type="spellEnd"/>
      <w:r w:rsidRPr="00690125">
        <w:t> I &amp; II (NBN-</w:t>
      </w:r>
      <w:proofErr w:type="spellStart"/>
      <w:r w:rsidRPr="00690125">
        <w:t>Co</w:t>
      </w:r>
      <w:proofErr w:type="spellEnd"/>
      <w:r w:rsidRPr="00690125">
        <w:t xml:space="preserve">), </w:t>
      </w:r>
      <w:proofErr w:type="spellStart"/>
      <w:r w:rsidRPr="00690125">
        <w:t>Inmarsat</w:t>
      </w:r>
      <w:proofErr w:type="spellEnd"/>
      <w:r w:rsidRPr="00690125">
        <w:t xml:space="preserve"> </w:t>
      </w:r>
      <w:proofErr w:type="spellStart"/>
      <w:r w:rsidRPr="00690125">
        <w:t>Global</w:t>
      </w:r>
      <w:proofErr w:type="spellEnd"/>
      <w:r w:rsidRPr="00690125">
        <w:t xml:space="preserve"> </w:t>
      </w:r>
      <w:proofErr w:type="spellStart"/>
      <w:r w:rsidRPr="00690125">
        <w:t>Xpress</w:t>
      </w:r>
      <w:proofErr w:type="spellEnd"/>
      <w:r w:rsidRPr="00690125">
        <w:t xml:space="preserve"> (I5 F1, I5 F3 и I5 F4), </w:t>
      </w:r>
      <w:proofErr w:type="spellStart"/>
      <w:r w:rsidRPr="00690125">
        <w:t>Intelsat</w:t>
      </w:r>
      <w:proofErr w:type="spellEnd"/>
      <w:r w:rsidRPr="00690125">
        <w:t xml:space="preserve"> IS-33e, Chinasat-16, SES-12 и </w:t>
      </w:r>
      <w:proofErr w:type="spellStart"/>
      <w:r w:rsidRPr="00690125">
        <w:t>Intelsat</w:t>
      </w:r>
      <w:proofErr w:type="spellEnd"/>
      <w:r w:rsidRPr="00690125">
        <w:t xml:space="preserve"> IS-</w:t>
      </w:r>
      <w:proofErr w:type="spellStart"/>
      <w:r w:rsidRPr="00690125">
        <w:t>Horizons</w:t>
      </w:r>
      <w:proofErr w:type="spellEnd"/>
      <w:r w:rsidRPr="00690125">
        <w:t xml:space="preserve"> 3e. В ближайшие два года для обслуживания региона будут дополнительно запущены спутники Kacific-1/JCSAT-18, </w:t>
      </w:r>
      <w:proofErr w:type="spellStart"/>
      <w:r w:rsidRPr="00690125">
        <w:t>OneWeb</w:t>
      </w:r>
      <w:proofErr w:type="spellEnd"/>
      <w:r w:rsidRPr="00690125">
        <w:t xml:space="preserve"> (группировка LEO), </w:t>
      </w:r>
      <w:proofErr w:type="spellStart"/>
      <w:r w:rsidRPr="00690125">
        <w:t>APStar</w:t>
      </w:r>
      <w:proofErr w:type="spellEnd"/>
      <w:r w:rsidRPr="00690125">
        <w:t xml:space="preserve"> 6D, Chinasat-18, </w:t>
      </w:r>
      <w:proofErr w:type="spellStart"/>
      <w:r w:rsidRPr="00690125">
        <w:t>SpaceX</w:t>
      </w:r>
      <w:proofErr w:type="spellEnd"/>
      <w:r w:rsidRPr="00690125">
        <w:t xml:space="preserve"> (группировка LEO) и Inmarsat-6; все они будут обеспечивать связь в </w:t>
      </w:r>
      <w:proofErr w:type="spellStart"/>
      <w:r w:rsidRPr="00690125">
        <w:t>Ka</w:t>
      </w:r>
      <w:proofErr w:type="spellEnd"/>
      <w:r w:rsidRPr="00690125">
        <w:t>-диапазоне (26 или 28 ГГц). В 2021–2022 </w:t>
      </w:r>
      <w:r w:rsidR="0007428E" w:rsidRPr="00690125">
        <w:t>годах</w:t>
      </w:r>
      <w:r w:rsidRPr="00690125">
        <w:t xml:space="preserve"> к ним присоединятся спутники </w:t>
      </w:r>
      <w:proofErr w:type="spellStart"/>
      <w:r w:rsidRPr="00690125">
        <w:t>Telesat</w:t>
      </w:r>
      <w:proofErr w:type="spellEnd"/>
      <w:r w:rsidRPr="00690125">
        <w:t xml:space="preserve"> (группировка LEO), O3b </w:t>
      </w:r>
      <w:proofErr w:type="spellStart"/>
      <w:r w:rsidRPr="00690125">
        <w:t>mPower</w:t>
      </w:r>
      <w:proofErr w:type="spellEnd"/>
      <w:r w:rsidRPr="00690125">
        <w:t xml:space="preserve"> (группировка MEO), Viasat-3, MEASAT-3R и MEASAT-2a, обеспечивающие связь в </w:t>
      </w:r>
      <w:proofErr w:type="spellStart"/>
      <w:r w:rsidRPr="00690125">
        <w:t>Ka</w:t>
      </w:r>
      <w:proofErr w:type="spellEnd"/>
      <w:r w:rsidRPr="00690125">
        <w:t xml:space="preserve">-диапазоне (26 или 28 ГГц). Общая сумма инвестиций во </w:t>
      </w:r>
      <w:r w:rsidRPr="00690125">
        <w:lastRenderedPageBreak/>
        <w:t>все эти спутниковые системы, включая наземную их инфраструктуру, составляет многие миллионы долларов США</w:t>
      </w:r>
      <w:r w:rsidRPr="00690125">
        <w:rPr>
          <w:rStyle w:val="FootnoteReference"/>
        </w:rPr>
        <w:footnoteReference w:id="1"/>
      </w:r>
      <w:r w:rsidRPr="00690125">
        <w:t>.</w:t>
      </w:r>
    </w:p>
    <w:p w14:paraId="5A260726" w14:textId="44086C18" w:rsidR="00E60C93" w:rsidRPr="00690125" w:rsidRDefault="00294D08" w:rsidP="00294D08">
      <w:r w:rsidRPr="00690125">
        <w:t xml:space="preserve">Ряд операторов спутниковой связи уже произвели или вскоре произведут развертывание </w:t>
      </w:r>
      <w:r w:rsidR="009B00E7" w:rsidRPr="00690125">
        <w:t xml:space="preserve">новейших </w:t>
      </w:r>
      <w:r w:rsidRPr="00690125">
        <w:t xml:space="preserve">спутниковых систем </w:t>
      </w:r>
      <w:r w:rsidR="0007428E" w:rsidRPr="00690125">
        <w:t xml:space="preserve">следующего поколения </w:t>
      </w:r>
      <w:r w:rsidRPr="00690125">
        <w:t xml:space="preserve">с высокой пропускной способностью (HTS), обеспечивающих покрытие территории островных государств Тихого океана </w:t>
      </w:r>
      <w:r w:rsidR="0007428E" w:rsidRPr="00690125">
        <w:t>во многих полосах</w:t>
      </w:r>
      <w:r w:rsidRPr="00690125">
        <w:t xml:space="preserve"> частот как на геостационарной, так и на негеостационарной орбите. </w:t>
      </w:r>
      <w:r w:rsidR="0007428E" w:rsidRPr="00690125">
        <w:t>Например</w:t>
      </w:r>
      <w:r w:rsidRPr="00690125">
        <w:t>:</w:t>
      </w:r>
    </w:p>
    <w:p w14:paraId="75CA989A" w14:textId="36CB3907" w:rsidR="0007428E" w:rsidRPr="00690125" w:rsidRDefault="00EB5BC0" w:rsidP="0007428E">
      <w:pPr>
        <w:pStyle w:val="enumlev1"/>
      </w:pPr>
      <w:r w:rsidRPr="00690125">
        <w:t>•</w:t>
      </w:r>
      <w:r w:rsidRPr="00690125">
        <w:tab/>
      </w:r>
      <w:r w:rsidR="0007428E" w:rsidRPr="00690125">
        <w:t xml:space="preserve">компания </w:t>
      </w:r>
      <w:proofErr w:type="spellStart"/>
      <w:r w:rsidR="0007428E" w:rsidRPr="00690125">
        <w:t>Eutelsat</w:t>
      </w:r>
      <w:proofErr w:type="spellEnd"/>
      <w:r w:rsidR="0007428E" w:rsidRPr="00690125">
        <w:t xml:space="preserve"> запустила спутник Eutelsat-172B, обеспечивающий расширенное покрытие Тихоокеанского региона в C- и </w:t>
      </w:r>
      <w:proofErr w:type="spellStart"/>
      <w:r w:rsidR="0007428E" w:rsidRPr="00690125">
        <w:t>Ku</w:t>
      </w:r>
      <w:proofErr w:type="spellEnd"/>
      <w:r w:rsidR="0007428E" w:rsidRPr="00690125">
        <w:t>-диапазонах с системами HTS;</w:t>
      </w:r>
    </w:p>
    <w:p w14:paraId="784D3DFC" w14:textId="1227BC93" w:rsidR="0007428E" w:rsidRPr="00690125" w:rsidRDefault="0007428E" w:rsidP="0007428E">
      <w:pPr>
        <w:pStyle w:val="enumlev1"/>
      </w:pPr>
      <w:r w:rsidRPr="00690125">
        <w:t>•</w:t>
      </w:r>
      <w:r w:rsidRPr="00690125">
        <w:tab/>
        <w:t xml:space="preserve">компания </w:t>
      </w:r>
      <w:proofErr w:type="spellStart"/>
      <w:r w:rsidRPr="00690125">
        <w:t>Inmarsat</w:t>
      </w:r>
      <w:proofErr w:type="spellEnd"/>
      <w:r w:rsidRPr="00690125">
        <w:t xml:space="preserve"> запустила четвертый спутник GX для обеспечения дополнительных возможностей систем HTS в </w:t>
      </w:r>
      <w:proofErr w:type="spellStart"/>
      <w:r w:rsidRPr="00690125">
        <w:t>Ka</w:t>
      </w:r>
      <w:proofErr w:type="spellEnd"/>
      <w:r w:rsidRPr="00690125">
        <w:t>-диапазоне на территории Азиатско-Тихоокеанского региона;</w:t>
      </w:r>
    </w:p>
    <w:p w14:paraId="464FD812" w14:textId="738044F8" w:rsidR="0007428E" w:rsidRPr="00690125" w:rsidRDefault="0007428E" w:rsidP="0007428E">
      <w:pPr>
        <w:pStyle w:val="enumlev1"/>
      </w:pPr>
      <w:r w:rsidRPr="00690125">
        <w:t>•</w:t>
      </w:r>
      <w:r w:rsidRPr="00690125">
        <w:tab/>
        <w:t xml:space="preserve">компания O3b пополнила свою группировку на средневысотной околоземной орбите </w:t>
      </w:r>
      <w:r w:rsidR="00201EE5" w:rsidRPr="00690125">
        <w:t>(</w:t>
      </w:r>
      <w:r w:rsidRPr="00690125">
        <w:t>MEO</w:t>
      </w:r>
      <w:r w:rsidR="00201EE5" w:rsidRPr="00690125">
        <w:t xml:space="preserve">) </w:t>
      </w:r>
      <w:r w:rsidRPr="00690125">
        <w:t xml:space="preserve">четырьмя спутниками </w:t>
      </w:r>
      <w:proofErr w:type="spellStart"/>
      <w:r w:rsidRPr="00690125">
        <w:t>Ka</w:t>
      </w:r>
      <w:proofErr w:type="spellEnd"/>
      <w:r w:rsidRPr="00690125">
        <w:t>-диапазона, и еще четыре спутника строятся;</w:t>
      </w:r>
    </w:p>
    <w:p w14:paraId="0020F732" w14:textId="0D121460" w:rsidR="0007428E" w:rsidRPr="00690125" w:rsidRDefault="0007428E" w:rsidP="0007428E">
      <w:pPr>
        <w:pStyle w:val="enumlev1"/>
      </w:pPr>
      <w:r w:rsidRPr="00690125">
        <w:t>•</w:t>
      </w:r>
      <w:r w:rsidRPr="00690125">
        <w:tab/>
        <w:t xml:space="preserve">компании </w:t>
      </w:r>
      <w:proofErr w:type="spellStart"/>
      <w:r w:rsidRPr="00690125">
        <w:t>Intelsat</w:t>
      </w:r>
      <w:proofErr w:type="spellEnd"/>
      <w:r w:rsidRPr="00690125">
        <w:t xml:space="preserve"> и SKY </w:t>
      </w:r>
      <w:proofErr w:type="spellStart"/>
      <w:r w:rsidRPr="00690125">
        <w:t>Perfect</w:t>
      </w:r>
      <w:proofErr w:type="spellEnd"/>
      <w:r w:rsidRPr="00690125">
        <w:t xml:space="preserve"> JSAT совместно запустили спутник </w:t>
      </w:r>
      <w:proofErr w:type="spellStart"/>
      <w:r w:rsidRPr="00690125">
        <w:t>Horizons</w:t>
      </w:r>
      <w:proofErr w:type="spellEnd"/>
      <w:r w:rsidRPr="00690125">
        <w:t xml:space="preserve"> 3e, конструктивно основанный на спутнике </w:t>
      </w:r>
      <w:proofErr w:type="spellStart"/>
      <w:r w:rsidRPr="00690125">
        <w:t>Intelsat</w:t>
      </w:r>
      <w:proofErr w:type="spellEnd"/>
      <w:r w:rsidRPr="00690125">
        <w:t xml:space="preserve"> </w:t>
      </w:r>
      <w:proofErr w:type="spellStart"/>
      <w:r w:rsidRPr="00690125">
        <w:t>EpicNG</w:t>
      </w:r>
      <w:proofErr w:type="spellEnd"/>
      <w:r w:rsidRPr="00690125">
        <w:t xml:space="preserve"> с высокой пропускной способностью, оптимизированным C-диапазоном и высокой пропускной способностью в </w:t>
      </w:r>
      <w:proofErr w:type="spellStart"/>
      <w:r w:rsidRPr="00690125">
        <w:t>Ku</w:t>
      </w:r>
      <w:proofErr w:type="spellEnd"/>
      <w:r w:rsidRPr="00690125">
        <w:t>-диапазоне, с целью удовлетворить растущую потребность в мобильности и установлении широкополосных соединений в Азиатско-</w:t>
      </w:r>
      <w:r w:rsidR="00201EE5" w:rsidRPr="00690125">
        <w:t xml:space="preserve">Тихоокеанском </w:t>
      </w:r>
      <w:r w:rsidRPr="00690125">
        <w:t xml:space="preserve">регионе; </w:t>
      </w:r>
    </w:p>
    <w:p w14:paraId="0BB7E5AD" w14:textId="5B76CEB1" w:rsidR="0007428E" w:rsidRPr="00690125" w:rsidRDefault="0007428E" w:rsidP="0007428E">
      <w:pPr>
        <w:pStyle w:val="enumlev1"/>
      </w:pPr>
      <w:r w:rsidRPr="00690125">
        <w:t>•</w:t>
      </w:r>
      <w:r w:rsidRPr="00690125">
        <w:tab/>
        <w:t xml:space="preserve">компания </w:t>
      </w:r>
      <w:proofErr w:type="spellStart"/>
      <w:r w:rsidRPr="00690125">
        <w:t>Kacific</w:t>
      </w:r>
      <w:proofErr w:type="spellEnd"/>
      <w:r w:rsidRPr="00690125">
        <w:t xml:space="preserve"> только что заказала и в 2019 г</w:t>
      </w:r>
      <w:r w:rsidR="00201EE5" w:rsidRPr="00690125">
        <w:t>оду</w:t>
      </w:r>
      <w:r w:rsidRPr="00690125">
        <w:t xml:space="preserve"> намерена запустить спутник </w:t>
      </w:r>
      <w:r w:rsidR="00201EE5" w:rsidRPr="00690125">
        <w:t xml:space="preserve">HTS </w:t>
      </w:r>
      <w:proofErr w:type="spellStart"/>
      <w:r w:rsidRPr="00690125">
        <w:t>Ka</w:t>
      </w:r>
      <w:proofErr w:type="spellEnd"/>
      <w:r w:rsidR="00201EE5" w:rsidRPr="00690125">
        <w:noBreakHyphen/>
      </w:r>
      <w:r w:rsidRPr="00690125">
        <w:t xml:space="preserve">диапазона с </w:t>
      </w:r>
      <w:r w:rsidR="00283879" w:rsidRPr="00690125">
        <w:t>полезной нагрузкой</w:t>
      </w:r>
      <w:r w:rsidRPr="00690125">
        <w:t xml:space="preserve"> на платформе Kacific-1, специально предназначенный для обеспечения покрытия в Тихоокеанском регионе;</w:t>
      </w:r>
    </w:p>
    <w:p w14:paraId="0F1FDA13" w14:textId="29D0502D" w:rsidR="00E60C93" w:rsidRPr="00690125" w:rsidRDefault="0007428E" w:rsidP="0007428E">
      <w:pPr>
        <w:pStyle w:val="enumlev1"/>
      </w:pPr>
      <w:r w:rsidRPr="00690125">
        <w:t>•</w:t>
      </w:r>
      <w:r w:rsidRPr="00690125">
        <w:tab/>
        <w:t>начиная с 2020 г</w:t>
      </w:r>
      <w:r w:rsidR="00283879" w:rsidRPr="00690125">
        <w:t>ода</w:t>
      </w:r>
      <w:r w:rsidRPr="00690125">
        <w:t xml:space="preserve"> компания </w:t>
      </w:r>
      <w:proofErr w:type="spellStart"/>
      <w:r w:rsidRPr="00690125">
        <w:t>OneWeb</w:t>
      </w:r>
      <w:proofErr w:type="spellEnd"/>
      <w:r w:rsidRPr="00690125">
        <w:t xml:space="preserve"> намерена </w:t>
      </w:r>
      <w:r w:rsidR="00283879" w:rsidRPr="00690125">
        <w:t>осуществлять</w:t>
      </w:r>
      <w:r w:rsidRPr="00690125">
        <w:t xml:space="preserve"> запуск глобальной группировки из </w:t>
      </w:r>
      <w:r w:rsidR="00283879" w:rsidRPr="00690125">
        <w:t xml:space="preserve">более чем </w:t>
      </w:r>
      <w:r w:rsidRPr="00690125">
        <w:t xml:space="preserve">800+ негеостационарных </w:t>
      </w:r>
      <w:r w:rsidR="00023883" w:rsidRPr="00690125">
        <w:t xml:space="preserve">спутников </w:t>
      </w:r>
      <w:r w:rsidR="00283879" w:rsidRPr="00690125">
        <w:t>на низкой околоземной орбите (LEO)</w:t>
      </w:r>
      <w:r w:rsidRPr="00690125">
        <w:t xml:space="preserve">, работающих на частотах фиксированной спутниковой службы (ФСС) </w:t>
      </w:r>
      <w:proofErr w:type="spellStart"/>
      <w:r w:rsidRPr="00690125">
        <w:t>Ku</w:t>
      </w:r>
      <w:proofErr w:type="spellEnd"/>
      <w:r w:rsidR="009B00E7" w:rsidRPr="00690125">
        <w:noBreakHyphen/>
      </w:r>
      <w:r w:rsidRPr="00690125">
        <w:t>диапазона, которая повсеместно обеспечит</w:t>
      </w:r>
      <w:r w:rsidR="00283879" w:rsidRPr="00690125">
        <w:t xml:space="preserve"> решения с малой задержкой и высокой пропускной способностью для применений широкополосной связи и промежуточных линий к сетям подвижной связи (например, для применений 3G/LTE/5G/</w:t>
      </w:r>
      <w:proofErr w:type="spellStart"/>
      <w:r w:rsidR="00283879" w:rsidRPr="00690125">
        <w:t>Wi</w:t>
      </w:r>
      <w:r w:rsidR="009B00E7" w:rsidRPr="00690125">
        <w:t>-</w:t>
      </w:r>
      <w:r w:rsidR="00283879" w:rsidRPr="00690125">
        <w:t>Fi</w:t>
      </w:r>
      <w:proofErr w:type="spellEnd"/>
      <w:r w:rsidR="00283879" w:rsidRPr="00690125">
        <w:t xml:space="preserve"> в жилых домах, учебных заведениях и лечебных учреждениях, экстренной и правительственной связи), а также решения, обеспечивающие мобильность на воздушных и плавательных судах.</w:t>
      </w:r>
    </w:p>
    <w:p w14:paraId="46D6D3EC" w14:textId="54ADECC6" w:rsidR="00E60C93" w:rsidRPr="00690125" w:rsidRDefault="00E60C93" w:rsidP="00E60C93">
      <w:pPr>
        <w:pStyle w:val="Heading2"/>
      </w:pPr>
      <w:proofErr w:type="spellStart"/>
      <w:r w:rsidRPr="00690125">
        <w:t>iii</w:t>
      </w:r>
      <w:proofErr w:type="spellEnd"/>
      <w:r w:rsidRPr="00690125">
        <w:t>)</w:t>
      </w:r>
      <w:r w:rsidRPr="00690125">
        <w:tab/>
      </w:r>
      <w:r w:rsidR="003F7A2F" w:rsidRPr="00690125">
        <w:t>Определение дополнительного спектра для IMT-2020 не должно затрагивать спектр спутниковой связи вне рамок пункта 1.13 повестки дня (Резолюция 238 (ВКР</w:t>
      </w:r>
      <w:r w:rsidR="003F7A2F" w:rsidRPr="00690125">
        <w:noBreakHyphen/>
        <w:t>15))</w:t>
      </w:r>
    </w:p>
    <w:p w14:paraId="2393E1A6" w14:textId="07FAA7F5" w:rsidR="003F7A2F" w:rsidRPr="00690125" w:rsidRDefault="003F7A2F" w:rsidP="003F7A2F">
      <w:r w:rsidRPr="00690125">
        <w:t>Признавая важную роль, которую играют и будут играть в дальнейшем спутниковые системы в инфраструктуре электросвязи Азиатско-Тихоокеанского региона, Азиатско-Тихоокеанское сообщество электросвязи приходит к решению, что определение дополнительного спектра для IMT</w:t>
      </w:r>
      <w:r w:rsidRPr="00690125">
        <w:noBreakHyphen/>
        <w:t>2020 должно ограничиваться полосами частот, упомянутыми в Резолюции </w:t>
      </w:r>
      <w:r w:rsidRPr="00690125">
        <w:rPr>
          <w:b/>
        </w:rPr>
        <w:t>238 (ВКР</w:t>
      </w:r>
      <w:r w:rsidRPr="00690125">
        <w:noBreakHyphen/>
      </w:r>
      <w:r w:rsidRPr="00690125">
        <w:rPr>
          <w:b/>
        </w:rPr>
        <w:t>15)</w:t>
      </w:r>
      <w:r w:rsidRPr="00690125">
        <w:t xml:space="preserve">. </w:t>
      </w:r>
    </w:p>
    <w:p w14:paraId="47FEADB0" w14:textId="46CE61F0" w:rsidR="00E60C93" w:rsidRPr="00690125" w:rsidRDefault="003F7A2F" w:rsidP="003F7A2F">
      <w:r w:rsidRPr="00690125">
        <w:t>В Резолюции </w:t>
      </w:r>
      <w:r w:rsidRPr="00690125">
        <w:rPr>
          <w:b/>
        </w:rPr>
        <w:t>238 (ВКР</w:t>
      </w:r>
      <w:r w:rsidRPr="00690125">
        <w:noBreakHyphen/>
      </w:r>
      <w:r w:rsidRPr="00690125">
        <w:rPr>
          <w:b/>
        </w:rPr>
        <w:t>15)</w:t>
      </w:r>
      <w:r w:rsidRPr="00690125">
        <w:t xml:space="preserve"> упомянуты полосы частот миллиметрового диапазона волн общей шириной более 33 ГГц, которые могут быть определены для IMT-2020/5G. Этот огромный объем спектра позволяет удовлетворить все предполагаемые требования IMT-2020 (с надлежащей защитой других первичных служб), не затрагивая полосы частот спутниковой связи, </w:t>
      </w:r>
      <w:r w:rsidR="00E366A0" w:rsidRPr="00690125">
        <w:t>не попадающие в сферу охвата этой Резолюции, особенно</w:t>
      </w:r>
      <w:r w:rsidRPr="00690125">
        <w:t xml:space="preserve"> </w:t>
      </w:r>
      <w:r w:rsidR="00E366A0" w:rsidRPr="00690125">
        <w:t xml:space="preserve">учитывая, что такие полосы </w:t>
      </w:r>
      <w:r w:rsidRPr="00690125">
        <w:t>(например, полоса 27,5</w:t>
      </w:r>
      <w:r w:rsidR="00F2725A" w:rsidRPr="00690125">
        <w:t>–</w:t>
      </w:r>
      <w:r w:rsidRPr="00690125">
        <w:t>29,5 ГГц, или</w:t>
      </w:r>
      <w:r w:rsidR="00E366A0" w:rsidRPr="00690125">
        <w:t> </w:t>
      </w:r>
      <w:r w:rsidRPr="00690125">
        <w:t xml:space="preserve">диапазон 28 ГГц) уже используются </w:t>
      </w:r>
      <w:r w:rsidR="00E366A0" w:rsidRPr="00690125">
        <w:t xml:space="preserve">во всем мире для предоставления важных услуг спутниковой связи. Также важно, что соблюдение сферы охвата пункта 1.13 повестки дня (AI) </w:t>
      </w:r>
      <w:r w:rsidR="00023883" w:rsidRPr="00690125">
        <w:t>ВКР</w:t>
      </w:r>
      <w:r w:rsidR="00023883" w:rsidRPr="00690125">
        <w:noBreakHyphen/>
        <w:t xml:space="preserve">19 </w:t>
      </w:r>
      <w:r w:rsidR="00E366A0" w:rsidRPr="00690125">
        <w:lastRenderedPageBreak/>
        <w:t>и</w:t>
      </w:r>
      <w:r w:rsidR="00023883" w:rsidRPr="00690125">
        <w:t> </w:t>
      </w:r>
      <w:r w:rsidR="00E366A0" w:rsidRPr="00690125">
        <w:t>Резолюции </w:t>
      </w:r>
      <w:r w:rsidR="00E366A0" w:rsidRPr="00690125">
        <w:rPr>
          <w:b/>
        </w:rPr>
        <w:t>238 (ВКР-15)</w:t>
      </w:r>
      <w:r w:rsidR="00E366A0" w:rsidRPr="00690125">
        <w:t xml:space="preserve"> остается</w:t>
      </w:r>
      <w:r w:rsidR="003E5D50" w:rsidRPr="00690125">
        <w:t xml:space="preserve"> наилучшим способом согласования на глобальной основе спектра для новых служб IMT-2020/5G.</w:t>
      </w:r>
    </w:p>
    <w:p w14:paraId="105A17A6" w14:textId="6BA69031" w:rsidR="00E60C93" w:rsidRPr="00690125" w:rsidRDefault="00E60C93" w:rsidP="00690125">
      <w:pPr>
        <w:pStyle w:val="Headingb"/>
        <w:ind w:left="794" w:hanging="794"/>
      </w:pPr>
      <w:proofErr w:type="spellStart"/>
      <w:r w:rsidRPr="00690125">
        <w:t>iv</w:t>
      </w:r>
      <w:proofErr w:type="spellEnd"/>
      <w:r w:rsidRPr="00690125">
        <w:t>)</w:t>
      </w:r>
      <w:r w:rsidRPr="00690125">
        <w:tab/>
      </w:r>
      <w:r w:rsidR="004C0792" w:rsidRPr="00690125">
        <w:t>При определении спектра для IMT должны быть предусмотрены разумные и практически осуществимые меры по защите ФСС в совместно используемых полосах частот</w:t>
      </w:r>
    </w:p>
    <w:p w14:paraId="1826D914" w14:textId="0DD3546E" w:rsidR="004C0792" w:rsidRPr="00690125" w:rsidRDefault="004C0792" w:rsidP="004C0792">
      <w:r w:rsidRPr="00690125">
        <w:t>Полоса частот 24,25</w:t>
      </w:r>
      <w:r w:rsidR="00F2725A" w:rsidRPr="00690125">
        <w:t>–</w:t>
      </w:r>
      <w:r w:rsidRPr="00690125">
        <w:t xml:space="preserve">27,5 ГГц, включающая в себя распределение линии </w:t>
      </w:r>
      <w:r w:rsidR="00F2725A" w:rsidRPr="00690125">
        <w:t>вверх</w:t>
      </w:r>
      <w:r w:rsidRPr="00690125">
        <w:t xml:space="preserve"> ФСС в полосе 24,65</w:t>
      </w:r>
      <w:r w:rsidR="00690125" w:rsidRPr="00690125">
        <w:t>−</w:t>
      </w:r>
      <w:r w:rsidRPr="00690125">
        <w:t>25,25 ГГц для поддержки связи по линии вниз радиовещательной спутниковой службы (РСС) в</w:t>
      </w:r>
      <w:r w:rsidR="009B00E7" w:rsidRPr="00690125">
        <w:t> </w:t>
      </w:r>
      <w:r w:rsidRPr="00690125">
        <w:t>полосе 21,4</w:t>
      </w:r>
      <w:r w:rsidR="00F2725A" w:rsidRPr="00690125">
        <w:t>–</w:t>
      </w:r>
      <w:r w:rsidRPr="00690125">
        <w:t xml:space="preserve">22 ГГц, может быть определена для IMT при условии, что будут приняты надлежащие регуляторные меры для защиты других первичных служб, а также для обеспечения устойчивого доступа с приемлемыми параметрами для </w:t>
      </w:r>
      <w:r w:rsidR="00F2725A" w:rsidRPr="00690125">
        <w:t xml:space="preserve">работы </w:t>
      </w:r>
      <w:r w:rsidRPr="00690125">
        <w:t>ФСС и других космических служб.</w:t>
      </w:r>
    </w:p>
    <w:p w14:paraId="25628652" w14:textId="6DF3D4B1" w:rsidR="004C0792" w:rsidRPr="00690125" w:rsidRDefault="004C0792" w:rsidP="00F2725A">
      <w:r w:rsidRPr="00690125">
        <w:t>На участках полос 37</w:t>
      </w:r>
      <w:r w:rsidR="00F2725A" w:rsidRPr="00690125">
        <w:t>–</w:t>
      </w:r>
      <w:r w:rsidRPr="00690125">
        <w:t>52 ГГц (Q/V-диапазон), 66</w:t>
      </w:r>
      <w:r w:rsidR="00F2725A" w:rsidRPr="00690125">
        <w:t>–</w:t>
      </w:r>
      <w:r w:rsidRPr="00690125">
        <w:t>71 ГГц (66 ГГц), 71</w:t>
      </w:r>
      <w:r w:rsidR="00F2725A" w:rsidRPr="00690125">
        <w:t>–</w:t>
      </w:r>
      <w:r w:rsidRPr="00690125">
        <w:t>76 ГГц (70 ГГц) и 81</w:t>
      </w:r>
      <w:r w:rsidR="00F2725A" w:rsidRPr="00690125">
        <w:t>–</w:t>
      </w:r>
      <w:r w:rsidRPr="00690125">
        <w:t xml:space="preserve">86 ГГц (80 ГГц) </w:t>
      </w:r>
      <w:r w:rsidR="00F2725A" w:rsidRPr="00690125">
        <w:t>необходимо найти</w:t>
      </w:r>
      <w:r w:rsidRPr="00690125">
        <w:t xml:space="preserve"> достаточный объем спектра, чтобы удовлетворить все </w:t>
      </w:r>
      <w:r w:rsidR="00F2725A" w:rsidRPr="00690125">
        <w:t>оправданные</w:t>
      </w:r>
      <w:r w:rsidRPr="00690125">
        <w:t xml:space="preserve"> потребности наземной связи 5G без </w:t>
      </w:r>
      <w:r w:rsidR="00F2725A" w:rsidRPr="00690125">
        <w:t>конфликта</w:t>
      </w:r>
      <w:r w:rsidRPr="00690125">
        <w:t xml:space="preserve"> с текущим и</w:t>
      </w:r>
      <w:r w:rsidR="00F2725A" w:rsidRPr="00690125">
        <w:t> </w:t>
      </w:r>
      <w:r w:rsidRPr="00690125">
        <w:t>планируемым использованием</w:t>
      </w:r>
      <w:r w:rsidR="00F2725A" w:rsidRPr="00690125">
        <w:t xml:space="preserve"> спектра спутниковой связи </w:t>
      </w:r>
      <w:r w:rsidRPr="00690125">
        <w:t xml:space="preserve">в </w:t>
      </w:r>
      <w:proofErr w:type="spellStart"/>
      <w:r w:rsidRPr="00690125">
        <w:t>Ka</w:t>
      </w:r>
      <w:proofErr w:type="spellEnd"/>
      <w:r w:rsidRPr="00690125">
        <w:t>-диапазоне.</w:t>
      </w:r>
    </w:p>
    <w:p w14:paraId="4FC7B827" w14:textId="2CD09FFF" w:rsidR="004C0792" w:rsidRPr="00690125" w:rsidRDefault="004C0792" w:rsidP="004C0792">
      <w:r w:rsidRPr="00690125">
        <w:t>Для подвижной связи 5G могут быть доступны участки диапазонов Q/V (37</w:t>
      </w:r>
      <w:r w:rsidR="00F2725A" w:rsidRPr="00690125">
        <w:t>–</w:t>
      </w:r>
      <w:r w:rsidRPr="00690125">
        <w:t xml:space="preserve">52 ГГц). Но </w:t>
      </w:r>
      <w:r w:rsidR="00F2725A" w:rsidRPr="00690125">
        <w:t>в отношении</w:t>
      </w:r>
      <w:r w:rsidRPr="00690125">
        <w:t xml:space="preserve"> некоторых участк</w:t>
      </w:r>
      <w:r w:rsidR="00F2725A" w:rsidRPr="00690125">
        <w:t>ов</w:t>
      </w:r>
      <w:r w:rsidRPr="00690125">
        <w:t xml:space="preserve"> этих диапазонов </w:t>
      </w:r>
      <w:r w:rsidR="00F2725A" w:rsidRPr="00690125">
        <w:t>может возникнуть спор</w:t>
      </w:r>
      <w:r w:rsidRPr="00690125">
        <w:t xml:space="preserve">, поскольку они уже </w:t>
      </w:r>
      <w:r w:rsidR="00F2725A" w:rsidRPr="00690125">
        <w:t xml:space="preserve">включены </w:t>
      </w:r>
      <w:r w:rsidRPr="00690125">
        <w:t>в спутниковы</w:t>
      </w:r>
      <w:r w:rsidR="00F2725A" w:rsidRPr="00690125">
        <w:t>е</w:t>
      </w:r>
      <w:r w:rsidRPr="00690125">
        <w:t xml:space="preserve"> систем</w:t>
      </w:r>
      <w:r w:rsidR="00F2725A" w:rsidRPr="00690125">
        <w:t>ы</w:t>
      </w:r>
      <w:r w:rsidRPr="00690125">
        <w:t xml:space="preserve"> следующего поколения с очень высокой пропускной способностью (VHTS), </w:t>
      </w:r>
      <w:r w:rsidR="00F2725A" w:rsidRPr="00690125">
        <w:t>среди которых</w:t>
      </w:r>
      <w:r w:rsidRPr="00690125">
        <w:t xml:space="preserve"> 6</w:t>
      </w:r>
      <w:r w:rsidR="00F2725A" w:rsidRPr="00690125">
        <w:t> </w:t>
      </w:r>
      <w:r w:rsidRPr="00690125">
        <w:t xml:space="preserve">глобальных негеостационарных спутниковых систем, предлагаемых компаниями </w:t>
      </w:r>
      <w:proofErr w:type="spellStart"/>
      <w:r w:rsidRPr="00690125">
        <w:t>Boeing</w:t>
      </w:r>
      <w:proofErr w:type="spellEnd"/>
      <w:r w:rsidRPr="00690125">
        <w:t xml:space="preserve">, </w:t>
      </w:r>
      <w:proofErr w:type="spellStart"/>
      <w:r w:rsidRPr="00690125">
        <w:t>SpaceX</w:t>
      </w:r>
      <w:proofErr w:type="spellEnd"/>
      <w:r w:rsidRPr="00690125">
        <w:t xml:space="preserve">, </w:t>
      </w:r>
      <w:proofErr w:type="spellStart"/>
      <w:r w:rsidRPr="00690125">
        <w:t>Telesat</w:t>
      </w:r>
      <w:proofErr w:type="spellEnd"/>
      <w:r w:rsidRPr="00690125">
        <w:t xml:space="preserve">, O3b, </w:t>
      </w:r>
      <w:proofErr w:type="spellStart"/>
      <w:r w:rsidRPr="00690125">
        <w:t>OneWeb</w:t>
      </w:r>
      <w:proofErr w:type="spellEnd"/>
      <w:r w:rsidRPr="00690125">
        <w:t xml:space="preserve"> и </w:t>
      </w:r>
      <w:proofErr w:type="spellStart"/>
      <w:r w:rsidRPr="00690125">
        <w:t>Theia</w:t>
      </w:r>
      <w:proofErr w:type="spellEnd"/>
      <w:r w:rsidRPr="00690125">
        <w:t>. Распределение спектра в Q-/V-диапазон</w:t>
      </w:r>
      <w:r w:rsidR="00023883" w:rsidRPr="00690125">
        <w:t>е</w:t>
      </w:r>
      <w:r w:rsidRPr="00690125">
        <w:t xml:space="preserve"> для станций на высотных платформах рассматривается отдельно (</w:t>
      </w:r>
      <w:r w:rsidR="00690125">
        <w:t>пункт</w:t>
      </w:r>
      <w:r w:rsidRPr="00690125">
        <w:t xml:space="preserve"> 1.14</w:t>
      </w:r>
      <w:r w:rsidR="00690125">
        <w:t xml:space="preserve"> повестки дня</w:t>
      </w:r>
      <w:r w:rsidRPr="00690125">
        <w:t xml:space="preserve">), </w:t>
      </w:r>
      <w:r w:rsidR="00F2725A" w:rsidRPr="00690125">
        <w:t xml:space="preserve">также </w:t>
      </w:r>
      <w:r w:rsidRPr="00690125">
        <w:t>как и распределение дополнительного спектра в V-диапазоне для VHTS-систем (</w:t>
      </w:r>
      <w:r w:rsidR="00690125">
        <w:t>пункт</w:t>
      </w:r>
      <w:r w:rsidRPr="00690125">
        <w:t xml:space="preserve"> 9.1.9</w:t>
      </w:r>
      <w:r w:rsidR="00690125">
        <w:t xml:space="preserve"> повестки дня</w:t>
      </w:r>
      <w:r w:rsidRPr="00690125">
        <w:t xml:space="preserve">). Хотя объем исследуемого спектра в Q/V-диапазоне значителен, необходимо будет внимательно изучить все требования к спектру, чтобы </w:t>
      </w:r>
      <w:r w:rsidR="00F2725A" w:rsidRPr="00690125">
        <w:t>определить</w:t>
      </w:r>
      <w:r w:rsidRPr="00690125">
        <w:t xml:space="preserve"> для связи 5G и схем совместного использования спектра такие диапазоны, которые одновременно </w:t>
      </w:r>
      <w:r w:rsidR="00F2725A" w:rsidRPr="00690125">
        <w:t>отвечают</w:t>
      </w:r>
      <w:r w:rsidRPr="00690125">
        <w:t xml:space="preserve"> требованиям к спектру, предъявляемым другими службами.</w:t>
      </w:r>
    </w:p>
    <w:p w14:paraId="4AA822E3" w14:textId="34F1C010" w:rsidR="00E60C93" w:rsidRPr="00690125" w:rsidRDefault="004C0792" w:rsidP="004C0792">
      <w:r w:rsidRPr="00690125">
        <w:t xml:space="preserve">В частности, весьма перспективными для согласования </w:t>
      </w:r>
      <w:r w:rsidR="00003A24" w:rsidRPr="00690125">
        <w:t>на международном уровне считаются</w:t>
      </w:r>
      <w:r w:rsidRPr="00690125">
        <w:t xml:space="preserve"> </w:t>
      </w:r>
      <w:r w:rsidR="009B00E7" w:rsidRPr="00690125">
        <w:t>полосы</w:t>
      </w:r>
      <w:r w:rsidRPr="00690125">
        <w:t xml:space="preserve"> 66, 70 и 80 ГГц, учитывая ограниченность </w:t>
      </w:r>
      <w:r w:rsidR="00003A24" w:rsidRPr="00690125">
        <w:t xml:space="preserve">их </w:t>
      </w:r>
      <w:r w:rsidRPr="00690125">
        <w:t xml:space="preserve">текущего и планируемого использования другими </w:t>
      </w:r>
      <w:proofErr w:type="spellStart"/>
      <w:r w:rsidRPr="00690125">
        <w:t>радиослужбами</w:t>
      </w:r>
      <w:proofErr w:type="spellEnd"/>
      <w:r w:rsidRPr="00690125">
        <w:t xml:space="preserve">. В этих </w:t>
      </w:r>
      <w:r w:rsidR="009B00E7" w:rsidRPr="00690125">
        <w:t>полосах</w:t>
      </w:r>
      <w:r w:rsidRPr="00690125">
        <w:t xml:space="preserve"> </w:t>
      </w:r>
      <w:r w:rsidR="00003A24" w:rsidRPr="00690125">
        <w:t>могут выявиться</w:t>
      </w:r>
      <w:r w:rsidRPr="00690125">
        <w:t xml:space="preserve"> в общей сложности примерно 15 ГГц спектра в смежных блоках, который можно использовать в связке с полосой 56</w:t>
      </w:r>
      <w:r w:rsidR="00F2725A" w:rsidRPr="00690125">
        <w:t>–</w:t>
      </w:r>
      <w:r w:rsidRPr="00690125">
        <w:t xml:space="preserve">61 ГГц, доступной также для наземной широкополосной связи и способной обеспечить поддержку очень широкополосных несущих 5G/IMT-2020. Таким образом, этих полос частот должно быть достаточно для </w:t>
      </w:r>
      <w:r w:rsidR="00862555" w:rsidRPr="00690125">
        <w:t xml:space="preserve">поддержки </w:t>
      </w:r>
      <w:r w:rsidRPr="00690125">
        <w:t xml:space="preserve">развития сетей подвижной связи 5G </w:t>
      </w:r>
      <w:r w:rsidR="00862555" w:rsidRPr="00690125">
        <w:t xml:space="preserve">в сценариях передачи высокой плотности </w:t>
      </w:r>
      <w:r w:rsidRPr="00690125">
        <w:t xml:space="preserve">в помещениях и </w:t>
      </w:r>
      <w:r w:rsidR="00862555" w:rsidRPr="00690125">
        <w:t>вне помещений,</w:t>
      </w:r>
      <w:r w:rsidRPr="00690125">
        <w:t xml:space="preserve"> например на стадионах, в студенческих городках или в торгово-развлекательных центрах, расположенных в городской и пригородной местности. При использовании этих полос частот </w:t>
      </w:r>
      <w:r w:rsidR="00862555" w:rsidRPr="00690125">
        <w:t>может</w:t>
      </w:r>
      <w:r w:rsidRPr="00690125">
        <w:t xml:space="preserve"> также быть </w:t>
      </w:r>
      <w:r w:rsidR="00862555" w:rsidRPr="00690125">
        <w:t xml:space="preserve">получен </w:t>
      </w:r>
      <w:r w:rsidRPr="00690125">
        <w:t xml:space="preserve">благоприятный эффект от синергии с технологией </w:t>
      </w:r>
      <w:proofErr w:type="spellStart"/>
      <w:r w:rsidRPr="00690125">
        <w:t>WiGig</w:t>
      </w:r>
      <w:proofErr w:type="spellEnd"/>
      <w:r w:rsidRPr="00690125">
        <w:t>, которая в настоящее время развертывается в полосе 56</w:t>
      </w:r>
      <w:r w:rsidR="00F2725A" w:rsidRPr="00690125">
        <w:t>–</w:t>
      </w:r>
      <w:r w:rsidRPr="00690125">
        <w:t>61 ГГц и для которой уже производятся наборы микросхем и антенные системы MIMO.</w:t>
      </w:r>
    </w:p>
    <w:p w14:paraId="2F4F4BF0" w14:textId="7FA4AFB8" w:rsidR="00E60C93" w:rsidRPr="00690125" w:rsidRDefault="00E60C93" w:rsidP="00E60C93">
      <w:pPr>
        <w:pStyle w:val="Heading1"/>
      </w:pPr>
      <w:r w:rsidRPr="00690125">
        <w:t>2</w:t>
      </w:r>
      <w:r w:rsidRPr="00690125">
        <w:tab/>
      </w:r>
      <w:r w:rsidR="00862555" w:rsidRPr="00690125">
        <w:t>Предложения по каждой полосе частот</w:t>
      </w:r>
    </w:p>
    <w:p w14:paraId="1020F821" w14:textId="1BF4B4A8" w:rsidR="00E60C93" w:rsidRPr="00690125" w:rsidRDefault="00862555" w:rsidP="00E60C93">
      <w:r w:rsidRPr="00690125">
        <w:t xml:space="preserve">Принимая во внимание изложенные выше соображения, Администрации Самоа вносят следующие предложения по каждой из </w:t>
      </w:r>
      <w:proofErr w:type="spellStart"/>
      <w:r w:rsidRPr="00690125">
        <w:t>кандидатных</w:t>
      </w:r>
      <w:proofErr w:type="spellEnd"/>
      <w:r w:rsidRPr="00690125">
        <w:t xml:space="preserve"> полос частот для IMT-2020/5G, рассматриваемых в рамках пункта 1.13 повестки дня ВКР</w:t>
      </w:r>
      <w:r w:rsidRPr="00690125">
        <w:noBreakHyphen/>
        <w:t>19.</w:t>
      </w:r>
    </w:p>
    <w:p w14:paraId="171A5A40" w14:textId="01677549" w:rsidR="00E60C93" w:rsidRPr="00690125" w:rsidRDefault="00FD3D49" w:rsidP="00E60C93">
      <w:pPr>
        <w:pStyle w:val="Headingb"/>
        <w:rPr>
          <w:lang w:val="ru-RU"/>
        </w:rPr>
      </w:pPr>
      <w:r w:rsidRPr="00690125">
        <w:rPr>
          <w:lang w:val="ru-RU"/>
        </w:rPr>
        <w:t>Полоса частот 24,25–27,5</w:t>
      </w:r>
      <w:r w:rsidRPr="00690125">
        <w:rPr>
          <w:rFonts w:ascii="Times New Roman Bold Cyr" w:hAnsi="Times New Roman Bold Cyr"/>
          <w:lang w:val="ru-RU"/>
        </w:rPr>
        <w:t> ГГц</w:t>
      </w:r>
    </w:p>
    <w:p w14:paraId="6905130D" w14:textId="4DC657C5" w:rsidR="00E60C93" w:rsidRPr="00690125" w:rsidRDefault="00FD3D49" w:rsidP="00E60C93">
      <w:r w:rsidRPr="00690125">
        <w:t>Определение частот для IMT в поддиапазоне 24,25–27,5 ГГц возможно при условии принятия надлежащих регуляторных мер для защиты и обеспечения устойчивого доступа с приемлемыми параметрами для работы ФСС и других космических служб. В частности, Администрации Самоа поддерживают определение спектра для IMT по методу A2 (альтернатив</w:t>
      </w:r>
      <w:r w:rsidR="00806583" w:rsidRPr="00690125">
        <w:t>ный вариант</w:t>
      </w:r>
      <w:r w:rsidRPr="00690125">
        <w:t xml:space="preserve"> 1 или 2) из Отчета ПСК со следующими условиями (и проект Резолюции МСЭ-R </w:t>
      </w:r>
      <w:r w:rsidRPr="00690125">
        <w:rPr>
          <w:b/>
        </w:rPr>
        <w:t>[A113-IMT 26 GHZ] (ВКР</w:t>
      </w:r>
      <w:r w:rsidRPr="00690125">
        <w:noBreakHyphen/>
      </w:r>
      <w:r w:rsidRPr="00690125">
        <w:rPr>
          <w:b/>
        </w:rPr>
        <w:t>19)</w:t>
      </w:r>
      <w:r w:rsidRPr="00690125">
        <w:t>)</w:t>
      </w:r>
      <w:r w:rsidR="009B00E7" w:rsidRPr="00690125">
        <w:t>.</w:t>
      </w:r>
    </w:p>
    <w:p w14:paraId="26179228" w14:textId="67304182" w:rsidR="0049684E" w:rsidRPr="00690125" w:rsidRDefault="00690125" w:rsidP="0007675A">
      <w:pPr>
        <w:pStyle w:val="enumlev1"/>
        <w:keepNext/>
        <w:keepLines/>
        <w:rPr>
          <w:b/>
          <w:bCs/>
        </w:rPr>
      </w:pPr>
      <w:r w:rsidRPr="00690125">
        <w:rPr>
          <w:b/>
          <w:bCs/>
        </w:rPr>
        <w:lastRenderedPageBreak/>
        <w:t>−</w:t>
      </w:r>
      <w:r w:rsidRPr="00690125">
        <w:rPr>
          <w:b/>
          <w:bCs/>
        </w:rPr>
        <w:tab/>
      </w:r>
      <w:r w:rsidR="005431A6" w:rsidRPr="00690125">
        <w:rPr>
          <w:b/>
          <w:bCs/>
        </w:rPr>
        <w:t>Меры защиты земных станций ФСС в известных местоположениях</w:t>
      </w:r>
    </w:p>
    <w:p w14:paraId="3A6FCE8B" w14:textId="77777777" w:rsidR="00690125" w:rsidRDefault="00690125" w:rsidP="00690125">
      <w:pPr>
        <w:pStyle w:val="enumlev1"/>
      </w:pPr>
      <w:r>
        <w:tab/>
      </w:r>
      <w:r w:rsidR="005431A6" w:rsidRPr="00690125">
        <w:t xml:space="preserve">Полоса частот 24,65–25,25 ГГц подлежит использованию для крупных земных станций ФСС в известных местоположениях (то есть шлюзах), поэтому можно определить соответствующие зоны вокруг земных станций ФСС, в пределах которых базовые станции IMT могут испытывать помехи, и обеспечить их сосуществование. Необходимо принять нормативные положения, обеспечивающие возможность развертывания земных станций ФСС. </w:t>
      </w:r>
    </w:p>
    <w:p w14:paraId="79B6CF09" w14:textId="134B1CF6" w:rsidR="0049684E" w:rsidRPr="00690125" w:rsidRDefault="00690125" w:rsidP="00690125">
      <w:pPr>
        <w:pStyle w:val="enumlev1"/>
      </w:pPr>
      <w:r>
        <w:tab/>
      </w:r>
      <w:r w:rsidR="005431A6" w:rsidRPr="00690125">
        <w:t>Отчет ПСК: условие A2d, вариант 1.</w:t>
      </w:r>
    </w:p>
    <w:p w14:paraId="071524A9" w14:textId="68B36C2B" w:rsidR="0049684E" w:rsidRPr="00690125" w:rsidRDefault="00690125" w:rsidP="00690125">
      <w:pPr>
        <w:pStyle w:val="enumlev1"/>
        <w:rPr>
          <w:b/>
          <w:bCs/>
        </w:rPr>
      </w:pPr>
      <w:r w:rsidRPr="00690125">
        <w:rPr>
          <w:b/>
          <w:bCs/>
        </w:rPr>
        <w:t>−</w:t>
      </w:r>
      <w:r w:rsidRPr="00690125">
        <w:rPr>
          <w:b/>
          <w:bCs/>
        </w:rPr>
        <w:tab/>
      </w:r>
      <w:r w:rsidR="005431A6" w:rsidRPr="00690125">
        <w:rPr>
          <w:b/>
          <w:bCs/>
        </w:rPr>
        <w:t>Меры защиты космических станций ФСС в полосе частот 24,25–27,5 ГГц</w:t>
      </w:r>
    </w:p>
    <w:p w14:paraId="6008FA44" w14:textId="682B1ABE" w:rsidR="0007675A" w:rsidRDefault="0007675A" w:rsidP="0007675A">
      <w:pPr>
        <w:pStyle w:val="enumlev1"/>
      </w:pPr>
      <w:r>
        <w:tab/>
      </w:r>
      <w:r w:rsidR="005431A6" w:rsidRPr="00690125">
        <w:t>Ограничить суммарные помехи от IMT приемникам космических станций ФСС, предусмотрев в РР ограничение суммарной мощности излучения (TRP) базовой станции IMT уровнем 37 </w:t>
      </w:r>
      <w:proofErr w:type="spellStart"/>
      <w:r w:rsidR="005431A6" w:rsidRPr="00690125">
        <w:t>дБм</w:t>
      </w:r>
      <w:proofErr w:type="spellEnd"/>
      <w:r w:rsidR="005431A6" w:rsidRPr="00690125">
        <w:t xml:space="preserve">/200 МГц. Кроме того, наведение главного луча базовых станций IMT не </w:t>
      </w:r>
      <w:r w:rsidR="005431A6" w:rsidRPr="0007675A">
        <w:t>должно</w:t>
      </w:r>
      <w:r w:rsidR="005431A6" w:rsidRPr="00690125">
        <w:t xml:space="preserve"> быть выше горизонта. Такое требование, предъявляемое к базовым станциям IMT, не должно накладывать чрезмерных ограничений на развертывание сетей IMT. Значение 37 </w:t>
      </w:r>
      <w:proofErr w:type="spellStart"/>
      <w:r w:rsidR="005431A6" w:rsidRPr="00690125">
        <w:t>дБм</w:t>
      </w:r>
      <w:proofErr w:type="spellEnd"/>
      <w:r w:rsidR="005431A6" w:rsidRPr="00690125">
        <w:t xml:space="preserve">/200 МГц получено </w:t>
      </w:r>
      <w:r w:rsidR="007C2D09" w:rsidRPr="00690125">
        <w:t>путем прибавления к</w:t>
      </w:r>
      <w:r w:rsidR="005431A6" w:rsidRPr="00690125">
        <w:t xml:space="preserve"> базово</w:t>
      </w:r>
      <w:r w:rsidR="007C2D09" w:rsidRPr="00690125">
        <w:t>му</w:t>
      </w:r>
      <w:r w:rsidR="005431A6" w:rsidRPr="00690125">
        <w:t xml:space="preserve"> уровн</w:t>
      </w:r>
      <w:r w:rsidR="007C2D09" w:rsidRPr="00690125">
        <w:t>ю</w:t>
      </w:r>
      <w:r w:rsidR="005431A6" w:rsidRPr="00690125">
        <w:t>, установленно</w:t>
      </w:r>
      <w:r w:rsidR="00EE0CD4" w:rsidRPr="00690125">
        <w:t>му</w:t>
      </w:r>
      <w:r w:rsidR="005431A6" w:rsidRPr="00690125">
        <w:t xml:space="preserve"> РГ 5D (25 </w:t>
      </w:r>
      <w:proofErr w:type="spellStart"/>
      <w:r w:rsidR="005431A6" w:rsidRPr="00690125">
        <w:t>дБм</w:t>
      </w:r>
      <w:proofErr w:type="spellEnd"/>
      <w:r w:rsidR="005431A6" w:rsidRPr="00690125">
        <w:t xml:space="preserve">/200 МГц), запаса в 12 дБ, размер которого определен по данным исследований ЦГ 5/1. Такие уровни обеспечивают максимальную гибкость для работы сетей IMT. </w:t>
      </w:r>
    </w:p>
    <w:p w14:paraId="20B71CCD" w14:textId="6F88A4E7" w:rsidR="0049684E" w:rsidRPr="00690125" w:rsidRDefault="0007675A" w:rsidP="0007675A">
      <w:pPr>
        <w:pStyle w:val="enumlev1"/>
      </w:pPr>
      <w:r>
        <w:tab/>
      </w:r>
      <w:r w:rsidR="005431A6" w:rsidRPr="00690125">
        <w:t>Отчет ПСК: условие A2e, вариант 3 (37 </w:t>
      </w:r>
      <w:proofErr w:type="spellStart"/>
      <w:r w:rsidR="005431A6" w:rsidRPr="00690125">
        <w:t>дБм</w:t>
      </w:r>
      <w:proofErr w:type="spellEnd"/>
      <w:r w:rsidR="005431A6" w:rsidRPr="00690125">
        <w:t>/200 МГц).</w:t>
      </w:r>
    </w:p>
    <w:p w14:paraId="328E9151" w14:textId="4A8CF1ED" w:rsidR="0049684E" w:rsidRPr="0007675A" w:rsidRDefault="0007675A" w:rsidP="0007675A">
      <w:pPr>
        <w:pStyle w:val="enumlev1"/>
        <w:rPr>
          <w:b/>
          <w:bCs/>
        </w:rPr>
      </w:pPr>
      <w:r w:rsidRPr="0007675A">
        <w:rPr>
          <w:b/>
          <w:bCs/>
          <w:lang w:val="en-US"/>
        </w:rPr>
        <w:t>−</w:t>
      </w:r>
      <w:r w:rsidRPr="0007675A">
        <w:rPr>
          <w:b/>
          <w:bCs/>
          <w:lang w:val="en-US"/>
        </w:rPr>
        <w:tab/>
      </w:r>
      <w:r w:rsidR="00A71B02" w:rsidRPr="0007675A">
        <w:rPr>
          <w:b/>
          <w:bCs/>
        </w:rPr>
        <w:t>Меры защиты ряда служб</w:t>
      </w:r>
    </w:p>
    <w:p w14:paraId="22699FDA" w14:textId="1C29F282" w:rsidR="0049684E" w:rsidRPr="00690125" w:rsidRDefault="0007675A" w:rsidP="0007675A">
      <w:pPr>
        <w:pStyle w:val="enumlev1"/>
      </w:pPr>
      <w:r>
        <w:tab/>
      </w:r>
      <w:r w:rsidR="00A71B02" w:rsidRPr="0007675A">
        <w:t>Поддерживается</w:t>
      </w:r>
      <w:r w:rsidR="00A71B02" w:rsidRPr="00690125">
        <w:t xml:space="preserve"> условие A2g, вариант 3 или 4 (контроль характеристик IMT, включая развертывание).</w:t>
      </w:r>
    </w:p>
    <w:p w14:paraId="0997D43D" w14:textId="2ACFDCB8" w:rsidR="00E60C93" w:rsidRPr="00690125" w:rsidRDefault="0019308A" w:rsidP="00E60C93">
      <w:pPr>
        <w:pStyle w:val="Headingb"/>
        <w:rPr>
          <w:lang w:val="ru-RU"/>
        </w:rPr>
      </w:pPr>
      <w:r w:rsidRPr="00690125">
        <w:rPr>
          <w:lang w:val="ru-RU"/>
        </w:rPr>
        <w:t>Полоса частот 37</w:t>
      </w:r>
      <w:r w:rsidR="009B00E7" w:rsidRPr="00690125">
        <w:rPr>
          <w:lang w:val="ru-RU"/>
        </w:rPr>
        <w:t>–</w:t>
      </w:r>
      <w:r w:rsidRPr="00690125">
        <w:rPr>
          <w:lang w:val="ru-RU"/>
        </w:rPr>
        <w:t>43,5</w:t>
      </w:r>
      <w:r w:rsidRPr="00690125">
        <w:rPr>
          <w:rFonts w:ascii="Times New Roman Bold Cyr" w:hAnsi="Times New Roman Bold Cyr"/>
          <w:lang w:val="ru-RU"/>
        </w:rPr>
        <w:t> ГГц</w:t>
      </w:r>
    </w:p>
    <w:p w14:paraId="20B5D2A6" w14:textId="2F1F2784" w:rsidR="00E60C93" w:rsidRPr="00690125" w:rsidRDefault="0019308A" w:rsidP="0049684E">
      <w:r w:rsidRPr="00690125">
        <w:t>Администрации Самоа придерживаются следующей точки зрения</w:t>
      </w:r>
      <w:r w:rsidR="009B00E7" w:rsidRPr="00690125">
        <w:t>.</w:t>
      </w:r>
    </w:p>
    <w:p w14:paraId="65199814" w14:textId="16CD7D0C" w:rsidR="0019308A" w:rsidRPr="00690125" w:rsidRDefault="0049684E" w:rsidP="0019308A">
      <w:pPr>
        <w:pStyle w:val="enumlev1"/>
      </w:pPr>
      <w:r w:rsidRPr="00690125">
        <w:t>–</w:t>
      </w:r>
      <w:r w:rsidR="00E60C93" w:rsidRPr="00690125">
        <w:tab/>
      </w:r>
      <w:r w:rsidR="0019308A" w:rsidRPr="00690125">
        <w:t>Полоса частот 40,5–43,5 ГГц может совместно использоваться IMT и координируемыми шлюзовыми земными станциями в Районе 3, а спектр ниже 40,5 ГГц требуется для </w:t>
      </w:r>
      <w:proofErr w:type="spellStart"/>
      <w:r w:rsidR="0019308A" w:rsidRPr="00690125">
        <w:t>некоординируемых</w:t>
      </w:r>
      <w:proofErr w:type="spellEnd"/>
      <w:r w:rsidR="0019308A" w:rsidRPr="00690125">
        <w:t xml:space="preserve"> терминалов ФСС, не допускающих совместное использование спектра с IMT (см. рисунок 2).</w:t>
      </w:r>
    </w:p>
    <w:p w14:paraId="21EC1574" w14:textId="77777777" w:rsidR="0019308A" w:rsidRPr="00690125" w:rsidRDefault="0019308A" w:rsidP="0019308A">
      <w:pPr>
        <w:pStyle w:val="enumlev1"/>
      </w:pPr>
      <w:r w:rsidRPr="00690125">
        <w:t>–</w:t>
      </w:r>
      <w:r w:rsidRPr="00690125">
        <w:tab/>
        <w:t>Необходимо сохранить ФС и ФСС в Районе 3 в полосе частот 37–40,5 ГГц.</w:t>
      </w:r>
    </w:p>
    <w:p w14:paraId="78FFC2FA" w14:textId="76C5A195" w:rsidR="0019308A" w:rsidRPr="00690125" w:rsidRDefault="0019308A" w:rsidP="0019308A">
      <w:pPr>
        <w:pStyle w:val="enumlev1"/>
      </w:pPr>
      <w:r w:rsidRPr="00690125">
        <w:t>–</w:t>
      </w:r>
      <w:r w:rsidRPr="00690125">
        <w:tab/>
        <w:t>Для поддержки диапазона настройки оборудования IMT нет необходимости определять частоты для IMT на глобальной основе в диапазоне 37–43,5 ГГц в Регламенте радиосвязи. Более того, широкий диапазон настройки такого оборудования позволит адаптировать это оборудование к диапазону IMT в каждой стране, не теряя в экономии за счет масштаба.</w:t>
      </w:r>
    </w:p>
    <w:p w14:paraId="72A91F5C" w14:textId="16D4CA97" w:rsidR="00E60C93" w:rsidRPr="00690125" w:rsidRDefault="0019308A" w:rsidP="0019308A">
      <w:pPr>
        <w:pStyle w:val="enumlev1"/>
      </w:pPr>
      <w:r w:rsidRPr="00690125">
        <w:t>–</w:t>
      </w:r>
      <w:r w:rsidRPr="00690125">
        <w:tab/>
        <w:t>С тем чтобы обеспечить согласованное и эффективное использование спектра, полосы, определенные для IMT, должны подходить для использования во многих странах, и наоборот, полосы, не подходящие для использования в большинстве стран, не должны определяться для IMT.</w:t>
      </w:r>
    </w:p>
    <w:p w14:paraId="714B28E7" w14:textId="395F6E39" w:rsidR="00E60C93" w:rsidRPr="00690125" w:rsidRDefault="0019308A" w:rsidP="0096742F">
      <w:r w:rsidRPr="00690125">
        <w:t xml:space="preserve">Глобальная экономия за счет масштаба для оборудования IMT, а также сохранение ФС и ФСС в полосе частот 37–40,5 ГГц в Районе 3 могут быть достигнуты путем определения для IMT участка спектра шириной 3 ГГц в каждом Районе МСЭ (см. </w:t>
      </w:r>
      <w:r w:rsidR="0096742F" w:rsidRPr="00690125">
        <w:t>Рисунок </w:t>
      </w:r>
      <w:r w:rsidRPr="00690125">
        <w:t xml:space="preserve">3) при условии, что соответствующее </w:t>
      </w:r>
      <w:r w:rsidRPr="0096742F">
        <w:t>радиочастотное</w:t>
      </w:r>
      <w:r w:rsidRPr="00690125">
        <w:t xml:space="preserve"> оборудование допускает настройку в пределах всей полосы от 37 до 43,5 ГГц.</w:t>
      </w:r>
    </w:p>
    <w:p w14:paraId="247E7786" w14:textId="70C1EA63" w:rsidR="00E85F62" w:rsidRPr="00690125" w:rsidRDefault="00E85F62" w:rsidP="00E85F62">
      <w:pPr>
        <w:pStyle w:val="FigureNo"/>
      </w:pPr>
      <w:r w:rsidRPr="00690125">
        <w:lastRenderedPageBreak/>
        <w:t>РИСУНОК 2</w:t>
      </w:r>
    </w:p>
    <w:p w14:paraId="55876324" w14:textId="4D7A4307" w:rsidR="00E60C93" w:rsidRPr="00690125" w:rsidRDefault="00C13463" w:rsidP="004F53B7">
      <w:pPr>
        <w:pStyle w:val="Figure"/>
        <w:keepLines w:val="0"/>
        <w:spacing w:after="120"/>
        <w:rPr>
          <w:b/>
          <w:sz w:val="18"/>
        </w:rPr>
      </w:pPr>
      <w:r w:rsidRPr="00690125">
        <w:rPr>
          <w:b/>
          <w:sz w:val="18"/>
        </w:rPr>
        <w:t>Текущие определения для ФССВП (космос-Земля) в полосе частот 37–43,5 ГГц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74"/>
        <w:gridCol w:w="1106"/>
        <w:gridCol w:w="1106"/>
        <w:gridCol w:w="1488"/>
        <w:gridCol w:w="1489"/>
      </w:tblGrid>
      <w:tr w:rsidR="00E85F62" w:rsidRPr="00690125" w14:paraId="697C040B" w14:textId="77777777" w:rsidTr="008B0511">
        <w:trPr>
          <w:jc w:val="center"/>
        </w:trPr>
        <w:tc>
          <w:tcPr>
            <w:tcW w:w="1129" w:type="dxa"/>
          </w:tcPr>
          <w:p w14:paraId="064C4AC9" w14:textId="77777777" w:rsidR="00E85F62" w:rsidRPr="00690125" w:rsidRDefault="00E85F62" w:rsidP="008B0511">
            <w:pPr>
              <w:pStyle w:val="Tablehead"/>
              <w:rPr>
                <w:lang w:val="ru-RU"/>
              </w:rPr>
            </w:pPr>
          </w:p>
        </w:tc>
        <w:tc>
          <w:tcPr>
            <w:tcW w:w="1474" w:type="dxa"/>
          </w:tcPr>
          <w:p w14:paraId="37DDB41F" w14:textId="1D97E1DB" w:rsidR="00E85F62" w:rsidRPr="00690125" w:rsidRDefault="00E85F62" w:rsidP="008B0511">
            <w:pPr>
              <w:pStyle w:val="Tablehead"/>
              <w:rPr>
                <w:lang w:val="ru-RU"/>
              </w:rPr>
            </w:pPr>
            <w:r w:rsidRPr="00690125">
              <w:rPr>
                <w:lang w:val="ru-RU"/>
              </w:rPr>
              <w:t>37</w:t>
            </w:r>
            <w:r w:rsidR="00F2725A" w:rsidRPr="00690125">
              <w:rPr>
                <w:lang w:val="ru-RU"/>
              </w:rPr>
              <w:t>–</w:t>
            </w:r>
            <w:r w:rsidRPr="00690125">
              <w:rPr>
                <w:lang w:val="ru-RU"/>
              </w:rPr>
              <w:t>39,5 ГГц</w:t>
            </w:r>
          </w:p>
        </w:tc>
        <w:tc>
          <w:tcPr>
            <w:tcW w:w="1106" w:type="dxa"/>
          </w:tcPr>
          <w:p w14:paraId="4F53DE74" w14:textId="79A39A13" w:rsidR="00E85F62" w:rsidRPr="00690125" w:rsidRDefault="00E85F62" w:rsidP="008B0511">
            <w:pPr>
              <w:pStyle w:val="Tablehead"/>
              <w:ind w:left="-57" w:right="-57"/>
              <w:rPr>
                <w:lang w:val="ru-RU"/>
              </w:rPr>
            </w:pPr>
            <w:r w:rsidRPr="00690125">
              <w:rPr>
                <w:lang w:val="ru-RU"/>
              </w:rPr>
              <w:t>39,5</w:t>
            </w:r>
            <w:r w:rsidR="00F2725A" w:rsidRPr="00690125">
              <w:rPr>
                <w:lang w:val="ru-RU"/>
              </w:rPr>
              <w:t>–</w:t>
            </w:r>
            <w:r w:rsidRPr="00690125">
              <w:rPr>
                <w:lang w:val="ru-RU"/>
              </w:rPr>
              <w:t>40 ГГц</w:t>
            </w:r>
          </w:p>
        </w:tc>
        <w:tc>
          <w:tcPr>
            <w:tcW w:w="1106" w:type="dxa"/>
          </w:tcPr>
          <w:p w14:paraId="5F89F622" w14:textId="79FADEE1" w:rsidR="00E85F62" w:rsidRPr="00690125" w:rsidRDefault="00E85F62" w:rsidP="008B0511">
            <w:pPr>
              <w:pStyle w:val="Tablehead"/>
              <w:ind w:left="-57" w:right="-57"/>
              <w:rPr>
                <w:lang w:val="ru-RU"/>
              </w:rPr>
            </w:pPr>
            <w:r w:rsidRPr="00690125">
              <w:rPr>
                <w:lang w:val="ru-RU"/>
              </w:rPr>
              <w:t>40</w:t>
            </w:r>
            <w:r w:rsidR="00F2725A" w:rsidRPr="00690125">
              <w:rPr>
                <w:lang w:val="ru-RU"/>
              </w:rPr>
              <w:t>–</w:t>
            </w:r>
            <w:r w:rsidRPr="00690125">
              <w:rPr>
                <w:lang w:val="ru-RU"/>
              </w:rPr>
              <w:t>40,5 ГГц</w:t>
            </w:r>
          </w:p>
        </w:tc>
        <w:tc>
          <w:tcPr>
            <w:tcW w:w="1488" w:type="dxa"/>
          </w:tcPr>
          <w:p w14:paraId="4AB46911" w14:textId="08CA115F" w:rsidR="00E85F62" w:rsidRPr="00690125" w:rsidRDefault="00E85F62" w:rsidP="008B0511">
            <w:pPr>
              <w:pStyle w:val="Tablehead"/>
              <w:rPr>
                <w:lang w:val="ru-RU"/>
              </w:rPr>
            </w:pPr>
            <w:r w:rsidRPr="00690125">
              <w:rPr>
                <w:lang w:val="ru-RU"/>
              </w:rPr>
              <w:t>40,5</w:t>
            </w:r>
            <w:r w:rsidR="00F2725A" w:rsidRPr="00690125">
              <w:rPr>
                <w:lang w:val="ru-RU"/>
              </w:rPr>
              <w:t>–</w:t>
            </w:r>
            <w:r w:rsidRPr="00690125">
              <w:rPr>
                <w:lang w:val="ru-RU"/>
              </w:rPr>
              <w:t>42 ГГц</w:t>
            </w:r>
          </w:p>
        </w:tc>
        <w:tc>
          <w:tcPr>
            <w:tcW w:w="1489" w:type="dxa"/>
          </w:tcPr>
          <w:p w14:paraId="062F8E8A" w14:textId="395BF40E" w:rsidR="00E85F62" w:rsidRPr="00690125" w:rsidRDefault="00E85F62" w:rsidP="008B0511">
            <w:pPr>
              <w:pStyle w:val="Tablehead"/>
              <w:rPr>
                <w:lang w:val="ru-RU"/>
              </w:rPr>
            </w:pPr>
            <w:r w:rsidRPr="00690125">
              <w:rPr>
                <w:lang w:val="ru-RU"/>
              </w:rPr>
              <w:t>42</w:t>
            </w:r>
            <w:r w:rsidR="00F2725A" w:rsidRPr="00690125">
              <w:rPr>
                <w:lang w:val="ru-RU"/>
              </w:rPr>
              <w:t>–</w:t>
            </w:r>
            <w:r w:rsidRPr="00690125">
              <w:rPr>
                <w:lang w:val="ru-RU"/>
              </w:rPr>
              <w:t>43,5 ГГц</w:t>
            </w:r>
          </w:p>
        </w:tc>
      </w:tr>
      <w:tr w:rsidR="00E85F62" w:rsidRPr="00690125" w14:paraId="522A63E6" w14:textId="77777777" w:rsidTr="008B0511">
        <w:trPr>
          <w:jc w:val="center"/>
        </w:trPr>
        <w:tc>
          <w:tcPr>
            <w:tcW w:w="1129" w:type="dxa"/>
          </w:tcPr>
          <w:p w14:paraId="55B417E0" w14:textId="77777777" w:rsidR="00E85F62" w:rsidRPr="00690125" w:rsidRDefault="00E85F62" w:rsidP="0096742F">
            <w:pPr>
              <w:pStyle w:val="Tabletext"/>
              <w:keepNext/>
              <w:keepLines/>
            </w:pPr>
            <w:r w:rsidRPr="00690125">
              <w:t>Район 1</w:t>
            </w:r>
          </w:p>
        </w:tc>
        <w:tc>
          <w:tcPr>
            <w:tcW w:w="1474" w:type="dxa"/>
          </w:tcPr>
          <w:p w14:paraId="7904CC35" w14:textId="77777777" w:rsidR="00E85F62" w:rsidRPr="00690125" w:rsidRDefault="00E85F62" w:rsidP="008B0511">
            <w:pPr>
              <w:pStyle w:val="Tabletext"/>
              <w:jc w:val="center"/>
            </w:pPr>
          </w:p>
        </w:tc>
        <w:tc>
          <w:tcPr>
            <w:tcW w:w="2212" w:type="dxa"/>
            <w:gridSpan w:val="2"/>
            <w:shd w:val="clear" w:color="auto" w:fill="88A9D2"/>
          </w:tcPr>
          <w:p w14:paraId="481AF34E" w14:textId="62288B87" w:rsidR="00E85F62" w:rsidRPr="00690125" w:rsidRDefault="00C13463" w:rsidP="008B0511">
            <w:pPr>
              <w:pStyle w:val="Tabletext"/>
              <w:jc w:val="center"/>
              <w:rPr>
                <w:b/>
                <w:bCs/>
              </w:rPr>
            </w:pPr>
            <w:r w:rsidRPr="00690125">
              <w:t>ФССВП</w:t>
            </w:r>
          </w:p>
        </w:tc>
        <w:tc>
          <w:tcPr>
            <w:tcW w:w="1488" w:type="dxa"/>
          </w:tcPr>
          <w:p w14:paraId="4CF4E076" w14:textId="77777777" w:rsidR="00E85F62" w:rsidRPr="00690125" w:rsidRDefault="00E85F62" w:rsidP="008B0511">
            <w:pPr>
              <w:pStyle w:val="Tabletext"/>
              <w:jc w:val="center"/>
            </w:pPr>
          </w:p>
        </w:tc>
        <w:tc>
          <w:tcPr>
            <w:tcW w:w="1489" w:type="dxa"/>
          </w:tcPr>
          <w:p w14:paraId="6953E2A3" w14:textId="77777777" w:rsidR="00E85F62" w:rsidRPr="00690125" w:rsidRDefault="00E85F62" w:rsidP="008B0511">
            <w:pPr>
              <w:pStyle w:val="Tabletext"/>
              <w:jc w:val="center"/>
            </w:pPr>
          </w:p>
        </w:tc>
      </w:tr>
      <w:tr w:rsidR="00E85F62" w:rsidRPr="00690125" w14:paraId="7A2C687B" w14:textId="77777777" w:rsidTr="008B0511">
        <w:trPr>
          <w:jc w:val="center"/>
        </w:trPr>
        <w:tc>
          <w:tcPr>
            <w:tcW w:w="1129" w:type="dxa"/>
          </w:tcPr>
          <w:p w14:paraId="3F4762D8" w14:textId="77777777" w:rsidR="00E85F62" w:rsidRPr="00690125" w:rsidRDefault="00E85F62" w:rsidP="008B0511">
            <w:pPr>
              <w:pStyle w:val="Tabletext"/>
            </w:pPr>
            <w:r w:rsidRPr="00690125">
              <w:t>Район 2</w:t>
            </w:r>
          </w:p>
        </w:tc>
        <w:tc>
          <w:tcPr>
            <w:tcW w:w="1474" w:type="dxa"/>
          </w:tcPr>
          <w:p w14:paraId="30A7CEB6" w14:textId="77777777" w:rsidR="00E85F62" w:rsidRPr="00690125" w:rsidRDefault="00E85F62" w:rsidP="008B0511">
            <w:pPr>
              <w:pStyle w:val="Tabletext"/>
              <w:jc w:val="center"/>
            </w:pPr>
          </w:p>
        </w:tc>
        <w:tc>
          <w:tcPr>
            <w:tcW w:w="1106" w:type="dxa"/>
          </w:tcPr>
          <w:p w14:paraId="30B1F894" w14:textId="77777777" w:rsidR="00E85F62" w:rsidRPr="00690125" w:rsidRDefault="00E85F62" w:rsidP="008B0511">
            <w:pPr>
              <w:pStyle w:val="Tabletext"/>
              <w:jc w:val="center"/>
            </w:pPr>
          </w:p>
        </w:tc>
        <w:tc>
          <w:tcPr>
            <w:tcW w:w="2594" w:type="dxa"/>
            <w:gridSpan w:val="2"/>
            <w:shd w:val="clear" w:color="auto" w:fill="88A9D2"/>
          </w:tcPr>
          <w:p w14:paraId="369A2526" w14:textId="1614C5F7" w:rsidR="00E85F62" w:rsidRPr="00690125" w:rsidRDefault="00C13463" w:rsidP="008B0511">
            <w:pPr>
              <w:pStyle w:val="Tabletext"/>
              <w:jc w:val="center"/>
            </w:pPr>
            <w:r w:rsidRPr="00690125">
              <w:t>ФССВП</w:t>
            </w:r>
          </w:p>
        </w:tc>
        <w:tc>
          <w:tcPr>
            <w:tcW w:w="1489" w:type="dxa"/>
          </w:tcPr>
          <w:p w14:paraId="52900569" w14:textId="77777777" w:rsidR="00E85F62" w:rsidRPr="00690125" w:rsidRDefault="00E85F62" w:rsidP="008B0511">
            <w:pPr>
              <w:pStyle w:val="Tabletext"/>
              <w:jc w:val="center"/>
            </w:pPr>
          </w:p>
        </w:tc>
      </w:tr>
      <w:tr w:rsidR="00E85F62" w:rsidRPr="00690125" w14:paraId="5B626C5A" w14:textId="77777777" w:rsidTr="008B0511">
        <w:trPr>
          <w:jc w:val="center"/>
        </w:trPr>
        <w:tc>
          <w:tcPr>
            <w:tcW w:w="1129" w:type="dxa"/>
          </w:tcPr>
          <w:p w14:paraId="14B120A3" w14:textId="77777777" w:rsidR="00E85F62" w:rsidRPr="00690125" w:rsidRDefault="00E85F62" w:rsidP="008B0511">
            <w:pPr>
              <w:pStyle w:val="Tabletext"/>
            </w:pPr>
            <w:r w:rsidRPr="00690125">
              <w:t>Район 3</w:t>
            </w:r>
          </w:p>
        </w:tc>
        <w:tc>
          <w:tcPr>
            <w:tcW w:w="1474" w:type="dxa"/>
          </w:tcPr>
          <w:p w14:paraId="6A3DBAB2" w14:textId="77777777" w:rsidR="00E85F62" w:rsidRPr="00690125" w:rsidRDefault="00E85F62" w:rsidP="008B0511">
            <w:pPr>
              <w:pStyle w:val="Tabletext"/>
              <w:jc w:val="center"/>
            </w:pPr>
          </w:p>
        </w:tc>
        <w:tc>
          <w:tcPr>
            <w:tcW w:w="1106" w:type="dxa"/>
          </w:tcPr>
          <w:p w14:paraId="5D302251" w14:textId="77777777" w:rsidR="00E85F62" w:rsidRPr="00690125" w:rsidRDefault="00E85F62" w:rsidP="008B0511">
            <w:pPr>
              <w:pStyle w:val="Tabletext"/>
              <w:jc w:val="center"/>
            </w:pPr>
          </w:p>
        </w:tc>
        <w:tc>
          <w:tcPr>
            <w:tcW w:w="1106" w:type="dxa"/>
            <w:shd w:val="clear" w:color="auto" w:fill="88A9D2"/>
          </w:tcPr>
          <w:p w14:paraId="1AA16D99" w14:textId="04306961" w:rsidR="00E85F62" w:rsidRPr="00690125" w:rsidRDefault="00C13463" w:rsidP="008B0511">
            <w:pPr>
              <w:pStyle w:val="Tabletext"/>
              <w:jc w:val="center"/>
            </w:pPr>
            <w:r w:rsidRPr="00690125">
              <w:t>ФССВП</w:t>
            </w:r>
          </w:p>
        </w:tc>
        <w:tc>
          <w:tcPr>
            <w:tcW w:w="1488" w:type="dxa"/>
          </w:tcPr>
          <w:p w14:paraId="3DF636D6" w14:textId="77777777" w:rsidR="00E85F62" w:rsidRPr="00690125" w:rsidRDefault="00E85F62" w:rsidP="008B0511">
            <w:pPr>
              <w:pStyle w:val="Tabletext"/>
              <w:jc w:val="center"/>
            </w:pPr>
          </w:p>
        </w:tc>
        <w:tc>
          <w:tcPr>
            <w:tcW w:w="1489" w:type="dxa"/>
          </w:tcPr>
          <w:p w14:paraId="29A288AF" w14:textId="77777777" w:rsidR="00E85F62" w:rsidRPr="00690125" w:rsidRDefault="00E85F62" w:rsidP="008B0511">
            <w:pPr>
              <w:pStyle w:val="Tabletext"/>
              <w:jc w:val="center"/>
            </w:pPr>
          </w:p>
        </w:tc>
      </w:tr>
    </w:tbl>
    <w:p w14:paraId="5DF0FBA0" w14:textId="619ED5EC" w:rsidR="00E85F62" w:rsidRPr="00690125" w:rsidRDefault="00E85F62" w:rsidP="00E85F62">
      <w:pPr>
        <w:pStyle w:val="FigureNo"/>
      </w:pPr>
      <w:r w:rsidRPr="00690125">
        <w:t>РИСУНОК 3</w:t>
      </w:r>
    </w:p>
    <w:p w14:paraId="6C924F42" w14:textId="0174F11E" w:rsidR="004F53B7" w:rsidRPr="00690125" w:rsidRDefault="006F6A12" w:rsidP="00E85F62">
      <w:pPr>
        <w:pStyle w:val="Figure"/>
        <w:keepLines w:val="0"/>
        <w:spacing w:after="120"/>
        <w:rPr>
          <w:b/>
          <w:sz w:val="18"/>
        </w:rPr>
      </w:pPr>
      <w:r w:rsidRPr="00690125">
        <w:rPr>
          <w:b/>
          <w:sz w:val="18"/>
        </w:rPr>
        <w:t>Предложения для IMT в полосе частот 37–43,5 ГГц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52"/>
        <w:gridCol w:w="1106"/>
        <w:gridCol w:w="1106"/>
        <w:gridCol w:w="2536"/>
      </w:tblGrid>
      <w:tr w:rsidR="00C86EDC" w:rsidRPr="00690125" w14:paraId="217574F3" w14:textId="77777777" w:rsidTr="008B0511">
        <w:trPr>
          <w:jc w:val="center"/>
        </w:trPr>
        <w:tc>
          <w:tcPr>
            <w:tcW w:w="992" w:type="dxa"/>
          </w:tcPr>
          <w:p w14:paraId="748087B2" w14:textId="77777777" w:rsidR="00C86EDC" w:rsidRPr="00690125" w:rsidRDefault="00C86EDC" w:rsidP="008B0511">
            <w:pPr>
              <w:pStyle w:val="Tablehead"/>
              <w:rPr>
                <w:lang w:val="ru-RU"/>
              </w:rPr>
            </w:pPr>
          </w:p>
        </w:tc>
        <w:tc>
          <w:tcPr>
            <w:tcW w:w="2052" w:type="dxa"/>
          </w:tcPr>
          <w:p w14:paraId="01E2C07D" w14:textId="2B5D0E1A" w:rsidR="00C86EDC" w:rsidRPr="00690125" w:rsidRDefault="00C86EDC" w:rsidP="008B0511">
            <w:pPr>
              <w:pStyle w:val="Tablehead"/>
              <w:rPr>
                <w:lang w:val="ru-RU"/>
              </w:rPr>
            </w:pPr>
            <w:r w:rsidRPr="00690125">
              <w:rPr>
                <w:lang w:val="ru-RU"/>
              </w:rPr>
              <w:t>37</w:t>
            </w:r>
            <w:r w:rsidR="00F2725A" w:rsidRPr="00690125">
              <w:rPr>
                <w:lang w:val="ru-RU"/>
              </w:rPr>
              <w:t>–</w:t>
            </w:r>
            <w:r w:rsidRPr="00690125">
              <w:rPr>
                <w:lang w:val="ru-RU"/>
              </w:rPr>
              <w:t>39,5 ГГц</w:t>
            </w:r>
          </w:p>
        </w:tc>
        <w:tc>
          <w:tcPr>
            <w:tcW w:w="1106" w:type="dxa"/>
          </w:tcPr>
          <w:p w14:paraId="72FF2298" w14:textId="1B60A08D" w:rsidR="00C86EDC" w:rsidRPr="00690125" w:rsidRDefault="00C86EDC" w:rsidP="008B0511">
            <w:pPr>
              <w:pStyle w:val="Tablehead"/>
              <w:ind w:left="-57" w:right="-57"/>
              <w:rPr>
                <w:lang w:val="ru-RU"/>
              </w:rPr>
            </w:pPr>
            <w:r w:rsidRPr="00690125">
              <w:rPr>
                <w:lang w:val="ru-RU"/>
              </w:rPr>
              <w:t>39,5</w:t>
            </w:r>
            <w:r w:rsidR="00F2725A" w:rsidRPr="00690125">
              <w:rPr>
                <w:lang w:val="ru-RU"/>
              </w:rPr>
              <w:t>–</w:t>
            </w:r>
            <w:r w:rsidRPr="00690125">
              <w:rPr>
                <w:lang w:val="ru-RU"/>
              </w:rPr>
              <w:t>40 ГГц</w:t>
            </w:r>
          </w:p>
        </w:tc>
        <w:tc>
          <w:tcPr>
            <w:tcW w:w="1106" w:type="dxa"/>
          </w:tcPr>
          <w:p w14:paraId="40DF2159" w14:textId="330C5000" w:rsidR="00C86EDC" w:rsidRPr="00690125" w:rsidRDefault="00C86EDC" w:rsidP="008B0511">
            <w:pPr>
              <w:pStyle w:val="Tablehead"/>
              <w:ind w:left="-57" w:right="-57"/>
              <w:rPr>
                <w:lang w:val="ru-RU"/>
              </w:rPr>
            </w:pPr>
            <w:r w:rsidRPr="00690125">
              <w:rPr>
                <w:lang w:val="ru-RU"/>
              </w:rPr>
              <w:t>40</w:t>
            </w:r>
            <w:r w:rsidR="00F2725A" w:rsidRPr="00690125">
              <w:rPr>
                <w:lang w:val="ru-RU"/>
              </w:rPr>
              <w:t>–</w:t>
            </w:r>
            <w:r w:rsidRPr="00690125">
              <w:rPr>
                <w:lang w:val="ru-RU"/>
              </w:rPr>
              <w:t>40,5 ГГц</w:t>
            </w:r>
          </w:p>
        </w:tc>
        <w:tc>
          <w:tcPr>
            <w:tcW w:w="2536" w:type="dxa"/>
          </w:tcPr>
          <w:p w14:paraId="4B0F351D" w14:textId="2FBDB1D3" w:rsidR="00C86EDC" w:rsidRPr="00690125" w:rsidRDefault="00C86EDC" w:rsidP="008B0511">
            <w:pPr>
              <w:pStyle w:val="Tablehead"/>
              <w:rPr>
                <w:lang w:val="ru-RU"/>
              </w:rPr>
            </w:pPr>
            <w:r w:rsidRPr="00690125">
              <w:rPr>
                <w:lang w:val="ru-RU"/>
              </w:rPr>
              <w:t>40,5</w:t>
            </w:r>
            <w:r w:rsidR="00F2725A" w:rsidRPr="00690125">
              <w:rPr>
                <w:lang w:val="ru-RU"/>
              </w:rPr>
              <w:t>–</w:t>
            </w:r>
            <w:r w:rsidRPr="00690125">
              <w:rPr>
                <w:lang w:val="ru-RU"/>
              </w:rPr>
              <w:t>43,5 ГГц</w:t>
            </w:r>
          </w:p>
        </w:tc>
      </w:tr>
      <w:tr w:rsidR="00C86EDC" w:rsidRPr="00690125" w14:paraId="5375C1EA" w14:textId="77777777" w:rsidTr="008B0511">
        <w:trPr>
          <w:jc w:val="center"/>
        </w:trPr>
        <w:tc>
          <w:tcPr>
            <w:tcW w:w="992" w:type="dxa"/>
          </w:tcPr>
          <w:p w14:paraId="321458D5" w14:textId="77777777" w:rsidR="00C86EDC" w:rsidRPr="00690125" w:rsidRDefault="00C86EDC" w:rsidP="008B0511">
            <w:pPr>
              <w:pStyle w:val="Tabletext"/>
              <w:keepNext/>
            </w:pPr>
            <w:r w:rsidRPr="00690125">
              <w:t>Район 1</w:t>
            </w:r>
          </w:p>
        </w:tc>
        <w:tc>
          <w:tcPr>
            <w:tcW w:w="2052" w:type="dxa"/>
          </w:tcPr>
          <w:p w14:paraId="51A0B2F4" w14:textId="5771E856" w:rsidR="00C86EDC" w:rsidRPr="00690125" w:rsidRDefault="009B00E7" w:rsidP="008B0511">
            <w:pPr>
              <w:pStyle w:val="Tabletext"/>
              <w:keepNext/>
              <w:jc w:val="center"/>
            </w:pPr>
            <w:r w:rsidRPr="00690125">
              <w:rPr>
                <w:color w:val="000000"/>
              </w:rPr>
              <w:t xml:space="preserve">Без </w:t>
            </w:r>
            <w:r w:rsidR="00C86EDC" w:rsidRPr="00690125">
              <w:rPr>
                <w:color w:val="000000"/>
              </w:rPr>
              <w:t>изменений</w:t>
            </w:r>
          </w:p>
        </w:tc>
        <w:tc>
          <w:tcPr>
            <w:tcW w:w="2212" w:type="dxa"/>
            <w:gridSpan w:val="2"/>
          </w:tcPr>
          <w:p w14:paraId="1CFE10BC" w14:textId="637D6F54" w:rsidR="00C86EDC" w:rsidRPr="00690125" w:rsidRDefault="009B00E7" w:rsidP="008B0511">
            <w:pPr>
              <w:pStyle w:val="Tabletext"/>
              <w:keepNext/>
              <w:jc w:val="center"/>
            </w:pPr>
            <w:r w:rsidRPr="00690125">
              <w:rPr>
                <w:color w:val="000000"/>
              </w:rPr>
              <w:t xml:space="preserve">Без </w:t>
            </w:r>
            <w:r w:rsidR="00C86EDC" w:rsidRPr="00690125">
              <w:rPr>
                <w:color w:val="000000"/>
              </w:rPr>
              <w:t>изменений</w:t>
            </w:r>
          </w:p>
        </w:tc>
        <w:tc>
          <w:tcPr>
            <w:tcW w:w="2536" w:type="dxa"/>
            <w:shd w:val="clear" w:color="auto" w:fill="FFFF00"/>
          </w:tcPr>
          <w:p w14:paraId="59D4CAD2" w14:textId="77777777" w:rsidR="00C86EDC" w:rsidRPr="00690125" w:rsidRDefault="00C86EDC" w:rsidP="008B0511">
            <w:pPr>
              <w:pStyle w:val="Tabletext"/>
              <w:keepNext/>
              <w:jc w:val="center"/>
              <w:rPr>
                <w:b/>
                <w:bCs/>
              </w:rPr>
            </w:pPr>
            <w:r w:rsidRPr="00690125">
              <w:rPr>
                <w:b/>
                <w:bCs/>
              </w:rPr>
              <w:t>IMT</w:t>
            </w:r>
          </w:p>
        </w:tc>
      </w:tr>
      <w:tr w:rsidR="00C86EDC" w:rsidRPr="00690125" w14:paraId="0F20708A" w14:textId="77777777" w:rsidTr="008B0511">
        <w:trPr>
          <w:jc w:val="center"/>
        </w:trPr>
        <w:tc>
          <w:tcPr>
            <w:tcW w:w="992" w:type="dxa"/>
          </w:tcPr>
          <w:p w14:paraId="679D0FDD" w14:textId="77777777" w:rsidR="00C86EDC" w:rsidRPr="00690125" w:rsidRDefault="00C86EDC" w:rsidP="008B0511">
            <w:pPr>
              <w:pStyle w:val="Tabletext"/>
              <w:keepNext/>
            </w:pPr>
            <w:r w:rsidRPr="00690125">
              <w:t>Район 2</w:t>
            </w:r>
          </w:p>
        </w:tc>
        <w:tc>
          <w:tcPr>
            <w:tcW w:w="3158" w:type="dxa"/>
            <w:gridSpan w:val="2"/>
            <w:shd w:val="clear" w:color="auto" w:fill="FFFF00"/>
          </w:tcPr>
          <w:p w14:paraId="0F7673AB" w14:textId="77777777" w:rsidR="00C86EDC" w:rsidRPr="00690125" w:rsidRDefault="00C86EDC" w:rsidP="008B0511">
            <w:pPr>
              <w:pStyle w:val="Tabletext"/>
              <w:keepNext/>
              <w:jc w:val="center"/>
              <w:rPr>
                <w:b/>
                <w:bCs/>
              </w:rPr>
            </w:pPr>
            <w:r w:rsidRPr="00690125">
              <w:rPr>
                <w:b/>
                <w:bCs/>
              </w:rPr>
              <w:t>IMT</w:t>
            </w:r>
          </w:p>
        </w:tc>
        <w:tc>
          <w:tcPr>
            <w:tcW w:w="3642" w:type="dxa"/>
            <w:gridSpan w:val="2"/>
          </w:tcPr>
          <w:p w14:paraId="4E402D8E" w14:textId="16FE4D46" w:rsidR="00C86EDC" w:rsidRPr="00690125" w:rsidRDefault="009B00E7" w:rsidP="008B0511">
            <w:pPr>
              <w:pStyle w:val="Tabletext"/>
              <w:keepNext/>
              <w:jc w:val="center"/>
            </w:pPr>
            <w:r w:rsidRPr="00690125">
              <w:rPr>
                <w:color w:val="000000"/>
              </w:rPr>
              <w:t xml:space="preserve">Без </w:t>
            </w:r>
            <w:r w:rsidR="00C86EDC" w:rsidRPr="00690125">
              <w:rPr>
                <w:color w:val="000000"/>
              </w:rPr>
              <w:t>изменений</w:t>
            </w:r>
          </w:p>
        </w:tc>
      </w:tr>
      <w:tr w:rsidR="00C86EDC" w:rsidRPr="00690125" w14:paraId="46B0D844" w14:textId="77777777" w:rsidTr="008B0511">
        <w:trPr>
          <w:jc w:val="center"/>
        </w:trPr>
        <w:tc>
          <w:tcPr>
            <w:tcW w:w="992" w:type="dxa"/>
          </w:tcPr>
          <w:p w14:paraId="6A8A0A57" w14:textId="77777777" w:rsidR="00C86EDC" w:rsidRPr="00690125" w:rsidRDefault="00C86EDC" w:rsidP="008B0511">
            <w:pPr>
              <w:pStyle w:val="Tabletext"/>
            </w:pPr>
            <w:r w:rsidRPr="00690125">
              <w:t>Район 3</w:t>
            </w:r>
          </w:p>
        </w:tc>
        <w:tc>
          <w:tcPr>
            <w:tcW w:w="2052" w:type="dxa"/>
          </w:tcPr>
          <w:p w14:paraId="4CBB8BE3" w14:textId="20DAE986" w:rsidR="00C86EDC" w:rsidRPr="00690125" w:rsidRDefault="009B00E7" w:rsidP="008B0511">
            <w:pPr>
              <w:pStyle w:val="Tabletext"/>
              <w:jc w:val="center"/>
            </w:pPr>
            <w:r w:rsidRPr="00690125">
              <w:rPr>
                <w:color w:val="000000"/>
              </w:rPr>
              <w:t xml:space="preserve">Без </w:t>
            </w:r>
            <w:r w:rsidR="00C86EDC" w:rsidRPr="00690125">
              <w:rPr>
                <w:color w:val="000000"/>
              </w:rPr>
              <w:t>изменений</w:t>
            </w:r>
          </w:p>
        </w:tc>
        <w:tc>
          <w:tcPr>
            <w:tcW w:w="2212" w:type="dxa"/>
            <w:gridSpan w:val="2"/>
          </w:tcPr>
          <w:p w14:paraId="51F26CF7" w14:textId="45D9EF8A" w:rsidR="00C86EDC" w:rsidRPr="00690125" w:rsidRDefault="009B00E7" w:rsidP="008B0511">
            <w:pPr>
              <w:pStyle w:val="Tabletext"/>
              <w:jc w:val="center"/>
            </w:pPr>
            <w:r w:rsidRPr="00690125">
              <w:rPr>
                <w:color w:val="000000"/>
              </w:rPr>
              <w:t xml:space="preserve">Без </w:t>
            </w:r>
            <w:r w:rsidR="00C86EDC" w:rsidRPr="00690125">
              <w:rPr>
                <w:color w:val="000000"/>
              </w:rPr>
              <w:t>изменений</w:t>
            </w:r>
          </w:p>
        </w:tc>
        <w:tc>
          <w:tcPr>
            <w:tcW w:w="2536" w:type="dxa"/>
            <w:shd w:val="clear" w:color="auto" w:fill="FFFF00"/>
          </w:tcPr>
          <w:p w14:paraId="5C4B0FFA" w14:textId="77777777" w:rsidR="00C86EDC" w:rsidRPr="00690125" w:rsidRDefault="00C86EDC" w:rsidP="008B0511">
            <w:pPr>
              <w:pStyle w:val="Tabletext"/>
              <w:jc w:val="center"/>
              <w:rPr>
                <w:b/>
                <w:bCs/>
              </w:rPr>
            </w:pPr>
            <w:r w:rsidRPr="00690125">
              <w:rPr>
                <w:b/>
                <w:bCs/>
              </w:rPr>
              <w:t>IMT</w:t>
            </w:r>
          </w:p>
        </w:tc>
      </w:tr>
    </w:tbl>
    <w:p w14:paraId="03A2C404" w14:textId="5B3D469F" w:rsidR="00E60C93" w:rsidRPr="00690125" w:rsidRDefault="006F6A12" w:rsidP="009B00E7">
      <w:pPr>
        <w:keepNext/>
      </w:pPr>
      <w:r w:rsidRPr="00690125">
        <w:t>Исходя из этого, предлагается следующее:</w:t>
      </w:r>
    </w:p>
    <w:p w14:paraId="164676E4" w14:textId="3605B71E" w:rsidR="00E60C93" w:rsidRPr="00690125" w:rsidRDefault="009A1239" w:rsidP="009A1239">
      <w:pPr>
        <w:pStyle w:val="enumlev1"/>
      </w:pPr>
      <w:r w:rsidRPr="00690125">
        <w:t>•</w:t>
      </w:r>
      <w:r w:rsidRPr="00690125">
        <w:tab/>
      </w:r>
      <w:r w:rsidR="006F6A12" w:rsidRPr="00690125">
        <w:t>Район 3</w:t>
      </w:r>
      <w:r w:rsidR="009B00E7" w:rsidRPr="00690125">
        <w:t xml:space="preserve"> –</w:t>
      </w:r>
      <w:r w:rsidR="006F6A12" w:rsidRPr="00690125">
        <w:t xml:space="preserve"> определение частот для IMT в полосе 40,5–43,5 ГГц с сохранением текущих определений для ФССВП в полосе 40–40,5 ГГц. Следует отметить, что ASMG и СЕПТ указали на отсутствие намерения </w:t>
      </w:r>
      <w:r w:rsidR="009B00E7" w:rsidRPr="00690125">
        <w:t xml:space="preserve">использовать </w:t>
      </w:r>
      <w:r w:rsidR="006F6A12" w:rsidRPr="00690125">
        <w:t>диапазон частот ниже 40,5 ГГц для IMT.</w:t>
      </w:r>
    </w:p>
    <w:p w14:paraId="7F161063" w14:textId="6F275052" w:rsidR="00E60C93" w:rsidRPr="00690125" w:rsidRDefault="006F6A12" w:rsidP="009A1239">
      <w:r w:rsidRPr="00690125">
        <w:t xml:space="preserve">Это обеспечило бы 3 ГГц спектра для IMT во всех Районах МСЭ-R, а также возможность использовать оборудование IMT при условии, что соответствующее радиочастотное оборудование допускает настройку в пределах всей полосы от 37 до 43,5 ГГц. Чтобы обеспечить сосуществование IMT и ФСС, следует </w:t>
      </w:r>
      <w:r w:rsidR="0004203C" w:rsidRPr="00690125">
        <w:t>ввести</w:t>
      </w:r>
      <w:r w:rsidRPr="00690125">
        <w:t xml:space="preserve"> в РР ограничение </w:t>
      </w:r>
      <w:r w:rsidR="0004203C" w:rsidRPr="00690125">
        <w:t>суммарной</w:t>
      </w:r>
      <w:r w:rsidRPr="00690125">
        <w:t xml:space="preserve"> мощности излучения (TRP) базовых станций IMT уровнем 37 </w:t>
      </w:r>
      <w:proofErr w:type="spellStart"/>
      <w:r w:rsidRPr="00690125">
        <w:t>дБм</w:t>
      </w:r>
      <w:proofErr w:type="spellEnd"/>
      <w:r w:rsidRPr="00690125">
        <w:t xml:space="preserve">/200 МГц. Это значение </w:t>
      </w:r>
      <w:r w:rsidR="0004203C" w:rsidRPr="00690125">
        <w:t>получено путем прибавления к базовому уровню,</w:t>
      </w:r>
      <w:r w:rsidRPr="00690125">
        <w:t xml:space="preserve"> установленно</w:t>
      </w:r>
      <w:r w:rsidR="0004203C" w:rsidRPr="00690125">
        <w:t>му</w:t>
      </w:r>
      <w:r w:rsidRPr="00690125">
        <w:t xml:space="preserve"> РГ 5D, запаса, размер которого определен по данным исследований ЦГ 5/1.</w:t>
      </w:r>
    </w:p>
    <w:p w14:paraId="1A5297B6" w14:textId="7B1301A9" w:rsidR="00E60C93" w:rsidRPr="00690125" w:rsidRDefault="0075480D" w:rsidP="009A1239">
      <w:r w:rsidRPr="00690125">
        <w:t>В отношении Отчета ПСК и изложенных в нем методов мы поддерживаем следующее:</w:t>
      </w:r>
    </w:p>
    <w:p w14:paraId="53E3F53B" w14:textId="2203492E" w:rsidR="0075480D" w:rsidRPr="00690125" w:rsidRDefault="009B00E7" w:rsidP="0075480D">
      <w:r w:rsidRPr="00690125">
        <w:t>в</w:t>
      </w:r>
      <w:r w:rsidR="0075480D" w:rsidRPr="00690125">
        <w:t xml:space="preserve"> полосе частот 37–40,5 ГГц:</w:t>
      </w:r>
    </w:p>
    <w:p w14:paraId="34CD3E93" w14:textId="56FAD210" w:rsidR="00E60C93" w:rsidRPr="00690125" w:rsidRDefault="0075480D" w:rsidP="0096742F">
      <w:pPr>
        <w:pStyle w:val="enumlev1"/>
        <w:rPr>
          <w:color w:val="000000"/>
        </w:rPr>
      </w:pPr>
      <w:r w:rsidRPr="00690125">
        <w:t>–</w:t>
      </w:r>
      <w:r w:rsidRPr="00690125">
        <w:tab/>
      </w:r>
      <w:r w:rsidR="009B00E7" w:rsidRPr="00690125">
        <w:t>в</w:t>
      </w:r>
      <w:r w:rsidRPr="00690125">
        <w:t xml:space="preserve"> </w:t>
      </w:r>
      <w:r w:rsidRPr="0096742F">
        <w:t>Районе</w:t>
      </w:r>
      <w:r w:rsidRPr="00690125">
        <w:t> 3</w:t>
      </w:r>
      <w:r w:rsidR="009B00E7" w:rsidRPr="00690125">
        <w:t xml:space="preserve"> –</w:t>
      </w:r>
      <w:r w:rsidRPr="00690125">
        <w:t xml:space="preserve"> метод C1 (без изменений) для полосы 37–40,5 ГГц</w:t>
      </w:r>
      <w:r w:rsidR="009B00E7" w:rsidRPr="00690125">
        <w:t>;</w:t>
      </w:r>
    </w:p>
    <w:p w14:paraId="5E8CEFCD" w14:textId="231B0EE7" w:rsidR="00E60C93" w:rsidRPr="00690125" w:rsidRDefault="009B00E7" w:rsidP="009A1239">
      <w:r w:rsidRPr="00690125">
        <w:t>в</w:t>
      </w:r>
      <w:r w:rsidR="0075480D" w:rsidRPr="00690125">
        <w:t xml:space="preserve"> полосе частот 40,5–42,5 ГГц</w:t>
      </w:r>
      <w:r w:rsidRPr="00690125">
        <w:t>:</w:t>
      </w:r>
    </w:p>
    <w:p w14:paraId="5FD880E2" w14:textId="5373D887" w:rsidR="00E60C93" w:rsidRPr="0096742F" w:rsidRDefault="009A1239" w:rsidP="0096742F">
      <w:pPr>
        <w:pStyle w:val="enumlev1"/>
      </w:pPr>
      <w:r w:rsidRPr="00690125">
        <w:t>–</w:t>
      </w:r>
      <w:r w:rsidRPr="00690125">
        <w:tab/>
      </w:r>
      <w:r w:rsidR="009B00E7" w:rsidRPr="0096742F">
        <w:t>в</w:t>
      </w:r>
      <w:r w:rsidR="0075480D" w:rsidRPr="0096742F">
        <w:t xml:space="preserve"> Районе 3</w:t>
      </w:r>
      <w:r w:rsidR="009B00E7" w:rsidRPr="0096742F">
        <w:t xml:space="preserve"> –</w:t>
      </w:r>
      <w:r w:rsidR="0075480D" w:rsidRPr="0096742F">
        <w:t xml:space="preserve"> метод D2, альтернатив</w:t>
      </w:r>
      <w:r w:rsidR="00806583" w:rsidRPr="0096742F">
        <w:t>ный вариант</w:t>
      </w:r>
      <w:r w:rsidR="0075480D" w:rsidRPr="0096742F">
        <w:t> 2, условия D2a варианта 1</w:t>
      </w:r>
      <w:r w:rsidR="009B00E7" w:rsidRPr="0096742F">
        <w:t>;</w:t>
      </w:r>
    </w:p>
    <w:p w14:paraId="05706074" w14:textId="516360FB" w:rsidR="00E60C93" w:rsidRPr="00690125" w:rsidRDefault="009B00E7" w:rsidP="009A1239">
      <w:r w:rsidRPr="00690125">
        <w:t>в</w:t>
      </w:r>
      <w:r w:rsidR="0075480D" w:rsidRPr="00690125">
        <w:t xml:space="preserve"> полосе частот 42,5-43,5 ГГц:</w:t>
      </w:r>
    </w:p>
    <w:p w14:paraId="433100C8" w14:textId="5004C42F" w:rsidR="00E60C93" w:rsidRPr="00690125" w:rsidRDefault="009A1239" w:rsidP="0096742F">
      <w:pPr>
        <w:pStyle w:val="enumlev1"/>
      </w:pPr>
      <w:r w:rsidRPr="00690125">
        <w:t>–</w:t>
      </w:r>
      <w:r w:rsidRPr="00690125">
        <w:tab/>
      </w:r>
      <w:r w:rsidR="009B00E7" w:rsidRPr="00690125">
        <w:t>в</w:t>
      </w:r>
      <w:r w:rsidR="0075480D" w:rsidRPr="00690125">
        <w:t xml:space="preserve"> Районе 3</w:t>
      </w:r>
      <w:r w:rsidR="009B00E7" w:rsidRPr="00690125">
        <w:t xml:space="preserve"> –</w:t>
      </w:r>
      <w:r w:rsidR="0075480D" w:rsidRPr="00690125">
        <w:t xml:space="preserve"> необходим метод E2, условие E2a варианта 2 (37 </w:t>
      </w:r>
      <w:proofErr w:type="spellStart"/>
      <w:r w:rsidR="0075480D" w:rsidRPr="00690125">
        <w:t>дБм</w:t>
      </w:r>
      <w:proofErr w:type="spellEnd"/>
      <w:r w:rsidR="0075480D" w:rsidRPr="00690125">
        <w:t>/200 МГц), условие E2c вариантов 3 или 4 и условие E2d варианта 1.</w:t>
      </w:r>
    </w:p>
    <w:p w14:paraId="4278ADA3" w14:textId="08ECF4BE" w:rsidR="00E60C93" w:rsidRPr="00690125" w:rsidRDefault="00FF1558" w:rsidP="0096742F">
      <w:pPr>
        <w:rPr>
          <w:color w:val="000000"/>
        </w:rPr>
      </w:pPr>
      <w:r w:rsidRPr="00690125">
        <w:t xml:space="preserve">Методы подлежат рассмотрению в связке с проектом новой Резолюции </w:t>
      </w:r>
      <w:r w:rsidRPr="00690125">
        <w:rPr>
          <w:b/>
        </w:rPr>
        <w:t>[B113-IMT 40/50GHZ] (ВКР</w:t>
      </w:r>
      <w:r w:rsidRPr="00690125">
        <w:noBreakHyphen/>
      </w:r>
      <w:r w:rsidRPr="00690125">
        <w:rPr>
          <w:b/>
        </w:rPr>
        <w:t>19)</w:t>
      </w:r>
      <w:r w:rsidRPr="00690125">
        <w:t xml:space="preserve"> из Отчета ПСК.</w:t>
      </w:r>
    </w:p>
    <w:p w14:paraId="5C7CC0AB" w14:textId="2DFD9D03" w:rsidR="00E60C93" w:rsidRPr="00690125" w:rsidRDefault="00FF1558" w:rsidP="00E60C93">
      <w:pPr>
        <w:pStyle w:val="Headingb"/>
        <w:rPr>
          <w:lang w:val="ru-RU"/>
        </w:rPr>
      </w:pPr>
      <w:r w:rsidRPr="00690125">
        <w:rPr>
          <w:lang w:val="ru-RU"/>
        </w:rPr>
        <w:t>Полосы частот 47,2–50,2</w:t>
      </w:r>
      <w:r w:rsidRPr="00690125">
        <w:rPr>
          <w:rFonts w:ascii="Times New Roman Bold Cyr" w:hAnsi="Times New Roman Bold Cyr"/>
          <w:lang w:val="ru-RU"/>
        </w:rPr>
        <w:t> ГГц</w:t>
      </w:r>
      <w:r w:rsidRPr="00690125">
        <w:rPr>
          <w:lang w:val="ru-RU"/>
        </w:rPr>
        <w:t xml:space="preserve"> </w:t>
      </w:r>
      <w:r w:rsidRPr="00690125">
        <w:rPr>
          <w:rFonts w:ascii="Times New Roman Bold Cyr" w:hAnsi="Times New Roman Bold Cyr"/>
          <w:lang w:val="ru-RU"/>
        </w:rPr>
        <w:t>и</w:t>
      </w:r>
      <w:r w:rsidRPr="00690125">
        <w:rPr>
          <w:lang w:val="ru-RU"/>
        </w:rPr>
        <w:t xml:space="preserve"> 50,4–52,6</w:t>
      </w:r>
      <w:r w:rsidRPr="00690125">
        <w:rPr>
          <w:rFonts w:ascii="Times New Roman Bold Cyr" w:hAnsi="Times New Roman Bold Cyr"/>
          <w:lang w:val="ru-RU"/>
        </w:rPr>
        <w:t> ГГц</w:t>
      </w:r>
    </w:p>
    <w:p w14:paraId="38F85157" w14:textId="74E21D05" w:rsidR="00E60C93" w:rsidRPr="00690125" w:rsidRDefault="00FF1558" w:rsidP="008F6E7D">
      <w:r w:rsidRPr="00690125">
        <w:t>Поскольку получает поддержку выделение для определения для IMT большого объема спектра в других полосах частот, внесение изменений в РР применительно к полосам частот 47,2–50,2 ГГц и 50,4–52,6 ГГц не рекомендуется.</w:t>
      </w:r>
    </w:p>
    <w:p w14:paraId="70B11987" w14:textId="77777777" w:rsidR="00FF1558" w:rsidRPr="00690125" w:rsidRDefault="00FF1558" w:rsidP="00FF1558">
      <w:r w:rsidRPr="00690125">
        <w:t>В отношении Отчета ПСК и изложенных в нем методов мы поддерживаем следующее:</w:t>
      </w:r>
    </w:p>
    <w:p w14:paraId="45DFBAE9" w14:textId="7AB64F09" w:rsidR="00E60C93" w:rsidRPr="00690125" w:rsidRDefault="00023883" w:rsidP="00FF1558">
      <w:r w:rsidRPr="00690125">
        <w:t xml:space="preserve">методы </w:t>
      </w:r>
      <w:r w:rsidR="00FF1558" w:rsidRPr="00690125">
        <w:t>H1 и I1 (NOC) для полос 47,2–50,2 ГГц и 50,4–52,6 ГГц соответственно.</w:t>
      </w:r>
    </w:p>
    <w:p w14:paraId="601415A9" w14:textId="3ED512E8" w:rsidR="00E60C93" w:rsidRPr="00690125" w:rsidRDefault="00FF1558" w:rsidP="00E60C93">
      <w:pPr>
        <w:pStyle w:val="Headingb"/>
        <w:rPr>
          <w:lang w:val="ru-RU"/>
        </w:rPr>
      </w:pPr>
      <w:r w:rsidRPr="00690125">
        <w:rPr>
          <w:lang w:val="ru-RU"/>
        </w:rPr>
        <w:t>Полоса частот 66–71</w:t>
      </w:r>
      <w:r w:rsidRPr="00690125">
        <w:rPr>
          <w:rFonts w:ascii="Times New Roman Bold Cyr" w:hAnsi="Times New Roman Bold Cyr"/>
          <w:lang w:val="ru-RU"/>
        </w:rPr>
        <w:t> ГГц</w:t>
      </w:r>
    </w:p>
    <w:p w14:paraId="7D8FD08E" w14:textId="3817179B" w:rsidR="00E60C93" w:rsidRPr="00690125" w:rsidRDefault="004F110B" w:rsidP="0096742F">
      <w:r w:rsidRPr="00690125">
        <w:t>Определение частот для IMT по методу J2 (</w:t>
      </w:r>
      <w:r w:rsidR="00806583" w:rsidRPr="00690125">
        <w:t>альтернативный вариант</w:t>
      </w:r>
      <w:r w:rsidRPr="00690125">
        <w:t xml:space="preserve"> 1 или 2) с условиями из проекта новой Резолюции </w:t>
      </w:r>
      <w:r w:rsidRPr="00690125">
        <w:rPr>
          <w:b/>
        </w:rPr>
        <w:t>[C113-IMT 66/71GHZ] (ВКР-19)</w:t>
      </w:r>
      <w:r w:rsidRPr="00690125">
        <w:t>.</w:t>
      </w:r>
    </w:p>
    <w:p w14:paraId="7C4A98AA" w14:textId="7ED9AD30" w:rsidR="00E60C93" w:rsidRPr="00690125" w:rsidRDefault="004F110B" w:rsidP="00E60C93">
      <w:pPr>
        <w:pStyle w:val="Headingb"/>
        <w:rPr>
          <w:lang w:val="ru-RU"/>
        </w:rPr>
      </w:pPr>
      <w:r w:rsidRPr="00690125">
        <w:rPr>
          <w:lang w:val="ru-RU"/>
        </w:rPr>
        <w:lastRenderedPageBreak/>
        <w:t>Полосы частот 71–76</w:t>
      </w:r>
      <w:r w:rsidRPr="00690125">
        <w:rPr>
          <w:rFonts w:ascii="Times New Roman Bold Cyr" w:hAnsi="Times New Roman Bold Cyr"/>
          <w:lang w:val="ru-RU"/>
        </w:rPr>
        <w:t> ГГц</w:t>
      </w:r>
      <w:r w:rsidRPr="00690125">
        <w:rPr>
          <w:lang w:val="ru-RU"/>
        </w:rPr>
        <w:t xml:space="preserve"> </w:t>
      </w:r>
      <w:r w:rsidRPr="00690125">
        <w:rPr>
          <w:rFonts w:ascii="Times New Roman Bold Cyr" w:hAnsi="Times New Roman Bold Cyr"/>
          <w:lang w:val="ru-RU"/>
        </w:rPr>
        <w:t>и</w:t>
      </w:r>
      <w:r w:rsidRPr="00690125">
        <w:rPr>
          <w:lang w:val="ru-RU"/>
        </w:rPr>
        <w:t xml:space="preserve"> 81–86 ГГц</w:t>
      </w:r>
    </w:p>
    <w:p w14:paraId="54CFB8ED" w14:textId="478B6AD2" w:rsidR="00E60C93" w:rsidRPr="00690125" w:rsidRDefault="004F110B" w:rsidP="00E60C93">
      <w:r w:rsidRPr="00690125">
        <w:t>Определение частот для IMT в этих полосах допустимо по методу K2 (</w:t>
      </w:r>
      <w:r w:rsidR="00806583" w:rsidRPr="00690125">
        <w:t>альтернативный вариант</w:t>
      </w:r>
      <w:r w:rsidRPr="00690125">
        <w:t xml:space="preserve"> 1 или 2) в </w:t>
      </w:r>
      <w:r w:rsidR="009B00E7" w:rsidRPr="00690125">
        <w:t>полосе</w:t>
      </w:r>
      <w:r w:rsidRPr="00690125">
        <w:t xml:space="preserve"> 70 ГГц и по методу L2 (</w:t>
      </w:r>
      <w:r w:rsidR="00806583" w:rsidRPr="00690125">
        <w:t>альтернативный вариант</w:t>
      </w:r>
      <w:r w:rsidRPr="00690125">
        <w:t xml:space="preserve"> 1 или 2) в </w:t>
      </w:r>
      <w:r w:rsidR="009B00E7" w:rsidRPr="00690125">
        <w:t>полосе</w:t>
      </w:r>
      <w:r w:rsidRPr="00690125">
        <w:t xml:space="preserve"> 80 ГГц с условиями из проекта новой Резолюции </w:t>
      </w:r>
      <w:r w:rsidRPr="00690125">
        <w:rPr>
          <w:b/>
        </w:rPr>
        <w:t>[E113-IMT 70/80GHZ] (ВКР-19)</w:t>
      </w:r>
      <w:r w:rsidRPr="00690125">
        <w:t>.</w:t>
      </w:r>
    </w:p>
    <w:p w14:paraId="67685CDA" w14:textId="1C914DFF" w:rsidR="00E60C93" w:rsidRPr="00690125" w:rsidRDefault="00E6060C" w:rsidP="00E60C93">
      <w:pPr>
        <w:pStyle w:val="Headingb"/>
        <w:rPr>
          <w:lang w:val="ru-RU"/>
        </w:rPr>
      </w:pPr>
      <w:r w:rsidRPr="00690125">
        <w:rPr>
          <w:lang w:val="ru-RU"/>
        </w:rPr>
        <w:t>Другие полосы частот</w:t>
      </w:r>
    </w:p>
    <w:p w14:paraId="29BF0844" w14:textId="02736F98" w:rsidR="00E60C93" w:rsidRPr="00690125" w:rsidRDefault="00264977" w:rsidP="00E60C93">
      <w:r w:rsidRPr="00690125">
        <w:t xml:space="preserve">Полосы частот, не относящиеся к </w:t>
      </w:r>
      <w:r w:rsidRPr="00690125">
        <w:rPr>
          <w:b/>
        </w:rPr>
        <w:t>Резолюции 238</w:t>
      </w:r>
      <w:r w:rsidRPr="00690125">
        <w:t xml:space="preserve"> </w:t>
      </w:r>
      <w:r w:rsidRPr="00690125">
        <w:rPr>
          <w:b/>
        </w:rPr>
        <w:t>(ВКР-15)</w:t>
      </w:r>
      <w:r w:rsidRPr="00690125">
        <w:t xml:space="preserve">, не должны рассматриваться в рамках пункта 1.13 повестки дня. В частности, как отмечалось выше, спектральные полосы для спутниковой связи, находящиеся сейчас в использовании по всему миру и выходящие </w:t>
      </w:r>
      <w:r w:rsidR="009B00E7" w:rsidRPr="00690125">
        <w:t>из</w:t>
      </w:r>
      <w:r w:rsidRPr="00690125">
        <w:t xml:space="preserve"> сферы действия этой Резолюции и настоящего пункта повестки дня, не должны рассматриваться как подлежащие возможному определению для IMT-2020/5G.</w:t>
      </w:r>
    </w:p>
    <w:p w14:paraId="20AEAC0C" w14:textId="453FB74A" w:rsidR="00E60C93" w:rsidRPr="00690125" w:rsidRDefault="00E60C93" w:rsidP="008F6E7D">
      <w:pPr>
        <w:pStyle w:val="Heading1"/>
      </w:pPr>
      <w:r w:rsidRPr="00690125">
        <w:t>3</w:t>
      </w:r>
      <w:r w:rsidRPr="00690125">
        <w:tab/>
      </w:r>
      <w:r w:rsidR="00264977" w:rsidRPr="00690125">
        <w:t>Предложение</w:t>
      </w:r>
    </w:p>
    <w:p w14:paraId="0C968270" w14:textId="524D6BA0" w:rsidR="00E60C93" w:rsidRPr="00690125" w:rsidRDefault="00226B6E" w:rsidP="00E60C93">
      <w:r w:rsidRPr="00690125">
        <w:t>Администрации Самоа с должным уважением представляют следующие предложения по пункту 1.13 повестки дня. Группе по подготовке к конференции (APG) предлагается рассмотреть возможность разработки предварительной точки зрения или предварительного общего предложения АТСЭ (в зависимости от того, что из этого уместно) по пункту 1.13 повестки дня ВКР</w:t>
      </w:r>
      <w:r w:rsidRPr="00690125">
        <w:noBreakHyphen/>
        <w:t>19 на основании вышеизложенных предложений, приведенных ниже в кратком виде</w:t>
      </w:r>
      <w:r w:rsidR="00230B65" w:rsidRPr="00690125">
        <w:t>.</w:t>
      </w:r>
    </w:p>
    <w:p w14:paraId="0516BB56" w14:textId="77777777" w:rsidR="00E60C93" w:rsidRPr="00690125" w:rsidRDefault="00E60C93" w:rsidP="0096742F"/>
    <w:p w14:paraId="541D9201" w14:textId="7B204DFC" w:rsidR="00E60C93" w:rsidRPr="00690125" w:rsidRDefault="00226B6E" w:rsidP="008F6E7D">
      <w:pPr>
        <w:pStyle w:val="Tabletitle"/>
      </w:pPr>
      <w:r w:rsidRPr="00690125">
        <w:t>Краткое изложение предложений по пункту 1.13 повестки дня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1710"/>
        <w:gridCol w:w="5760"/>
      </w:tblGrid>
      <w:tr w:rsidR="00226B6E" w:rsidRPr="00690125" w14:paraId="3F457A6F" w14:textId="77777777" w:rsidTr="008B0511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204F" w14:textId="7233AF7C" w:rsidR="00226B6E" w:rsidRPr="00690125" w:rsidRDefault="00226B6E" w:rsidP="0096742F">
            <w:pPr>
              <w:pStyle w:val="Tablehead"/>
              <w:rPr>
                <w:lang w:val="ru-RU"/>
              </w:rPr>
            </w:pPr>
            <w:r w:rsidRPr="00690125">
              <w:rPr>
                <w:lang w:val="ru-RU"/>
              </w:rPr>
              <w:t>Диапазон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386A" w14:textId="0849FE73" w:rsidR="00226B6E" w:rsidRPr="00690125" w:rsidRDefault="00226B6E" w:rsidP="0096742F">
            <w:pPr>
              <w:pStyle w:val="Tablehead"/>
              <w:rPr>
                <w:lang w:val="ru-RU"/>
              </w:rPr>
            </w:pPr>
            <w:r w:rsidRPr="00690125">
              <w:rPr>
                <w:lang w:val="ru-RU"/>
              </w:rPr>
              <w:t>IMT-2020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F972" w14:textId="0D05D9A8" w:rsidR="00226B6E" w:rsidRPr="00690125" w:rsidRDefault="00226B6E" w:rsidP="0096742F">
            <w:pPr>
              <w:pStyle w:val="Tablehead"/>
              <w:rPr>
                <w:lang w:val="ru-RU"/>
              </w:rPr>
            </w:pPr>
            <w:r w:rsidRPr="00690125">
              <w:rPr>
                <w:lang w:val="ru-RU"/>
              </w:rPr>
              <w:t>Отчет ПСК</w:t>
            </w:r>
          </w:p>
        </w:tc>
      </w:tr>
      <w:tr w:rsidR="00226B6E" w:rsidRPr="00690125" w14:paraId="4D9332EF" w14:textId="77777777" w:rsidTr="0096742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06A" w14:textId="557FA5BF" w:rsidR="00226B6E" w:rsidRPr="00690125" w:rsidRDefault="00226B6E" w:rsidP="0096742F">
            <w:pPr>
              <w:pStyle w:val="Tabletext"/>
              <w:jc w:val="center"/>
            </w:pPr>
            <w:r w:rsidRPr="00690125">
              <w:t>24,25–27,5 ГГц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1EC8" w14:textId="3EBCC1E1" w:rsidR="00226B6E" w:rsidRPr="00690125" w:rsidRDefault="00226B6E" w:rsidP="0096742F">
            <w:pPr>
              <w:pStyle w:val="Tabletext"/>
              <w:jc w:val="center"/>
            </w:pPr>
            <w:r w:rsidRPr="00690125">
              <w:t>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26F5" w14:textId="5405F1CE" w:rsidR="00226B6E" w:rsidRPr="00690125" w:rsidRDefault="00226B6E" w:rsidP="0096742F">
            <w:pPr>
              <w:pStyle w:val="Tabletext"/>
            </w:pPr>
            <w:r w:rsidRPr="00690125">
              <w:t>Метод A2 (</w:t>
            </w:r>
            <w:r w:rsidR="00806583" w:rsidRPr="00690125">
              <w:t>альтернативный вариант</w:t>
            </w:r>
            <w:r w:rsidRPr="00690125">
              <w:t> 1 или 2) со следующими условиями:</w:t>
            </w:r>
          </w:p>
          <w:p w14:paraId="129136D6" w14:textId="4364369D" w:rsidR="00226B6E" w:rsidRPr="00690125" w:rsidRDefault="00226B6E" w:rsidP="0096742F">
            <w:pPr>
              <w:pStyle w:val="Tabletext"/>
            </w:pPr>
            <w:r w:rsidRPr="00690125">
              <w:t>–</w:t>
            </w:r>
            <w:r w:rsidRPr="00690125">
              <w:tab/>
              <w:t>условие A2d варианта 1</w:t>
            </w:r>
          </w:p>
          <w:p w14:paraId="67F15B33" w14:textId="5CFAA485" w:rsidR="00226B6E" w:rsidRPr="00690125" w:rsidRDefault="00226B6E" w:rsidP="0096742F">
            <w:pPr>
              <w:pStyle w:val="Tabletext"/>
            </w:pPr>
            <w:r w:rsidRPr="00690125">
              <w:t>–</w:t>
            </w:r>
            <w:r w:rsidRPr="00690125">
              <w:tab/>
              <w:t>условие A2e варианта 3 (37 </w:t>
            </w:r>
            <w:proofErr w:type="spellStart"/>
            <w:r w:rsidRPr="00690125">
              <w:t>дБм</w:t>
            </w:r>
            <w:proofErr w:type="spellEnd"/>
            <w:r w:rsidRPr="00690125">
              <w:t>/200 МГц)</w:t>
            </w:r>
          </w:p>
          <w:p w14:paraId="75580A61" w14:textId="1B14D2F0" w:rsidR="00226B6E" w:rsidRPr="00690125" w:rsidRDefault="00226B6E" w:rsidP="0096742F">
            <w:pPr>
              <w:pStyle w:val="Tabletext"/>
              <w:ind w:left="265" w:hanging="265"/>
            </w:pPr>
            <w:r w:rsidRPr="00690125">
              <w:t>–</w:t>
            </w:r>
            <w:r w:rsidRPr="00690125">
              <w:tab/>
              <w:t xml:space="preserve">условие A2g варианта 3 или 4 </w:t>
            </w:r>
            <w:bookmarkStart w:id="9" w:name="_Hlk15494439"/>
            <w:r w:rsidRPr="00690125">
              <w:t>из проекта новой Резолюции</w:t>
            </w:r>
            <w:r w:rsidR="000127B2">
              <w:rPr>
                <w:lang w:val="en-US"/>
              </w:rPr>
              <w:t> </w:t>
            </w:r>
            <w:r w:rsidRPr="00690125">
              <w:rPr>
                <w:b/>
              </w:rPr>
              <w:t>[A113</w:t>
            </w:r>
            <w:r w:rsidR="000127B2">
              <w:rPr>
                <w:b/>
              </w:rPr>
              <w:noBreakHyphen/>
            </w:r>
            <w:r w:rsidRPr="00690125">
              <w:rPr>
                <w:b/>
              </w:rPr>
              <w:t>IMT 26GHZ] (ВКР-19</w:t>
            </w:r>
            <w:bookmarkEnd w:id="9"/>
            <w:r w:rsidRPr="00690125">
              <w:rPr>
                <w:b/>
              </w:rPr>
              <w:t>)</w:t>
            </w:r>
          </w:p>
        </w:tc>
      </w:tr>
      <w:tr w:rsidR="00226B6E" w:rsidRPr="00690125" w14:paraId="48E322A1" w14:textId="77777777" w:rsidTr="0096742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D2DE" w14:textId="144599DE" w:rsidR="00226B6E" w:rsidRPr="00690125" w:rsidRDefault="00226B6E" w:rsidP="0096742F">
            <w:pPr>
              <w:pStyle w:val="Tabletext"/>
              <w:jc w:val="center"/>
            </w:pPr>
            <w:r w:rsidRPr="00690125">
              <w:t>37,0–40,5 ГГц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5289" w14:textId="18E45427" w:rsidR="00226B6E" w:rsidRPr="00690125" w:rsidRDefault="00226B6E" w:rsidP="0096742F">
            <w:pPr>
              <w:pStyle w:val="Tabletext"/>
              <w:jc w:val="center"/>
            </w:pPr>
            <w:r w:rsidRPr="00690125">
              <w:t>Нет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4419" w14:textId="6CFC1EF8" w:rsidR="00226B6E" w:rsidRPr="00690125" w:rsidRDefault="00226B6E" w:rsidP="0096742F">
            <w:pPr>
              <w:pStyle w:val="Tabletext"/>
            </w:pPr>
            <w:r w:rsidRPr="00690125">
              <w:t>Район 3</w:t>
            </w:r>
            <w:r w:rsidR="00230B65" w:rsidRPr="00690125">
              <w:t xml:space="preserve"> –</w:t>
            </w:r>
            <w:r w:rsidRPr="00690125">
              <w:t xml:space="preserve"> метод C1 (без изменений)</w:t>
            </w:r>
          </w:p>
          <w:p w14:paraId="04B5AE0F" w14:textId="1A107203" w:rsidR="00226B6E" w:rsidRPr="00690125" w:rsidRDefault="00226B6E" w:rsidP="0096742F">
            <w:pPr>
              <w:pStyle w:val="Tabletext"/>
            </w:pPr>
            <w:r w:rsidRPr="00690125">
              <w:t xml:space="preserve">Проект новой Резолюции </w:t>
            </w:r>
            <w:r w:rsidRPr="00690125">
              <w:rPr>
                <w:b/>
              </w:rPr>
              <w:t>[B113-IMT 40/50GHZ] (ВКР-19)</w:t>
            </w:r>
          </w:p>
        </w:tc>
      </w:tr>
      <w:tr w:rsidR="00226B6E" w:rsidRPr="00690125" w14:paraId="17976A4A" w14:textId="77777777" w:rsidTr="0096742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8A2" w14:textId="40404108" w:rsidR="00226B6E" w:rsidRPr="00690125" w:rsidRDefault="00226B6E" w:rsidP="0096742F">
            <w:pPr>
              <w:pStyle w:val="Tabletext"/>
              <w:jc w:val="center"/>
            </w:pPr>
            <w:r w:rsidRPr="00690125">
              <w:t>40,5–42,5 ГГц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E924" w14:textId="0FABADCB" w:rsidR="00226B6E" w:rsidRPr="00690125" w:rsidRDefault="00226B6E" w:rsidP="0096742F">
            <w:pPr>
              <w:pStyle w:val="Tabletext"/>
              <w:jc w:val="center"/>
            </w:pPr>
            <w:r w:rsidRPr="00690125">
              <w:t>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1F6F" w14:textId="5500A47F" w:rsidR="00226B6E" w:rsidRPr="00690125" w:rsidRDefault="00226B6E" w:rsidP="0096742F">
            <w:pPr>
              <w:pStyle w:val="Tabletext"/>
            </w:pPr>
            <w:r w:rsidRPr="00690125">
              <w:t>Район 3</w:t>
            </w:r>
            <w:r w:rsidR="00230B65" w:rsidRPr="00690125">
              <w:t xml:space="preserve"> –</w:t>
            </w:r>
            <w:r w:rsidRPr="00690125">
              <w:t xml:space="preserve"> метод D2, </w:t>
            </w:r>
            <w:r w:rsidR="00806583" w:rsidRPr="00690125">
              <w:t>альтернативный вариант</w:t>
            </w:r>
            <w:r w:rsidRPr="00690125">
              <w:t> 2, со следующими условиями:</w:t>
            </w:r>
          </w:p>
          <w:p w14:paraId="365588EB" w14:textId="3B4486CF" w:rsidR="00226B6E" w:rsidRPr="00690125" w:rsidRDefault="00226B6E" w:rsidP="0096742F">
            <w:pPr>
              <w:pStyle w:val="Tabletext"/>
            </w:pPr>
            <w:r w:rsidRPr="00690125">
              <w:t>–</w:t>
            </w:r>
            <w:r w:rsidRPr="00690125">
              <w:tab/>
              <w:t>условие D2a варианта 1</w:t>
            </w:r>
          </w:p>
          <w:p w14:paraId="663EF059" w14:textId="0A725D91" w:rsidR="00226B6E" w:rsidRPr="00690125" w:rsidRDefault="00226B6E" w:rsidP="0096742F">
            <w:pPr>
              <w:pStyle w:val="Tabletext"/>
            </w:pPr>
            <w:r w:rsidRPr="00690125">
              <w:t xml:space="preserve">Проект новой Резолюции </w:t>
            </w:r>
            <w:r w:rsidRPr="00690125">
              <w:rPr>
                <w:b/>
              </w:rPr>
              <w:t>[B113-IMT 40/50GHZ] (ВКР-19)</w:t>
            </w:r>
          </w:p>
        </w:tc>
      </w:tr>
      <w:tr w:rsidR="00226B6E" w:rsidRPr="00690125" w14:paraId="19AC8ECE" w14:textId="77777777" w:rsidTr="0096742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5833" w14:textId="65EEFC65" w:rsidR="00226B6E" w:rsidRPr="00690125" w:rsidRDefault="00226B6E" w:rsidP="0096742F">
            <w:pPr>
              <w:pStyle w:val="Tabletext"/>
              <w:jc w:val="center"/>
            </w:pPr>
            <w:r w:rsidRPr="00690125">
              <w:t>42,5–43,5 ГГц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62A9" w14:textId="1A706CEB" w:rsidR="00226B6E" w:rsidRPr="00690125" w:rsidRDefault="00226B6E" w:rsidP="0096742F">
            <w:pPr>
              <w:pStyle w:val="Tabletext"/>
              <w:jc w:val="center"/>
            </w:pPr>
            <w:r w:rsidRPr="00690125">
              <w:t>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CDF" w14:textId="5B923689" w:rsidR="00226B6E" w:rsidRPr="00690125" w:rsidRDefault="00226B6E" w:rsidP="0096742F">
            <w:pPr>
              <w:pStyle w:val="Tabletext"/>
            </w:pPr>
            <w:r w:rsidRPr="00690125">
              <w:t>Район 3</w:t>
            </w:r>
            <w:r w:rsidR="00230B65" w:rsidRPr="00690125">
              <w:t xml:space="preserve"> –</w:t>
            </w:r>
            <w:r w:rsidRPr="00690125">
              <w:t xml:space="preserve"> метод E2 со следующими условиями:</w:t>
            </w:r>
          </w:p>
          <w:p w14:paraId="4A89A9CD" w14:textId="0C09D373" w:rsidR="00226B6E" w:rsidRPr="00690125" w:rsidRDefault="00226B6E" w:rsidP="0096742F">
            <w:pPr>
              <w:pStyle w:val="Tabletext"/>
            </w:pPr>
            <w:r w:rsidRPr="00690125">
              <w:t>–</w:t>
            </w:r>
            <w:r w:rsidRPr="00690125">
              <w:tab/>
              <w:t>условие E2a варианта 2 (37 </w:t>
            </w:r>
            <w:proofErr w:type="spellStart"/>
            <w:r w:rsidRPr="00690125">
              <w:t>дБм</w:t>
            </w:r>
            <w:proofErr w:type="spellEnd"/>
            <w:r w:rsidRPr="00690125">
              <w:t>/200 МГц)</w:t>
            </w:r>
          </w:p>
          <w:p w14:paraId="1E4401CE" w14:textId="582C16E9" w:rsidR="00226B6E" w:rsidRPr="00690125" w:rsidRDefault="00226B6E" w:rsidP="0096742F">
            <w:pPr>
              <w:pStyle w:val="Tabletext"/>
            </w:pPr>
            <w:r w:rsidRPr="00690125">
              <w:t>–</w:t>
            </w:r>
            <w:r w:rsidRPr="00690125">
              <w:tab/>
              <w:t>условие E2c варианта 3 или 4</w:t>
            </w:r>
          </w:p>
          <w:p w14:paraId="3205F7A1" w14:textId="2E77CBB3" w:rsidR="00226B6E" w:rsidRPr="00690125" w:rsidRDefault="00226B6E" w:rsidP="0096742F">
            <w:pPr>
              <w:pStyle w:val="Tabletext"/>
            </w:pPr>
            <w:r w:rsidRPr="00690125">
              <w:t>–</w:t>
            </w:r>
            <w:r w:rsidRPr="00690125">
              <w:tab/>
              <w:t xml:space="preserve">условие E2d варианта 1 </w:t>
            </w:r>
          </w:p>
          <w:p w14:paraId="374CD5A3" w14:textId="29F9B361" w:rsidR="00226B6E" w:rsidRPr="00690125" w:rsidRDefault="00226B6E" w:rsidP="0096742F">
            <w:pPr>
              <w:pStyle w:val="Tabletext"/>
              <w:rPr>
                <w:b/>
                <w:color w:val="000000"/>
              </w:rPr>
            </w:pPr>
            <w:r w:rsidRPr="00690125">
              <w:t xml:space="preserve">Проект новой Резолюции </w:t>
            </w:r>
            <w:r w:rsidRPr="00690125">
              <w:rPr>
                <w:b/>
              </w:rPr>
              <w:t>[B113-IMT 40/50GHZ] (ВКР-19)</w:t>
            </w:r>
          </w:p>
        </w:tc>
      </w:tr>
      <w:tr w:rsidR="00226B6E" w:rsidRPr="00690125" w14:paraId="2CEBA0DA" w14:textId="77777777" w:rsidTr="0096742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3E58" w14:textId="19D94A45" w:rsidR="00226B6E" w:rsidRPr="00690125" w:rsidRDefault="00226B6E" w:rsidP="0096742F">
            <w:pPr>
              <w:pStyle w:val="Tabletext"/>
              <w:jc w:val="center"/>
            </w:pPr>
            <w:r w:rsidRPr="00690125">
              <w:t>47,2–50,2 ГГц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70B6" w14:textId="60482EAB" w:rsidR="00226B6E" w:rsidRPr="00690125" w:rsidRDefault="00226B6E" w:rsidP="0096742F">
            <w:pPr>
              <w:pStyle w:val="Tabletext"/>
              <w:jc w:val="center"/>
            </w:pPr>
            <w:r w:rsidRPr="00690125">
              <w:t>Нет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DF8B" w14:textId="6553248D" w:rsidR="00226B6E" w:rsidRPr="00690125" w:rsidRDefault="00226B6E" w:rsidP="0096742F">
            <w:pPr>
              <w:pStyle w:val="Tabletext"/>
            </w:pPr>
            <w:r w:rsidRPr="00690125">
              <w:t>Метод H1 (без изменений)</w:t>
            </w:r>
          </w:p>
        </w:tc>
      </w:tr>
      <w:tr w:rsidR="00226B6E" w:rsidRPr="00690125" w14:paraId="54A09ABB" w14:textId="77777777" w:rsidTr="0096742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9E5D" w14:textId="4B5BE09E" w:rsidR="00226B6E" w:rsidRPr="00690125" w:rsidRDefault="00226B6E" w:rsidP="0096742F">
            <w:pPr>
              <w:pStyle w:val="Tabletext"/>
              <w:jc w:val="center"/>
            </w:pPr>
            <w:r w:rsidRPr="00690125">
              <w:t>50,4–52,6 ГГц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4773" w14:textId="505EC9A3" w:rsidR="00226B6E" w:rsidRPr="00690125" w:rsidRDefault="00226B6E" w:rsidP="0096742F">
            <w:pPr>
              <w:pStyle w:val="Tabletext"/>
              <w:jc w:val="center"/>
            </w:pPr>
            <w:r w:rsidRPr="00690125">
              <w:t>Нет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F5AC" w14:textId="0A3F9A6B" w:rsidR="00226B6E" w:rsidRPr="00690125" w:rsidRDefault="00226B6E" w:rsidP="0096742F">
            <w:pPr>
              <w:pStyle w:val="Tabletext"/>
            </w:pPr>
            <w:r w:rsidRPr="00690125">
              <w:t>Метод I1 (без изменений)</w:t>
            </w:r>
          </w:p>
        </w:tc>
      </w:tr>
      <w:tr w:rsidR="00226B6E" w:rsidRPr="00690125" w14:paraId="2CF65FFD" w14:textId="77777777" w:rsidTr="0096742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CA35" w14:textId="012D34C1" w:rsidR="00226B6E" w:rsidRPr="00690125" w:rsidRDefault="00226B6E" w:rsidP="0096742F">
            <w:pPr>
              <w:pStyle w:val="Tabletext"/>
              <w:jc w:val="center"/>
            </w:pPr>
            <w:r w:rsidRPr="00690125">
              <w:t>66–71 ГГц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17A9" w14:textId="20E6090E" w:rsidR="00226B6E" w:rsidRPr="00690125" w:rsidRDefault="00226B6E" w:rsidP="0096742F">
            <w:pPr>
              <w:pStyle w:val="Tabletext"/>
              <w:jc w:val="center"/>
            </w:pPr>
            <w:r w:rsidRPr="00690125">
              <w:t>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A861" w14:textId="1EC57407" w:rsidR="00226B6E" w:rsidRPr="00690125" w:rsidRDefault="00226B6E" w:rsidP="0096742F">
            <w:pPr>
              <w:pStyle w:val="Tabletext"/>
              <w:rPr>
                <w:rFonts w:asciiTheme="minorHAnsi" w:hAnsiTheme="minorHAnsi" w:cstheme="minorBidi"/>
              </w:rPr>
            </w:pPr>
            <w:r w:rsidRPr="00690125">
              <w:t>Метод J2 (</w:t>
            </w:r>
            <w:r w:rsidR="00806583" w:rsidRPr="00690125">
              <w:t>альтернативный вариант</w:t>
            </w:r>
            <w:r w:rsidRPr="00690125">
              <w:t xml:space="preserve"> 1 или 2) с условиями из проекта новой Резолюции </w:t>
            </w:r>
            <w:r w:rsidRPr="00690125">
              <w:rPr>
                <w:b/>
              </w:rPr>
              <w:t>[C113-IMT 66/71GHZ</w:t>
            </w:r>
            <w:r w:rsidR="00230B65" w:rsidRPr="00690125">
              <w:rPr>
                <w:b/>
              </w:rPr>
              <w:t>-J</w:t>
            </w:r>
            <w:r w:rsidR="00023883" w:rsidRPr="00690125">
              <w:rPr>
                <w:b/>
              </w:rPr>
              <w:t>2</w:t>
            </w:r>
            <w:r w:rsidRPr="00690125">
              <w:rPr>
                <w:b/>
              </w:rPr>
              <w:t>] (ВКР-19)</w:t>
            </w:r>
          </w:p>
        </w:tc>
      </w:tr>
      <w:tr w:rsidR="00226B6E" w:rsidRPr="00690125" w14:paraId="721A5A6A" w14:textId="77777777" w:rsidTr="0096742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4315" w14:textId="3C0C2891" w:rsidR="00226B6E" w:rsidRPr="00690125" w:rsidRDefault="00226B6E" w:rsidP="0096742F">
            <w:pPr>
              <w:pStyle w:val="Tabletext"/>
              <w:jc w:val="center"/>
            </w:pPr>
            <w:r w:rsidRPr="00690125">
              <w:t>71–76 ГГц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2BC3" w14:textId="2ED2103E" w:rsidR="00226B6E" w:rsidRPr="00690125" w:rsidRDefault="00226B6E" w:rsidP="0096742F">
            <w:pPr>
              <w:pStyle w:val="Tabletext"/>
              <w:jc w:val="center"/>
            </w:pPr>
            <w:r w:rsidRPr="00690125">
              <w:t>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94FD" w14:textId="1A256931" w:rsidR="00226B6E" w:rsidRPr="00690125" w:rsidRDefault="00226B6E" w:rsidP="0096742F">
            <w:pPr>
              <w:pStyle w:val="Tabletext"/>
              <w:rPr>
                <w:rFonts w:asciiTheme="minorHAnsi" w:hAnsiTheme="minorHAnsi" w:cstheme="minorBidi"/>
                <w:bCs/>
              </w:rPr>
            </w:pPr>
            <w:r w:rsidRPr="00690125">
              <w:t>Метод K2 (</w:t>
            </w:r>
            <w:r w:rsidR="00806583" w:rsidRPr="00690125">
              <w:t>альтернативный вариант</w:t>
            </w:r>
            <w:r w:rsidRPr="00690125">
              <w:t xml:space="preserve"> 1 или 2) с условиями из проекта новой Резолюции </w:t>
            </w:r>
            <w:r w:rsidRPr="00690125">
              <w:rPr>
                <w:b/>
              </w:rPr>
              <w:t>[E113-IMT 70/80GHZ] (ВКР-19)</w:t>
            </w:r>
          </w:p>
        </w:tc>
      </w:tr>
      <w:tr w:rsidR="00226B6E" w:rsidRPr="00690125" w14:paraId="10C7B20B" w14:textId="77777777" w:rsidTr="0096742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90A9" w14:textId="1020611A" w:rsidR="00226B6E" w:rsidRPr="00690125" w:rsidRDefault="00226B6E" w:rsidP="0096742F">
            <w:pPr>
              <w:pStyle w:val="Tabletext"/>
              <w:jc w:val="center"/>
            </w:pPr>
            <w:r w:rsidRPr="00690125">
              <w:t>81–86 ГГц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A2D8" w14:textId="5AE9B326" w:rsidR="00226B6E" w:rsidRPr="00690125" w:rsidRDefault="00226B6E" w:rsidP="0096742F">
            <w:pPr>
              <w:pStyle w:val="Tabletext"/>
              <w:jc w:val="center"/>
            </w:pPr>
            <w:r w:rsidRPr="00690125">
              <w:t>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379F" w14:textId="411424CC" w:rsidR="00226B6E" w:rsidRPr="00690125" w:rsidRDefault="00226B6E" w:rsidP="0096742F">
            <w:pPr>
              <w:pStyle w:val="Tabletext"/>
              <w:rPr>
                <w:rFonts w:asciiTheme="minorHAnsi" w:hAnsiTheme="minorHAnsi" w:cstheme="minorBidi"/>
                <w:bCs/>
              </w:rPr>
            </w:pPr>
            <w:r w:rsidRPr="00690125">
              <w:t>Метод L2 (</w:t>
            </w:r>
            <w:r w:rsidR="00806583" w:rsidRPr="00690125">
              <w:t>альтернативный вариант</w:t>
            </w:r>
            <w:r w:rsidRPr="00690125">
              <w:t xml:space="preserve"> 1 или 2) с условиями из проекта новой Резолюции </w:t>
            </w:r>
            <w:r w:rsidRPr="00690125">
              <w:rPr>
                <w:b/>
              </w:rPr>
              <w:t>[E113-IMT 70/80GHZ] (ВКР-19)</w:t>
            </w:r>
          </w:p>
        </w:tc>
      </w:tr>
    </w:tbl>
    <w:p w14:paraId="1D066788" w14:textId="77777777" w:rsidR="0096742F" w:rsidRDefault="0096742F" w:rsidP="00411C49">
      <w:pPr>
        <w:pStyle w:val="Reasons"/>
      </w:pPr>
    </w:p>
    <w:p w14:paraId="19BE8967" w14:textId="77777777" w:rsidR="0096742F" w:rsidRDefault="0096742F">
      <w:pPr>
        <w:jc w:val="center"/>
      </w:pPr>
      <w:r>
        <w:t>______________</w:t>
      </w:r>
    </w:p>
    <w:sectPr w:rsidR="0096742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0727" w14:textId="77777777" w:rsidR="00B042C8" w:rsidRDefault="00B042C8">
      <w:r>
        <w:separator/>
      </w:r>
    </w:p>
  </w:endnote>
  <w:endnote w:type="continuationSeparator" w:id="0">
    <w:p w14:paraId="5BACEA3F" w14:textId="77777777" w:rsidR="00B042C8" w:rsidRDefault="00B0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191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69D708" w14:textId="229E94DC" w:rsidR="00567276" w:rsidRPr="00143818" w:rsidRDefault="00567276">
    <w:pPr>
      <w:ind w:right="360"/>
      <w:rPr>
        <w:lang w:val="en-GB"/>
      </w:rPr>
    </w:pPr>
    <w:r>
      <w:fldChar w:fldCharType="begin"/>
    </w:r>
    <w:r w:rsidRPr="00143818">
      <w:rPr>
        <w:lang w:val="en-GB"/>
      </w:rPr>
      <w:instrText xml:space="preserve"> FILENAME \p  \* MERGEFORMAT </w:instrText>
    </w:r>
    <w:r>
      <w:fldChar w:fldCharType="separate"/>
    </w:r>
    <w:r w:rsidR="00143818" w:rsidRPr="00143818">
      <w:rPr>
        <w:noProof/>
        <w:lang w:val="en-GB"/>
      </w:rPr>
      <w:t>P:\RUS\ITU-R\CONF-R\CMR19\000\075ADD13R.docx</w:t>
    </w:r>
    <w:r>
      <w:fldChar w:fldCharType="end"/>
    </w:r>
    <w:r w:rsidRPr="0014381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3818">
      <w:rPr>
        <w:noProof/>
      </w:rPr>
      <w:t>29.10.19</w:t>
    </w:r>
    <w:r>
      <w:fldChar w:fldCharType="end"/>
    </w:r>
    <w:r w:rsidRPr="0014381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3818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4ADC" w14:textId="7184DA95" w:rsidR="000127B2" w:rsidRDefault="000127B2" w:rsidP="000127B2">
    <w:pPr>
      <w:pStyle w:val="Footer"/>
    </w:pPr>
    <w:fldSimple w:instr=" FILENAME \p  \* MERGEFORMAT ">
      <w:r w:rsidR="00143818">
        <w:t>P:\RUS\ITU-R\CONF-R\CMR19\000\075ADD13R.docx</w:t>
      </w:r>
    </w:fldSimple>
    <w:r>
      <w:t xml:space="preserve"> (462140)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F20F6" w14:textId="122C76AE" w:rsidR="000127B2" w:rsidRDefault="000127B2" w:rsidP="000127B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43818">
      <w:t>P:\RUS\ITU-R\CONF-R\CMR19\000\075ADD13R.docx</w:t>
    </w:r>
    <w:r>
      <w:fldChar w:fldCharType="end"/>
    </w:r>
    <w:r>
      <w:t xml:space="preserve"> (462140)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DAA38" w14:textId="77777777" w:rsidR="00B042C8" w:rsidRDefault="00B042C8">
      <w:r>
        <w:rPr>
          <w:b/>
        </w:rPr>
        <w:t>_______________</w:t>
      </w:r>
    </w:p>
  </w:footnote>
  <w:footnote w:type="continuationSeparator" w:id="0">
    <w:p w14:paraId="46C13B11" w14:textId="77777777" w:rsidR="00B042C8" w:rsidRDefault="00B042C8">
      <w:r>
        <w:continuationSeparator/>
      </w:r>
    </w:p>
  </w:footnote>
  <w:footnote w:id="1">
    <w:p w14:paraId="17DF3DC9" w14:textId="29DF1317" w:rsidR="00294D08" w:rsidRPr="00690125" w:rsidRDefault="00294D08" w:rsidP="00D404B0">
      <w:pPr>
        <w:pStyle w:val="FootnoteText"/>
        <w:rPr>
          <w:szCs w:val="22"/>
          <w:lang w:val="ru-RU"/>
        </w:rPr>
      </w:pPr>
      <w:r w:rsidRPr="00D404B0">
        <w:rPr>
          <w:rStyle w:val="FootnoteReference"/>
        </w:rPr>
        <w:footnoteRef/>
      </w:r>
      <w:r w:rsidR="0007428E" w:rsidRPr="00D404B0">
        <w:tab/>
      </w:r>
      <w:r w:rsidR="0007428E" w:rsidRPr="00690125">
        <w:rPr>
          <w:szCs w:val="22"/>
          <w:lang w:val="ru-RU"/>
        </w:rPr>
        <w:t>См., например</w:t>
      </w:r>
      <w:r w:rsidR="00023883" w:rsidRPr="00690125">
        <w:rPr>
          <w:szCs w:val="22"/>
          <w:lang w:val="ru-RU"/>
        </w:rPr>
        <w:t>:</w:t>
      </w:r>
      <w:r w:rsidR="0007428E" w:rsidRPr="00690125">
        <w:rPr>
          <w:szCs w:val="22"/>
          <w:lang w:val="ru-RU"/>
        </w:rPr>
        <w:t xml:space="preserve"> </w:t>
      </w:r>
      <w:r w:rsidR="0007428E" w:rsidRPr="00690125">
        <w:rPr>
          <w:szCs w:val="22"/>
        </w:rPr>
        <w:t xml:space="preserve">Peter B. de </w:t>
      </w:r>
      <w:proofErr w:type="spellStart"/>
      <w:r w:rsidR="0007428E" w:rsidRPr="00690125">
        <w:rPr>
          <w:szCs w:val="22"/>
        </w:rPr>
        <w:t>Selding</w:t>
      </w:r>
      <w:proofErr w:type="spellEnd"/>
      <w:r w:rsidR="0007428E" w:rsidRPr="00690125">
        <w:rPr>
          <w:szCs w:val="22"/>
        </w:rPr>
        <w:t xml:space="preserve">, </w:t>
      </w:r>
      <w:r w:rsidR="0007428E" w:rsidRPr="00690125">
        <w:rPr>
          <w:i/>
          <w:szCs w:val="22"/>
        </w:rPr>
        <w:t>ViaSat details $1.4-billion global Ka-band satellite broadband strategy to oust incumbent players</w:t>
      </w:r>
      <w:r w:rsidR="0007428E" w:rsidRPr="00690125">
        <w:rPr>
          <w:szCs w:val="22"/>
        </w:rPr>
        <w:t xml:space="preserve">, </w:t>
      </w:r>
      <w:hyperlink r:id="rId1">
        <w:r w:rsidR="0007428E" w:rsidRPr="00690125">
          <w:rPr>
            <w:rStyle w:val="Hyperlink1"/>
            <w:szCs w:val="22"/>
          </w:rPr>
          <w:t>http://spacenews.com/viasat-details-1-4-billion-global-ka-band-satellite-broadband-strategy-to-oust-incumbent-players/</w:t>
        </w:r>
      </w:hyperlink>
      <w:r w:rsidR="0007428E" w:rsidRPr="00690125">
        <w:rPr>
          <w:szCs w:val="22"/>
          <w:lang w:val="ru-RU"/>
        </w:rPr>
        <w:t xml:space="preserve"> (10 февраля 2016 г</w:t>
      </w:r>
      <w:r w:rsidR="00D404B0" w:rsidRPr="00690125">
        <w:rPr>
          <w:szCs w:val="22"/>
        </w:rPr>
        <w:t>.</w:t>
      </w:r>
      <w:r w:rsidR="0007428E" w:rsidRPr="00690125">
        <w:rPr>
          <w:szCs w:val="22"/>
        </w:rPr>
        <w:t xml:space="preserve">); Peter B. de </w:t>
      </w:r>
      <w:proofErr w:type="spellStart"/>
      <w:r w:rsidR="0007428E" w:rsidRPr="00690125">
        <w:rPr>
          <w:szCs w:val="22"/>
        </w:rPr>
        <w:t>Selding</w:t>
      </w:r>
      <w:proofErr w:type="spellEnd"/>
      <w:r w:rsidR="0007428E" w:rsidRPr="00690125">
        <w:rPr>
          <w:szCs w:val="22"/>
        </w:rPr>
        <w:t xml:space="preserve">, </w:t>
      </w:r>
      <w:r w:rsidR="0007428E" w:rsidRPr="00690125">
        <w:rPr>
          <w:i/>
          <w:szCs w:val="22"/>
        </w:rPr>
        <w:t>SES bets more than $1 billion that Boeing satellites can lure Amazon Web Services et al</w:t>
      </w:r>
      <w:r w:rsidR="0007428E" w:rsidRPr="00690125">
        <w:rPr>
          <w:szCs w:val="22"/>
        </w:rPr>
        <w:t>,</w:t>
      </w:r>
      <w:r w:rsidR="0007428E" w:rsidRPr="00690125">
        <w:rPr>
          <w:szCs w:val="22"/>
          <w:lang w:val="ru-RU"/>
        </w:rPr>
        <w:t xml:space="preserve"> </w:t>
      </w:r>
      <w:hyperlink r:id="rId2">
        <w:r w:rsidR="0007428E" w:rsidRPr="00690125">
          <w:rPr>
            <w:rStyle w:val="Hyperlink1"/>
            <w:szCs w:val="22"/>
            <w:lang w:val="ru-RU"/>
          </w:rPr>
          <w:t>https://www.spaceintelreport.com/ses-bets-1-billion-boeing-satellites-can-lure-amazon-web-services-et-al/</w:t>
        </w:r>
      </w:hyperlink>
      <w:r w:rsidR="0007428E" w:rsidRPr="00690125">
        <w:rPr>
          <w:szCs w:val="22"/>
          <w:lang w:val="ru-RU"/>
        </w:rPr>
        <w:t xml:space="preserve"> (19 сентября 2017 г</w:t>
      </w:r>
      <w:r w:rsidR="00D404B0" w:rsidRPr="00690125">
        <w:rPr>
          <w:szCs w:val="22"/>
          <w:lang w:val="ru-RU"/>
        </w:rPr>
        <w:t>.</w:t>
      </w:r>
      <w:r w:rsidR="0007428E" w:rsidRPr="00690125">
        <w:rPr>
          <w:szCs w:val="22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2589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12314">
      <w:rPr>
        <w:noProof/>
      </w:rPr>
      <w:t>2</w:t>
    </w:r>
    <w:r>
      <w:fldChar w:fldCharType="end"/>
    </w:r>
  </w:p>
  <w:p w14:paraId="4EBCA8E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75(Add.13)-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BED0744"/>
    <w:multiLevelType w:val="hybridMultilevel"/>
    <w:tmpl w:val="C2C0E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07180"/>
    <w:multiLevelType w:val="hybridMultilevel"/>
    <w:tmpl w:val="FAC60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0634C"/>
    <w:multiLevelType w:val="hybridMultilevel"/>
    <w:tmpl w:val="43207284"/>
    <w:lvl w:ilvl="0" w:tplc="C0646C62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03A24"/>
    <w:rsid w:val="000127B2"/>
    <w:rsid w:val="00023883"/>
    <w:rsid w:val="000260F1"/>
    <w:rsid w:val="0003535B"/>
    <w:rsid w:val="00041012"/>
    <w:rsid w:val="0004203C"/>
    <w:rsid w:val="0006280A"/>
    <w:rsid w:val="0007428E"/>
    <w:rsid w:val="0007675A"/>
    <w:rsid w:val="000A0EF3"/>
    <w:rsid w:val="000C3F55"/>
    <w:rsid w:val="000E6F32"/>
    <w:rsid w:val="000F33D8"/>
    <w:rsid w:val="000F39B4"/>
    <w:rsid w:val="00113D0B"/>
    <w:rsid w:val="001226EC"/>
    <w:rsid w:val="00123B68"/>
    <w:rsid w:val="00124C09"/>
    <w:rsid w:val="00126F2E"/>
    <w:rsid w:val="00143818"/>
    <w:rsid w:val="001521AE"/>
    <w:rsid w:val="00165849"/>
    <w:rsid w:val="001863F2"/>
    <w:rsid w:val="0019308A"/>
    <w:rsid w:val="001A5585"/>
    <w:rsid w:val="001D098F"/>
    <w:rsid w:val="001E5FB4"/>
    <w:rsid w:val="00201EE5"/>
    <w:rsid w:val="00202CA0"/>
    <w:rsid w:val="00226B6E"/>
    <w:rsid w:val="00230582"/>
    <w:rsid w:val="00230B65"/>
    <w:rsid w:val="00235153"/>
    <w:rsid w:val="002449AA"/>
    <w:rsid w:val="00245A1F"/>
    <w:rsid w:val="00264977"/>
    <w:rsid w:val="00276A4A"/>
    <w:rsid w:val="00283879"/>
    <w:rsid w:val="00290C74"/>
    <w:rsid w:val="00294D08"/>
    <w:rsid w:val="00296DF0"/>
    <w:rsid w:val="002A2D3F"/>
    <w:rsid w:val="00300F84"/>
    <w:rsid w:val="003258F2"/>
    <w:rsid w:val="00333245"/>
    <w:rsid w:val="00344EB8"/>
    <w:rsid w:val="00346BEC"/>
    <w:rsid w:val="00371E4B"/>
    <w:rsid w:val="003C583C"/>
    <w:rsid w:val="003D0865"/>
    <w:rsid w:val="003E5D50"/>
    <w:rsid w:val="003F0078"/>
    <w:rsid w:val="003F7A2F"/>
    <w:rsid w:val="00434A7C"/>
    <w:rsid w:val="0045143A"/>
    <w:rsid w:val="0049684E"/>
    <w:rsid w:val="004A58F4"/>
    <w:rsid w:val="004B716F"/>
    <w:rsid w:val="004C0792"/>
    <w:rsid w:val="004C1369"/>
    <w:rsid w:val="004C47ED"/>
    <w:rsid w:val="004F110B"/>
    <w:rsid w:val="004F3B0D"/>
    <w:rsid w:val="004F53B7"/>
    <w:rsid w:val="0051315E"/>
    <w:rsid w:val="005144A9"/>
    <w:rsid w:val="00514E1F"/>
    <w:rsid w:val="00521B1D"/>
    <w:rsid w:val="005305D5"/>
    <w:rsid w:val="00540D1E"/>
    <w:rsid w:val="005431A6"/>
    <w:rsid w:val="005651C9"/>
    <w:rsid w:val="00567276"/>
    <w:rsid w:val="005755E2"/>
    <w:rsid w:val="00584440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0125"/>
    <w:rsid w:val="00692C06"/>
    <w:rsid w:val="006A6A53"/>
    <w:rsid w:val="006A6E9B"/>
    <w:rsid w:val="006F6A12"/>
    <w:rsid w:val="00730C29"/>
    <w:rsid w:val="0075480D"/>
    <w:rsid w:val="00763F4F"/>
    <w:rsid w:val="00775720"/>
    <w:rsid w:val="007917AE"/>
    <w:rsid w:val="007A08B5"/>
    <w:rsid w:val="007C2D09"/>
    <w:rsid w:val="00806583"/>
    <w:rsid w:val="00811633"/>
    <w:rsid w:val="00811635"/>
    <w:rsid w:val="00812452"/>
    <w:rsid w:val="00815749"/>
    <w:rsid w:val="00862555"/>
    <w:rsid w:val="00872FC8"/>
    <w:rsid w:val="008B43F2"/>
    <w:rsid w:val="008B6612"/>
    <w:rsid w:val="008C0431"/>
    <w:rsid w:val="008C3257"/>
    <w:rsid w:val="008C401C"/>
    <w:rsid w:val="008F6E7D"/>
    <w:rsid w:val="009119CC"/>
    <w:rsid w:val="00912314"/>
    <w:rsid w:val="00917C0A"/>
    <w:rsid w:val="00922AE3"/>
    <w:rsid w:val="00941A02"/>
    <w:rsid w:val="00966C93"/>
    <w:rsid w:val="0096742F"/>
    <w:rsid w:val="00987FA4"/>
    <w:rsid w:val="009A1239"/>
    <w:rsid w:val="009B00E7"/>
    <w:rsid w:val="009B5CC2"/>
    <w:rsid w:val="009D3D63"/>
    <w:rsid w:val="009E5FC8"/>
    <w:rsid w:val="00A1115D"/>
    <w:rsid w:val="00A117A3"/>
    <w:rsid w:val="00A138D0"/>
    <w:rsid w:val="00A141AF"/>
    <w:rsid w:val="00A2044F"/>
    <w:rsid w:val="00A42A37"/>
    <w:rsid w:val="00A4600A"/>
    <w:rsid w:val="00A57C04"/>
    <w:rsid w:val="00A61057"/>
    <w:rsid w:val="00A710E7"/>
    <w:rsid w:val="00A71B02"/>
    <w:rsid w:val="00A81026"/>
    <w:rsid w:val="00A97EC0"/>
    <w:rsid w:val="00AC66E6"/>
    <w:rsid w:val="00B042C8"/>
    <w:rsid w:val="00B24E60"/>
    <w:rsid w:val="00B468A6"/>
    <w:rsid w:val="00B75113"/>
    <w:rsid w:val="00BA13A4"/>
    <w:rsid w:val="00BA1AA1"/>
    <w:rsid w:val="00BA35DC"/>
    <w:rsid w:val="00BB0573"/>
    <w:rsid w:val="00BC5313"/>
    <w:rsid w:val="00BD0D2F"/>
    <w:rsid w:val="00BD1129"/>
    <w:rsid w:val="00C0572C"/>
    <w:rsid w:val="00C13463"/>
    <w:rsid w:val="00C20466"/>
    <w:rsid w:val="00C266F4"/>
    <w:rsid w:val="00C324A8"/>
    <w:rsid w:val="00C34BFB"/>
    <w:rsid w:val="00C56E7A"/>
    <w:rsid w:val="00C779CE"/>
    <w:rsid w:val="00C83D81"/>
    <w:rsid w:val="00C86EDC"/>
    <w:rsid w:val="00C916AF"/>
    <w:rsid w:val="00CA12AB"/>
    <w:rsid w:val="00CC47C6"/>
    <w:rsid w:val="00CC4DE6"/>
    <w:rsid w:val="00CC51A2"/>
    <w:rsid w:val="00CE5E47"/>
    <w:rsid w:val="00CF020F"/>
    <w:rsid w:val="00D404B0"/>
    <w:rsid w:val="00D53715"/>
    <w:rsid w:val="00D906BA"/>
    <w:rsid w:val="00DE2EBA"/>
    <w:rsid w:val="00E2253F"/>
    <w:rsid w:val="00E366A0"/>
    <w:rsid w:val="00E43E99"/>
    <w:rsid w:val="00E5155F"/>
    <w:rsid w:val="00E556BE"/>
    <w:rsid w:val="00E6060C"/>
    <w:rsid w:val="00E60C93"/>
    <w:rsid w:val="00E65919"/>
    <w:rsid w:val="00E85F62"/>
    <w:rsid w:val="00E976C1"/>
    <w:rsid w:val="00EA0C0C"/>
    <w:rsid w:val="00EB5BC0"/>
    <w:rsid w:val="00EB66F7"/>
    <w:rsid w:val="00EE0CD4"/>
    <w:rsid w:val="00F1578A"/>
    <w:rsid w:val="00F21A03"/>
    <w:rsid w:val="00F2725A"/>
    <w:rsid w:val="00F33B22"/>
    <w:rsid w:val="00F65316"/>
    <w:rsid w:val="00F65C19"/>
    <w:rsid w:val="00F761D2"/>
    <w:rsid w:val="00F97203"/>
    <w:rsid w:val="00F97A7D"/>
    <w:rsid w:val="00FA0C6C"/>
    <w:rsid w:val="00FB67E5"/>
    <w:rsid w:val="00FC63FD"/>
    <w:rsid w:val="00FD18DB"/>
    <w:rsid w:val="00FD3D49"/>
    <w:rsid w:val="00FD51E3"/>
    <w:rsid w:val="00FE344F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80E1B1"/>
  <w15:docId w15:val="{F44DF070-BA85-4D6F-923B-B33F6DCF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uiPriority w:val="99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uiPriority w:val="99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yperlink1">
    <w:name w:val="Hyperlink1"/>
    <w:basedOn w:val="DefaultParagraphFont"/>
    <w:uiPriority w:val="99"/>
    <w:rsid w:val="00E6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aceintelreport.com/ses-bets-1-billion-boeing-satellites-can-lure-amazon-web-services-et-al/" TargetMode="External"/><Relationship Id="rId1" Type="http://schemas.openxmlformats.org/officeDocument/2006/relationships/hyperlink" Target="http://spacenews.com/viasat-details-1-4-billion-global-ka-band-satellite-broadband-strategy-to-oust-incumbent-play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F880-4C3B-4718-AD2E-2F7C3ACBB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0E980-5B40-4DB9-82E1-ADE6F2F313B8}">
  <ds:schemaRefs>
    <ds:schemaRef ds:uri="32a1a8c5-2265-4ebc-b7a0-2071e2c5c9bb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F67961-72A8-4A0B-BD52-33EB6829B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A3E8B-A4CF-42E7-9E69-F37493E2BF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9DDBA9-50E2-47BF-8A16-9F08F1D1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2844</Words>
  <Characters>17748</Characters>
  <Application>Microsoft Office Word</Application>
  <DocSecurity>0</DocSecurity>
  <Lines>362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R16-WRC19-C-0075!A13!MSW-R</vt:lpstr>
      <vt:lpstr>R16-WRC19-C-0075!A13!MSW-R</vt:lpstr>
    </vt:vector>
  </TitlesOfParts>
  <Manager>General Secretariat - Pool</Manager>
  <Company>International Telecommunication Union (ITU)</Company>
  <LinksUpToDate>false</LinksUpToDate>
  <CharactersWithSpaces>20417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R16-WRC19-C-0075!A13!MSW-R</dc:title>
  <dc:subject>World Radiocommunication Conference - 2019</dc:subject>
  <dc:creator>Documents Proposals Manager (DPM)</dc:creator>
  <cp:keywords>DPM_v2019.10.14.1_prod</cp:keywords>
  <cp:lastModifiedBy>Russian</cp:lastModifiedBy>
  <cp:revision>37</cp:revision>
  <cp:lastPrinted>2019-10-29T17:56:00Z</cp:lastPrinted>
  <dcterms:created xsi:type="dcterms:W3CDTF">2019-10-28T07:59:00Z</dcterms:created>
  <dcterms:modified xsi:type="dcterms:W3CDTF">2019-10-29T17:56:00Z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