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02803071" w14:textId="77777777">
        <w:trPr>
          <w:cantSplit/>
        </w:trPr>
        <w:tc>
          <w:tcPr>
            <w:tcW w:w="6911" w:type="dxa"/>
          </w:tcPr>
          <w:p w14:paraId="2FB2F7D6"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7FDAA887" w14:textId="77777777" w:rsidR="00A066F1" w:rsidRDefault="005F04D8" w:rsidP="003B2284">
            <w:pPr>
              <w:spacing w:before="0" w:line="240" w:lineRule="atLeast"/>
              <w:jc w:val="right"/>
            </w:pPr>
            <w:bookmarkStart w:id="1" w:name="ditulogo"/>
            <w:bookmarkEnd w:id="1"/>
            <w:r>
              <w:rPr>
                <w:noProof/>
                <w:lang w:eastAsia="en-GB"/>
              </w:rPr>
              <w:drawing>
                <wp:inline distT="0" distB="0" distL="0" distR="0" wp14:anchorId="053A51DD" wp14:editId="29633971">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3C5237EE" w14:textId="77777777">
        <w:trPr>
          <w:cantSplit/>
        </w:trPr>
        <w:tc>
          <w:tcPr>
            <w:tcW w:w="6911" w:type="dxa"/>
            <w:tcBorders>
              <w:bottom w:val="single" w:sz="12" w:space="0" w:color="auto"/>
            </w:tcBorders>
          </w:tcPr>
          <w:p w14:paraId="0ACF1A06" w14:textId="77777777" w:rsidR="00A066F1" w:rsidRPr="003B2284" w:rsidRDefault="00A066F1" w:rsidP="00A066F1">
            <w:pPr>
              <w:spacing w:before="0" w:after="48" w:line="240" w:lineRule="atLeast"/>
              <w:rPr>
                <w:rFonts w:ascii="Verdana" w:hAnsi="Verdana"/>
                <w:b/>
                <w:smallCaps/>
                <w:sz w:val="20"/>
              </w:rPr>
            </w:pPr>
            <w:bookmarkStart w:id="2" w:name="dhead"/>
          </w:p>
        </w:tc>
        <w:tc>
          <w:tcPr>
            <w:tcW w:w="3120" w:type="dxa"/>
            <w:tcBorders>
              <w:bottom w:val="single" w:sz="12" w:space="0" w:color="auto"/>
            </w:tcBorders>
          </w:tcPr>
          <w:p w14:paraId="462609C9" w14:textId="77777777" w:rsidR="00A066F1" w:rsidRPr="00617BE4" w:rsidRDefault="00A066F1" w:rsidP="00A066F1">
            <w:pPr>
              <w:spacing w:before="0" w:line="240" w:lineRule="atLeast"/>
              <w:rPr>
                <w:rFonts w:ascii="Verdana" w:hAnsi="Verdana"/>
                <w:szCs w:val="24"/>
              </w:rPr>
            </w:pPr>
          </w:p>
        </w:tc>
      </w:tr>
      <w:tr w:rsidR="00A066F1" w:rsidRPr="00C324A8" w14:paraId="121F9F26" w14:textId="77777777">
        <w:trPr>
          <w:cantSplit/>
        </w:trPr>
        <w:tc>
          <w:tcPr>
            <w:tcW w:w="6911" w:type="dxa"/>
            <w:tcBorders>
              <w:top w:val="single" w:sz="12" w:space="0" w:color="auto"/>
            </w:tcBorders>
          </w:tcPr>
          <w:p w14:paraId="393880CD"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47B1FC0F" w14:textId="77777777" w:rsidR="00A066F1" w:rsidRPr="00C324A8" w:rsidRDefault="00A066F1" w:rsidP="00A066F1">
            <w:pPr>
              <w:spacing w:before="0" w:line="240" w:lineRule="atLeast"/>
              <w:rPr>
                <w:rFonts w:ascii="Verdana" w:hAnsi="Verdana"/>
                <w:sz w:val="20"/>
              </w:rPr>
            </w:pPr>
          </w:p>
        </w:tc>
      </w:tr>
      <w:tr w:rsidR="00A066F1" w:rsidRPr="00C324A8" w14:paraId="0F79956C" w14:textId="77777777">
        <w:trPr>
          <w:cantSplit/>
          <w:trHeight w:val="23"/>
        </w:trPr>
        <w:tc>
          <w:tcPr>
            <w:tcW w:w="6911" w:type="dxa"/>
            <w:shd w:val="clear" w:color="auto" w:fill="auto"/>
          </w:tcPr>
          <w:p w14:paraId="62292428" w14:textId="77777777"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41216">
              <w:rPr>
                <w:rFonts w:ascii="Verdana" w:hAnsi="Verdana"/>
                <w:sz w:val="20"/>
                <w:szCs w:val="20"/>
              </w:rPr>
              <w:t>PLENARY MEETING</w:t>
            </w:r>
          </w:p>
        </w:tc>
        <w:tc>
          <w:tcPr>
            <w:tcW w:w="3120" w:type="dxa"/>
          </w:tcPr>
          <w:p w14:paraId="5F5D0AF0"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77</w:t>
            </w:r>
            <w:r w:rsidR="00A066F1" w:rsidRPr="00841216">
              <w:rPr>
                <w:rFonts w:ascii="Verdana" w:hAnsi="Verdana"/>
                <w:b/>
                <w:sz w:val="20"/>
              </w:rPr>
              <w:t>-</w:t>
            </w:r>
            <w:r w:rsidR="005E10C9" w:rsidRPr="00841216">
              <w:rPr>
                <w:rFonts w:ascii="Verdana" w:hAnsi="Verdana"/>
                <w:b/>
                <w:sz w:val="20"/>
              </w:rPr>
              <w:t>E</w:t>
            </w:r>
          </w:p>
        </w:tc>
      </w:tr>
      <w:tr w:rsidR="00A066F1" w:rsidRPr="00C324A8" w14:paraId="1202BFCF" w14:textId="77777777">
        <w:trPr>
          <w:cantSplit/>
          <w:trHeight w:val="23"/>
        </w:trPr>
        <w:tc>
          <w:tcPr>
            <w:tcW w:w="6911" w:type="dxa"/>
            <w:shd w:val="clear" w:color="auto" w:fill="auto"/>
          </w:tcPr>
          <w:p w14:paraId="466609DB" w14:textId="77777777"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tcPr>
          <w:p w14:paraId="5394E42F"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14:paraId="60FC7AD3" w14:textId="77777777">
        <w:trPr>
          <w:cantSplit/>
          <w:trHeight w:val="23"/>
        </w:trPr>
        <w:tc>
          <w:tcPr>
            <w:tcW w:w="6911" w:type="dxa"/>
            <w:shd w:val="clear" w:color="auto" w:fill="auto"/>
          </w:tcPr>
          <w:p w14:paraId="0E852EC9" w14:textId="77777777"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14:paraId="26608C8B"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27790908" w14:textId="77777777" w:rsidTr="00025864">
        <w:trPr>
          <w:cantSplit/>
          <w:trHeight w:val="23"/>
        </w:trPr>
        <w:tc>
          <w:tcPr>
            <w:tcW w:w="10031" w:type="dxa"/>
            <w:gridSpan w:val="2"/>
            <w:shd w:val="clear" w:color="auto" w:fill="auto"/>
          </w:tcPr>
          <w:p w14:paraId="5100D1AF" w14:textId="77777777" w:rsidR="00A066F1" w:rsidRPr="00C324A8" w:rsidRDefault="00A066F1" w:rsidP="00A066F1">
            <w:pPr>
              <w:tabs>
                <w:tab w:val="left" w:pos="993"/>
              </w:tabs>
              <w:spacing w:before="0"/>
              <w:rPr>
                <w:rFonts w:ascii="Verdana" w:hAnsi="Verdana"/>
                <w:b/>
                <w:sz w:val="20"/>
              </w:rPr>
            </w:pPr>
          </w:p>
        </w:tc>
      </w:tr>
      <w:tr w:rsidR="00E55816" w:rsidRPr="00CA0C82" w14:paraId="13DBB388" w14:textId="77777777" w:rsidTr="00025864">
        <w:trPr>
          <w:cantSplit/>
          <w:trHeight w:val="23"/>
        </w:trPr>
        <w:tc>
          <w:tcPr>
            <w:tcW w:w="10031" w:type="dxa"/>
            <w:gridSpan w:val="2"/>
            <w:shd w:val="clear" w:color="auto" w:fill="auto"/>
          </w:tcPr>
          <w:p w14:paraId="695C454E" w14:textId="77777777" w:rsidR="00E55816" w:rsidRPr="00CA0C82" w:rsidRDefault="00E9544B" w:rsidP="00E55816">
            <w:pPr>
              <w:pStyle w:val="Source"/>
            </w:pPr>
            <w:r>
              <w:t>China (People's Republic of)/Russian Federation/Papua New Guinea</w:t>
            </w:r>
          </w:p>
        </w:tc>
      </w:tr>
      <w:tr w:rsidR="00E55816" w:rsidRPr="00CA0C82" w14:paraId="35C90AAC" w14:textId="77777777" w:rsidTr="00025864">
        <w:trPr>
          <w:cantSplit/>
          <w:trHeight w:val="23"/>
        </w:trPr>
        <w:tc>
          <w:tcPr>
            <w:tcW w:w="10031" w:type="dxa"/>
            <w:gridSpan w:val="2"/>
            <w:shd w:val="clear" w:color="auto" w:fill="auto"/>
          </w:tcPr>
          <w:p w14:paraId="6E8314FC" w14:textId="77777777" w:rsidR="00E55816" w:rsidRPr="00CA0C82" w:rsidRDefault="007D5320" w:rsidP="00E55816">
            <w:pPr>
              <w:pStyle w:val="Title1"/>
            </w:pPr>
            <w:r w:rsidRPr="00CA0C82">
              <w:t>Proposals for the work of the conference</w:t>
            </w:r>
          </w:p>
        </w:tc>
      </w:tr>
      <w:tr w:rsidR="00E55816" w:rsidRPr="00CA0C82" w14:paraId="5064441A" w14:textId="77777777" w:rsidTr="00025864">
        <w:trPr>
          <w:cantSplit/>
          <w:trHeight w:val="23"/>
        </w:trPr>
        <w:tc>
          <w:tcPr>
            <w:tcW w:w="10031" w:type="dxa"/>
            <w:gridSpan w:val="2"/>
            <w:shd w:val="clear" w:color="auto" w:fill="auto"/>
          </w:tcPr>
          <w:p w14:paraId="7CAB3D86" w14:textId="77777777" w:rsidR="00E55816" w:rsidRPr="00CA0C82" w:rsidRDefault="002A76E4" w:rsidP="00E55816">
            <w:pPr>
              <w:pStyle w:val="Title2"/>
            </w:pPr>
            <w:r w:rsidRPr="00CA0C82">
              <w:t>Technical Studies related to Agenda Item 9.1, Issue 9.1.1</w:t>
            </w:r>
          </w:p>
        </w:tc>
      </w:tr>
      <w:tr w:rsidR="00A538A6" w:rsidRPr="00CA0C82" w14:paraId="4CB111FC" w14:textId="77777777" w:rsidTr="00025864">
        <w:trPr>
          <w:cantSplit/>
          <w:trHeight w:val="23"/>
        </w:trPr>
        <w:tc>
          <w:tcPr>
            <w:tcW w:w="10031" w:type="dxa"/>
            <w:gridSpan w:val="2"/>
            <w:shd w:val="clear" w:color="auto" w:fill="auto"/>
          </w:tcPr>
          <w:p w14:paraId="31956E31" w14:textId="77777777" w:rsidR="00A538A6" w:rsidRPr="00CA0C82" w:rsidRDefault="004B13CB" w:rsidP="004B13CB">
            <w:pPr>
              <w:pStyle w:val="Agendaitem"/>
            </w:pPr>
            <w:r w:rsidRPr="00CA0C82">
              <w:t xml:space="preserve">Agenda </w:t>
            </w:r>
            <w:proofErr w:type="spellStart"/>
            <w:r w:rsidRPr="00CA0C82">
              <w:t>item</w:t>
            </w:r>
            <w:proofErr w:type="spellEnd"/>
            <w:r w:rsidRPr="00CA0C82">
              <w:t xml:space="preserve"> 9.1(9.1.1)</w:t>
            </w:r>
          </w:p>
        </w:tc>
      </w:tr>
    </w:tbl>
    <w:bookmarkEnd w:id="7"/>
    <w:bookmarkEnd w:id="8"/>
    <w:p w14:paraId="400BD5A0" w14:textId="77777777" w:rsidR="005118F7" w:rsidRPr="00EC5386" w:rsidRDefault="00A10103"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210F363D" w14:textId="77777777" w:rsidR="005118F7" w:rsidRPr="00EC5386" w:rsidRDefault="00A10103" w:rsidP="00167FA6">
      <w:pPr>
        <w:overflowPunct/>
        <w:autoSpaceDE/>
        <w:autoSpaceDN/>
        <w:adjustRightInd/>
        <w:textAlignment w:val="auto"/>
        <w:rPr>
          <w:lang w:val="en-US"/>
        </w:rPr>
      </w:pPr>
      <w:r w:rsidRPr="00656311">
        <w:rPr>
          <w:lang w:val="en-US"/>
        </w:rPr>
        <w:t>9.1</w:t>
      </w:r>
      <w:r w:rsidRPr="00656311">
        <w:rPr>
          <w:lang w:val="en-US"/>
        </w:rPr>
        <w:tab/>
        <w:t>on the activities of the Radiocommunication Sector since WRC-15;</w:t>
      </w:r>
    </w:p>
    <w:p w14:paraId="5FA09734" w14:textId="77777777" w:rsidR="005118F7" w:rsidRPr="005B1C49" w:rsidRDefault="00A10103" w:rsidP="004E24C9">
      <w:r>
        <w:rPr>
          <w:rFonts w:cstheme="majorBidi"/>
          <w:color w:val="000000"/>
          <w:szCs w:val="24"/>
          <w:lang w:eastAsia="zh-CN"/>
        </w:rPr>
        <w:t>9.1 (</w:t>
      </w:r>
      <w:r w:rsidRPr="00236E46">
        <w:rPr>
          <w:rFonts w:hint="eastAsia"/>
          <w:lang w:val="en-US" w:eastAsia="zh-CN"/>
        </w:rPr>
        <w:t>9.1.</w:t>
      </w:r>
      <w:r>
        <w:rPr>
          <w:lang w:val="en-US" w:eastAsia="zh-CN"/>
        </w:rPr>
        <w:t>1)</w:t>
      </w:r>
      <w:r>
        <w:rPr>
          <w:lang w:val="en-US"/>
        </w:rPr>
        <w:t xml:space="preserve"> </w:t>
      </w:r>
      <w:r>
        <w:rPr>
          <w:lang w:val="en-US"/>
        </w:rPr>
        <w:tab/>
      </w:r>
      <w:r w:rsidRPr="005B1C49">
        <w:rPr>
          <w:lang w:val="en-US"/>
        </w:rPr>
        <w:t xml:space="preserve">Resolution </w:t>
      </w:r>
      <w:r w:rsidRPr="005B1C49">
        <w:rPr>
          <w:b/>
          <w:bCs/>
          <w:lang w:val="en-US"/>
        </w:rPr>
        <w:t>212 (Rev.WRC-15) -</w:t>
      </w:r>
      <w:r w:rsidRPr="005B1C49">
        <w:rPr>
          <w:lang w:val="en-US"/>
        </w:rPr>
        <w:t xml:space="preserve"> Implementation of International Mobile Telecommunications in the frequency bands 1 885-2 025 MHz and 2 110 2</w:t>
      </w:r>
      <w:r>
        <w:rPr>
          <w:lang w:val="en-US"/>
        </w:rPr>
        <w:t>-</w:t>
      </w:r>
      <w:r w:rsidRPr="005B1C49">
        <w:rPr>
          <w:lang w:val="en-US"/>
        </w:rPr>
        <w:t>200 MHz</w:t>
      </w:r>
    </w:p>
    <w:p w14:paraId="2ED585F3" w14:textId="16039149" w:rsidR="00C14C6F" w:rsidRDefault="00C14C6F" w:rsidP="00C14C6F">
      <w:pPr>
        <w:pStyle w:val="Heading1"/>
        <w:rPr>
          <w:rFonts w:eastAsiaTheme="minorEastAsia"/>
        </w:rPr>
      </w:pPr>
      <w:r>
        <w:rPr>
          <w:rFonts w:eastAsiaTheme="minorEastAsia"/>
        </w:rPr>
        <w:t>1</w:t>
      </w:r>
      <w:r>
        <w:rPr>
          <w:rFonts w:eastAsiaTheme="minorEastAsia"/>
        </w:rPr>
        <w:tab/>
        <w:t>Introduction</w:t>
      </w:r>
    </w:p>
    <w:p w14:paraId="50808FDF" w14:textId="77777777" w:rsidR="00C14C6F" w:rsidRDefault="00C14C6F" w:rsidP="00C14C6F">
      <w:r>
        <w:t>The ITU-R studies under agenda item 9.1, issue 9.1.1 have been the responsibility of Working Parties 4C and 5D. While the two working parties have not been able to finalise the planned ITU-R Report containing the technical studies before WRC-19, the different studies give a clear and consistent indication of the interference situations for each of the scenarios considered. The document that has been worked on by both working parties is currently around 430 pages and is difficult to be easily referenced by those who have not been directly involved in the studies and hence this document is intended to give a summary of the main findings of the interference studies.</w:t>
      </w:r>
    </w:p>
    <w:p w14:paraId="6F1C3A9F" w14:textId="77777777" w:rsidR="00C14C6F" w:rsidRDefault="00C14C6F" w:rsidP="00C14C6F">
      <w:r>
        <w:t>There are four interference scenarios considered under this agenda item and the figure below shows an example of terrestrial IMT and satellite IMT system deployment in two different countries, which are not necessarily sharing a border between them.</w:t>
      </w:r>
    </w:p>
    <w:p w14:paraId="460BA711" w14:textId="77777777" w:rsidR="00C14C6F" w:rsidRDefault="00C14C6F" w:rsidP="00C14C6F">
      <w:pPr>
        <w:pStyle w:val="PlainText"/>
        <w:rPr>
          <w:rFonts w:ascii="Times New Roman" w:hAnsi="Times New Roman" w:cs="Times New Roman"/>
          <w:sz w:val="24"/>
          <w:szCs w:val="24"/>
        </w:rPr>
      </w:pPr>
    </w:p>
    <w:p w14:paraId="48151A3B" w14:textId="77777777" w:rsidR="00C14C6F" w:rsidRDefault="00C14C6F" w:rsidP="00C14C6F">
      <w:pPr>
        <w:pStyle w:val="PlainText"/>
        <w:jc w:val="center"/>
        <w:rPr>
          <w:rFonts w:ascii="Times New Roman" w:hAnsi="Times New Roman" w:cs="Times New Roman"/>
          <w:sz w:val="24"/>
          <w:szCs w:val="24"/>
        </w:rPr>
      </w:pPr>
      <w:r>
        <w:rPr>
          <w:rFonts w:ascii="Times New Roman" w:hAnsi="Times New Roman" w:cs="Times New Roman"/>
          <w:noProof/>
          <w:color w:val="4D4D4D"/>
          <w:sz w:val="24"/>
          <w:szCs w:val="24"/>
          <w:lang w:eastAsia="en-GB"/>
        </w:rPr>
        <w:drawing>
          <wp:inline distT="0" distB="0" distL="0" distR="0" wp14:anchorId="5E9F79B1" wp14:editId="270C6CBE">
            <wp:extent cx="5726430" cy="185547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6430" cy="1855470"/>
                    </a:xfrm>
                    <a:prstGeom prst="rect">
                      <a:avLst/>
                    </a:prstGeom>
                    <a:noFill/>
                    <a:ln>
                      <a:noFill/>
                    </a:ln>
                  </pic:spPr>
                </pic:pic>
              </a:graphicData>
            </a:graphic>
          </wp:inline>
        </w:drawing>
      </w:r>
    </w:p>
    <w:p w14:paraId="6C9C2837" w14:textId="77777777" w:rsidR="00C14C6F" w:rsidRDefault="00C14C6F" w:rsidP="00C14C6F">
      <w:pPr>
        <w:pStyle w:val="PlainText"/>
        <w:rPr>
          <w:rFonts w:ascii="Times New Roman" w:hAnsi="Times New Roman" w:cs="Times New Roman"/>
          <w:sz w:val="24"/>
          <w:szCs w:val="24"/>
        </w:rPr>
      </w:pPr>
    </w:p>
    <w:p w14:paraId="7FD8399D" w14:textId="77777777" w:rsidR="00C14C6F" w:rsidRDefault="00C14C6F" w:rsidP="00C14C6F">
      <w:pPr>
        <w:pStyle w:val="Tabletitle"/>
      </w:pPr>
      <w:r>
        <w:lastRenderedPageBreak/>
        <w:t>Table 1: Scenarios considered and the interference situations</w:t>
      </w:r>
    </w:p>
    <w:tbl>
      <w:tblPr>
        <w:tblStyle w:val="TableGrid"/>
        <w:tblW w:w="8217" w:type="dxa"/>
        <w:jc w:val="center"/>
        <w:tblInd w:w="0" w:type="dxa"/>
        <w:tblLook w:val="04A0" w:firstRow="1" w:lastRow="0" w:firstColumn="1" w:lastColumn="0" w:noHBand="0" w:noVBand="1"/>
      </w:tblPr>
      <w:tblGrid>
        <w:gridCol w:w="1167"/>
        <w:gridCol w:w="7050"/>
      </w:tblGrid>
      <w:tr w:rsidR="00C14C6F" w14:paraId="56FFB835" w14:textId="77777777" w:rsidTr="00C14C6F">
        <w:trPr>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14:paraId="6F35CB59" w14:textId="77777777" w:rsidR="00C14C6F" w:rsidRDefault="00C14C6F">
            <w:pPr>
              <w:pStyle w:val="PlainText"/>
              <w:jc w:val="center"/>
              <w:rPr>
                <w:rFonts w:ascii="Times New Roman" w:hAnsi="Times New Roman" w:cs="Times New Roman"/>
                <w:b/>
                <w:sz w:val="24"/>
                <w:szCs w:val="24"/>
              </w:rPr>
            </w:pPr>
            <w:r>
              <w:rPr>
                <w:rFonts w:ascii="Times New Roman" w:hAnsi="Times New Roman" w:cs="Times New Roman"/>
                <w:b/>
                <w:sz w:val="24"/>
                <w:szCs w:val="24"/>
              </w:rPr>
              <w:t>Scenario</w:t>
            </w:r>
          </w:p>
        </w:tc>
        <w:tc>
          <w:tcPr>
            <w:tcW w:w="7050" w:type="dxa"/>
            <w:tcBorders>
              <w:top w:val="single" w:sz="4" w:space="0" w:color="auto"/>
              <w:left w:val="single" w:sz="4" w:space="0" w:color="auto"/>
              <w:bottom w:val="single" w:sz="4" w:space="0" w:color="auto"/>
              <w:right w:val="single" w:sz="4" w:space="0" w:color="auto"/>
            </w:tcBorders>
            <w:vAlign w:val="center"/>
            <w:hideMark/>
          </w:tcPr>
          <w:p w14:paraId="7DC7045F" w14:textId="77777777" w:rsidR="00C14C6F" w:rsidRDefault="00C14C6F">
            <w:pPr>
              <w:pStyle w:val="PlainText"/>
              <w:jc w:val="center"/>
              <w:rPr>
                <w:rFonts w:ascii="Times New Roman" w:hAnsi="Times New Roman" w:cs="Times New Roman"/>
                <w:b/>
                <w:sz w:val="24"/>
                <w:szCs w:val="24"/>
              </w:rPr>
            </w:pPr>
            <w:r>
              <w:rPr>
                <w:rFonts w:ascii="Times New Roman" w:hAnsi="Times New Roman" w:cs="Times New Roman"/>
                <w:b/>
                <w:sz w:val="24"/>
                <w:szCs w:val="24"/>
              </w:rPr>
              <w:t>Interference/Comment</w:t>
            </w:r>
          </w:p>
        </w:tc>
      </w:tr>
      <w:tr w:rsidR="00C14C6F" w14:paraId="3E256558" w14:textId="77777777" w:rsidTr="00C14C6F">
        <w:trPr>
          <w:trHeight w:val="443"/>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14:paraId="2B4AA14C" w14:textId="77777777" w:rsidR="00C14C6F" w:rsidRDefault="00C14C6F">
            <w:pPr>
              <w:pStyle w:val="PlainText"/>
              <w:jc w:val="center"/>
              <w:rPr>
                <w:rFonts w:ascii="Times New Roman" w:hAnsi="Times New Roman" w:cs="Times New Roman"/>
                <w:b/>
                <w:sz w:val="24"/>
                <w:szCs w:val="24"/>
              </w:rPr>
            </w:pPr>
            <w:r>
              <w:rPr>
                <w:rFonts w:ascii="Times New Roman" w:hAnsi="Times New Roman" w:cs="Times New Roman"/>
                <w:b/>
                <w:sz w:val="24"/>
                <w:szCs w:val="24"/>
              </w:rPr>
              <w:t>A1</w:t>
            </w:r>
          </w:p>
        </w:tc>
        <w:tc>
          <w:tcPr>
            <w:tcW w:w="7050" w:type="dxa"/>
            <w:tcBorders>
              <w:top w:val="single" w:sz="4" w:space="0" w:color="auto"/>
              <w:left w:val="single" w:sz="4" w:space="0" w:color="auto"/>
              <w:bottom w:val="single" w:sz="4" w:space="0" w:color="auto"/>
              <w:right w:val="single" w:sz="4" w:space="0" w:color="auto"/>
            </w:tcBorders>
            <w:vAlign w:val="center"/>
            <w:hideMark/>
          </w:tcPr>
          <w:p w14:paraId="691AA47E" w14:textId="77777777" w:rsidR="00C14C6F" w:rsidRDefault="00C14C6F">
            <w:pPr>
              <w:pStyle w:val="PlainText"/>
              <w:jc w:val="both"/>
              <w:rPr>
                <w:rFonts w:ascii="Times New Roman" w:hAnsi="Times New Roman" w:cs="Times New Roman"/>
                <w:sz w:val="24"/>
                <w:szCs w:val="24"/>
              </w:rPr>
            </w:pPr>
            <w:r>
              <w:rPr>
                <w:rFonts w:ascii="Times New Roman" w:hAnsi="Times New Roman" w:cs="Times New Roman"/>
                <w:sz w:val="24"/>
                <w:szCs w:val="24"/>
              </w:rPr>
              <w:t>Exceedance up to 52.2 dB - not currently addressed by the RR</w:t>
            </w:r>
          </w:p>
        </w:tc>
      </w:tr>
      <w:tr w:rsidR="00C14C6F" w14:paraId="69F44C77" w14:textId="77777777" w:rsidTr="00C14C6F">
        <w:trPr>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14:paraId="3BADA634" w14:textId="77777777" w:rsidR="00C14C6F" w:rsidRDefault="00C14C6F">
            <w:pPr>
              <w:pStyle w:val="PlainText"/>
              <w:jc w:val="center"/>
              <w:rPr>
                <w:rFonts w:ascii="Times New Roman" w:hAnsi="Times New Roman" w:cs="Times New Roman"/>
                <w:b/>
                <w:sz w:val="24"/>
                <w:szCs w:val="24"/>
              </w:rPr>
            </w:pPr>
            <w:r>
              <w:rPr>
                <w:rFonts w:ascii="Times New Roman" w:hAnsi="Times New Roman" w:cs="Times New Roman"/>
                <w:b/>
                <w:sz w:val="24"/>
                <w:szCs w:val="24"/>
              </w:rPr>
              <w:t>A2</w:t>
            </w:r>
          </w:p>
        </w:tc>
        <w:tc>
          <w:tcPr>
            <w:tcW w:w="7050" w:type="dxa"/>
            <w:tcBorders>
              <w:top w:val="single" w:sz="4" w:space="0" w:color="auto"/>
              <w:left w:val="single" w:sz="4" w:space="0" w:color="auto"/>
              <w:bottom w:val="single" w:sz="4" w:space="0" w:color="auto"/>
              <w:right w:val="single" w:sz="4" w:space="0" w:color="auto"/>
            </w:tcBorders>
            <w:vAlign w:val="center"/>
            <w:hideMark/>
          </w:tcPr>
          <w:p w14:paraId="0FCDEC70" w14:textId="77777777" w:rsidR="00C14C6F" w:rsidRDefault="00C14C6F">
            <w:pPr>
              <w:pStyle w:val="PlainText"/>
              <w:jc w:val="both"/>
              <w:rPr>
                <w:rFonts w:ascii="Times New Roman" w:hAnsi="Times New Roman" w:cs="Times New Roman"/>
                <w:sz w:val="24"/>
                <w:szCs w:val="24"/>
              </w:rPr>
            </w:pPr>
            <w:r>
              <w:rPr>
                <w:rFonts w:ascii="Times New Roman" w:hAnsi="Times New Roman" w:cs="Times New Roman"/>
                <w:sz w:val="24"/>
                <w:szCs w:val="24"/>
              </w:rPr>
              <w:t>Interference issues can be handled by existing cross-border coordination provisions in the RR</w:t>
            </w:r>
          </w:p>
        </w:tc>
      </w:tr>
      <w:tr w:rsidR="00C14C6F" w14:paraId="743A0B5E" w14:textId="77777777" w:rsidTr="00C14C6F">
        <w:trPr>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14:paraId="5C2671E2" w14:textId="77777777" w:rsidR="00C14C6F" w:rsidRDefault="00C14C6F">
            <w:pPr>
              <w:pStyle w:val="PlainText"/>
              <w:jc w:val="center"/>
              <w:rPr>
                <w:rFonts w:ascii="Times New Roman" w:hAnsi="Times New Roman" w:cs="Times New Roman"/>
                <w:b/>
                <w:sz w:val="24"/>
                <w:szCs w:val="24"/>
              </w:rPr>
            </w:pPr>
            <w:r>
              <w:rPr>
                <w:rFonts w:ascii="Times New Roman" w:hAnsi="Times New Roman" w:cs="Times New Roman"/>
                <w:b/>
                <w:sz w:val="24"/>
                <w:szCs w:val="24"/>
              </w:rPr>
              <w:t>B1</w:t>
            </w:r>
          </w:p>
        </w:tc>
        <w:tc>
          <w:tcPr>
            <w:tcW w:w="7050" w:type="dxa"/>
            <w:tcBorders>
              <w:top w:val="single" w:sz="4" w:space="0" w:color="auto"/>
              <w:left w:val="single" w:sz="4" w:space="0" w:color="auto"/>
              <w:bottom w:val="single" w:sz="4" w:space="0" w:color="auto"/>
              <w:right w:val="single" w:sz="4" w:space="0" w:color="auto"/>
            </w:tcBorders>
            <w:vAlign w:val="center"/>
            <w:hideMark/>
          </w:tcPr>
          <w:p w14:paraId="49EBC038" w14:textId="77777777" w:rsidR="00C14C6F" w:rsidRDefault="00C14C6F">
            <w:pPr>
              <w:pStyle w:val="PlainText"/>
              <w:jc w:val="both"/>
              <w:rPr>
                <w:rFonts w:ascii="Times New Roman" w:hAnsi="Times New Roman" w:cs="Times New Roman"/>
                <w:b/>
                <w:sz w:val="24"/>
                <w:szCs w:val="24"/>
              </w:rPr>
            </w:pPr>
            <w:r>
              <w:rPr>
                <w:rFonts w:ascii="Times New Roman" w:hAnsi="Times New Roman" w:cs="Times New Roman"/>
                <w:sz w:val="24"/>
                <w:szCs w:val="24"/>
              </w:rPr>
              <w:t>Interference issues can be handled by existing cross-border coordination with amended provisions in the RR (see Annex C)</w:t>
            </w:r>
          </w:p>
        </w:tc>
      </w:tr>
      <w:tr w:rsidR="00C14C6F" w14:paraId="631DCE05" w14:textId="77777777" w:rsidTr="00C14C6F">
        <w:trPr>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14:paraId="71D30BFB" w14:textId="77777777" w:rsidR="00C14C6F" w:rsidRDefault="00C14C6F">
            <w:pPr>
              <w:pStyle w:val="PlainText"/>
              <w:jc w:val="center"/>
              <w:rPr>
                <w:rFonts w:ascii="Times New Roman" w:hAnsi="Times New Roman" w:cs="Times New Roman"/>
                <w:b/>
                <w:sz w:val="24"/>
                <w:szCs w:val="24"/>
              </w:rPr>
            </w:pPr>
            <w:r>
              <w:rPr>
                <w:rFonts w:ascii="Times New Roman" w:hAnsi="Times New Roman" w:cs="Times New Roman"/>
                <w:b/>
                <w:sz w:val="24"/>
                <w:szCs w:val="24"/>
              </w:rPr>
              <w:t>B2</w:t>
            </w:r>
          </w:p>
        </w:tc>
        <w:tc>
          <w:tcPr>
            <w:tcW w:w="7050" w:type="dxa"/>
            <w:tcBorders>
              <w:top w:val="single" w:sz="4" w:space="0" w:color="auto"/>
              <w:left w:val="single" w:sz="4" w:space="0" w:color="auto"/>
              <w:bottom w:val="single" w:sz="4" w:space="0" w:color="auto"/>
              <w:right w:val="single" w:sz="4" w:space="0" w:color="auto"/>
            </w:tcBorders>
            <w:vAlign w:val="center"/>
            <w:hideMark/>
          </w:tcPr>
          <w:p w14:paraId="487F9FAF" w14:textId="77777777" w:rsidR="00C14C6F" w:rsidRDefault="00C14C6F">
            <w:pPr>
              <w:pStyle w:val="PlainText"/>
              <w:jc w:val="both"/>
              <w:rPr>
                <w:rFonts w:ascii="Times New Roman" w:hAnsi="Times New Roman" w:cs="Times New Roman"/>
                <w:sz w:val="24"/>
                <w:szCs w:val="24"/>
                <w:lang w:val="en-US"/>
              </w:rPr>
            </w:pPr>
            <w:r>
              <w:rPr>
                <w:rFonts w:ascii="Times New Roman" w:hAnsi="Times New Roman" w:cs="Times New Roman"/>
                <w:sz w:val="24"/>
                <w:szCs w:val="24"/>
              </w:rPr>
              <w:t xml:space="preserve">Interference can be addressed by inclusion of a new </w:t>
            </w:r>
            <w:proofErr w:type="spellStart"/>
            <w:r>
              <w:rPr>
                <w:rFonts w:ascii="Times New Roman" w:hAnsi="Times New Roman" w:cs="Times New Roman"/>
                <w:sz w:val="24"/>
                <w:szCs w:val="24"/>
              </w:rPr>
              <w:t>pfd</w:t>
            </w:r>
            <w:proofErr w:type="spellEnd"/>
            <w:r>
              <w:rPr>
                <w:rFonts w:ascii="Times New Roman" w:hAnsi="Times New Roman" w:cs="Times New Roman"/>
                <w:sz w:val="24"/>
                <w:szCs w:val="24"/>
              </w:rPr>
              <w:t xml:space="preserve"> coordination threshold</w:t>
            </w:r>
          </w:p>
        </w:tc>
      </w:tr>
    </w:tbl>
    <w:p w14:paraId="554024F6" w14:textId="4C4C71F1" w:rsidR="00C14C6F" w:rsidRPr="00003AED" w:rsidRDefault="00C14C6F" w:rsidP="00003AED">
      <w:r>
        <w:t>Table 1 above summarizes the four scenarios studied, the corresponding interference situations and how the issue of interference could be handled (</w:t>
      </w:r>
      <w:proofErr w:type="gramStart"/>
      <w:r>
        <w:t>with the exception of</w:t>
      </w:r>
      <w:proofErr w:type="gramEnd"/>
      <w:r>
        <w:t xml:space="preserve"> scenario A1). This document is focused on the scenario A1 (i.e. interference from terrestrial IMT base stations to IMT satellite receivers in the band 1 980-2 010 MHz), which is the most critical scenario addressed under this agenda item, as very high levels of interference would prevent use of the band by the MSS.</w:t>
      </w:r>
    </w:p>
    <w:p w14:paraId="18D6C7E9" w14:textId="21E95365" w:rsidR="00C14C6F" w:rsidRDefault="00C14C6F" w:rsidP="00C14C6F">
      <w:pPr>
        <w:pStyle w:val="Heading1"/>
        <w:rPr>
          <w:rFonts w:eastAsiaTheme="minorEastAsia"/>
        </w:rPr>
      </w:pPr>
      <w:r>
        <w:rPr>
          <w:rFonts w:eastAsiaTheme="minorEastAsia"/>
        </w:rPr>
        <w:t>2</w:t>
      </w:r>
      <w:r>
        <w:rPr>
          <w:rFonts w:eastAsiaTheme="minorEastAsia"/>
        </w:rPr>
        <w:tab/>
        <w:t>Interference from mobile base stations is demonstrated by technical studies</w:t>
      </w:r>
    </w:p>
    <w:p w14:paraId="1BF1074D" w14:textId="5F809201" w:rsidR="00C14C6F" w:rsidRDefault="00C14C6F" w:rsidP="00082DCF">
      <w:r>
        <w:t xml:space="preserve">A simple interference analysis from a single IMT base station as given in Table 2 shows that interference would exceed the MSS </w:t>
      </w:r>
      <w:r w:rsidRPr="00003AED">
        <w:rPr>
          <w:i/>
          <w:iCs/>
        </w:rPr>
        <w:t>I</w:t>
      </w:r>
      <w:r>
        <w:t>/</w:t>
      </w:r>
      <w:r w:rsidRPr="00003AED">
        <w:rPr>
          <w:i/>
          <w:iCs/>
        </w:rPr>
        <w:t>N</w:t>
      </w:r>
      <w:r>
        <w:t xml:space="preserve"> protection criterion.</w:t>
      </w:r>
    </w:p>
    <w:p w14:paraId="626E2433" w14:textId="77777777" w:rsidR="00003AED" w:rsidRDefault="00003AED" w:rsidP="00082DCF"/>
    <w:p w14:paraId="28ED9ABC" w14:textId="065AABE1" w:rsidR="00C14C6F" w:rsidRDefault="00C14C6F" w:rsidP="00003AED">
      <w:pPr>
        <w:pStyle w:val="Tabletitle"/>
        <w:rPr>
          <w:rFonts w:ascii="Times New Roman" w:hAnsi="Times New Roman"/>
          <w:b w:val="0"/>
          <w:szCs w:val="24"/>
        </w:rPr>
      </w:pPr>
      <w:r>
        <w:t>Table 2: A single IMT base station interference into different satellites systems</w:t>
      </w:r>
    </w:p>
    <w:tbl>
      <w:tblPr>
        <w:tblStyle w:val="TableGrid"/>
        <w:tblW w:w="0" w:type="auto"/>
        <w:jc w:val="center"/>
        <w:tblInd w:w="0" w:type="dxa"/>
        <w:tblLook w:val="04A0" w:firstRow="1" w:lastRow="0" w:firstColumn="1" w:lastColumn="0" w:noHBand="0" w:noVBand="1"/>
      </w:tblPr>
      <w:tblGrid>
        <w:gridCol w:w="2405"/>
        <w:gridCol w:w="2103"/>
        <w:gridCol w:w="2254"/>
      </w:tblGrid>
      <w:tr w:rsidR="00C14C6F" w14:paraId="1BED0FF0" w14:textId="77777777" w:rsidTr="00C14C6F">
        <w:trPr>
          <w:trHeight w:val="352"/>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3E55F97C" w14:textId="77777777" w:rsidR="00C14C6F" w:rsidRDefault="00C14C6F">
            <w:pPr>
              <w:pStyle w:val="PlainText"/>
              <w:jc w:val="center"/>
              <w:rPr>
                <w:rFonts w:ascii="Times New Roman" w:hAnsi="Times New Roman" w:cs="Times New Roman"/>
                <w:b/>
                <w:sz w:val="20"/>
                <w:szCs w:val="20"/>
              </w:rPr>
            </w:pPr>
            <w:r>
              <w:rPr>
                <w:rFonts w:ascii="Times New Roman" w:hAnsi="Times New Roman" w:cs="Times New Roman"/>
                <w:b/>
                <w:sz w:val="20"/>
                <w:szCs w:val="20"/>
              </w:rPr>
              <w:t>Interferer</w:t>
            </w:r>
          </w:p>
        </w:tc>
        <w:tc>
          <w:tcPr>
            <w:tcW w:w="2103" w:type="dxa"/>
            <w:tcBorders>
              <w:top w:val="single" w:sz="4" w:space="0" w:color="auto"/>
              <w:left w:val="single" w:sz="4" w:space="0" w:color="auto"/>
              <w:bottom w:val="single" w:sz="4" w:space="0" w:color="auto"/>
              <w:right w:val="single" w:sz="4" w:space="0" w:color="auto"/>
            </w:tcBorders>
            <w:vAlign w:val="center"/>
            <w:hideMark/>
          </w:tcPr>
          <w:p w14:paraId="0350E610" w14:textId="77777777" w:rsidR="00C14C6F" w:rsidRDefault="00C14C6F">
            <w:pPr>
              <w:pStyle w:val="PlainText"/>
              <w:jc w:val="center"/>
              <w:rPr>
                <w:rFonts w:ascii="Times New Roman" w:hAnsi="Times New Roman" w:cs="Times New Roman"/>
                <w:b/>
                <w:sz w:val="20"/>
                <w:szCs w:val="20"/>
              </w:rPr>
            </w:pPr>
            <w:r>
              <w:rPr>
                <w:rFonts w:ascii="Times New Roman" w:hAnsi="Times New Roman" w:cs="Times New Roman"/>
                <w:b/>
                <w:sz w:val="20"/>
                <w:szCs w:val="20"/>
              </w:rPr>
              <w:t>Satellite Type</w:t>
            </w:r>
          </w:p>
        </w:tc>
        <w:tc>
          <w:tcPr>
            <w:tcW w:w="2254" w:type="dxa"/>
            <w:tcBorders>
              <w:top w:val="single" w:sz="4" w:space="0" w:color="auto"/>
              <w:left w:val="single" w:sz="4" w:space="0" w:color="auto"/>
              <w:bottom w:val="single" w:sz="4" w:space="0" w:color="auto"/>
              <w:right w:val="single" w:sz="4" w:space="0" w:color="auto"/>
            </w:tcBorders>
            <w:vAlign w:val="center"/>
            <w:hideMark/>
          </w:tcPr>
          <w:p w14:paraId="5196A963" w14:textId="77777777" w:rsidR="00C14C6F" w:rsidRDefault="00C14C6F">
            <w:pPr>
              <w:pStyle w:val="PlainText"/>
              <w:jc w:val="center"/>
              <w:rPr>
                <w:rFonts w:ascii="Times New Roman" w:hAnsi="Times New Roman" w:cs="Times New Roman"/>
                <w:b/>
                <w:sz w:val="20"/>
                <w:szCs w:val="20"/>
              </w:rPr>
            </w:pPr>
            <w:r>
              <w:rPr>
                <w:rFonts w:ascii="Times New Roman" w:hAnsi="Times New Roman" w:cs="Times New Roman"/>
                <w:b/>
                <w:sz w:val="20"/>
                <w:szCs w:val="20"/>
              </w:rPr>
              <w:t>Exceedance Level (dB)</w:t>
            </w:r>
          </w:p>
        </w:tc>
      </w:tr>
      <w:tr w:rsidR="00C14C6F" w14:paraId="66B18C03" w14:textId="77777777" w:rsidTr="00C14C6F">
        <w:trPr>
          <w:jc w:val="center"/>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708933EA" w14:textId="77777777" w:rsidR="00C14C6F" w:rsidRDefault="00C14C6F">
            <w:pPr>
              <w:pStyle w:val="PlainText"/>
              <w:rPr>
                <w:rFonts w:ascii="Times New Roman" w:hAnsi="Times New Roman" w:cs="Times New Roman"/>
                <w:sz w:val="20"/>
                <w:szCs w:val="20"/>
              </w:rPr>
            </w:pPr>
            <w:r>
              <w:rPr>
                <w:rFonts w:ascii="Times New Roman" w:hAnsi="Times New Roman" w:cs="Times New Roman"/>
                <w:sz w:val="20"/>
                <w:szCs w:val="20"/>
              </w:rPr>
              <w:t>Single IMT base station</w:t>
            </w:r>
          </w:p>
        </w:tc>
        <w:tc>
          <w:tcPr>
            <w:tcW w:w="2103" w:type="dxa"/>
            <w:tcBorders>
              <w:top w:val="single" w:sz="4" w:space="0" w:color="auto"/>
              <w:left w:val="single" w:sz="4" w:space="0" w:color="auto"/>
              <w:bottom w:val="single" w:sz="4" w:space="0" w:color="auto"/>
              <w:right w:val="single" w:sz="4" w:space="0" w:color="auto"/>
            </w:tcBorders>
            <w:hideMark/>
          </w:tcPr>
          <w:p w14:paraId="5A998E05" w14:textId="77777777" w:rsidR="00C14C6F" w:rsidRDefault="00C14C6F">
            <w:pPr>
              <w:pStyle w:val="PlainText"/>
              <w:jc w:val="center"/>
              <w:rPr>
                <w:rFonts w:ascii="Times New Roman" w:hAnsi="Times New Roman" w:cs="Times New Roman"/>
                <w:sz w:val="20"/>
                <w:szCs w:val="20"/>
                <w:highlight w:val="yellow"/>
              </w:rPr>
            </w:pPr>
            <w:r>
              <w:rPr>
                <w:rFonts w:ascii="Times New Roman" w:hAnsi="Times New Roman" w:cs="Times New Roman"/>
                <w:sz w:val="20"/>
                <w:szCs w:val="20"/>
              </w:rPr>
              <w:t>LEO</w:t>
            </w:r>
          </w:p>
        </w:tc>
        <w:tc>
          <w:tcPr>
            <w:tcW w:w="2254" w:type="dxa"/>
            <w:tcBorders>
              <w:top w:val="single" w:sz="4" w:space="0" w:color="auto"/>
              <w:left w:val="single" w:sz="4" w:space="0" w:color="auto"/>
              <w:bottom w:val="single" w:sz="4" w:space="0" w:color="auto"/>
              <w:right w:val="single" w:sz="4" w:space="0" w:color="auto"/>
            </w:tcBorders>
            <w:hideMark/>
          </w:tcPr>
          <w:p w14:paraId="4FEA32F4" w14:textId="77777777" w:rsidR="00C14C6F" w:rsidRDefault="00C14C6F">
            <w:pPr>
              <w:pStyle w:val="PlainText"/>
              <w:jc w:val="center"/>
              <w:rPr>
                <w:rFonts w:ascii="Times New Roman" w:hAnsi="Times New Roman" w:cs="Times New Roman"/>
                <w:sz w:val="20"/>
                <w:szCs w:val="20"/>
                <w:lang w:val="ru-RU"/>
              </w:rPr>
            </w:pPr>
            <w:r>
              <w:rPr>
                <w:rFonts w:ascii="Times New Roman" w:hAnsi="Times New Roman" w:cs="Times New Roman"/>
                <w:sz w:val="20"/>
                <w:szCs w:val="20"/>
              </w:rPr>
              <w:t>10.2</w:t>
            </w:r>
          </w:p>
        </w:tc>
      </w:tr>
      <w:tr w:rsidR="00C14C6F" w14:paraId="51ECF36B" w14:textId="77777777" w:rsidTr="00C14C6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5532F8" w14:textId="77777777" w:rsidR="00C14C6F" w:rsidRDefault="00C14C6F">
            <w:pPr>
              <w:tabs>
                <w:tab w:val="clear" w:pos="1134"/>
                <w:tab w:val="clear" w:pos="1871"/>
                <w:tab w:val="clear" w:pos="2268"/>
              </w:tabs>
              <w:overflowPunct/>
              <w:autoSpaceDE/>
              <w:autoSpaceDN/>
              <w:adjustRightInd/>
              <w:spacing w:before="0"/>
              <w:rPr>
                <w:rFonts w:cs="Times New Roman"/>
                <w:sz w:val="20"/>
                <w:szCs w:val="20"/>
              </w:rPr>
            </w:pPr>
          </w:p>
        </w:tc>
        <w:tc>
          <w:tcPr>
            <w:tcW w:w="2103" w:type="dxa"/>
            <w:tcBorders>
              <w:top w:val="single" w:sz="4" w:space="0" w:color="auto"/>
              <w:left w:val="single" w:sz="4" w:space="0" w:color="auto"/>
              <w:bottom w:val="single" w:sz="4" w:space="0" w:color="auto"/>
              <w:right w:val="single" w:sz="4" w:space="0" w:color="auto"/>
            </w:tcBorders>
            <w:hideMark/>
          </w:tcPr>
          <w:p w14:paraId="139132CE" w14:textId="77777777" w:rsidR="00C14C6F" w:rsidRDefault="00C14C6F">
            <w:pPr>
              <w:pStyle w:val="PlainText"/>
              <w:jc w:val="center"/>
              <w:rPr>
                <w:rFonts w:ascii="Times New Roman" w:hAnsi="Times New Roman" w:cs="Times New Roman"/>
                <w:sz w:val="20"/>
                <w:szCs w:val="20"/>
              </w:rPr>
            </w:pPr>
            <w:r>
              <w:rPr>
                <w:rFonts w:ascii="Times New Roman" w:hAnsi="Times New Roman" w:cs="Times New Roman"/>
                <w:sz w:val="20"/>
                <w:szCs w:val="20"/>
              </w:rPr>
              <w:t>MEO</w:t>
            </w:r>
          </w:p>
        </w:tc>
        <w:tc>
          <w:tcPr>
            <w:tcW w:w="2254" w:type="dxa"/>
            <w:tcBorders>
              <w:top w:val="single" w:sz="4" w:space="0" w:color="auto"/>
              <w:left w:val="single" w:sz="4" w:space="0" w:color="auto"/>
              <w:bottom w:val="single" w:sz="4" w:space="0" w:color="auto"/>
              <w:right w:val="single" w:sz="4" w:space="0" w:color="auto"/>
            </w:tcBorders>
            <w:hideMark/>
          </w:tcPr>
          <w:p w14:paraId="4456D317" w14:textId="77777777" w:rsidR="00C14C6F" w:rsidRDefault="00C14C6F">
            <w:pPr>
              <w:pStyle w:val="PlainText"/>
              <w:jc w:val="center"/>
              <w:rPr>
                <w:rFonts w:ascii="Times New Roman" w:hAnsi="Times New Roman" w:cs="Times New Roman"/>
                <w:sz w:val="20"/>
                <w:szCs w:val="20"/>
              </w:rPr>
            </w:pPr>
            <w:r>
              <w:rPr>
                <w:rFonts w:ascii="Times New Roman" w:hAnsi="Times New Roman" w:cs="Times New Roman"/>
                <w:sz w:val="20"/>
                <w:szCs w:val="20"/>
              </w:rPr>
              <w:t>7.0</w:t>
            </w:r>
          </w:p>
        </w:tc>
      </w:tr>
      <w:tr w:rsidR="00C14C6F" w14:paraId="1BC27EA1" w14:textId="77777777" w:rsidTr="00C14C6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433674" w14:textId="77777777" w:rsidR="00C14C6F" w:rsidRDefault="00C14C6F">
            <w:pPr>
              <w:tabs>
                <w:tab w:val="clear" w:pos="1134"/>
                <w:tab w:val="clear" w:pos="1871"/>
                <w:tab w:val="clear" w:pos="2268"/>
              </w:tabs>
              <w:overflowPunct/>
              <w:autoSpaceDE/>
              <w:autoSpaceDN/>
              <w:adjustRightInd/>
              <w:spacing w:before="0"/>
              <w:rPr>
                <w:rFonts w:cs="Times New Roman"/>
                <w:sz w:val="20"/>
                <w:szCs w:val="20"/>
              </w:rPr>
            </w:pPr>
          </w:p>
        </w:tc>
        <w:tc>
          <w:tcPr>
            <w:tcW w:w="2103" w:type="dxa"/>
            <w:tcBorders>
              <w:top w:val="single" w:sz="4" w:space="0" w:color="auto"/>
              <w:left w:val="single" w:sz="4" w:space="0" w:color="auto"/>
              <w:bottom w:val="single" w:sz="4" w:space="0" w:color="auto"/>
              <w:right w:val="single" w:sz="4" w:space="0" w:color="auto"/>
            </w:tcBorders>
            <w:hideMark/>
          </w:tcPr>
          <w:p w14:paraId="4F8CA6CE" w14:textId="77777777" w:rsidR="00C14C6F" w:rsidRDefault="00C14C6F">
            <w:pPr>
              <w:pStyle w:val="PlainText"/>
              <w:jc w:val="center"/>
              <w:rPr>
                <w:rFonts w:ascii="Times New Roman" w:hAnsi="Times New Roman" w:cs="Times New Roman"/>
                <w:sz w:val="20"/>
                <w:szCs w:val="20"/>
                <w:highlight w:val="yellow"/>
              </w:rPr>
            </w:pPr>
            <w:r>
              <w:rPr>
                <w:rFonts w:ascii="Times New Roman" w:hAnsi="Times New Roman" w:cs="Times New Roman"/>
                <w:sz w:val="20"/>
                <w:szCs w:val="20"/>
              </w:rPr>
              <w:t>HEO</w:t>
            </w:r>
          </w:p>
        </w:tc>
        <w:tc>
          <w:tcPr>
            <w:tcW w:w="2254" w:type="dxa"/>
            <w:tcBorders>
              <w:top w:val="single" w:sz="4" w:space="0" w:color="auto"/>
              <w:left w:val="single" w:sz="4" w:space="0" w:color="auto"/>
              <w:bottom w:val="single" w:sz="4" w:space="0" w:color="auto"/>
              <w:right w:val="single" w:sz="4" w:space="0" w:color="auto"/>
            </w:tcBorders>
            <w:hideMark/>
          </w:tcPr>
          <w:p w14:paraId="61E7FC2F" w14:textId="77777777" w:rsidR="00C14C6F" w:rsidRDefault="00C14C6F">
            <w:pPr>
              <w:pStyle w:val="PlainText"/>
              <w:jc w:val="center"/>
              <w:rPr>
                <w:rFonts w:ascii="Times New Roman" w:hAnsi="Times New Roman" w:cs="Times New Roman"/>
                <w:sz w:val="20"/>
                <w:szCs w:val="20"/>
              </w:rPr>
            </w:pPr>
            <w:r>
              <w:rPr>
                <w:rFonts w:ascii="Times New Roman" w:hAnsi="Times New Roman" w:cs="Times New Roman"/>
                <w:sz w:val="20"/>
                <w:szCs w:val="20"/>
              </w:rPr>
              <w:t>11.8</w:t>
            </w:r>
          </w:p>
        </w:tc>
      </w:tr>
      <w:tr w:rsidR="00C14C6F" w14:paraId="44BA9843" w14:textId="77777777" w:rsidTr="00C14C6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09B04" w14:textId="77777777" w:rsidR="00C14C6F" w:rsidRDefault="00C14C6F">
            <w:pPr>
              <w:tabs>
                <w:tab w:val="clear" w:pos="1134"/>
                <w:tab w:val="clear" w:pos="1871"/>
                <w:tab w:val="clear" w:pos="2268"/>
              </w:tabs>
              <w:overflowPunct/>
              <w:autoSpaceDE/>
              <w:autoSpaceDN/>
              <w:adjustRightInd/>
              <w:spacing w:before="0"/>
              <w:rPr>
                <w:rFonts w:cs="Times New Roman"/>
                <w:sz w:val="20"/>
                <w:szCs w:val="20"/>
              </w:rPr>
            </w:pPr>
          </w:p>
        </w:tc>
        <w:tc>
          <w:tcPr>
            <w:tcW w:w="2103" w:type="dxa"/>
            <w:tcBorders>
              <w:top w:val="single" w:sz="4" w:space="0" w:color="auto"/>
              <w:left w:val="single" w:sz="4" w:space="0" w:color="auto"/>
              <w:bottom w:val="single" w:sz="4" w:space="0" w:color="auto"/>
              <w:right w:val="single" w:sz="4" w:space="0" w:color="auto"/>
            </w:tcBorders>
            <w:hideMark/>
          </w:tcPr>
          <w:p w14:paraId="53C7A897" w14:textId="77777777" w:rsidR="00C14C6F" w:rsidRDefault="00C14C6F">
            <w:pPr>
              <w:pStyle w:val="PlainText"/>
              <w:jc w:val="center"/>
              <w:rPr>
                <w:rFonts w:ascii="Times New Roman" w:hAnsi="Times New Roman" w:cs="Times New Roman"/>
                <w:sz w:val="20"/>
                <w:szCs w:val="20"/>
              </w:rPr>
            </w:pPr>
            <w:r>
              <w:rPr>
                <w:rFonts w:ascii="Times New Roman" w:hAnsi="Times New Roman" w:cs="Times New Roman"/>
                <w:sz w:val="20"/>
                <w:szCs w:val="20"/>
              </w:rPr>
              <w:t>GEO</w:t>
            </w:r>
          </w:p>
        </w:tc>
        <w:tc>
          <w:tcPr>
            <w:tcW w:w="2254" w:type="dxa"/>
            <w:tcBorders>
              <w:top w:val="single" w:sz="4" w:space="0" w:color="auto"/>
              <w:left w:val="single" w:sz="4" w:space="0" w:color="auto"/>
              <w:bottom w:val="single" w:sz="4" w:space="0" w:color="auto"/>
              <w:right w:val="single" w:sz="4" w:space="0" w:color="auto"/>
            </w:tcBorders>
            <w:hideMark/>
          </w:tcPr>
          <w:p w14:paraId="2D9B9547" w14:textId="77777777" w:rsidR="00C14C6F" w:rsidRDefault="00C14C6F">
            <w:pPr>
              <w:pStyle w:val="PlainText"/>
              <w:jc w:val="center"/>
              <w:rPr>
                <w:rFonts w:ascii="Times New Roman" w:hAnsi="Times New Roman" w:cs="Times New Roman"/>
                <w:sz w:val="20"/>
                <w:szCs w:val="20"/>
              </w:rPr>
            </w:pPr>
            <w:r>
              <w:rPr>
                <w:rFonts w:ascii="Times New Roman" w:hAnsi="Times New Roman" w:cs="Times New Roman"/>
                <w:sz w:val="20"/>
                <w:szCs w:val="20"/>
              </w:rPr>
              <w:t>20.7</w:t>
            </w:r>
          </w:p>
        </w:tc>
      </w:tr>
    </w:tbl>
    <w:p w14:paraId="7AF58B5C" w14:textId="77777777" w:rsidR="00C14C6F" w:rsidRDefault="00C14C6F" w:rsidP="00082DCF">
      <w:r>
        <w:t>Details of the calculation of results in Table 2 are given in Annex A.</w:t>
      </w:r>
    </w:p>
    <w:p w14:paraId="745B7CAA" w14:textId="366FB1B0" w:rsidR="00C14C6F" w:rsidRDefault="00C14C6F" w:rsidP="00082DCF">
      <w:r>
        <w:t>Naturally, interference from an aggregation of IMT base stations would exceed the protection criterion by a very large amount. Table 3 below summarizes the results of interference analysis carried out in the studies under this agenda item, using parameters and assumptions contained in ITU-R Recommendation M.2101 and Report M.2292.</w:t>
      </w:r>
    </w:p>
    <w:p w14:paraId="76007BC2" w14:textId="77777777" w:rsidR="00003AED" w:rsidRDefault="00003AED" w:rsidP="00082DCF"/>
    <w:p w14:paraId="157CC2FB" w14:textId="0B98C4FB" w:rsidR="00C14C6F" w:rsidRDefault="00C14C6F" w:rsidP="00C14C6F">
      <w:pPr>
        <w:pStyle w:val="Tabletitle"/>
        <w:rPr>
          <w:rFonts w:ascii="Times New Roman" w:hAnsi="Times New Roman"/>
          <w:b w:val="0"/>
          <w:szCs w:val="24"/>
        </w:rPr>
      </w:pPr>
      <w:r>
        <w:t>Table 3: Aggregate IMT base station interference into different satellites systems</w:t>
      </w:r>
    </w:p>
    <w:tbl>
      <w:tblPr>
        <w:tblStyle w:val="TableGrid"/>
        <w:tblW w:w="0" w:type="auto"/>
        <w:jc w:val="center"/>
        <w:tblInd w:w="0" w:type="dxa"/>
        <w:tblLook w:val="04A0" w:firstRow="1" w:lastRow="0" w:firstColumn="1" w:lastColumn="0" w:noHBand="0" w:noVBand="1"/>
      </w:tblPr>
      <w:tblGrid>
        <w:gridCol w:w="2689"/>
        <w:gridCol w:w="1819"/>
        <w:gridCol w:w="2254"/>
      </w:tblGrid>
      <w:tr w:rsidR="00C14C6F" w14:paraId="378E1299" w14:textId="77777777" w:rsidTr="00C14C6F">
        <w:trPr>
          <w:jc w:val="center"/>
        </w:trPr>
        <w:tc>
          <w:tcPr>
            <w:tcW w:w="2689" w:type="dxa"/>
            <w:tcBorders>
              <w:top w:val="single" w:sz="4" w:space="0" w:color="auto"/>
              <w:left w:val="single" w:sz="4" w:space="0" w:color="auto"/>
              <w:bottom w:val="single" w:sz="4" w:space="0" w:color="auto"/>
              <w:right w:val="single" w:sz="4" w:space="0" w:color="auto"/>
            </w:tcBorders>
            <w:hideMark/>
          </w:tcPr>
          <w:p w14:paraId="6E50D43F" w14:textId="77777777" w:rsidR="00C14C6F" w:rsidRDefault="00C14C6F">
            <w:pPr>
              <w:pStyle w:val="PlainText"/>
              <w:jc w:val="center"/>
              <w:rPr>
                <w:rFonts w:ascii="Times New Roman" w:hAnsi="Times New Roman" w:cs="Times New Roman"/>
                <w:b/>
                <w:sz w:val="20"/>
                <w:szCs w:val="20"/>
              </w:rPr>
            </w:pPr>
            <w:r>
              <w:rPr>
                <w:rFonts w:ascii="Times New Roman" w:hAnsi="Times New Roman" w:cs="Times New Roman"/>
                <w:b/>
                <w:sz w:val="20"/>
                <w:szCs w:val="20"/>
              </w:rPr>
              <w:t>Interferer</w:t>
            </w:r>
          </w:p>
        </w:tc>
        <w:tc>
          <w:tcPr>
            <w:tcW w:w="1819" w:type="dxa"/>
            <w:tcBorders>
              <w:top w:val="single" w:sz="4" w:space="0" w:color="auto"/>
              <w:left w:val="single" w:sz="4" w:space="0" w:color="auto"/>
              <w:bottom w:val="single" w:sz="4" w:space="0" w:color="auto"/>
              <w:right w:val="single" w:sz="4" w:space="0" w:color="auto"/>
            </w:tcBorders>
            <w:hideMark/>
          </w:tcPr>
          <w:p w14:paraId="2DEB7684" w14:textId="77777777" w:rsidR="00C14C6F" w:rsidRDefault="00C14C6F">
            <w:pPr>
              <w:pStyle w:val="PlainText"/>
              <w:jc w:val="center"/>
              <w:rPr>
                <w:rFonts w:ascii="Times New Roman" w:hAnsi="Times New Roman" w:cs="Times New Roman"/>
                <w:b/>
                <w:sz w:val="20"/>
                <w:szCs w:val="20"/>
              </w:rPr>
            </w:pPr>
            <w:r>
              <w:rPr>
                <w:rFonts w:ascii="Times New Roman" w:hAnsi="Times New Roman" w:cs="Times New Roman"/>
                <w:b/>
                <w:sz w:val="20"/>
                <w:szCs w:val="20"/>
              </w:rPr>
              <w:t>Satellite Type</w:t>
            </w:r>
          </w:p>
        </w:tc>
        <w:tc>
          <w:tcPr>
            <w:tcW w:w="2254" w:type="dxa"/>
            <w:tcBorders>
              <w:top w:val="single" w:sz="4" w:space="0" w:color="auto"/>
              <w:left w:val="single" w:sz="4" w:space="0" w:color="auto"/>
              <w:bottom w:val="single" w:sz="4" w:space="0" w:color="auto"/>
              <w:right w:val="single" w:sz="4" w:space="0" w:color="auto"/>
            </w:tcBorders>
            <w:hideMark/>
          </w:tcPr>
          <w:p w14:paraId="3D2E62B8" w14:textId="77777777" w:rsidR="00C14C6F" w:rsidRDefault="00C14C6F">
            <w:pPr>
              <w:pStyle w:val="PlainText"/>
              <w:jc w:val="center"/>
              <w:rPr>
                <w:rFonts w:ascii="Times New Roman" w:hAnsi="Times New Roman" w:cs="Times New Roman"/>
                <w:b/>
                <w:sz w:val="20"/>
                <w:szCs w:val="20"/>
              </w:rPr>
            </w:pPr>
            <w:r>
              <w:rPr>
                <w:rFonts w:ascii="Times New Roman" w:hAnsi="Times New Roman" w:cs="Times New Roman"/>
                <w:b/>
                <w:sz w:val="20"/>
                <w:szCs w:val="20"/>
              </w:rPr>
              <w:t>Exceedance Level (dB)</w:t>
            </w:r>
          </w:p>
        </w:tc>
      </w:tr>
      <w:tr w:rsidR="00C14C6F" w14:paraId="533DF03D" w14:textId="77777777" w:rsidTr="00C14C6F">
        <w:trPr>
          <w:jc w:val="center"/>
        </w:trPr>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606C44AE" w14:textId="77777777" w:rsidR="00C14C6F" w:rsidRDefault="00C14C6F">
            <w:pPr>
              <w:pStyle w:val="PlainText"/>
              <w:rPr>
                <w:rFonts w:ascii="Times New Roman" w:hAnsi="Times New Roman" w:cs="Times New Roman"/>
                <w:sz w:val="20"/>
                <w:szCs w:val="20"/>
              </w:rPr>
            </w:pPr>
            <w:r>
              <w:rPr>
                <w:rFonts w:ascii="Times New Roman" w:hAnsi="Times New Roman" w:cs="Times New Roman"/>
                <w:sz w:val="20"/>
                <w:szCs w:val="20"/>
              </w:rPr>
              <w:t xml:space="preserve">Multiple IMT base stations </w:t>
            </w:r>
          </w:p>
        </w:tc>
        <w:tc>
          <w:tcPr>
            <w:tcW w:w="1819" w:type="dxa"/>
            <w:tcBorders>
              <w:top w:val="single" w:sz="4" w:space="0" w:color="auto"/>
              <w:left w:val="single" w:sz="4" w:space="0" w:color="auto"/>
              <w:bottom w:val="single" w:sz="4" w:space="0" w:color="auto"/>
              <w:right w:val="single" w:sz="4" w:space="0" w:color="auto"/>
            </w:tcBorders>
            <w:hideMark/>
          </w:tcPr>
          <w:p w14:paraId="3493C3E5" w14:textId="77777777" w:rsidR="00C14C6F" w:rsidRDefault="00C14C6F">
            <w:pPr>
              <w:pStyle w:val="PlainText"/>
              <w:jc w:val="center"/>
              <w:rPr>
                <w:rFonts w:ascii="Times New Roman" w:hAnsi="Times New Roman" w:cs="Times New Roman"/>
                <w:sz w:val="20"/>
                <w:szCs w:val="20"/>
              </w:rPr>
            </w:pPr>
            <w:r>
              <w:rPr>
                <w:rFonts w:ascii="Times New Roman" w:hAnsi="Times New Roman" w:cs="Times New Roman"/>
                <w:sz w:val="20"/>
                <w:szCs w:val="20"/>
              </w:rPr>
              <w:t>LEO</w:t>
            </w:r>
          </w:p>
        </w:tc>
        <w:tc>
          <w:tcPr>
            <w:tcW w:w="2254" w:type="dxa"/>
            <w:tcBorders>
              <w:top w:val="single" w:sz="4" w:space="0" w:color="auto"/>
              <w:left w:val="single" w:sz="4" w:space="0" w:color="auto"/>
              <w:bottom w:val="single" w:sz="4" w:space="0" w:color="auto"/>
              <w:right w:val="single" w:sz="4" w:space="0" w:color="auto"/>
            </w:tcBorders>
            <w:hideMark/>
          </w:tcPr>
          <w:p w14:paraId="23CEE543" w14:textId="77777777" w:rsidR="00C14C6F" w:rsidRDefault="00C14C6F">
            <w:pPr>
              <w:pStyle w:val="PlainText"/>
              <w:jc w:val="center"/>
              <w:rPr>
                <w:rFonts w:ascii="Times New Roman" w:hAnsi="Times New Roman" w:cs="Times New Roman"/>
                <w:sz w:val="20"/>
                <w:szCs w:val="20"/>
              </w:rPr>
            </w:pPr>
            <w:r>
              <w:rPr>
                <w:rFonts w:ascii="Times New Roman" w:hAnsi="Times New Roman" w:cs="Times New Roman"/>
                <w:sz w:val="20"/>
                <w:szCs w:val="20"/>
              </w:rPr>
              <w:t>39.5</w:t>
            </w:r>
          </w:p>
        </w:tc>
      </w:tr>
      <w:tr w:rsidR="00C14C6F" w14:paraId="598A5A56" w14:textId="77777777" w:rsidTr="00C14C6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363725" w14:textId="77777777" w:rsidR="00C14C6F" w:rsidRDefault="00C14C6F">
            <w:pPr>
              <w:tabs>
                <w:tab w:val="clear" w:pos="1134"/>
                <w:tab w:val="clear" w:pos="1871"/>
                <w:tab w:val="clear" w:pos="2268"/>
              </w:tabs>
              <w:overflowPunct/>
              <w:autoSpaceDE/>
              <w:autoSpaceDN/>
              <w:adjustRightInd/>
              <w:spacing w:before="0"/>
              <w:rPr>
                <w:rFonts w:cs="Times New Roman"/>
                <w:sz w:val="20"/>
                <w:szCs w:val="20"/>
              </w:rPr>
            </w:pPr>
          </w:p>
        </w:tc>
        <w:tc>
          <w:tcPr>
            <w:tcW w:w="1819" w:type="dxa"/>
            <w:tcBorders>
              <w:top w:val="single" w:sz="4" w:space="0" w:color="auto"/>
              <w:left w:val="single" w:sz="4" w:space="0" w:color="auto"/>
              <w:bottom w:val="single" w:sz="4" w:space="0" w:color="auto"/>
              <w:right w:val="single" w:sz="4" w:space="0" w:color="auto"/>
            </w:tcBorders>
            <w:hideMark/>
          </w:tcPr>
          <w:p w14:paraId="5CEE37E5" w14:textId="77777777" w:rsidR="00C14C6F" w:rsidRDefault="00C14C6F">
            <w:pPr>
              <w:pStyle w:val="PlainText"/>
              <w:jc w:val="center"/>
              <w:rPr>
                <w:rFonts w:ascii="Times New Roman" w:hAnsi="Times New Roman" w:cs="Times New Roman"/>
                <w:sz w:val="20"/>
                <w:szCs w:val="20"/>
              </w:rPr>
            </w:pPr>
            <w:r>
              <w:rPr>
                <w:rFonts w:ascii="Times New Roman" w:hAnsi="Times New Roman" w:cs="Times New Roman"/>
                <w:sz w:val="20"/>
                <w:szCs w:val="20"/>
              </w:rPr>
              <w:t>MEO</w:t>
            </w:r>
          </w:p>
        </w:tc>
        <w:tc>
          <w:tcPr>
            <w:tcW w:w="2254" w:type="dxa"/>
            <w:tcBorders>
              <w:top w:val="single" w:sz="4" w:space="0" w:color="auto"/>
              <w:left w:val="single" w:sz="4" w:space="0" w:color="auto"/>
              <w:bottom w:val="single" w:sz="4" w:space="0" w:color="auto"/>
              <w:right w:val="single" w:sz="4" w:space="0" w:color="auto"/>
            </w:tcBorders>
            <w:hideMark/>
          </w:tcPr>
          <w:p w14:paraId="39E32189" w14:textId="77777777" w:rsidR="00C14C6F" w:rsidRDefault="00C14C6F">
            <w:pPr>
              <w:pStyle w:val="PlainText"/>
              <w:jc w:val="center"/>
              <w:rPr>
                <w:rFonts w:ascii="Times New Roman" w:hAnsi="Times New Roman" w:cs="Times New Roman"/>
                <w:sz w:val="20"/>
                <w:szCs w:val="20"/>
              </w:rPr>
            </w:pPr>
            <w:r>
              <w:rPr>
                <w:rFonts w:ascii="Times New Roman" w:hAnsi="Times New Roman" w:cs="Times New Roman"/>
                <w:sz w:val="20"/>
                <w:szCs w:val="20"/>
              </w:rPr>
              <w:t>37.2</w:t>
            </w:r>
          </w:p>
        </w:tc>
      </w:tr>
      <w:tr w:rsidR="00C14C6F" w14:paraId="2E0C5C07" w14:textId="77777777" w:rsidTr="00C14C6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B87FB8" w14:textId="77777777" w:rsidR="00C14C6F" w:rsidRDefault="00C14C6F">
            <w:pPr>
              <w:tabs>
                <w:tab w:val="clear" w:pos="1134"/>
                <w:tab w:val="clear" w:pos="1871"/>
                <w:tab w:val="clear" w:pos="2268"/>
              </w:tabs>
              <w:overflowPunct/>
              <w:autoSpaceDE/>
              <w:autoSpaceDN/>
              <w:adjustRightInd/>
              <w:spacing w:before="0"/>
              <w:rPr>
                <w:rFonts w:cs="Times New Roman"/>
                <w:sz w:val="20"/>
                <w:szCs w:val="20"/>
              </w:rPr>
            </w:pPr>
          </w:p>
        </w:tc>
        <w:tc>
          <w:tcPr>
            <w:tcW w:w="1819" w:type="dxa"/>
            <w:tcBorders>
              <w:top w:val="single" w:sz="4" w:space="0" w:color="auto"/>
              <w:left w:val="single" w:sz="4" w:space="0" w:color="auto"/>
              <w:bottom w:val="single" w:sz="4" w:space="0" w:color="auto"/>
              <w:right w:val="single" w:sz="4" w:space="0" w:color="auto"/>
            </w:tcBorders>
            <w:hideMark/>
          </w:tcPr>
          <w:p w14:paraId="60086D97" w14:textId="77777777" w:rsidR="00C14C6F" w:rsidRDefault="00C14C6F">
            <w:pPr>
              <w:pStyle w:val="PlainText"/>
              <w:jc w:val="center"/>
              <w:rPr>
                <w:rFonts w:ascii="Times New Roman" w:hAnsi="Times New Roman" w:cs="Times New Roman"/>
                <w:sz w:val="20"/>
                <w:szCs w:val="20"/>
              </w:rPr>
            </w:pPr>
            <w:r>
              <w:rPr>
                <w:rFonts w:ascii="Times New Roman" w:hAnsi="Times New Roman" w:cs="Times New Roman"/>
                <w:sz w:val="20"/>
                <w:szCs w:val="20"/>
              </w:rPr>
              <w:t>HEO</w:t>
            </w:r>
          </w:p>
        </w:tc>
        <w:tc>
          <w:tcPr>
            <w:tcW w:w="2254" w:type="dxa"/>
            <w:tcBorders>
              <w:top w:val="single" w:sz="4" w:space="0" w:color="auto"/>
              <w:left w:val="single" w:sz="4" w:space="0" w:color="auto"/>
              <w:bottom w:val="single" w:sz="4" w:space="0" w:color="auto"/>
              <w:right w:val="single" w:sz="4" w:space="0" w:color="auto"/>
            </w:tcBorders>
            <w:hideMark/>
          </w:tcPr>
          <w:p w14:paraId="3E611917" w14:textId="77777777" w:rsidR="00C14C6F" w:rsidRDefault="00C14C6F">
            <w:pPr>
              <w:pStyle w:val="PlainText"/>
              <w:jc w:val="center"/>
              <w:rPr>
                <w:rFonts w:ascii="Times New Roman" w:hAnsi="Times New Roman" w:cs="Times New Roman"/>
                <w:sz w:val="20"/>
                <w:szCs w:val="20"/>
              </w:rPr>
            </w:pPr>
            <w:r>
              <w:rPr>
                <w:rFonts w:ascii="Times New Roman" w:hAnsi="Times New Roman" w:cs="Times New Roman"/>
                <w:sz w:val="20"/>
                <w:szCs w:val="20"/>
              </w:rPr>
              <w:t>48.0</w:t>
            </w:r>
          </w:p>
        </w:tc>
      </w:tr>
      <w:tr w:rsidR="00C14C6F" w14:paraId="5970BA0E" w14:textId="77777777" w:rsidTr="00C14C6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3335C3" w14:textId="77777777" w:rsidR="00C14C6F" w:rsidRDefault="00C14C6F">
            <w:pPr>
              <w:tabs>
                <w:tab w:val="clear" w:pos="1134"/>
                <w:tab w:val="clear" w:pos="1871"/>
                <w:tab w:val="clear" w:pos="2268"/>
              </w:tabs>
              <w:overflowPunct/>
              <w:autoSpaceDE/>
              <w:autoSpaceDN/>
              <w:adjustRightInd/>
              <w:spacing w:before="0"/>
              <w:rPr>
                <w:rFonts w:cs="Times New Roman"/>
                <w:sz w:val="20"/>
                <w:szCs w:val="20"/>
              </w:rPr>
            </w:pPr>
          </w:p>
        </w:tc>
        <w:tc>
          <w:tcPr>
            <w:tcW w:w="1819" w:type="dxa"/>
            <w:tcBorders>
              <w:top w:val="single" w:sz="4" w:space="0" w:color="auto"/>
              <w:left w:val="single" w:sz="4" w:space="0" w:color="auto"/>
              <w:bottom w:val="single" w:sz="4" w:space="0" w:color="auto"/>
              <w:right w:val="single" w:sz="4" w:space="0" w:color="auto"/>
            </w:tcBorders>
            <w:hideMark/>
          </w:tcPr>
          <w:p w14:paraId="66A23CAD" w14:textId="77777777" w:rsidR="00C14C6F" w:rsidRDefault="00C14C6F">
            <w:pPr>
              <w:pStyle w:val="PlainText"/>
              <w:jc w:val="center"/>
              <w:rPr>
                <w:rFonts w:ascii="Times New Roman" w:hAnsi="Times New Roman" w:cs="Times New Roman"/>
                <w:sz w:val="20"/>
                <w:szCs w:val="20"/>
              </w:rPr>
            </w:pPr>
            <w:r>
              <w:rPr>
                <w:rFonts w:ascii="Times New Roman" w:hAnsi="Times New Roman" w:cs="Times New Roman"/>
                <w:sz w:val="20"/>
                <w:szCs w:val="20"/>
              </w:rPr>
              <w:t>GEO</w:t>
            </w:r>
          </w:p>
        </w:tc>
        <w:tc>
          <w:tcPr>
            <w:tcW w:w="2254" w:type="dxa"/>
            <w:tcBorders>
              <w:top w:val="single" w:sz="4" w:space="0" w:color="auto"/>
              <w:left w:val="single" w:sz="4" w:space="0" w:color="auto"/>
              <w:bottom w:val="single" w:sz="4" w:space="0" w:color="auto"/>
              <w:right w:val="single" w:sz="4" w:space="0" w:color="auto"/>
            </w:tcBorders>
            <w:hideMark/>
          </w:tcPr>
          <w:p w14:paraId="78FE9395" w14:textId="77777777" w:rsidR="00C14C6F" w:rsidRDefault="00C14C6F">
            <w:pPr>
              <w:pStyle w:val="PlainText"/>
              <w:jc w:val="center"/>
              <w:rPr>
                <w:rFonts w:ascii="Times New Roman" w:hAnsi="Times New Roman" w:cs="Times New Roman"/>
                <w:sz w:val="20"/>
                <w:szCs w:val="20"/>
              </w:rPr>
            </w:pPr>
            <w:r>
              <w:rPr>
                <w:rFonts w:ascii="Times New Roman" w:hAnsi="Times New Roman" w:cs="Times New Roman"/>
                <w:sz w:val="20"/>
                <w:szCs w:val="20"/>
              </w:rPr>
              <w:t>52.2</w:t>
            </w:r>
          </w:p>
        </w:tc>
      </w:tr>
    </w:tbl>
    <w:p w14:paraId="64691B36" w14:textId="77777777" w:rsidR="00C14C6F" w:rsidRDefault="00C14C6F" w:rsidP="00082DCF">
      <w:r>
        <w:t xml:space="preserve">For such high levels of exceedance of the MSS systems protection criteria, no effective mitigation measures have been identified that can eliminate interference through coordination. Excessive interference can occur when the countries using terrestrial IMT and satellite IMT share a border </w:t>
      </w:r>
      <w:proofErr w:type="gramStart"/>
      <w:r>
        <w:t>and also</w:t>
      </w:r>
      <w:proofErr w:type="gramEnd"/>
      <w:r>
        <w:t xml:space="preserve"> when they are geographically separated by thousands of kilometres.</w:t>
      </w:r>
    </w:p>
    <w:p w14:paraId="23C6C53A" w14:textId="77777777" w:rsidR="00C14C6F" w:rsidRDefault="00C14C6F" w:rsidP="00082DCF">
      <w:r>
        <w:t>Interference into the MSS from aggregate UEs (maximum UE EIRP of 20 dBm/5 MHz) was shown to be benign.</w:t>
      </w:r>
    </w:p>
    <w:p w14:paraId="1B890C07" w14:textId="77777777" w:rsidR="00C14C6F" w:rsidRDefault="00C14C6F" w:rsidP="00C14C6F">
      <w:pPr>
        <w:pStyle w:val="PlainText"/>
        <w:rPr>
          <w:rFonts w:ascii="Times New Roman" w:hAnsi="Times New Roman" w:cs="Times New Roman"/>
          <w:sz w:val="24"/>
          <w:szCs w:val="24"/>
        </w:rPr>
      </w:pPr>
    </w:p>
    <w:p w14:paraId="739F26BB" w14:textId="0F31142C" w:rsidR="00C14C6F" w:rsidRDefault="00C14C6F" w:rsidP="00C14C6F">
      <w:pPr>
        <w:pStyle w:val="Heading1"/>
        <w:rPr>
          <w:rFonts w:eastAsiaTheme="minorEastAsia"/>
        </w:rPr>
      </w:pPr>
      <w:r>
        <w:rPr>
          <w:rFonts w:eastAsiaTheme="minorEastAsia"/>
        </w:rPr>
        <w:lastRenderedPageBreak/>
        <w:t>3</w:t>
      </w:r>
      <w:r>
        <w:rPr>
          <w:rFonts w:eastAsiaTheme="minorEastAsia"/>
        </w:rPr>
        <w:tab/>
        <w:t>Interference from IMT base stations is real - as demonstrated by actual interference cases</w:t>
      </w:r>
    </w:p>
    <w:p w14:paraId="2F81643E" w14:textId="77777777" w:rsidR="00C14C6F" w:rsidRDefault="00C14C6F" w:rsidP="00082DCF">
      <w:r>
        <w:t>Measurements of interference have been carried out by one MSS operator using an in-orbit MEO satellite operating in the 2 GHz MSS bands. A summary of the measured interference levels is shown in Table 4.</w:t>
      </w:r>
    </w:p>
    <w:p w14:paraId="11EF5C91" w14:textId="77777777" w:rsidR="00C14C6F" w:rsidRDefault="00C14C6F" w:rsidP="00C14C6F">
      <w:pPr>
        <w:pStyle w:val="PlainText"/>
        <w:rPr>
          <w:rFonts w:ascii="Times New Roman" w:hAnsi="Times New Roman" w:cs="Times New Roman"/>
          <w:sz w:val="24"/>
          <w:szCs w:val="24"/>
          <w:highlight w:val="yellow"/>
        </w:rPr>
      </w:pPr>
    </w:p>
    <w:p w14:paraId="26BEE970" w14:textId="7EC97C44" w:rsidR="00C14C6F" w:rsidRDefault="00C14C6F" w:rsidP="00C14C6F">
      <w:pPr>
        <w:pStyle w:val="Tabletitle"/>
        <w:rPr>
          <w:rFonts w:ascii="Times New Roman" w:hAnsi="Times New Roman"/>
          <w:b w:val="0"/>
          <w:szCs w:val="24"/>
        </w:rPr>
      </w:pPr>
      <w:r>
        <w:t>Table 4: Interference levels measured by an operational MEO satellite</w:t>
      </w:r>
    </w:p>
    <w:tbl>
      <w:tblPr>
        <w:tblStyle w:val="TableGrid"/>
        <w:tblW w:w="0" w:type="auto"/>
        <w:jc w:val="center"/>
        <w:tblInd w:w="0" w:type="dxa"/>
        <w:tblLook w:val="04A0" w:firstRow="1" w:lastRow="0" w:firstColumn="1" w:lastColumn="0" w:noHBand="0" w:noVBand="1"/>
      </w:tblPr>
      <w:tblGrid>
        <w:gridCol w:w="2334"/>
        <w:gridCol w:w="2628"/>
        <w:gridCol w:w="2693"/>
      </w:tblGrid>
      <w:tr w:rsidR="00C14C6F" w14:paraId="5475B8D0" w14:textId="77777777" w:rsidTr="00C14C6F">
        <w:trPr>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050E4176" w14:textId="77777777" w:rsidR="00C14C6F" w:rsidRDefault="00C14C6F">
            <w:pPr>
              <w:pStyle w:val="PlainText"/>
              <w:jc w:val="center"/>
              <w:rPr>
                <w:rFonts w:ascii="Times New Roman" w:hAnsi="Times New Roman" w:cs="Times New Roman"/>
                <w:b/>
                <w:sz w:val="20"/>
                <w:szCs w:val="20"/>
              </w:rPr>
            </w:pPr>
            <w:r>
              <w:rPr>
                <w:rFonts w:ascii="Times New Roman" w:hAnsi="Times New Roman" w:cs="Times New Roman"/>
                <w:b/>
                <w:sz w:val="20"/>
                <w:szCs w:val="20"/>
              </w:rPr>
              <w:t>Spotbeam Location</w:t>
            </w:r>
          </w:p>
        </w:tc>
        <w:tc>
          <w:tcPr>
            <w:tcW w:w="2628" w:type="dxa"/>
            <w:tcBorders>
              <w:top w:val="single" w:sz="4" w:space="0" w:color="auto"/>
              <w:left w:val="single" w:sz="4" w:space="0" w:color="auto"/>
              <w:bottom w:val="single" w:sz="4" w:space="0" w:color="auto"/>
              <w:right w:val="single" w:sz="4" w:space="0" w:color="auto"/>
            </w:tcBorders>
            <w:vAlign w:val="center"/>
            <w:hideMark/>
          </w:tcPr>
          <w:p w14:paraId="0EF20232" w14:textId="77777777" w:rsidR="00C14C6F" w:rsidRDefault="00C14C6F">
            <w:pPr>
              <w:pStyle w:val="PlainText"/>
              <w:jc w:val="center"/>
              <w:rPr>
                <w:rFonts w:ascii="Times New Roman" w:hAnsi="Times New Roman" w:cs="Times New Roman"/>
                <w:b/>
                <w:sz w:val="20"/>
                <w:szCs w:val="20"/>
              </w:rPr>
            </w:pPr>
            <w:r>
              <w:rPr>
                <w:rFonts w:ascii="Times New Roman" w:hAnsi="Times New Roman" w:cs="Times New Roman"/>
                <w:b/>
                <w:sz w:val="20"/>
                <w:szCs w:val="20"/>
              </w:rPr>
              <w:t>Distance from IMT Deployment (km)</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54ADFB9" w14:textId="77777777" w:rsidR="00C14C6F" w:rsidRDefault="00C14C6F">
            <w:pPr>
              <w:pStyle w:val="PlainText"/>
              <w:jc w:val="center"/>
              <w:rPr>
                <w:rFonts w:ascii="Times New Roman" w:hAnsi="Times New Roman" w:cs="Times New Roman"/>
                <w:b/>
                <w:sz w:val="20"/>
                <w:szCs w:val="20"/>
              </w:rPr>
            </w:pPr>
            <w:r>
              <w:rPr>
                <w:rFonts w:ascii="Times New Roman" w:hAnsi="Times New Roman" w:cs="Times New Roman"/>
                <w:b/>
                <w:sz w:val="20"/>
                <w:szCs w:val="20"/>
              </w:rPr>
              <w:t>Exceedance Level (dB)</w:t>
            </w:r>
          </w:p>
        </w:tc>
      </w:tr>
      <w:tr w:rsidR="00C14C6F" w14:paraId="52054DE9" w14:textId="77777777" w:rsidTr="00C14C6F">
        <w:trPr>
          <w:jc w:val="center"/>
        </w:trPr>
        <w:tc>
          <w:tcPr>
            <w:tcW w:w="2334" w:type="dxa"/>
            <w:tcBorders>
              <w:top w:val="single" w:sz="4" w:space="0" w:color="auto"/>
              <w:left w:val="single" w:sz="4" w:space="0" w:color="auto"/>
              <w:bottom w:val="single" w:sz="4" w:space="0" w:color="auto"/>
              <w:right w:val="single" w:sz="4" w:space="0" w:color="auto"/>
            </w:tcBorders>
            <w:hideMark/>
          </w:tcPr>
          <w:p w14:paraId="433FE019" w14:textId="77777777" w:rsidR="00C14C6F" w:rsidRDefault="00C14C6F">
            <w:pPr>
              <w:pStyle w:val="PlainText"/>
              <w:jc w:val="center"/>
              <w:rPr>
                <w:rFonts w:ascii="Times New Roman" w:hAnsi="Times New Roman" w:cs="Times New Roman"/>
                <w:sz w:val="20"/>
                <w:szCs w:val="20"/>
              </w:rPr>
            </w:pPr>
            <w:r>
              <w:rPr>
                <w:rFonts w:ascii="Times New Roman" w:hAnsi="Times New Roman" w:cs="Times New Roman"/>
                <w:sz w:val="20"/>
                <w:szCs w:val="20"/>
              </w:rPr>
              <w:t>Mexico</w:t>
            </w:r>
          </w:p>
        </w:tc>
        <w:tc>
          <w:tcPr>
            <w:tcW w:w="2628" w:type="dxa"/>
            <w:tcBorders>
              <w:top w:val="single" w:sz="4" w:space="0" w:color="auto"/>
              <w:left w:val="single" w:sz="4" w:space="0" w:color="auto"/>
              <w:bottom w:val="single" w:sz="4" w:space="0" w:color="auto"/>
              <w:right w:val="single" w:sz="4" w:space="0" w:color="auto"/>
            </w:tcBorders>
            <w:hideMark/>
          </w:tcPr>
          <w:p w14:paraId="04850570" w14:textId="77777777" w:rsidR="00C14C6F" w:rsidRDefault="00C14C6F">
            <w:pPr>
              <w:pStyle w:val="PlainText"/>
              <w:jc w:val="center"/>
              <w:rPr>
                <w:rFonts w:ascii="Times New Roman" w:hAnsi="Times New Roman" w:cs="Times New Roman"/>
                <w:sz w:val="20"/>
                <w:szCs w:val="20"/>
              </w:rPr>
            </w:pPr>
            <w:r>
              <w:rPr>
                <w:rFonts w:ascii="Times New Roman" w:hAnsi="Times New Roman" w:cs="Times New Roman"/>
                <w:sz w:val="20"/>
                <w:szCs w:val="20"/>
              </w:rPr>
              <w:t>200 km</w:t>
            </w:r>
          </w:p>
        </w:tc>
        <w:tc>
          <w:tcPr>
            <w:tcW w:w="2693" w:type="dxa"/>
            <w:tcBorders>
              <w:top w:val="single" w:sz="4" w:space="0" w:color="auto"/>
              <w:left w:val="single" w:sz="4" w:space="0" w:color="auto"/>
              <w:bottom w:val="single" w:sz="4" w:space="0" w:color="auto"/>
              <w:right w:val="single" w:sz="4" w:space="0" w:color="auto"/>
            </w:tcBorders>
            <w:hideMark/>
          </w:tcPr>
          <w:p w14:paraId="7E2E51CE" w14:textId="77777777" w:rsidR="00C14C6F" w:rsidRDefault="00C14C6F">
            <w:pPr>
              <w:pStyle w:val="PlainText"/>
              <w:jc w:val="center"/>
              <w:rPr>
                <w:rFonts w:ascii="Times New Roman" w:hAnsi="Times New Roman" w:cs="Times New Roman"/>
                <w:sz w:val="20"/>
                <w:szCs w:val="20"/>
              </w:rPr>
            </w:pPr>
            <w:r>
              <w:rPr>
                <w:rFonts w:ascii="Times New Roman" w:hAnsi="Times New Roman" w:cs="Times New Roman"/>
                <w:sz w:val="20"/>
                <w:szCs w:val="20"/>
              </w:rPr>
              <w:t>36.0</w:t>
            </w:r>
          </w:p>
        </w:tc>
      </w:tr>
      <w:tr w:rsidR="00C14C6F" w14:paraId="54347116" w14:textId="77777777" w:rsidTr="00C14C6F">
        <w:trPr>
          <w:jc w:val="center"/>
        </w:trPr>
        <w:tc>
          <w:tcPr>
            <w:tcW w:w="2334" w:type="dxa"/>
            <w:tcBorders>
              <w:top w:val="single" w:sz="4" w:space="0" w:color="auto"/>
              <w:left w:val="single" w:sz="4" w:space="0" w:color="auto"/>
              <w:bottom w:val="single" w:sz="4" w:space="0" w:color="auto"/>
              <w:right w:val="single" w:sz="4" w:space="0" w:color="auto"/>
            </w:tcBorders>
            <w:hideMark/>
          </w:tcPr>
          <w:p w14:paraId="308ACA13" w14:textId="77777777" w:rsidR="00C14C6F" w:rsidRDefault="00C14C6F">
            <w:pPr>
              <w:pStyle w:val="PlainText"/>
              <w:jc w:val="center"/>
              <w:rPr>
                <w:rFonts w:ascii="Times New Roman" w:hAnsi="Times New Roman" w:cs="Times New Roman"/>
                <w:sz w:val="20"/>
                <w:szCs w:val="20"/>
              </w:rPr>
            </w:pPr>
            <w:r>
              <w:rPr>
                <w:rFonts w:ascii="Times New Roman" w:hAnsi="Times New Roman" w:cs="Times New Roman"/>
                <w:sz w:val="20"/>
                <w:szCs w:val="20"/>
              </w:rPr>
              <w:t>West Africa</w:t>
            </w:r>
          </w:p>
        </w:tc>
        <w:tc>
          <w:tcPr>
            <w:tcW w:w="2628" w:type="dxa"/>
            <w:tcBorders>
              <w:top w:val="single" w:sz="4" w:space="0" w:color="auto"/>
              <w:left w:val="single" w:sz="4" w:space="0" w:color="auto"/>
              <w:bottom w:val="single" w:sz="4" w:space="0" w:color="auto"/>
              <w:right w:val="single" w:sz="4" w:space="0" w:color="auto"/>
            </w:tcBorders>
            <w:hideMark/>
          </w:tcPr>
          <w:p w14:paraId="5776F9FE" w14:textId="77777777" w:rsidR="00C14C6F" w:rsidRDefault="00C14C6F">
            <w:pPr>
              <w:pStyle w:val="PlainText"/>
              <w:jc w:val="center"/>
              <w:rPr>
                <w:rFonts w:ascii="Times New Roman" w:hAnsi="Times New Roman" w:cs="Times New Roman"/>
                <w:sz w:val="20"/>
                <w:szCs w:val="20"/>
              </w:rPr>
            </w:pPr>
            <w:r>
              <w:rPr>
                <w:rFonts w:ascii="Times New Roman" w:hAnsi="Times New Roman" w:cs="Times New Roman"/>
                <w:sz w:val="20"/>
                <w:szCs w:val="20"/>
              </w:rPr>
              <w:t xml:space="preserve">6 000 km </w:t>
            </w:r>
          </w:p>
        </w:tc>
        <w:tc>
          <w:tcPr>
            <w:tcW w:w="2693" w:type="dxa"/>
            <w:tcBorders>
              <w:top w:val="single" w:sz="4" w:space="0" w:color="auto"/>
              <w:left w:val="single" w:sz="4" w:space="0" w:color="auto"/>
              <w:bottom w:val="single" w:sz="4" w:space="0" w:color="auto"/>
              <w:right w:val="single" w:sz="4" w:space="0" w:color="auto"/>
            </w:tcBorders>
            <w:hideMark/>
          </w:tcPr>
          <w:p w14:paraId="0A615CDE" w14:textId="77777777" w:rsidR="00C14C6F" w:rsidRDefault="00C14C6F">
            <w:pPr>
              <w:pStyle w:val="PlainText"/>
              <w:jc w:val="center"/>
              <w:rPr>
                <w:rFonts w:ascii="Times New Roman" w:hAnsi="Times New Roman" w:cs="Times New Roman"/>
                <w:sz w:val="20"/>
                <w:szCs w:val="20"/>
              </w:rPr>
            </w:pPr>
            <w:r>
              <w:rPr>
                <w:rFonts w:ascii="Times New Roman" w:hAnsi="Times New Roman" w:cs="Times New Roman"/>
                <w:sz w:val="20"/>
                <w:szCs w:val="20"/>
              </w:rPr>
              <w:t>20.7</w:t>
            </w:r>
          </w:p>
        </w:tc>
      </w:tr>
      <w:tr w:rsidR="00C14C6F" w14:paraId="021A377B" w14:textId="77777777" w:rsidTr="00C14C6F">
        <w:trPr>
          <w:jc w:val="center"/>
        </w:trPr>
        <w:tc>
          <w:tcPr>
            <w:tcW w:w="2334" w:type="dxa"/>
            <w:tcBorders>
              <w:top w:val="single" w:sz="4" w:space="0" w:color="auto"/>
              <w:left w:val="single" w:sz="4" w:space="0" w:color="auto"/>
              <w:bottom w:val="single" w:sz="4" w:space="0" w:color="auto"/>
              <w:right w:val="single" w:sz="4" w:space="0" w:color="auto"/>
            </w:tcBorders>
            <w:hideMark/>
          </w:tcPr>
          <w:p w14:paraId="7AE33AEC" w14:textId="77777777" w:rsidR="00C14C6F" w:rsidRDefault="00C14C6F">
            <w:pPr>
              <w:pStyle w:val="PlainText"/>
              <w:jc w:val="center"/>
              <w:rPr>
                <w:rFonts w:ascii="Times New Roman" w:hAnsi="Times New Roman" w:cs="Times New Roman"/>
                <w:sz w:val="20"/>
                <w:szCs w:val="20"/>
              </w:rPr>
            </w:pPr>
            <w:r>
              <w:rPr>
                <w:rFonts w:ascii="Times New Roman" w:hAnsi="Times New Roman" w:cs="Times New Roman"/>
                <w:sz w:val="20"/>
                <w:szCs w:val="20"/>
              </w:rPr>
              <w:t>United Kingdom</w:t>
            </w:r>
          </w:p>
        </w:tc>
        <w:tc>
          <w:tcPr>
            <w:tcW w:w="2628" w:type="dxa"/>
            <w:tcBorders>
              <w:top w:val="single" w:sz="4" w:space="0" w:color="auto"/>
              <w:left w:val="single" w:sz="4" w:space="0" w:color="auto"/>
              <w:bottom w:val="single" w:sz="4" w:space="0" w:color="auto"/>
              <w:right w:val="single" w:sz="4" w:space="0" w:color="auto"/>
            </w:tcBorders>
            <w:hideMark/>
          </w:tcPr>
          <w:p w14:paraId="7A585915" w14:textId="77777777" w:rsidR="00C14C6F" w:rsidRDefault="00C14C6F">
            <w:pPr>
              <w:pStyle w:val="PlainText"/>
              <w:jc w:val="center"/>
              <w:rPr>
                <w:rFonts w:ascii="Times New Roman" w:hAnsi="Times New Roman" w:cs="Times New Roman"/>
                <w:sz w:val="20"/>
                <w:szCs w:val="20"/>
              </w:rPr>
            </w:pPr>
            <w:r>
              <w:rPr>
                <w:rFonts w:ascii="Times New Roman" w:hAnsi="Times New Roman" w:cs="Times New Roman"/>
                <w:sz w:val="20"/>
                <w:szCs w:val="20"/>
              </w:rPr>
              <w:t>5 000 km</w:t>
            </w:r>
          </w:p>
        </w:tc>
        <w:tc>
          <w:tcPr>
            <w:tcW w:w="2693" w:type="dxa"/>
            <w:tcBorders>
              <w:top w:val="single" w:sz="4" w:space="0" w:color="auto"/>
              <w:left w:val="single" w:sz="4" w:space="0" w:color="auto"/>
              <w:bottom w:val="single" w:sz="4" w:space="0" w:color="auto"/>
              <w:right w:val="single" w:sz="4" w:space="0" w:color="auto"/>
            </w:tcBorders>
            <w:hideMark/>
          </w:tcPr>
          <w:p w14:paraId="2A5E6375" w14:textId="77777777" w:rsidR="00C14C6F" w:rsidRDefault="00C14C6F">
            <w:pPr>
              <w:pStyle w:val="PlainText"/>
              <w:jc w:val="center"/>
              <w:rPr>
                <w:rFonts w:ascii="Times New Roman" w:hAnsi="Times New Roman" w:cs="Times New Roman"/>
                <w:sz w:val="20"/>
                <w:szCs w:val="20"/>
              </w:rPr>
            </w:pPr>
            <w:r>
              <w:rPr>
                <w:rFonts w:ascii="Times New Roman" w:hAnsi="Times New Roman" w:cs="Times New Roman"/>
                <w:sz w:val="20"/>
                <w:szCs w:val="20"/>
              </w:rPr>
              <w:t>23.6</w:t>
            </w:r>
          </w:p>
        </w:tc>
      </w:tr>
      <w:tr w:rsidR="00C14C6F" w14:paraId="583FDD0D" w14:textId="77777777" w:rsidTr="00C14C6F">
        <w:trPr>
          <w:jc w:val="center"/>
        </w:trPr>
        <w:tc>
          <w:tcPr>
            <w:tcW w:w="2334" w:type="dxa"/>
            <w:tcBorders>
              <w:top w:val="single" w:sz="4" w:space="0" w:color="auto"/>
              <w:left w:val="single" w:sz="4" w:space="0" w:color="auto"/>
              <w:bottom w:val="single" w:sz="4" w:space="0" w:color="auto"/>
              <w:right w:val="single" w:sz="4" w:space="0" w:color="auto"/>
            </w:tcBorders>
            <w:hideMark/>
          </w:tcPr>
          <w:p w14:paraId="42CF1119" w14:textId="77777777" w:rsidR="00C14C6F" w:rsidRDefault="00C14C6F">
            <w:pPr>
              <w:pStyle w:val="PlainText"/>
              <w:jc w:val="center"/>
              <w:rPr>
                <w:rFonts w:ascii="Times New Roman" w:hAnsi="Times New Roman" w:cs="Times New Roman"/>
                <w:sz w:val="20"/>
                <w:szCs w:val="20"/>
              </w:rPr>
            </w:pPr>
            <w:r>
              <w:rPr>
                <w:rFonts w:ascii="Times New Roman" w:hAnsi="Times New Roman" w:cs="Times New Roman"/>
                <w:sz w:val="20"/>
                <w:szCs w:val="20"/>
              </w:rPr>
              <w:t>Papua New Guinea</w:t>
            </w:r>
          </w:p>
        </w:tc>
        <w:tc>
          <w:tcPr>
            <w:tcW w:w="2628" w:type="dxa"/>
            <w:tcBorders>
              <w:top w:val="single" w:sz="4" w:space="0" w:color="auto"/>
              <w:left w:val="single" w:sz="4" w:space="0" w:color="auto"/>
              <w:bottom w:val="single" w:sz="4" w:space="0" w:color="auto"/>
              <w:right w:val="single" w:sz="4" w:space="0" w:color="auto"/>
            </w:tcBorders>
            <w:hideMark/>
          </w:tcPr>
          <w:p w14:paraId="1CCFB465" w14:textId="77777777" w:rsidR="00C14C6F" w:rsidRDefault="00C14C6F">
            <w:pPr>
              <w:pStyle w:val="PlainText"/>
              <w:jc w:val="center"/>
              <w:rPr>
                <w:rFonts w:ascii="Times New Roman" w:hAnsi="Times New Roman" w:cs="Times New Roman"/>
                <w:sz w:val="20"/>
                <w:szCs w:val="20"/>
              </w:rPr>
            </w:pPr>
            <w:r>
              <w:rPr>
                <w:rFonts w:ascii="Times New Roman" w:hAnsi="Times New Roman" w:cs="Times New Roman"/>
                <w:sz w:val="20"/>
                <w:szCs w:val="20"/>
              </w:rPr>
              <w:t>10 000 km</w:t>
            </w:r>
          </w:p>
        </w:tc>
        <w:tc>
          <w:tcPr>
            <w:tcW w:w="2693" w:type="dxa"/>
            <w:tcBorders>
              <w:top w:val="single" w:sz="4" w:space="0" w:color="auto"/>
              <w:left w:val="single" w:sz="4" w:space="0" w:color="auto"/>
              <w:bottom w:val="single" w:sz="4" w:space="0" w:color="auto"/>
              <w:right w:val="single" w:sz="4" w:space="0" w:color="auto"/>
            </w:tcBorders>
            <w:hideMark/>
          </w:tcPr>
          <w:p w14:paraId="674835AB" w14:textId="77777777" w:rsidR="00C14C6F" w:rsidRDefault="00C14C6F">
            <w:pPr>
              <w:pStyle w:val="PlainText"/>
              <w:jc w:val="center"/>
              <w:rPr>
                <w:rFonts w:ascii="Times New Roman" w:hAnsi="Times New Roman" w:cs="Times New Roman"/>
                <w:sz w:val="20"/>
                <w:szCs w:val="20"/>
              </w:rPr>
            </w:pPr>
            <w:r>
              <w:rPr>
                <w:rFonts w:ascii="Times New Roman" w:hAnsi="Times New Roman" w:cs="Times New Roman"/>
                <w:sz w:val="20"/>
                <w:szCs w:val="20"/>
              </w:rPr>
              <w:t>26.7</w:t>
            </w:r>
          </w:p>
        </w:tc>
      </w:tr>
    </w:tbl>
    <w:p w14:paraId="77962A45" w14:textId="77777777" w:rsidR="00C14C6F" w:rsidRDefault="00C14C6F" w:rsidP="00082DCF">
      <w:r>
        <w:t>As indicated in Table 4 above, the aggregate interference from an actual terrestrial IMT deployment has been shown to exceed the interference protection criterion of an operational IMT satellite by several orders of magnitude for sampled spotbeams that collectively span much of the Earth’s surface. Additional material on spectrum measurements is provided in Annex B.</w:t>
      </w:r>
    </w:p>
    <w:p w14:paraId="0233B481" w14:textId="77777777" w:rsidR="00C14C6F" w:rsidRDefault="00C14C6F" w:rsidP="00082DCF">
      <w:r>
        <w:t xml:space="preserve">In a separate case, interference to a UK notified MSS satellite operating in the band 1 980-2 010 MHz has been reported to the ITU Bureau under the RR Article 15 procedures.  </w:t>
      </w:r>
    </w:p>
    <w:p w14:paraId="6BEA1A70" w14:textId="68DFA496" w:rsidR="00C14C6F" w:rsidRDefault="00C14C6F" w:rsidP="00C14C6F">
      <w:pPr>
        <w:pStyle w:val="Heading1"/>
        <w:rPr>
          <w:rFonts w:eastAsiaTheme="minorEastAsia"/>
        </w:rPr>
      </w:pPr>
      <w:r>
        <w:rPr>
          <w:rFonts w:eastAsiaTheme="minorEastAsia"/>
        </w:rPr>
        <w:t>4</w:t>
      </w:r>
      <w:r>
        <w:rPr>
          <w:rFonts w:eastAsiaTheme="minorEastAsia"/>
        </w:rPr>
        <w:tab/>
        <w:t>Possible measures to ensure coexistence between IMT base stations and IMT satellites</w:t>
      </w:r>
    </w:p>
    <w:p w14:paraId="5494A6E3" w14:textId="314726F6" w:rsidR="00C14C6F" w:rsidRDefault="00C14C6F" w:rsidP="00082DCF">
      <w:r>
        <w:t xml:space="preserve">One measure to ensure coexistence between IMT base stations and IMT satellites is a proposal to place an </w:t>
      </w:r>
      <w:proofErr w:type="spellStart"/>
      <w:r>
        <w:t>e.i.r.p</w:t>
      </w:r>
      <w:proofErr w:type="spellEnd"/>
      <w:r>
        <w:t xml:space="preserve">. limit on mobile base stations operating in the band 1 980-2 010 </w:t>
      </w:r>
      <w:proofErr w:type="spellStart"/>
      <w:r>
        <w:t>MHz.</w:t>
      </w:r>
      <w:proofErr w:type="spellEnd"/>
      <w:r>
        <w:t xml:space="preserve"> An alternative operational measure (in lieu of the </w:t>
      </w:r>
      <w:proofErr w:type="spellStart"/>
      <w:r>
        <w:t>e.i.r.p</w:t>
      </w:r>
      <w:proofErr w:type="spellEnd"/>
      <w:r>
        <w:t xml:space="preserve"> limit above) that ensures coexistence would be to follow a frequency arrangement that uses the band 1 980-2 010 MHz for the UE transmit, and the band 2 170-2 200 MHz for base station transmit.</w:t>
      </w:r>
    </w:p>
    <w:p w14:paraId="65D33A50" w14:textId="77777777" w:rsidR="00C14C6F" w:rsidRDefault="00C14C6F" w:rsidP="00082DCF">
      <w:r>
        <w:t>Recommendation ITU-R M.1036-5 includes several recommended frequency arrangements, including “B6” and “B7”. Arrangement “B6” would be a natural supplemental arrangement for those administrations that have already implemented IMT in the bands 1 920-1 980 MHz and 2 110-2 170 MHz using the “B1” frequencies arrangement</w:t>
      </w:r>
      <w:r>
        <w:rPr>
          <w:rStyle w:val="FootnoteReference"/>
          <w:szCs w:val="24"/>
        </w:rPr>
        <w:footnoteReference w:id="1"/>
      </w:r>
      <w:r>
        <w:t>.</w:t>
      </w:r>
    </w:p>
    <w:p w14:paraId="51F945AB" w14:textId="5494A292" w:rsidR="00C14C6F" w:rsidRDefault="00C14C6F" w:rsidP="00003AED">
      <w:pPr>
        <w:pStyle w:val="Heading1"/>
      </w:pPr>
      <w:r>
        <w:t>5</w:t>
      </w:r>
      <w:r>
        <w:tab/>
        <w:t>Conclusion</w:t>
      </w:r>
    </w:p>
    <w:p w14:paraId="10CC2E62" w14:textId="77777777" w:rsidR="00C14C6F" w:rsidRDefault="00C14C6F" w:rsidP="00082DCF">
      <w:r>
        <w:t>ITU-R studies have shown that IMT satellites receive very high levels of interference when the band 1 980-2 010 MHz is used by transmitters of terrestrial IMT base stations. The very high level of interference poses an existential problem for satellite receivers in the band 1 980-2 010 MHz when this band is used for terrestrial IMT and satellite IMT in different countries.</w:t>
      </w:r>
    </w:p>
    <w:p w14:paraId="041C20B9" w14:textId="77777777" w:rsidR="00C14C6F" w:rsidRDefault="00C14C6F" w:rsidP="00082DCF">
      <w:r>
        <w:t xml:space="preserve">The theoretical studies have been validated by actual interference measurements, which show that harmful interference occurs today in large segments of the 1 980-2 010 MHz band. Amendments to the Radio Regulations are therefore necessary for the band 1 980-2 010 MHz in order to prevent this band being rendered unusable by the MSS.  </w:t>
      </w:r>
    </w:p>
    <w:p w14:paraId="462018BF" w14:textId="77777777" w:rsidR="00C14C6F" w:rsidRDefault="00C14C6F" w:rsidP="00082DCF">
      <w:r>
        <w:lastRenderedPageBreak/>
        <w:t xml:space="preserve">The introduction of power limits for terrestrial IMT base stations as proposed or alternatively an operational measure limiting the use of the frequency band 1 980-2 010 MHz by the terrestrial component of IMT to transmissions from user equipment to base stations would provide adequate protection to IMT satellites and also ensure the coexistence of terrestrial and MSS IMT operations. The proposed solutions would also allow administrations to deploy terrestrial IMT, if they so wish, in a manner compatible with MSS operations and consistent with the co-primary status of the two services.  </w:t>
      </w:r>
    </w:p>
    <w:p w14:paraId="5862326C" w14:textId="77777777" w:rsidR="00C14C6F" w:rsidRDefault="00C14C6F" w:rsidP="00C14C6F">
      <w:pPr>
        <w:rPr>
          <w:szCs w:val="24"/>
        </w:rPr>
      </w:pPr>
    </w:p>
    <w:p w14:paraId="4A354DAC" w14:textId="77777777" w:rsidR="00C14C6F" w:rsidRDefault="00C14C6F" w:rsidP="00C14C6F">
      <w:pPr>
        <w:rPr>
          <w:szCs w:val="24"/>
        </w:rPr>
      </w:pPr>
    </w:p>
    <w:p w14:paraId="79F1A3A9" w14:textId="77777777" w:rsidR="00C14C6F" w:rsidRDefault="00C14C6F" w:rsidP="00C14C6F">
      <w:pPr>
        <w:rPr>
          <w:szCs w:val="24"/>
        </w:rPr>
      </w:pPr>
      <w:r>
        <w:rPr>
          <w:szCs w:val="24"/>
        </w:rPr>
        <w:br w:type="page"/>
      </w:r>
    </w:p>
    <w:p w14:paraId="462084FA" w14:textId="77777777" w:rsidR="00C14C6F" w:rsidRDefault="00C14C6F" w:rsidP="00C14C6F">
      <w:pPr>
        <w:pStyle w:val="AnnexNo"/>
      </w:pPr>
      <w:r>
        <w:lastRenderedPageBreak/>
        <w:t>Annex A</w:t>
      </w:r>
    </w:p>
    <w:p w14:paraId="689A4AF3" w14:textId="77777777" w:rsidR="00C14C6F" w:rsidRDefault="00C14C6F" w:rsidP="00C14C6F">
      <w:pPr>
        <w:pStyle w:val="Annextitle"/>
      </w:pPr>
      <w:r>
        <w:t>Calculation of interference from a single IMT base station to an MSS satellite</w:t>
      </w:r>
    </w:p>
    <w:p w14:paraId="023A4E35" w14:textId="77777777" w:rsidR="00C14C6F" w:rsidRDefault="00C14C6F" w:rsidP="00C14C6F">
      <w:pPr>
        <w:jc w:val="both"/>
        <w:rPr>
          <w:szCs w:val="24"/>
        </w:rPr>
      </w:pPr>
      <w:r>
        <w:rPr>
          <w:szCs w:val="24"/>
        </w:rPr>
        <w:t>Table A1 shows the detail of the calculation of interference from a single base station to an MSS satellite, under the assumption that the IMT base station and the MSS service area are different countries.</w:t>
      </w:r>
    </w:p>
    <w:p w14:paraId="11D6F962" w14:textId="77777777" w:rsidR="00C14C6F" w:rsidRDefault="00C14C6F" w:rsidP="00C14C6F">
      <w:pPr>
        <w:pStyle w:val="Tabletitle"/>
      </w:pPr>
      <w:r>
        <w:t>Table A1: A single IMT base station interference into different satellites systems</w:t>
      </w:r>
    </w:p>
    <w:tbl>
      <w:tblPr>
        <w:tblW w:w="0" w:type="auto"/>
        <w:jc w:val="center"/>
        <w:tblCellMar>
          <w:left w:w="28" w:type="dxa"/>
          <w:right w:w="28" w:type="dxa"/>
        </w:tblCellMar>
        <w:tblLook w:val="04A0" w:firstRow="1" w:lastRow="0" w:firstColumn="1" w:lastColumn="0" w:noHBand="0" w:noVBand="1"/>
      </w:tblPr>
      <w:tblGrid>
        <w:gridCol w:w="2825"/>
        <w:gridCol w:w="1560"/>
        <w:gridCol w:w="1559"/>
        <w:gridCol w:w="1417"/>
        <w:gridCol w:w="1524"/>
        <w:gridCol w:w="734"/>
      </w:tblGrid>
      <w:tr w:rsidR="00C14C6F" w14:paraId="113C3626" w14:textId="77777777" w:rsidTr="00C14C6F">
        <w:trPr>
          <w:trHeight w:val="501"/>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7F29EBEF" w14:textId="77777777" w:rsidR="00C14C6F" w:rsidRDefault="00C14C6F">
            <w:pPr>
              <w:spacing w:before="0"/>
              <w:jc w:val="center"/>
              <w:rPr>
                <w:b/>
                <w:bCs/>
                <w:color w:val="000000"/>
                <w:sz w:val="20"/>
                <w:lang w:val="en-US" w:eastAsia="en-GB"/>
              </w:rPr>
            </w:pPr>
            <w:r>
              <w:rPr>
                <w:b/>
                <w:bCs/>
                <w:color w:val="000000"/>
                <w:sz w:val="20"/>
                <w:lang w:val="en-US" w:eastAsia="en-GB"/>
              </w:rPr>
              <w:t>Parameter</w:t>
            </w:r>
          </w:p>
        </w:tc>
        <w:tc>
          <w:tcPr>
            <w:tcW w:w="1560" w:type="dxa"/>
            <w:tcBorders>
              <w:top w:val="single" w:sz="8" w:space="0" w:color="auto"/>
              <w:left w:val="nil"/>
              <w:bottom w:val="single" w:sz="8" w:space="0" w:color="auto"/>
              <w:right w:val="single" w:sz="8" w:space="0" w:color="auto"/>
            </w:tcBorders>
            <w:vAlign w:val="center"/>
            <w:hideMark/>
          </w:tcPr>
          <w:p w14:paraId="064D1DAC" w14:textId="77777777" w:rsidR="00C14C6F" w:rsidRDefault="00C14C6F">
            <w:pPr>
              <w:spacing w:before="0"/>
              <w:jc w:val="center"/>
              <w:rPr>
                <w:b/>
                <w:bCs/>
                <w:color w:val="000000"/>
                <w:sz w:val="20"/>
                <w:lang w:val="en-US" w:eastAsia="en-GB"/>
              </w:rPr>
            </w:pPr>
            <w:r>
              <w:rPr>
                <w:b/>
                <w:bCs/>
                <w:color w:val="000000"/>
                <w:sz w:val="20"/>
                <w:lang w:val="en-US" w:eastAsia="en-GB"/>
              </w:rPr>
              <w:t>BS to GEO</w:t>
            </w:r>
          </w:p>
        </w:tc>
        <w:tc>
          <w:tcPr>
            <w:tcW w:w="1559" w:type="dxa"/>
            <w:tcBorders>
              <w:top w:val="single" w:sz="8" w:space="0" w:color="auto"/>
              <w:left w:val="nil"/>
              <w:bottom w:val="single" w:sz="8" w:space="0" w:color="auto"/>
              <w:right w:val="single" w:sz="8" w:space="0" w:color="auto"/>
            </w:tcBorders>
            <w:vAlign w:val="center"/>
            <w:hideMark/>
          </w:tcPr>
          <w:p w14:paraId="57780E0C" w14:textId="77777777" w:rsidR="00C14C6F" w:rsidRDefault="00C14C6F">
            <w:pPr>
              <w:spacing w:before="0"/>
              <w:jc w:val="center"/>
              <w:rPr>
                <w:b/>
                <w:bCs/>
                <w:color w:val="000000"/>
                <w:sz w:val="20"/>
                <w:lang w:val="en-US" w:eastAsia="en-GB"/>
              </w:rPr>
            </w:pPr>
            <w:r>
              <w:rPr>
                <w:b/>
                <w:bCs/>
                <w:color w:val="000000"/>
                <w:sz w:val="20"/>
                <w:lang w:val="en-US" w:eastAsia="en-GB"/>
              </w:rPr>
              <w:t>BS to LEO</w:t>
            </w:r>
          </w:p>
        </w:tc>
        <w:tc>
          <w:tcPr>
            <w:tcW w:w="1417" w:type="dxa"/>
            <w:tcBorders>
              <w:top w:val="single" w:sz="8" w:space="0" w:color="auto"/>
              <w:left w:val="nil"/>
              <w:bottom w:val="single" w:sz="8" w:space="0" w:color="auto"/>
              <w:right w:val="single" w:sz="8" w:space="0" w:color="auto"/>
            </w:tcBorders>
            <w:vAlign w:val="center"/>
            <w:hideMark/>
          </w:tcPr>
          <w:p w14:paraId="33BFD5E6" w14:textId="77777777" w:rsidR="00C14C6F" w:rsidRDefault="00C14C6F">
            <w:pPr>
              <w:spacing w:before="0"/>
              <w:jc w:val="center"/>
              <w:rPr>
                <w:b/>
                <w:bCs/>
                <w:color w:val="000000"/>
                <w:sz w:val="20"/>
                <w:lang w:val="en-US" w:eastAsia="en-GB"/>
              </w:rPr>
            </w:pPr>
            <w:r>
              <w:rPr>
                <w:b/>
                <w:bCs/>
                <w:color w:val="000000"/>
                <w:sz w:val="20"/>
                <w:lang w:val="en-US" w:eastAsia="en-GB"/>
              </w:rPr>
              <w:t>BS to HEO</w:t>
            </w:r>
          </w:p>
        </w:tc>
        <w:tc>
          <w:tcPr>
            <w:tcW w:w="1524" w:type="dxa"/>
            <w:tcBorders>
              <w:top w:val="single" w:sz="8" w:space="0" w:color="auto"/>
              <w:left w:val="nil"/>
              <w:bottom w:val="single" w:sz="8" w:space="0" w:color="auto"/>
              <w:right w:val="single" w:sz="8" w:space="0" w:color="auto"/>
            </w:tcBorders>
            <w:vAlign w:val="center"/>
            <w:hideMark/>
          </w:tcPr>
          <w:p w14:paraId="617DB5D7" w14:textId="77777777" w:rsidR="00C14C6F" w:rsidRDefault="00C14C6F">
            <w:pPr>
              <w:spacing w:before="0"/>
              <w:jc w:val="center"/>
              <w:rPr>
                <w:b/>
                <w:bCs/>
                <w:color w:val="000000"/>
                <w:sz w:val="20"/>
                <w:highlight w:val="yellow"/>
                <w:lang w:val="en-US" w:eastAsia="en-GB"/>
              </w:rPr>
            </w:pPr>
            <w:r>
              <w:rPr>
                <w:b/>
                <w:bCs/>
                <w:color w:val="000000"/>
                <w:sz w:val="20"/>
                <w:lang w:val="en-US" w:eastAsia="en-GB"/>
              </w:rPr>
              <w:t>BS to MEO</w:t>
            </w:r>
          </w:p>
        </w:tc>
        <w:tc>
          <w:tcPr>
            <w:tcW w:w="0" w:type="auto"/>
            <w:tcBorders>
              <w:top w:val="single" w:sz="8" w:space="0" w:color="auto"/>
              <w:left w:val="nil"/>
              <w:bottom w:val="single" w:sz="8" w:space="0" w:color="auto"/>
              <w:right w:val="single" w:sz="8" w:space="0" w:color="auto"/>
            </w:tcBorders>
            <w:vAlign w:val="center"/>
            <w:hideMark/>
          </w:tcPr>
          <w:p w14:paraId="2EB5D86A" w14:textId="77777777" w:rsidR="00C14C6F" w:rsidRDefault="00C14C6F">
            <w:pPr>
              <w:spacing w:before="0"/>
              <w:jc w:val="center"/>
              <w:rPr>
                <w:b/>
                <w:bCs/>
                <w:color w:val="000000"/>
                <w:sz w:val="20"/>
                <w:lang w:val="en-US" w:eastAsia="en-GB"/>
              </w:rPr>
            </w:pPr>
            <w:r>
              <w:rPr>
                <w:b/>
                <w:bCs/>
                <w:color w:val="000000"/>
                <w:sz w:val="20"/>
                <w:lang w:val="en-US" w:eastAsia="en-GB"/>
              </w:rPr>
              <w:t>Units</w:t>
            </w:r>
          </w:p>
        </w:tc>
      </w:tr>
      <w:tr w:rsidR="00C14C6F" w14:paraId="4F0025EF" w14:textId="77777777" w:rsidTr="00C14C6F">
        <w:trPr>
          <w:trHeight w:val="501"/>
          <w:jc w:val="center"/>
        </w:trPr>
        <w:tc>
          <w:tcPr>
            <w:tcW w:w="2825" w:type="dxa"/>
            <w:tcBorders>
              <w:top w:val="nil"/>
              <w:left w:val="single" w:sz="8" w:space="0" w:color="auto"/>
              <w:bottom w:val="single" w:sz="8" w:space="0" w:color="auto"/>
              <w:right w:val="single" w:sz="8" w:space="0" w:color="auto"/>
            </w:tcBorders>
            <w:vAlign w:val="center"/>
            <w:hideMark/>
          </w:tcPr>
          <w:p w14:paraId="4DF608E6" w14:textId="77777777" w:rsidR="00C14C6F" w:rsidRDefault="00C14C6F">
            <w:pPr>
              <w:spacing w:before="0"/>
              <w:rPr>
                <w:color w:val="000000"/>
                <w:sz w:val="20"/>
                <w:lang w:val="en-US" w:eastAsia="en-GB"/>
              </w:rPr>
            </w:pPr>
            <w:r>
              <w:rPr>
                <w:color w:val="000000"/>
                <w:sz w:val="20"/>
                <w:lang w:val="en-US" w:eastAsia="zh-CN"/>
              </w:rPr>
              <w:t>Centre frequency</w:t>
            </w:r>
          </w:p>
        </w:tc>
        <w:tc>
          <w:tcPr>
            <w:tcW w:w="1560" w:type="dxa"/>
            <w:tcBorders>
              <w:top w:val="nil"/>
              <w:left w:val="nil"/>
              <w:bottom w:val="single" w:sz="8" w:space="0" w:color="auto"/>
              <w:right w:val="single" w:sz="8" w:space="0" w:color="auto"/>
            </w:tcBorders>
            <w:vAlign w:val="center"/>
            <w:hideMark/>
          </w:tcPr>
          <w:p w14:paraId="72C04920" w14:textId="77777777" w:rsidR="00C14C6F" w:rsidRDefault="00C14C6F">
            <w:pPr>
              <w:spacing w:before="0"/>
              <w:jc w:val="center"/>
              <w:rPr>
                <w:color w:val="000000"/>
                <w:sz w:val="20"/>
                <w:lang w:val="en-US" w:eastAsia="en-GB"/>
              </w:rPr>
            </w:pPr>
            <w:r>
              <w:rPr>
                <w:color w:val="000000"/>
                <w:sz w:val="20"/>
                <w:lang w:val="en-US" w:eastAsia="zh-CN"/>
              </w:rPr>
              <w:t>1 995</w:t>
            </w:r>
          </w:p>
        </w:tc>
        <w:tc>
          <w:tcPr>
            <w:tcW w:w="1559" w:type="dxa"/>
            <w:tcBorders>
              <w:top w:val="nil"/>
              <w:left w:val="nil"/>
              <w:bottom w:val="single" w:sz="8" w:space="0" w:color="auto"/>
              <w:right w:val="single" w:sz="8" w:space="0" w:color="auto"/>
            </w:tcBorders>
            <w:vAlign w:val="center"/>
            <w:hideMark/>
          </w:tcPr>
          <w:p w14:paraId="55C24E34" w14:textId="77777777" w:rsidR="00C14C6F" w:rsidRDefault="00C14C6F">
            <w:pPr>
              <w:spacing w:before="0"/>
              <w:jc w:val="center"/>
              <w:rPr>
                <w:color w:val="000000"/>
                <w:sz w:val="20"/>
                <w:lang w:val="en-US" w:eastAsia="en-GB"/>
              </w:rPr>
            </w:pPr>
            <w:r>
              <w:rPr>
                <w:color w:val="000000"/>
                <w:sz w:val="20"/>
                <w:lang w:val="en-US" w:eastAsia="en-GB"/>
              </w:rPr>
              <w:t>1 995</w:t>
            </w:r>
          </w:p>
        </w:tc>
        <w:tc>
          <w:tcPr>
            <w:tcW w:w="1417" w:type="dxa"/>
            <w:tcBorders>
              <w:top w:val="nil"/>
              <w:left w:val="nil"/>
              <w:bottom w:val="single" w:sz="8" w:space="0" w:color="auto"/>
              <w:right w:val="single" w:sz="8" w:space="0" w:color="auto"/>
            </w:tcBorders>
            <w:vAlign w:val="center"/>
            <w:hideMark/>
          </w:tcPr>
          <w:p w14:paraId="1A3F0B37" w14:textId="330102D3" w:rsidR="00C14C6F" w:rsidRDefault="00C14C6F">
            <w:pPr>
              <w:spacing w:before="0"/>
              <w:jc w:val="center"/>
              <w:rPr>
                <w:color w:val="000000"/>
                <w:sz w:val="20"/>
                <w:lang w:val="en-US" w:eastAsia="en-GB"/>
              </w:rPr>
            </w:pPr>
            <w:r>
              <w:rPr>
                <w:sz w:val="20"/>
                <w:lang w:val="en-US"/>
              </w:rPr>
              <w:t>1</w:t>
            </w:r>
            <w:r w:rsidR="00207DAE">
              <w:rPr>
                <w:sz w:val="20"/>
                <w:lang w:val="en-US"/>
              </w:rPr>
              <w:t> </w:t>
            </w:r>
            <w:r>
              <w:rPr>
                <w:sz w:val="20"/>
                <w:lang w:val="en-US"/>
              </w:rPr>
              <w:t>995</w:t>
            </w:r>
          </w:p>
        </w:tc>
        <w:tc>
          <w:tcPr>
            <w:tcW w:w="1524" w:type="dxa"/>
            <w:tcBorders>
              <w:top w:val="nil"/>
              <w:left w:val="nil"/>
              <w:bottom w:val="single" w:sz="8" w:space="0" w:color="auto"/>
              <w:right w:val="single" w:sz="8" w:space="0" w:color="auto"/>
            </w:tcBorders>
            <w:vAlign w:val="center"/>
            <w:hideMark/>
          </w:tcPr>
          <w:p w14:paraId="7F9E0D26" w14:textId="590EC377" w:rsidR="00C14C6F" w:rsidRDefault="00C14C6F">
            <w:pPr>
              <w:spacing w:before="0"/>
              <w:jc w:val="center"/>
              <w:rPr>
                <w:color w:val="000000"/>
                <w:sz w:val="20"/>
                <w:lang w:val="en-US" w:eastAsia="en-GB"/>
              </w:rPr>
            </w:pPr>
            <w:r>
              <w:rPr>
                <w:color w:val="000000"/>
                <w:sz w:val="20"/>
                <w:lang w:val="en-US" w:eastAsia="zh-CN"/>
              </w:rPr>
              <w:t>1</w:t>
            </w:r>
            <w:r w:rsidR="00207DAE">
              <w:rPr>
                <w:color w:val="000000"/>
                <w:sz w:val="20"/>
                <w:lang w:val="en-US" w:eastAsia="zh-CN"/>
              </w:rPr>
              <w:t> </w:t>
            </w:r>
            <w:r>
              <w:rPr>
                <w:color w:val="000000"/>
                <w:sz w:val="20"/>
                <w:lang w:val="en-US" w:eastAsia="zh-CN"/>
              </w:rPr>
              <w:t>995</w:t>
            </w:r>
          </w:p>
        </w:tc>
        <w:tc>
          <w:tcPr>
            <w:tcW w:w="0" w:type="auto"/>
            <w:tcBorders>
              <w:top w:val="nil"/>
              <w:left w:val="nil"/>
              <w:bottom w:val="single" w:sz="8" w:space="0" w:color="auto"/>
              <w:right w:val="single" w:sz="8" w:space="0" w:color="auto"/>
            </w:tcBorders>
            <w:vAlign w:val="center"/>
            <w:hideMark/>
          </w:tcPr>
          <w:p w14:paraId="6D6B78A4" w14:textId="77777777" w:rsidR="00C14C6F" w:rsidRDefault="00C14C6F">
            <w:pPr>
              <w:spacing w:before="0"/>
              <w:jc w:val="center"/>
              <w:rPr>
                <w:color w:val="000000"/>
                <w:sz w:val="20"/>
                <w:lang w:val="en-US" w:eastAsia="en-GB"/>
              </w:rPr>
            </w:pPr>
            <w:r>
              <w:rPr>
                <w:color w:val="000000"/>
                <w:sz w:val="20"/>
                <w:lang w:val="en-US" w:eastAsia="zh-CN"/>
              </w:rPr>
              <w:t>MHz</w:t>
            </w:r>
          </w:p>
        </w:tc>
      </w:tr>
      <w:tr w:rsidR="00C14C6F" w14:paraId="6E10DD2A" w14:textId="77777777" w:rsidTr="00C14C6F">
        <w:trPr>
          <w:trHeight w:val="501"/>
          <w:jc w:val="center"/>
        </w:trPr>
        <w:tc>
          <w:tcPr>
            <w:tcW w:w="2825" w:type="dxa"/>
            <w:tcBorders>
              <w:top w:val="nil"/>
              <w:left w:val="single" w:sz="8" w:space="0" w:color="auto"/>
              <w:bottom w:val="single" w:sz="8" w:space="0" w:color="auto"/>
              <w:right w:val="single" w:sz="8" w:space="0" w:color="auto"/>
            </w:tcBorders>
            <w:vAlign w:val="center"/>
            <w:hideMark/>
          </w:tcPr>
          <w:p w14:paraId="53BC337D" w14:textId="77777777" w:rsidR="00C14C6F" w:rsidRDefault="00C14C6F">
            <w:pPr>
              <w:spacing w:before="0"/>
              <w:rPr>
                <w:color w:val="000000"/>
                <w:sz w:val="20"/>
                <w:lang w:val="en-US" w:eastAsia="en-GB"/>
              </w:rPr>
            </w:pPr>
            <w:r>
              <w:rPr>
                <w:color w:val="000000"/>
                <w:sz w:val="20"/>
                <w:lang w:val="en-US" w:eastAsia="zh-CN"/>
              </w:rPr>
              <w:t>Distance from satellite to BS</w:t>
            </w:r>
          </w:p>
        </w:tc>
        <w:tc>
          <w:tcPr>
            <w:tcW w:w="1560" w:type="dxa"/>
            <w:tcBorders>
              <w:top w:val="nil"/>
              <w:left w:val="nil"/>
              <w:bottom w:val="single" w:sz="8" w:space="0" w:color="auto"/>
              <w:right w:val="single" w:sz="8" w:space="0" w:color="auto"/>
            </w:tcBorders>
            <w:vAlign w:val="center"/>
            <w:hideMark/>
          </w:tcPr>
          <w:p w14:paraId="7610314D" w14:textId="77777777" w:rsidR="00C14C6F" w:rsidRDefault="00C14C6F">
            <w:pPr>
              <w:spacing w:before="0"/>
              <w:jc w:val="center"/>
              <w:rPr>
                <w:color w:val="000000"/>
                <w:sz w:val="20"/>
                <w:lang w:val="en-US" w:eastAsia="en-GB"/>
              </w:rPr>
            </w:pPr>
            <w:r>
              <w:rPr>
                <w:color w:val="000000"/>
                <w:sz w:val="20"/>
                <w:lang w:val="en-US" w:eastAsia="zh-CN"/>
              </w:rPr>
              <w:t>41 402</w:t>
            </w:r>
          </w:p>
        </w:tc>
        <w:tc>
          <w:tcPr>
            <w:tcW w:w="1559" w:type="dxa"/>
            <w:tcBorders>
              <w:top w:val="nil"/>
              <w:left w:val="nil"/>
              <w:bottom w:val="single" w:sz="8" w:space="0" w:color="auto"/>
              <w:right w:val="single" w:sz="8" w:space="0" w:color="auto"/>
            </w:tcBorders>
            <w:vAlign w:val="center"/>
            <w:hideMark/>
          </w:tcPr>
          <w:p w14:paraId="66405094" w14:textId="77777777" w:rsidR="00C14C6F" w:rsidRDefault="00C14C6F">
            <w:pPr>
              <w:spacing w:before="0"/>
              <w:jc w:val="center"/>
              <w:rPr>
                <w:color w:val="000000"/>
                <w:sz w:val="20"/>
                <w:lang w:val="en-US" w:eastAsia="en-GB"/>
              </w:rPr>
            </w:pPr>
            <w:r>
              <w:rPr>
                <w:color w:val="000000"/>
                <w:sz w:val="20"/>
                <w:lang w:val="en-US" w:eastAsia="en-GB"/>
              </w:rPr>
              <w:t>2 430</w:t>
            </w:r>
          </w:p>
        </w:tc>
        <w:tc>
          <w:tcPr>
            <w:tcW w:w="1417" w:type="dxa"/>
            <w:tcBorders>
              <w:top w:val="nil"/>
              <w:left w:val="nil"/>
              <w:bottom w:val="single" w:sz="8" w:space="0" w:color="auto"/>
              <w:right w:val="single" w:sz="8" w:space="0" w:color="auto"/>
            </w:tcBorders>
            <w:vAlign w:val="center"/>
            <w:hideMark/>
          </w:tcPr>
          <w:p w14:paraId="4C60367A" w14:textId="078CE316" w:rsidR="00C14C6F" w:rsidRDefault="00C14C6F">
            <w:pPr>
              <w:spacing w:before="0"/>
              <w:jc w:val="center"/>
              <w:rPr>
                <w:color w:val="000000"/>
                <w:sz w:val="20"/>
                <w:lang w:val="en-US" w:eastAsia="en-GB"/>
              </w:rPr>
            </w:pPr>
            <w:r>
              <w:rPr>
                <w:sz w:val="20"/>
                <w:lang w:val="en-US"/>
              </w:rPr>
              <w:t>51</w:t>
            </w:r>
            <w:r w:rsidR="00207DAE">
              <w:rPr>
                <w:sz w:val="20"/>
                <w:lang w:val="en-US"/>
              </w:rPr>
              <w:t> </w:t>
            </w:r>
            <w:r>
              <w:rPr>
                <w:sz w:val="20"/>
                <w:lang w:val="en-US"/>
              </w:rPr>
              <w:t>500</w:t>
            </w:r>
          </w:p>
        </w:tc>
        <w:tc>
          <w:tcPr>
            <w:tcW w:w="1524" w:type="dxa"/>
            <w:tcBorders>
              <w:top w:val="nil"/>
              <w:left w:val="nil"/>
              <w:bottom w:val="single" w:sz="8" w:space="0" w:color="auto"/>
              <w:right w:val="single" w:sz="8" w:space="0" w:color="auto"/>
            </w:tcBorders>
            <w:vAlign w:val="center"/>
            <w:hideMark/>
          </w:tcPr>
          <w:p w14:paraId="2216B1B3" w14:textId="56048C72" w:rsidR="00C14C6F" w:rsidRDefault="00C14C6F">
            <w:pPr>
              <w:spacing w:before="0"/>
              <w:jc w:val="center"/>
              <w:rPr>
                <w:color w:val="000000"/>
                <w:sz w:val="20"/>
                <w:lang w:val="en-US" w:eastAsia="en-GB"/>
              </w:rPr>
            </w:pPr>
            <w:r>
              <w:rPr>
                <w:color w:val="000000"/>
                <w:sz w:val="20"/>
                <w:lang w:val="en-US" w:eastAsia="zh-CN"/>
              </w:rPr>
              <w:t>13</w:t>
            </w:r>
            <w:r w:rsidR="00207DAE">
              <w:rPr>
                <w:color w:val="000000"/>
                <w:sz w:val="20"/>
                <w:lang w:val="en-US" w:eastAsia="zh-CN"/>
              </w:rPr>
              <w:t> </w:t>
            </w:r>
            <w:r>
              <w:rPr>
                <w:color w:val="000000"/>
                <w:sz w:val="20"/>
                <w:lang w:val="en-US" w:eastAsia="zh-CN"/>
              </w:rPr>
              <w:t>912</w:t>
            </w:r>
          </w:p>
        </w:tc>
        <w:tc>
          <w:tcPr>
            <w:tcW w:w="0" w:type="auto"/>
            <w:tcBorders>
              <w:top w:val="nil"/>
              <w:left w:val="nil"/>
              <w:bottom w:val="single" w:sz="8" w:space="0" w:color="auto"/>
              <w:right w:val="single" w:sz="8" w:space="0" w:color="auto"/>
            </w:tcBorders>
            <w:vAlign w:val="center"/>
            <w:hideMark/>
          </w:tcPr>
          <w:p w14:paraId="5BABEF86" w14:textId="77777777" w:rsidR="00C14C6F" w:rsidRDefault="00C14C6F">
            <w:pPr>
              <w:spacing w:before="0"/>
              <w:jc w:val="center"/>
              <w:rPr>
                <w:color w:val="000000"/>
                <w:sz w:val="20"/>
                <w:lang w:val="en-US" w:eastAsia="en-GB"/>
              </w:rPr>
            </w:pPr>
            <w:r>
              <w:rPr>
                <w:color w:val="000000"/>
                <w:sz w:val="20"/>
                <w:lang w:val="en-US" w:eastAsia="zh-CN"/>
              </w:rPr>
              <w:t>km</w:t>
            </w:r>
          </w:p>
        </w:tc>
      </w:tr>
      <w:tr w:rsidR="00C14C6F" w14:paraId="16869BDA" w14:textId="77777777" w:rsidTr="00C14C6F">
        <w:trPr>
          <w:trHeight w:val="501"/>
          <w:jc w:val="center"/>
        </w:trPr>
        <w:tc>
          <w:tcPr>
            <w:tcW w:w="2825" w:type="dxa"/>
            <w:tcBorders>
              <w:top w:val="nil"/>
              <w:left w:val="single" w:sz="8" w:space="0" w:color="auto"/>
              <w:bottom w:val="single" w:sz="8" w:space="0" w:color="auto"/>
              <w:right w:val="single" w:sz="8" w:space="0" w:color="auto"/>
            </w:tcBorders>
            <w:vAlign w:val="center"/>
            <w:hideMark/>
          </w:tcPr>
          <w:p w14:paraId="18018D45" w14:textId="77777777" w:rsidR="00C14C6F" w:rsidRDefault="00C14C6F">
            <w:pPr>
              <w:spacing w:before="0"/>
              <w:rPr>
                <w:color w:val="000000"/>
                <w:sz w:val="20"/>
                <w:lang w:val="en-US" w:eastAsia="en-GB"/>
              </w:rPr>
            </w:pPr>
            <w:r>
              <w:rPr>
                <w:color w:val="000000"/>
                <w:sz w:val="20"/>
                <w:lang w:val="en-US" w:eastAsia="zh-CN"/>
              </w:rPr>
              <w:t>Elevation angle (from BS to satellite)</w:t>
            </w:r>
          </w:p>
        </w:tc>
        <w:tc>
          <w:tcPr>
            <w:tcW w:w="1560" w:type="dxa"/>
            <w:tcBorders>
              <w:top w:val="nil"/>
              <w:left w:val="nil"/>
              <w:bottom w:val="single" w:sz="8" w:space="0" w:color="auto"/>
              <w:right w:val="single" w:sz="8" w:space="0" w:color="auto"/>
            </w:tcBorders>
            <w:vAlign w:val="center"/>
            <w:hideMark/>
          </w:tcPr>
          <w:p w14:paraId="0E955108" w14:textId="77777777" w:rsidR="00C14C6F" w:rsidRDefault="00C14C6F">
            <w:pPr>
              <w:spacing w:before="0"/>
              <w:jc w:val="center"/>
              <w:rPr>
                <w:color w:val="000000"/>
                <w:sz w:val="20"/>
                <w:lang w:val="en-US" w:eastAsia="en-GB"/>
              </w:rPr>
            </w:pPr>
            <w:r>
              <w:rPr>
                <w:color w:val="000000"/>
                <w:sz w:val="20"/>
                <w:lang w:val="en-US" w:eastAsia="zh-CN"/>
              </w:rPr>
              <w:t>2.5</w:t>
            </w:r>
          </w:p>
        </w:tc>
        <w:tc>
          <w:tcPr>
            <w:tcW w:w="1559" w:type="dxa"/>
            <w:tcBorders>
              <w:top w:val="nil"/>
              <w:left w:val="nil"/>
              <w:bottom w:val="single" w:sz="8" w:space="0" w:color="auto"/>
              <w:right w:val="single" w:sz="8" w:space="0" w:color="auto"/>
            </w:tcBorders>
            <w:vAlign w:val="center"/>
            <w:hideMark/>
          </w:tcPr>
          <w:p w14:paraId="115265E4" w14:textId="77777777" w:rsidR="00C14C6F" w:rsidRDefault="00C14C6F">
            <w:pPr>
              <w:spacing w:before="0"/>
              <w:jc w:val="center"/>
              <w:rPr>
                <w:color w:val="000000"/>
                <w:sz w:val="20"/>
                <w:lang w:val="en-US" w:eastAsia="en-GB"/>
              </w:rPr>
            </w:pPr>
            <w:r>
              <w:rPr>
                <w:color w:val="000000"/>
                <w:sz w:val="20"/>
                <w:lang w:val="en-US" w:eastAsia="en-GB"/>
              </w:rPr>
              <w:t>30</w:t>
            </w:r>
          </w:p>
        </w:tc>
        <w:tc>
          <w:tcPr>
            <w:tcW w:w="1417" w:type="dxa"/>
            <w:tcBorders>
              <w:top w:val="nil"/>
              <w:left w:val="nil"/>
              <w:bottom w:val="single" w:sz="8" w:space="0" w:color="auto"/>
              <w:right w:val="single" w:sz="8" w:space="0" w:color="auto"/>
            </w:tcBorders>
            <w:vAlign w:val="center"/>
            <w:hideMark/>
          </w:tcPr>
          <w:p w14:paraId="211BA855" w14:textId="77777777" w:rsidR="00C14C6F" w:rsidRDefault="00C14C6F">
            <w:pPr>
              <w:spacing w:before="0"/>
              <w:jc w:val="center"/>
              <w:rPr>
                <w:color w:val="000000"/>
                <w:sz w:val="20"/>
                <w:lang w:val="en-US" w:eastAsia="en-GB"/>
              </w:rPr>
            </w:pPr>
            <w:r>
              <w:rPr>
                <w:sz w:val="20"/>
                <w:lang w:val="en-US"/>
              </w:rPr>
              <w:t>5</w:t>
            </w:r>
          </w:p>
        </w:tc>
        <w:tc>
          <w:tcPr>
            <w:tcW w:w="1524" w:type="dxa"/>
            <w:tcBorders>
              <w:top w:val="nil"/>
              <w:left w:val="nil"/>
              <w:bottom w:val="single" w:sz="8" w:space="0" w:color="auto"/>
              <w:right w:val="single" w:sz="8" w:space="0" w:color="auto"/>
            </w:tcBorders>
            <w:vAlign w:val="center"/>
            <w:hideMark/>
          </w:tcPr>
          <w:p w14:paraId="3D1589D0" w14:textId="77777777" w:rsidR="00C14C6F" w:rsidRDefault="00C14C6F">
            <w:pPr>
              <w:spacing w:before="0"/>
              <w:jc w:val="center"/>
              <w:rPr>
                <w:color w:val="000000"/>
                <w:sz w:val="20"/>
                <w:lang w:val="en-US" w:eastAsia="en-GB"/>
              </w:rPr>
            </w:pPr>
            <w:r>
              <w:rPr>
                <w:color w:val="000000"/>
                <w:sz w:val="20"/>
                <w:lang w:val="en-US" w:eastAsia="zh-CN"/>
              </w:rPr>
              <w:t> 15</w:t>
            </w:r>
          </w:p>
        </w:tc>
        <w:tc>
          <w:tcPr>
            <w:tcW w:w="0" w:type="auto"/>
            <w:tcBorders>
              <w:top w:val="nil"/>
              <w:left w:val="nil"/>
              <w:bottom w:val="single" w:sz="8" w:space="0" w:color="auto"/>
              <w:right w:val="single" w:sz="8" w:space="0" w:color="auto"/>
            </w:tcBorders>
            <w:vAlign w:val="center"/>
            <w:hideMark/>
          </w:tcPr>
          <w:p w14:paraId="7E54CE98" w14:textId="77777777" w:rsidR="00C14C6F" w:rsidRDefault="00C14C6F">
            <w:pPr>
              <w:spacing w:before="0"/>
              <w:jc w:val="center"/>
              <w:rPr>
                <w:color w:val="000000"/>
                <w:sz w:val="20"/>
                <w:lang w:val="en-US" w:eastAsia="en-GB"/>
              </w:rPr>
            </w:pPr>
            <w:r>
              <w:rPr>
                <w:color w:val="000000"/>
                <w:sz w:val="20"/>
                <w:lang w:val="en-US" w:eastAsia="zh-CN"/>
              </w:rPr>
              <w:t>deg</w:t>
            </w:r>
          </w:p>
        </w:tc>
      </w:tr>
      <w:tr w:rsidR="00C14C6F" w14:paraId="10BC0C65" w14:textId="77777777" w:rsidTr="00C14C6F">
        <w:trPr>
          <w:trHeight w:val="501"/>
          <w:jc w:val="center"/>
        </w:trPr>
        <w:tc>
          <w:tcPr>
            <w:tcW w:w="2825" w:type="dxa"/>
            <w:tcBorders>
              <w:top w:val="nil"/>
              <w:left w:val="single" w:sz="8" w:space="0" w:color="auto"/>
              <w:bottom w:val="single" w:sz="8" w:space="0" w:color="auto"/>
              <w:right w:val="single" w:sz="8" w:space="0" w:color="auto"/>
            </w:tcBorders>
            <w:vAlign w:val="center"/>
            <w:hideMark/>
          </w:tcPr>
          <w:p w14:paraId="4515ACC6" w14:textId="77777777" w:rsidR="00C14C6F" w:rsidRDefault="00C14C6F">
            <w:pPr>
              <w:spacing w:before="0"/>
              <w:rPr>
                <w:color w:val="000000"/>
                <w:sz w:val="20"/>
                <w:lang w:val="en-US" w:eastAsia="en-GB"/>
              </w:rPr>
            </w:pPr>
            <w:r>
              <w:rPr>
                <w:color w:val="000000"/>
                <w:sz w:val="20"/>
                <w:lang w:val="en-US" w:eastAsia="zh-CN"/>
              </w:rPr>
              <w:t>Free space loss</w:t>
            </w:r>
          </w:p>
        </w:tc>
        <w:tc>
          <w:tcPr>
            <w:tcW w:w="1560" w:type="dxa"/>
            <w:tcBorders>
              <w:top w:val="nil"/>
              <w:left w:val="nil"/>
              <w:bottom w:val="single" w:sz="8" w:space="0" w:color="auto"/>
              <w:right w:val="single" w:sz="8" w:space="0" w:color="auto"/>
            </w:tcBorders>
            <w:vAlign w:val="center"/>
            <w:hideMark/>
          </w:tcPr>
          <w:p w14:paraId="6B91F2B5" w14:textId="77777777" w:rsidR="00C14C6F" w:rsidRDefault="00C14C6F">
            <w:pPr>
              <w:spacing w:before="0"/>
              <w:jc w:val="center"/>
              <w:rPr>
                <w:color w:val="000000"/>
                <w:sz w:val="20"/>
                <w:lang w:val="en-US" w:eastAsia="en-GB"/>
              </w:rPr>
            </w:pPr>
            <w:r>
              <w:rPr>
                <w:color w:val="000000"/>
                <w:sz w:val="20"/>
                <w:lang w:val="en-US" w:eastAsia="zh-CN"/>
              </w:rPr>
              <w:t>190.8</w:t>
            </w:r>
          </w:p>
        </w:tc>
        <w:tc>
          <w:tcPr>
            <w:tcW w:w="1559" w:type="dxa"/>
            <w:tcBorders>
              <w:top w:val="nil"/>
              <w:left w:val="nil"/>
              <w:bottom w:val="single" w:sz="8" w:space="0" w:color="auto"/>
              <w:right w:val="single" w:sz="8" w:space="0" w:color="auto"/>
            </w:tcBorders>
            <w:vAlign w:val="center"/>
            <w:hideMark/>
          </w:tcPr>
          <w:p w14:paraId="5918EE3B" w14:textId="77777777" w:rsidR="00C14C6F" w:rsidRDefault="00C14C6F">
            <w:pPr>
              <w:spacing w:before="0"/>
              <w:jc w:val="center"/>
              <w:rPr>
                <w:color w:val="000000"/>
                <w:sz w:val="20"/>
                <w:lang w:val="en-US" w:eastAsia="en-GB"/>
              </w:rPr>
            </w:pPr>
            <w:r>
              <w:rPr>
                <w:color w:val="000000"/>
                <w:sz w:val="20"/>
                <w:lang w:val="en-US" w:eastAsia="en-GB"/>
              </w:rPr>
              <w:t>166.1</w:t>
            </w:r>
          </w:p>
        </w:tc>
        <w:tc>
          <w:tcPr>
            <w:tcW w:w="1417" w:type="dxa"/>
            <w:tcBorders>
              <w:top w:val="nil"/>
              <w:left w:val="nil"/>
              <w:bottom w:val="single" w:sz="8" w:space="0" w:color="auto"/>
              <w:right w:val="single" w:sz="8" w:space="0" w:color="auto"/>
            </w:tcBorders>
            <w:vAlign w:val="center"/>
            <w:hideMark/>
          </w:tcPr>
          <w:p w14:paraId="2C783D9A" w14:textId="77777777" w:rsidR="00C14C6F" w:rsidRDefault="00C14C6F">
            <w:pPr>
              <w:spacing w:before="0"/>
              <w:jc w:val="center"/>
              <w:rPr>
                <w:color w:val="000000"/>
                <w:sz w:val="20"/>
                <w:lang w:val="en-US" w:eastAsia="en-GB"/>
              </w:rPr>
            </w:pPr>
            <w:r>
              <w:rPr>
                <w:sz w:val="20"/>
                <w:lang w:val="en-US"/>
              </w:rPr>
              <w:t>192.7</w:t>
            </w:r>
          </w:p>
        </w:tc>
        <w:tc>
          <w:tcPr>
            <w:tcW w:w="1524" w:type="dxa"/>
            <w:tcBorders>
              <w:top w:val="nil"/>
              <w:left w:val="nil"/>
              <w:bottom w:val="single" w:sz="8" w:space="0" w:color="auto"/>
              <w:right w:val="single" w:sz="8" w:space="0" w:color="auto"/>
            </w:tcBorders>
            <w:vAlign w:val="center"/>
            <w:hideMark/>
          </w:tcPr>
          <w:p w14:paraId="1BE01391" w14:textId="77777777" w:rsidR="00C14C6F" w:rsidRDefault="00C14C6F">
            <w:pPr>
              <w:spacing w:before="0"/>
              <w:jc w:val="center"/>
              <w:rPr>
                <w:color w:val="000000"/>
                <w:sz w:val="20"/>
                <w:lang w:val="en-US" w:eastAsia="en-GB"/>
              </w:rPr>
            </w:pPr>
            <w:r>
              <w:rPr>
                <w:color w:val="000000"/>
                <w:sz w:val="20"/>
                <w:lang w:val="en-US" w:eastAsia="zh-CN"/>
              </w:rPr>
              <w:t> 181.3</w:t>
            </w:r>
          </w:p>
        </w:tc>
        <w:tc>
          <w:tcPr>
            <w:tcW w:w="0" w:type="auto"/>
            <w:tcBorders>
              <w:top w:val="nil"/>
              <w:left w:val="nil"/>
              <w:bottom w:val="single" w:sz="8" w:space="0" w:color="auto"/>
              <w:right w:val="single" w:sz="8" w:space="0" w:color="auto"/>
            </w:tcBorders>
            <w:vAlign w:val="center"/>
            <w:hideMark/>
          </w:tcPr>
          <w:p w14:paraId="7E5B5440" w14:textId="77777777" w:rsidR="00C14C6F" w:rsidRDefault="00C14C6F">
            <w:pPr>
              <w:spacing w:before="0"/>
              <w:jc w:val="center"/>
              <w:rPr>
                <w:color w:val="000000"/>
                <w:sz w:val="20"/>
                <w:lang w:val="en-US" w:eastAsia="en-GB"/>
              </w:rPr>
            </w:pPr>
            <w:r>
              <w:rPr>
                <w:color w:val="000000"/>
                <w:sz w:val="20"/>
                <w:lang w:val="en-US" w:eastAsia="zh-CN"/>
              </w:rPr>
              <w:t>dB</w:t>
            </w:r>
          </w:p>
        </w:tc>
      </w:tr>
      <w:tr w:rsidR="00C14C6F" w14:paraId="1AB1F4B0" w14:textId="77777777" w:rsidTr="00C14C6F">
        <w:trPr>
          <w:trHeight w:val="501"/>
          <w:jc w:val="center"/>
        </w:trPr>
        <w:tc>
          <w:tcPr>
            <w:tcW w:w="2825" w:type="dxa"/>
            <w:tcBorders>
              <w:top w:val="nil"/>
              <w:left w:val="single" w:sz="8" w:space="0" w:color="auto"/>
              <w:bottom w:val="single" w:sz="8" w:space="0" w:color="auto"/>
              <w:right w:val="single" w:sz="8" w:space="0" w:color="auto"/>
            </w:tcBorders>
            <w:vAlign w:val="center"/>
            <w:hideMark/>
          </w:tcPr>
          <w:p w14:paraId="19343CF6" w14:textId="77777777" w:rsidR="00C14C6F" w:rsidRDefault="00C14C6F">
            <w:pPr>
              <w:spacing w:before="0"/>
              <w:rPr>
                <w:color w:val="000000"/>
                <w:sz w:val="20"/>
                <w:lang w:val="en-US" w:eastAsia="en-GB"/>
              </w:rPr>
            </w:pPr>
            <w:r>
              <w:rPr>
                <w:color w:val="000000"/>
                <w:sz w:val="20"/>
                <w:lang w:val="en-US" w:eastAsia="zh-CN"/>
              </w:rPr>
              <w:t>Satellite noise temperature</w:t>
            </w:r>
          </w:p>
        </w:tc>
        <w:tc>
          <w:tcPr>
            <w:tcW w:w="1560" w:type="dxa"/>
            <w:tcBorders>
              <w:top w:val="nil"/>
              <w:left w:val="nil"/>
              <w:bottom w:val="single" w:sz="8" w:space="0" w:color="auto"/>
              <w:right w:val="single" w:sz="8" w:space="0" w:color="auto"/>
            </w:tcBorders>
            <w:vAlign w:val="center"/>
            <w:hideMark/>
          </w:tcPr>
          <w:p w14:paraId="04135AAD" w14:textId="77777777" w:rsidR="00C14C6F" w:rsidRDefault="00C14C6F">
            <w:pPr>
              <w:spacing w:before="0"/>
              <w:jc w:val="center"/>
              <w:rPr>
                <w:color w:val="000000"/>
                <w:sz w:val="20"/>
                <w:lang w:val="en-US" w:eastAsia="en-GB"/>
              </w:rPr>
            </w:pPr>
            <w:r>
              <w:rPr>
                <w:color w:val="000000"/>
                <w:sz w:val="20"/>
                <w:lang w:val="en-US" w:eastAsia="zh-CN"/>
              </w:rPr>
              <w:t>27.6</w:t>
            </w:r>
          </w:p>
        </w:tc>
        <w:tc>
          <w:tcPr>
            <w:tcW w:w="1559" w:type="dxa"/>
            <w:tcBorders>
              <w:top w:val="nil"/>
              <w:left w:val="nil"/>
              <w:bottom w:val="single" w:sz="8" w:space="0" w:color="auto"/>
              <w:right w:val="single" w:sz="8" w:space="0" w:color="auto"/>
            </w:tcBorders>
            <w:vAlign w:val="center"/>
            <w:hideMark/>
          </w:tcPr>
          <w:p w14:paraId="758A3FE3" w14:textId="77777777" w:rsidR="00C14C6F" w:rsidRDefault="00C14C6F">
            <w:pPr>
              <w:spacing w:before="0"/>
              <w:jc w:val="center"/>
              <w:rPr>
                <w:color w:val="000000"/>
                <w:sz w:val="20"/>
                <w:lang w:val="ru-RU" w:eastAsia="en-GB"/>
              </w:rPr>
            </w:pPr>
            <w:r>
              <w:rPr>
                <w:color w:val="000000"/>
                <w:sz w:val="20"/>
                <w:lang w:val="en-US" w:eastAsia="en-GB"/>
              </w:rPr>
              <w:t>29</w:t>
            </w:r>
          </w:p>
        </w:tc>
        <w:tc>
          <w:tcPr>
            <w:tcW w:w="1417" w:type="dxa"/>
            <w:tcBorders>
              <w:top w:val="nil"/>
              <w:left w:val="nil"/>
              <w:bottom w:val="single" w:sz="8" w:space="0" w:color="auto"/>
              <w:right w:val="single" w:sz="8" w:space="0" w:color="auto"/>
            </w:tcBorders>
            <w:vAlign w:val="center"/>
            <w:hideMark/>
          </w:tcPr>
          <w:p w14:paraId="53C1EBA3" w14:textId="77777777" w:rsidR="00C14C6F" w:rsidRDefault="00C14C6F">
            <w:pPr>
              <w:spacing w:before="0"/>
              <w:jc w:val="center"/>
              <w:rPr>
                <w:color w:val="000000"/>
                <w:sz w:val="20"/>
                <w:lang w:val="en-US" w:eastAsia="en-GB"/>
              </w:rPr>
            </w:pPr>
            <w:r>
              <w:rPr>
                <w:sz w:val="20"/>
                <w:lang w:val="en-US"/>
              </w:rPr>
              <w:t>29.0</w:t>
            </w:r>
          </w:p>
        </w:tc>
        <w:tc>
          <w:tcPr>
            <w:tcW w:w="1524" w:type="dxa"/>
            <w:tcBorders>
              <w:top w:val="nil"/>
              <w:left w:val="nil"/>
              <w:bottom w:val="single" w:sz="8" w:space="0" w:color="auto"/>
              <w:right w:val="single" w:sz="8" w:space="0" w:color="auto"/>
            </w:tcBorders>
            <w:vAlign w:val="center"/>
            <w:hideMark/>
          </w:tcPr>
          <w:p w14:paraId="5179B5F0" w14:textId="77777777" w:rsidR="00C14C6F" w:rsidRDefault="00C14C6F">
            <w:pPr>
              <w:spacing w:before="0"/>
              <w:jc w:val="center"/>
              <w:rPr>
                <w:color w:val="000000"/>
                <w:sz w:val="20"/>
                <w:lang w:val="en-US" w:eastAsia="en-GB"/>
              </w:rPr>
            </w:pPr>
            <w:r>
              <w:rPr>
                <w:color w:val="000000"/>
                <w:sz w:val="20"/>
                <w:lang w:val="en-US" w:eastAsia="zh-CN"/>
              </w:rPr>
              <w:t> 26.0</w:t>
            </w:r>
          </w:p>
        </w:tc>
        <w:tc>
          <w:tcPr>
            <w:tcW w:w="0" w:type="auto"/>
            <w:tcBorders>
              <w:top w:val="nil"/>
              <w:left w:val="nil"/>
              <w:bottom w:val="single" w:sz="8" w:space="0" w:color="auto"/>
              <w:right w:val="single" w:sz="8" w:space="0" w:color="auto"/>
            </w:tcBorders>
            <w:vAlign w:val="center"/>
            <w:hideMark/>
          </w:tcPr>
          <w:p w14:paraId="45459D57" w14:textId="77777777" w:rsidR="00C14C6F" w:rsidRDefault="00C14C6F">
            <w:pPr>
              <w:spacing w:before="0"/>
              <w:jc w:val="center"/>
              <w:rPr>
                <w:color w:val="000000"/>
                <w:sz w:val="20"/>
                <w:lang w:val="en-US" w:eastAsia="en-GB"/>
              </w:rPr>
            </w:pPr>
            <w:proofErr w:type="spellStart"/>
            <w:r>
              <w:rPr>
                <w:color w:val="000000"/>
                <w:sz w:val="20"/>
                <w:lang w:val="en-US" w:eastAsia="zh-CN"/>
              </w:rPr>
              <w:t>dBK</w:t>
            </w:r>
            <w:proofErr w:type="spellEnd"/>
          </w:p>
        </w:tc>
      </w:tr>
      <w:tr w:rsidR="00C14C6F" w14:paraId="2FF3DA84" w14:textId="77777777" w:rsidTr="00C14C6F">
        <w:trPr>
          <w:trHeight w:val="501"/>
          <w:jc w:val="center"/>
        </w:trPr>
        <w:tc>
          <w:tcPr>
            <w:tcW w:w="2825" w:type="dxa"/>
            <w:tcBorders>
              <w:top w:val="nil"/>
              <w:left w:val="single" w:sz="8" w:space="0" w:color="auto"/>
              <w:bottom w:val="single" w:sz="8" w:space="0" w:color="auto"/>
              <w:right w:val="single" w:sz="8" w:space="0" w:color="auto"/>
            </w:tcBorders>
            <w:vAlign w:val="center"/>
            <w:hideMark/>
          </w:tcPr>
          <w:p w14:paraId="3804D4DC" w14:textId="77777777" w:rsidR="00C14C6F" w:rsidRDefault="00C14C6F">
            <w:pPr>
              <w:spacing w:before="0"/>
              <w:rPr>
                <w:color w:val="000000"/>
                <w:sz w:val="20"/>
                <w:lang w:val="en-US" w:eastAsia="en-GB"/>
              </w:rPr>
            </w:pPr>
            <w:r>
              <w:rPr>
                <w:color w:val="000000"/>
                <w:sz w:val="20"/>
                <w:lang w:val="en-US" w:eastAsia="zh-CN"/>
              </w:rPr>
              <w:t>Protection threshold (I/N)</w:t>
            </w:r>
          </w:p>
        </w:tc>
        <w:tc>
          <w:tcPr>
            <w:tcW w:w="1560" w:type="dxa"/>
            <w:tcBorders>
              <w:top w:val="nil"/>
              <w:left w:val="nil"/>
              <w:bottom w:val="single" w:sz="8" w:space="0" w:color="auto"/>
              <w:right w:val="single" w:sz="8" w:space="0" w:color="auto"/>
            </w:tcBorders>
            <w:vAlign w:val="center"/>
            <w:hideMark/>
          </w:tcPr>
          <w:p w14:paraId="2C66DC5B" w14:textId="24AFAAAD" w:rsidR="00C14C6F" w:rsidRDefault="00082DCF">
            <w:pPr>
              <w:spacing w:before="0"/>
              <w:jc w:val="center"/>
              <w:rPr>
                <w:color w:val="000000"/>
                <w:sz w:val="20"/>
                <w:lang w:val="en-US" w:eastAsia="en-GB"/>
              </w:rPr>
            </w:pPr>
            <w:r w:rsidRPr="00082DCF">
              <w:rPr>
                <w:color w:val="000000"/>
                <w:sz w:val="20"/>
                <w:lang w:val="en-US" w:eastAsia="zh-CN"/>
              </w:rPr>
              <w:t>–</w:t>
            </w:r>
            <w:r w:rsidR="00C14C6F">
              <w:rPr>
                <w:color w:val="000000"/>
                <w:sz w:val="20"/>
                <w:lang w:val="en-US" w:eastAsia="zh-CN"/>
              </w:rPr>
              <w:t>12.2</w:t>
            </w:r>
          </w:p>
        </w:tc>
        <w:tc>
          <w:tcPr>
            <w:tcW w:w="1559" w:type="dxa"/>
            <w:tcBorders>
              <w:top w:val="nil"/>
              <w:left w:val="nil"/>
              <w:bottom w:val="single" w:sz="8" w:space="0" w:color="auto"/>
              <w:right w:val="single" w:sz="8" w:space="0" w:color="auto"/>
            </w:tcBorders>
            <w:vAlign w:val="center"/>
            <w:hideMark/>
          </w:tcPr>
          <w:p w14:paraId="01206023" w14:textId="739CA5A4" w:rsidR="00C14C6F" w:rsidRDefault="00082DCF">
            <w:pPr>
              <w:spacing w:before="0"/>
              <w:jc w:val="center"/>
              <w:rPr>
                <w:color w:val="000000"/>
                <w:sz w:val="20"/>
                <w:lang w:val="en-US" w:eastAsia="en-GB"/>
              </w:rPr>
            </w:pPr>
            <w:r w:rsidRPr="00082DCF">
              <w:rPr>
                <w:color w:val="000000"/>
                <w:sz w:val="20"/>
                <w:lang w:val="en-US" w:eastAsia="zh-CN"/>
              </w:rPr>
              <w:t>–</w:t>
            </w:r>
            <w:r w:rsidR="00C14C6F">
              <w:rPr>
                <w:color w:val="000000"/>
                <w:sz w:val="20"/>
                <w:lang w:val="en-US" w:eastAsia="en-GB"/>
              </w:rPr>
              <w:t>12.2</w:t>
            </w:r>
          </w:p>
        </w:tc>
        <w:tc>
          <w:tcPr>
            <w:tcW w:w="1417" w:type="dxa"/>
            <w:tcBorders>
              <w:top w:val="nil"/>
              <w:left w:val="nil"/>
              <w:bottom w:val="single" w:sz="8" w:space="0" w:color="auto"/>
              <w:right w:val="single" w:sz="8" w:space="0" w:color="auto"/>
            </w:tcBorders>
            <w:vAlign w:val="center"/>
            <w:hideMark/>
          </w:tcPr>
          <w:p w14:paraId="5214C05B" w14:textId="111E8DAB" w:rsidR="00C14C6F" w:rsidRDefault="00082DCF">
            <w:pPr>
              <w:spacing w:before="0"/>
              <w:jc w:val="center"/>
              <w:rPr>
                <w:color w:val="000000"/>
                <w:sz w:val="20"/>
                <w:lang w:val="en-US" w:eastAsia="en-GB"/>
              </w:rPr>
            </w:pPr>
            <w:r w:rsidRPr="00082DCF">
              <w:rPr>
                <w:color w:val="000000"/>
                <w:sz w:val="20"/>
                <w:lang w:val="en-US" w:eastAsia="zh-CN"/>
              </w:rPr>
              <w:t>–</w:t>
            </w:r>
            <w:r w:rsidR="00C14C6F">
              <w:rPr>
                <w:sz w:val="20"/>
                <w:lang w:val="en-US"/>
              </w:rPr>
              <w:t>12.2</w:t>
            </w:r>
          </w:p>
        </w:tc>
        <w:tc>
          <w:tcPr>
            <w:tcW w:w="1524" w:type="dxa"/>
            <w:tcBorders>
              <w:top w:val="nil"/>
              <w:left w:val="nil"/>
              <w:bottom w:val="single" w:sz="8" w:space="0" w:color="auto"/>
              <w:right w:val="single" w:sz="8" w:space="0" w:color="auto"/>
            </w:tcBorders>
            <w:vAlign w:val="center"/>
            <w:hideMark/>
          </w:tcPr>
          <w:p w14:paraId="01245242" w14:textId="59948578" w:rsidR="00C14C6F" w:rsidRDefault="00C14C6F">
            <w:pPr>
              <w:spacing w:before="0"/>
              <w:jc w:val="center"/>
              <w:rPr>
                <w:color w:val="000000"/>
                <w:sz w:val="20"/>
                <w:lang w:val="en-US" w:eastAsia="en-GB"/>
              </w:rPr>
            </w:pPr>
            <w:r>
              <w:rPr>
                <w:color w:val="000000"/>
                <w:sz w:val="20"/>
                <w:lang w:val="en-US" w:eastAsia="en-GB"/>
              </w:rPr>
              <w:t> </w:t>
            </w:r>
            <w:r w:rsidR="00082DCF" w:rsidRPr="00082DCF">
              <w:rPr>
                <w:color w:val="000000"/>
                <w:sz w:val="20"/>
                <w:lang w:val="en-US" w:eastAsia="zh-CN"/>
              </w:rPr>
              <w:t>–</w:t>
            </w:r>
            <w:r>
              <w:rPr>
                <w:color w:val="000000"/>
                <w:sz w:val="20"/>
                <w:lang w:val="en-US" w:eastAsia="en-GB"/>
              </w:rPr>
              <w:t>12.2</w:t>
            </w:r>
          </w:p>
        </w:tc>
        <w:tc>
          <w:tcPr>
            <w:tcW w:w="0" w:type="auto"/>
            <w:tcBorders>
              <w:top w:val="nil"/>
              <w:left w:val="nil"/>
              <w:bottom w:val="single" w:sz="8" w:space="0" w:color="auto"/>
              <w:right w:val="single" w:sz="8" w:space="0" w:color="auto"/>
            </w:tcBorders>
            <w:vAlign w:val="center"/>
            <w:hideMark/>
          </w:tcPr>
          <w:p w14:paraId="69745BD5" w14:textId="77777777" w:rsidR="00C14C6F" w:rsidRDefault="00C14C6F">
            <w:pPr>
              <w:spacing w:before="0"/>
              <w:jc w:val="center"/>
              <w:rPr>
                <w:color w:val="000000"/>
                <w:sz w:val="20"/>
                <w:lang w:val="en-US" w:eastAsia="en-GB"/>
              </w:rPr>
            </w:pPr>
            <w:r>
              <w:rPr>
                <w:color w:val="000000"/>
                <w:sz w:val="20"/>
                <w:lang w:val="en-US" w:eastAsia="zh-CN"/>
              </w:rPr>
              <w:t>dB</w:t>
            </w:r>
          </w:p>
        </w:tc>
      </w:tr>
      <w:tr w:rsidR="00C14C6F" w14:paraId="4BF97352" w14:textId="77777777" w:rsidTr="00C14C6F">
        <w:trPr>
          <w:trHeight w:val="501"/>
          <w:jc w:val="center"/>
        </w:trPr>
        <w:tc>
          <w:tcPr>
            <w:tcW w:w="2825" w:type="dxa"/>
            <w:tcBorders>
              <w:top w:val="nil"/>
              <w:left w:val="single" w:sz="8" w:space="0" w:color="auto"/>
              <w:bottom w:val="single" w:sz="8" w:space="0" w:color="auto"/>
              <w:right w:val="single" w:sz="8" w:space="0" w:color="auto"/>
            </w:tcBorders>
            <w:vAlign w:val="center"/>
            <w:hideMark/>
          </w:tcPr>
          <w:p w14:paraId="3912BA9E" w14:textId="77777777" w:rsidR="00C14C6F" w:rsidRDefault="00C14C6F">
            <w:pPr>
              <w:spacing w:before="0"/>
              <w:rPr>
                <w:color w:val="000000"/>
                <w:sz w:val="20"/>
                <w:lang w:val="en-US" w:eastAsia="en-GB"/>
              </w:rPr>
            </w:pPr>
            <w:r>
              <w:rPr>
                <w:color w:val="000000"/>
                <w:sz w:val="20"/>
                <w:lang w:val="en-US" w:eastAsia="zh-CN"/>
              </w:rPr>
              <w:t>Acceptable interference power spectral density</w:t>
            </w:r>
          </w:p>
        </w:tc>
        <w:tc>
          <w:tcPr>
            <w:tcW w:w="1560" w:type="dxa"/>
            <w:tcBorders>
              <w:top w:val="nil"/>
              <w:left w:val="nil"/>
              <w:bottom w:val="single" w:sz="8" w:space="0" w:color="auto"/>
              <w:right w:val="single" w:sz="8" w:space="0" w:color="auto"/>
            </w:tcBorders>
            <w:vAlign w:val="center"/>
            <w:hideMark/>
          </w:tcPr>
          <w:p w14:paraId="1E8E0FE0" w14:textId="4276C292" w:rsidR="00C14C6F" w:rsidRDefault="00082DCF">
            <w:pPr>
              <w:spacing w:before="0"/>
              <w:jc w:val="center"/>
              <w:rPr>
                <w:color w:val="000000"/>
                <w:sz w:val="20"/>
                <w:lang w:val="en-US" w:eastAsia="en-GB"/>
              </w:rPr>
            </w:pPr>
            <w:r w:rsidRPr="00082DCF">
              <w:rPr>
                <w:color w:val="000000"/>
                <w:sz w:val="20"/>
                <w:lang w:val="en-US" w:eastAsia="zh-CN"/>
              </w:rPr>
              <w:t>–</w:t>
            </w:r>
            <w:r w:rsidR="00C14C6F">
              <w:rPr>
                <w:color w:val="000000"/>
                <w:sz w:val="20"/>
                <w:lang w:val="en-US" w:eastAsia="zh-CN"/>
              </w:rPr>
              <w:t>183.2</w:t>
            </w:r>
          </w:p>
        </w:tc>
        <w:tc>
          <w:tcPr>
            <w:tcW w:w="1559" w:type="dxa"/>
            <w:tcBorders>
              <w:top w:val="nil"/>
              <w:left w:val="nil"/>
              <w:bottom w:val="single" w:sz="8" w:space="0" w:color="auto"/>
              <w:right w:val="single" w:sz="8" w:space="0" w:color="auto"/>
            </w:tcBorders>
            <w:vAlign w:val="center"/>
            <w:hideMark/>
          </w:tcPr>
          <w:p w14:paraId="4B03BAFF" w14:textId="3836D50B" w:rsidR="00C14C6F" w:rsidRDefault="00082DCF">
            <w:pPr>
              <w:spacing w:before="0"/>
              <w:jc w:val="center"/>
              <w:rPr>
                <w:color w:val="000000"/>
                <w:sz w:val="20"/>
                <w:lang w:val="en-US" w:eastAsia="en-GB"/>
              </w:rPr>
            </w:pPr>
            <w:r w:rsidRPr="00082DCF">
              <w:rPr>
                <w:color w:val="000000"/>
                <w:sz w:val="20"/>
                <w:lang w:val="en-US" w:eastAsia="zh-CN"/>
              </w:rPr>
              <w:t>–</w:t>
            </w:r>
            <w:r w:rsidR="00C14C6F">
              <w:rPr>
                <w:color w:val="000000"/>
                <w:sz w:val="20"/>
                <w:lang w:val="en-US" w:eastAsia="zh-CN"/>
              </w:rPr>
              <w:t>181.8</w:t>
            </w:r>
          </w:p>
        </w:tc>
        <w:tc>
          <w:tcPr>
            <w:tcW w:w="1417" w:type="dxa"/>
            <w:tcBorders>
              <w:top w:val="nil"/>
              <w:left w:val="nil"/>
              <w:bottom w:val="single" w:sz="8" w:space="0" w:color="auto"/>
              <w:right w:val="single" w:sz="8" w:space="0" w:color="auto"/>
            </w:tcBorders>
            <w:vAlign w:val="center"/>
            <w:hideMark/>
          </w:tcPr>
          <w:p w14:paraId="6929B26F" w14:textId="1BB99009" w:rsidR="00C14C6F" w:rsidRDefault="00082DCF">
            <w:pPr>
              <w:spacing w:before="0"/>
              <w:jc w:val="center"/>
              <w:rPr>
                <w:color w:val="000000"/>
                <w:sz w:val="20"/>
                <w:lang w:val="en-US" w:eastAsia="en-GB"/>
              </w:rPr>
            </w:pPr>
            <w:r w:rsidRPr="00082DCF">
              <w:rPr>
                <w:color w:val="000000"/>
                <w:sz w:val="20"/>
                <w:lang w:val="en-US" w:eastAsia="zh-CN"/>
              </w:rPr>
              <w:t>–</w:t>
            </w:r>
            <w:r w:rsidR="00C14C6F">
              <w:rPr>
                <w:sz w:val="20"/>
                <w:lang w:val="en-US"/>
              </w:rPr>
              <w:t>181.8</w:t>
            </w:r>
          </w:p>
        </w:tc>
        <w:tc>
          <w:tcPr>
            <w:tcW w:w="1524" w:type="dxa"/>
            <w:tcBorders>
              <w:top w:val="nil"/>
              <w:left w:val="nil"/>
              <w:bottom w:val="single" w:sz="8" w:space="0" w:color="auto"/>
              <w:right w:val="single" w:sz="8" w:space="0" w:color="auto"/>
            </w:tcBorders>
            <w:vAlign w:val="center"/>
            <w:hideMark/>
          </w:tcPr>
          <w:p w14:paraId="7FAF3871" w14:textId="3955B9D3" w:rsidR="00C14C6F" w:rsidRDefault="00C14C6F">
            <w:pPr>
              <w:spacing w:before="0"/>
              <w:jc w:val="center"/>
              <w:rPr>
                <w:color w:val="000000"/>
                <w:sz w:val="20"/>
                <w:lang w:val="en-US" w:eastAsia="en-GB"/>
              </w:rPr>
            </w:pPr>
            <w:r>
              <w:rPr>
                <w:color w:val="000000"/>
                <w:sz w:val="20"/>
                <w:lang w:val="en-US" w:eastAsia="en-GB"/>
              </w:rPr>
              <w:t> </w:t>
            </w:r>
            <w:r w:rsidR="00082DCF" w:rsidRPr="00082DCF">
              <w:rPr>
                <w:color w:val="000000"/>
                <w:sz w:val="20"/>
                <w:lang w:val="en-US" w:eastAsia="zh-CN"/>
              </w:rPr>
              <w:t>–</w:t>
            </w:r>
            <w:r>
              <w:rPr>
                <w:color w:val="000000"/>
                <w:sz w:val="20"/>
                <w:lang w:val="en-US" w:eastAsia="en-GB"/>
              </w:rPr>
              <w:t>184.8</w:t>
            </w:r>
          </w:p>
        </w:tc>
        <w:tc>
          <w:tcPr>
            <w:tcW w:w="0" w:type="auto"/>
            <w:tcBorders>
              <w:top w:val="nil"/>
              <w:left w:val="nil"/>
              <w:bottom w:val="single" w:sz="8" w:space="0" w:color="auto"/>
              <w:right w:val="single" w:sz="8" w:space="0" w:color="auto"/>
            </w:tcBorders>
            <w:vAlign w:val="center"/>
            <w:hideMark/>
          </w:tcPr>
          <w:p w14:paraId="00154B61" w14:textId="77777777" w:rsidR="00C14C6F" w:rsidRDefault="00C14C6F">
            <w:pPr>
              <w:spacing w:before="0"/>
              <w:jc w:val="center"/>
              <w:rPr>
                <w:color w:val="000000"/>
                <w:sz w:val="20"/>
                <w:lang w:val="en-US" w:eastAsia="en-GB"/>
              </w:rPr>
            </w:pPr>
            <w:r>
              <w:rPr>
                <w:color w:val="000000"/>
                <w:sz w:val="20"/>
                <w:lang w:val="en-US" w:eastAsia="zh-CN"/>
              </w:rPr>
              <w:t>dBm/Hz</w:t>
            </w:r>
          </w:p>
        </w:tc>
      </w:tr>
      <w:tr w:rsidR="00C14C6F" w14:paraId="5EECCD01" w14:textId="77777777" w:rsidTr="00C14C6F">
        <w:trPr>
          <w:trHeight w:val="501"/>
          <w:jc w:val="center"/>
        </w:trPr>
        <w:tc>
          <w:tcPr>
            <w:tcW w:w="2825" w:type="dxa"/>
            <w:tcBorders>
              <w:top w:val="nil"/>
              <w:left w:val="single" w:sz="8" w:space="0" w:color="auto"/>
              <w:bottom w:val="single" w:sz="8" w:space="0" w:color="auto"/>
              <w:right w:val="single" w:sz="8" w:space="0" w:color="auto"/>
            </w:tcBorders>
            <w:vAlign w:val="center"/>
            <w:hideMark/>
          </w:tcPr>
          <w:p w14:paraId="3BC9FBA4" w14:textId="77777777" w:rsidR="00C14C6F" w:rsidRDefault="00C14C6F">
            <w:pPr>
              <w:spacing w:before="0"/>
              <w:rPr>
                <w:color w:val="000000"/>
                <w:sz w:val="20"/>
                <w:lang w:val="en-US" w:eastAsia="en-GB"/>
              </w:rPr>
            </w:pPr>
            <w:r>
              <w:rPr>
                <w:color w:val="000000"/>
                <w:sz w:val="20"/>
                <w:lang w:val="en-US" w:eastAsia="zh-CN"/>
              </w:rPr>
              <w:t>Satellite peak antenna gain</w:t>
            </w:r>
          </w:p>
        </w:tc>
        <w:tc>
          <w:tcPr>
            <w:tcW w:w="1560" w:type="dxa"/>
            <w:tcBorders>
              <w:top w:val="nil"/>
              <w:left w:val="nil"/>
              <w:bottom w:val="single" w:sz="8" w:space="0" w:color="auto"/>
              <w:right w:val="single" w:sz="8" w:space="0" w:color="auto"/>
            </w:tcBorders>
            <w:vAlign w:val="center"/>
            <w:hideMark/>
          </w:tcPr>
          <w:p w14:paraId="4EC78471" w14:textId="77777777" w:rsidR="00C14C6F" w:rsidRDefault="00C14C6F">
            <w:pPr>
              <w:spacing w:before="0"/>
              <w:jc w:val="center"/>
              <w:rPr>
                <w:color w:val="000000"/>
                <w:sz w:val="20"/>
                <w:lang w:val="en-US" w:eastAsia="en-GB"/>
              </w:rPr>
            </w:pPr>
            <w:r>
              <w:rPr>
                <w:color w:val="000000"/>
                <w:sz w:val="20"/>
                <w:lang w:val="en-US" w:eastAsia="zh-CN"/>
              </w:rPr>
              <w:t>50.6</w:t>
            </w:r>
          </w:p>
        </w:tc>
        <w:tc>
          <w:tcPr>
            <w:tcW w:w="1559" w:type="dxa"/>
            <w:tcBorders>
              <w:top w:val="nil"/>
              <w:left w:val="nil"/>
              <w:bottom w:val="single" w:sz="8" w:space="0" w:color="auto"/>
              <w:right w:val="single" w:sz="8" w:space="0" w:color="auto"/>
            </w:tcBorders>
            <w:vAlign w:val="center"/>
            <w:hideMark/>
          </w:tcPr>
          <w:p w14:paraId="5730AFED" w14:textId="77777777" w:rsidR="00C14C6F" w:rsidRDefault="00C14C6F">
            <w:pPr>
              <w:spacing w:before="0"/>
              <w:jc w:val="center"/>
              <w:rPr>
                <w:color w:val="000000"/>
                <w:sz w:val="20"/>
                <w:lang w:val="ru-RU" w:eastAsia="en-GB"/>
              </w:rPr>
            </w:pPr>
            <w:r>
              <w:rPr>
                <w:color w:val="000000"/>
                <w:sz w:val="20"/>
                <w:lang w:val="en-US" w:eastAsia="en-GB"/>
              </w:rPr>
              <w:t>23</w:t>
            </w:r>
          </w:p>
        </w:tc>
        <w:tc>
          <w:tcPr>
            <w:tcW w:w="1417" w:type="dxa"/>
            <w:tcBorders>
              <w:top w:val="nil"/>
              <w:left w:val="nil"/>
              <w:bottom w:val="single" w:sz="8" w:space="0" w:color="auto"/>
              <w:right w:val="single" w:sz="8" w:space="0" w:color="auto"/>
            </w:tcBorders>
            <w:vAlign w:val="center"/>
            <w:hideMark/>
          </w:tcPr>
          <w:p w14:paraId="01D9FEE1" w14:textId="77777777" w:rsidR="00C14C6F" w:rsidRDefault="00C14C6F">
            <w:pPr>
              <w:spacing w:before="0"/>
              <w:jc w:val="center"/>
              <w:rPr>
                <w:color w:val="000000"/>
                <w:sz w:val="20"/>
                <w:lang w:val="en-US" w:eastAsia="en-GB"/>
              </w:rPr>
            </w:pPr>
            <w:r>
              <w:rPr>
                <w:sz w:val="20"/>
                <w:lang w:val="en-US"/>
              </w:rPr>
              <w:t>44.8</w:t>
            </w:r>
          </w:p>
        </w:tc>
        <w:tc>
          <w:tcPr>
            <w:tcW w:w="1524" w:type="dxa"/>
            <w:tcBorders>
              <w:top w:val="nil"/>
              <w:left w:val="nil"/>
              <w:bottom w:val="single" w:sz="8" w:space="0" w:color="auto"/>
              <w:right w:val="single" w:sz="8" w:space="0" w:color="auto"/>
            </w:tcBorders>
            <w:vAlign w:val="center"/>
            <w:hideMark/>
          </w:tcPr>
          <w:p w14:paraId="2313A0CF" w14:textId="77777777" w:rsidR="00C14C6F" w:rsidRDefault="00C14C6F">
            <w:pPr>
              <w:spacing w:before="0"/>
              <w:jc w:val="center"/>
              <w:rPr>
                <w:color w:val="000000"/>
                <w:sz w:val="20"/>
                <w:lang w:val="en-US" w:eastAsia="en-GB"/>
              </w:rPr>
            </w:pPr>
            <w:r>
              <w:rPr>
                <w:color w:val="000000"/>
                <w:sz w:val="20"/>
                <w:lang w:val="en-US" w:eastAsia="en-GB"/>
              </w:rPr>
              <w:t> 30</w:t>
            </w:r>
          </w:p>
        </w:tc>
        <w:tc>
          <w:tcPr>
            <w:tcW w:w="0" w:type="auto"/>
            <w:tcBorders>
              <w:top w:val="nil"/>
              <w:left w:val="nil"/>
              <w:bottom w:val="single" w:sz="8" w:space="0" w:color="auto"/>
              <w:right w:val="single" w:sz="8" w:space="0" w:color="auto"/>
            </w:tcBorders>
            <w:vAlign w:val="center"/>
            <w:hideMark/>
          </w:tcPr>
          <w:p w14:paraId="430CD8FA" w14:textId="77777777" w:rsidR="00C14C6F" w:rsidRDefault="00C14C6F">
            <w:pPr>
              <w:spacing w:before="0"/>
              <w:jc w:val="center"/>
              <w:rPr>
                <w:color w:val="000000"/>
                <w:sz w:val="20"/>
                <w:lang w:val="en-US" w:eastAsia="en-GB"/>
              </w:rPr>
            </w:pPr>
            <w:proofErr w:type="spellStart"/>
            <w:r>
              <w:rPr>
                <w:color w:val="000000"/>
                <w:sz w:val="20"/>
                <w:lang w:val="en-US" w:eastAsia="zh-CN"/>
              </w:rPr>
              <w:t>dBi</w:t>
            </w:r>
            <w:proofErr w:type="spellEnd"/>
          </w:p>
        </w:tc>
      </w:tr>
      <w:tr w:rsidR="00C14C6F" w14:paraId="1C55F7D0" w14:textId="77777777" w:rsidTr="00C14C6F">
        <w:trPr>
          <w:trHeight w:val="501"/>
          <w:jc w:val="center"/>
        </w:trPr>
        <w:tc>
          <w:tcPr>
            <w:tcW w:w="2825" w:type="dxa"/>
            <w:tcBorders>
              <w:top w:val="nil"/>
              <w:left w:val="single" w:sz="8" w:space="0" w:color="auto"/>
              <w:bottom w:val="single" w:sz="8" w:space="0" w:color="auto"/>
              <w:right w:val="single" w:sz="8" w:space="0" w:color="auto"/>
            </w:tcBorders>
            <w:vAlign w:val="center"/>
            <w:hideMark/>
          </w:tcPr>
          <w:p w14:paraId="3D818591" w14:textId="77777777" w:rsidR="00C14C6F" w:rsidRDefault="00C14C6F">
            <w:pPr>
              <w:spacing w:before="0"/>
              <w:rPr>
                <w:color w:val="000000"/>
                <w:sz w:val="20"/>
                <w:lang w:val="en-US" w:eastAsia="en-GB"/>
              </w:rPr>
            </w:pPr>
            <w:r>
              <w:rPr>
                <w:color w:val="000000"/>
                <w:sz w:val="20"/>
                <w:lang w:val="en-US" w:eastAsia="zh-CN"/>
              </w:rPr>
              <w:t>Satellite antenna gain in the direction of the BS</w:t>
            </w:r>
          </w:p>
        </w:tc>
        <w:tc>
          <w:tcPr>
            <w:tcW w:w="1560" w:type="dxa"/>
            <w:tcBorders>
              <w:top w:val="nil"/>
              <w:left w:val="nil"/>
              <w:bottom w:val="single" w:sz="8" w:space="0" w:color="auto"/>
              <w:right w:val="single" w:sz="8" w:space="0" w:color="auto"/>
            </w:tcBorders>
            <w:vAlign w:val="center"/>
            <w:hideMark/>
          </w:tcPr>
          <w:p w14:paraId="2CEDDC3A" w14:textId="77777777" w:rsidR="00C14C6F" w:rsidRDefault="00C14C6F">
            <w:pPr>
              <w:spacing w:before="0"/>
              <w:jc w:val="center"/>
              <w:rPr>
                <w:color w:val="000000"/>
                <w:sz w:val="20"/>
                <w:lang w:val="en-US" w:eastAsia="en-GB"/>
              </w:rPr>
            </w:pPr>
            <w:r>
              <w:rPr>
                <w:color w:val="000000"/>
                <w:sz w:val="20"/>
                <w:lang w:val="en-US" w:eastAsia="zh-CN"/>
              </w:rPr>
              <w:t>43.6</w:t>
            </w:r>
          </w:p>
        </w:tc>
        <w:tc>
          <w:tcPr>
            <w:tcW w:w="1559" w:type="dxa"/>
            <w:tcBorders>
              <w:top w:val="nil"/>
              <w:left w:val="nil"/>
              <w:bottom w:val="single" w:sz="8" w:space="0" w:color="auto"/>
              <w:right w:val="single" w:sz="8" w:space="0" w:color="auto"/>
            </w:tcBorders>
            <w:vAlign w:val="center"/>
            <w:hideMark/>
          </w:tcPr>
          <w:p w14:paraId="3C265AA9" w14:textId="77777777" w:rsidR="00C14C6F" w:rsidRDefault="00C14C6F">
            <w:pPr>
              <w:spacing w:before="0"/>
              <w:jc w:val="center"/>
              <w:rPr>
                <w:color w:val="000000"/>
                <w:sz w:val="20"/>
                <w:lang w:val="ru-RU" w:eastAsia="en-GB"/>
              </w:rPr>
            </w:pPr>
            <w:r>
              <w:rPr>
                <w:color w:val="000000"/>
                <w:sz w:val="20"/>
                <w:lang w:val="en-US" w:eastAsia="en-GB"/>
              </w:rPr>
              <w:t>21</w:t>
            </w:r>
          </w:p>
        </w:tc>
        <w:tc>
          <w:tcPr>
            <w:tcW w:w="1417" w:type="dxa"/>
            <w:tcBorders>
              <w:top w:val="nil"/>
              <w:left w:val="nil"/>
              <w:bottom w:val="single" w:sz="8" w:space="0" w:color="auto"/>
              <w:right w:val="single" w:sz="8" w:space="0" w:color="auto"/>
            </w:tcBorders>
            <w:vAlign w:val="center"/>
            <w:hideMark/>
          </w:tcPr>
          <w:p w14:paraId="2670EB13" w14:textId="77777777" w:rsidR="00C14C6F" w:rsidRDefault="00C14C6F">
            <w:pPr>
              <w:spacing w:before="0"/>
              <w:jc w:val="center"/>
              <w:rPr>
                <w:color w:val="000000"/>
                <w:sz w:val="20"/>
                <w:lang w:val="en-US" w:eastAsia="en-GB"/>
              </w:rPr>
            </w:pPr>
            <w:r>
              <w:rPr>
                <w:sz w:val="20"/>
                <w:lang w:val="en-US"/>
              </w:rPr>
              <w:t>42.8</w:t>
            </w:r>
          </w:p>
        </w:tc>
        <w:tc>
          <w:tcPr>
            <w:tcW w:w="1524" w:type="dxa"/>
            <w:tcBorders>
              <w:top w:val="nil"/>
              <w:left w:val="nil"/>
              <w:bottom w:val="single" w:sz="8" w:space="0" w:color="auto"/>
              <w:right w:val="single" w:sz="8" w:space="0" w:color="auto"/>
            </w:tcBorders>
            <w:vAlign w:val="center"/>
            <w:hideMark/>
          </w:tcPr>
          <w:p w14:paraId="54F6FE09" w14:textId="77777777" w:rsidR="00C14C6F" w:rsidRDefault="00C14C6F">
            <w:pPr>
              <w:spacing w:before="0"/>
              <w:jc w:val="center"/>
              <w:rPr>
                <w:color w:val="000000"/>
                <w:sz w:val="20"/>
                <w:lang w:val="en-US" w:eastAsia="en-GB"/>
              </w:rPr>
            </w:pPr>
            <w:r>
              <w:rPr>
                <w:color w:val="000000"/>
                <w:sz w:val="20"/>
                <w:lang w:val="en-US" w:eastAsia="en-GB"/>
              </w:rPr>
              <w:t> 27</w:t>
            </w:r>
          </w:p>
        </w:tc>
        <w:tc>
          <w:tcPr>
            <w:tcW w:w="0" w:type="auto"/>
            <w:tcBorders>
              <w:top w:val="nil"/>
              <w:left w:val="nil"/>
              <w:bottom w:val="single" w:sz="8" w:space="0" w:color="auto"/>
              <w:right w:val="single" w:sz="8" w:space="0" w:color="auto"/>
            </w:tcBorders>
            <w:vAlign w:val="center"/>
            <w:hideMark/>
          </w:tcPr>
          <w:p w14:paraId="227C79B6" w14:textId="77777777" w:rsidR="00C14C6F" w:rsidRDefault="00C14C6F">
            <w:pPr>
              <w:spacing w:before="0"/>
              <w:jc w:val="center"/>
              <w:rPr>
                <w:color w:val="000000"/>
                <w:sz w:val="20"/>
                <w:lang w:val="en-US" w:eastAsia="en-GB"/>
              </w:rPr>
            </w:pPr>
            <w:proofErr w:type="spellStart"/>
            <w:r>
              <w:rPr>
                <w:color w:val="000000"/>
                <w:sz w:val="20"/>
                <w:lang w:val="en-US" w:eastAsia="zh-CN"/>
              </w:rPr>
              <w:t>dBi</w:t>
            </w:r>
            <w:proofErr w:type="spellEnd"/>
          </w:p>
        </w:tc>
      </w:tr>
      <w:tr w:rsidR="00C14C6F" w14:paraId="69720D9E" w14:textId="77777777" w:rsidTr="00C14C6F">
        <w:trPr>
          <w:trHeight w:val="501"/>
          <w:jc w:val="center"/>
        </w:trPr>
        <w:tc>
          <w:tcPr>
            <w:tcW w:w="2825" w:type="dxa"/>
            <w:vMerge w:val="restart"/>
            <w:tcBorders>
              <w:top w:val="nil"/>
              <w:left w:val="single" w:sz="8" w:space="0" w:color="auto"/>
              <w:bottom w:val="single" w:sz="8" w:space="0" w:color="000000"/>
              <w:right w:val="single" w:sz="8" w:space="0" w:color="auto"/>
            </w:tcBorders>
            <w:vAlign w:val="center"/>
            <w:hideMark/>
          </w:tcPr>
          <w:p w14:paraId="29109EFC" w14:textId="77777777" w:rsidR="00C14C6F" w:rsidRDefault="00C14C6F">
            <w:pPr>
              <w:spacing w:before="0"/>
              <w:rPr>
                <w:color w:val="000000"/>
                <w:sz w:val="20"/>
                <w:lang w:val="en-US" w:eastAsia="en-GB"/>
              </w:rPr>
            </w:pPr>
            <w:r>
              <w:rPr>
                <w:color w:val="000000"/>
                <w:sz w:val="20"/>
                <w:lang w:val="en-US" w:eastAsia="zh-CN"/>
              </w:rPr>
              <w:t>Uplink transmitting power spectral density (with feeder loss)</w:t>
            </w:r>
          </w:p>
        </w:tc>
        <w:tc>
          <w:tcPr>
            <w:tcW w:w="1560" w:type="dxa"/>
            <w:tcBorders>
              <w:top w:val="nil"/>
              <w:left w:val="nil"/>
              <w:bottom w:val="single" w:sz="8" w:space="0" w:color="auto"/>
              <w:right w:val="single" w:sz="8" w:space="0" w:color="auto"/>
            </w:tcBorders>
            <w:vAlign w:val="center"/>
            <w:hideMark/>
          </w:tcPr>
          <w:p w14:paraId="7DAFFAC4" w14:textId="6143FDD2" w:rsidR="00C14C6F" w:rsidRDefault="00082DCF">
            <w:pPr>
              <w:spacing w:before="0"/>
              <w:jc w:val="center"/>
              <w:rPr>
                <w:color w:val="000000"/>
                <w:sz w:val="20"/>
                <w:lang w:val="en-US" w:eastAsia="en-GB"/>
              </w:rPr>
            </w:pPr>
            <w:r w:rsidRPr="00082DCF">
              <w:rPr>
                <w:color w:val="000000"/>
                <w:sz w:val="20"/>
                <w:lang w:val="en-US" w:eastAsia="zh-CN"/>
              </w:rPr>
              <w:t>–</w:t>
            </w:r>
            <w:r w:rsidR="00C14C6F">
              <w:rPr>
                <w:color w:val="000000"/>
                <w:sz w:val="20"/>
                <w:lang w:val="en-US" w:eastAsia="zh-CN"/>
              </w:rPr>
              <w:t>27</w:t>
            </w:r>
          </w:p>
        </w:tc>
        <w:tc>
          <w:tcPr>
            <w:tcW w:w="1559" w:type="dxa"/>
            <w:tcBorders>
              <w:top w:val="nil"/>
              <w:left w:val="nil"/>
              <w:bottom w:val="single" w:sz="8" w:space="0" w:color="auto"/>
              <w:right w:val="single" w:sz="8" w:space="0" w:color="auto"/>
            </w:tcBorders>
            <w:vAlign w:val="center"/>
            <w:hideMark/>
          </w:tcPr>
          <w:p w14:paraId="63342D82" w14:textId="44419D27" w:rsidR="00C14C6F" w:rsidRDefault="00082DCF">
            <w:pPr>
              <w:spacing w:before="0"/>
              <w:jc w:val="center"/>
              <w:rPr>
                <w:color w:val="000000"/>
                <w:sz w:val="20"/>
                <w:lang w:val="en-US" w:eastAsia="en-GB"/>
              </w:rPr>
            </w:pPr>
            <w:r w:rsidRPr="00082DCF">
              <w:rPr>
                <w:color w:val="000000"/>
                <w:sz w:val="20"/>
                <w:lang w:val="en-US" w:eastAsia="zh-CN"/>
              </w:rPr>
              <w:t>–</w:t>
            </w:r>
            <w:r w:rsidR="00C14C6F">
              <w:rPr>
                <w:color w:val="000000"/>
                <w:sz w:val="20"/>
                <w:lang w:val="en-US" w:eastAsia="zh-CN"/>
              </w:rPr>
              <w:t>27</w:t>
            </w:r>
          </w:p>
        </w:tc>
        <w:tc>
          <w:tcPr>
            <w:tcW w:w="1417" w:type="dxa"/>
            <w:tcBorders>
              <w:top w:val="nil"/>
              <w:left w:val="nil"/>
              <w:bottom w:val="single" w:sz="8" w:space="0" w:color="auto"/>
              <w:right w:val="single" w:sz="8" w:space="0" w:color="auto"/>
            </w:tcBorders>
            <w:vAlign w:val="center"/>
            <w:hideMark/>
          </w:tcPr>
          <w:p w14:paraId="63C2BB40" w14:textId="3FA79E7D" w:rsidR="00C14C6F" w:rsidRDefault="00082DCF">
            <w:pPr>
              <w:spacing w:before="0"/>
              <w:jc w:val="center"/>
              <w:rPr>
                <w:color w:val="000000"/>
                <w:sz w:val="20"/>
                <w:lang w:val="en-US" w:eastAsia="en-GB"/>
              </w:rPr>
            </w:pPr>
            <w:r w:rsidRPr="00082DCF">
              <w:rPr>
                <w:color w:val="000000"/>
                <w:sz w:val="20"/>
                <w:lang w:val="en-US" w:eastAsia="zh-CN"/>
              </w:rPr>
              <w:t>–</w:t>
            </w:r>
            <w:r w:rsidR="00C14C6F">
              <w:rPr>
                <w:color w:val="000000"/>
                <w:sz w:val="20"/>
                <w:lang w:val="en-US" w:eastAsia="zh-CN"/>
              </w:rPr>
              <w:t>27</w:t>
            </w:r>
          </w:p>
        </w:tc>
        <w:tc>
          <w:tcPr>
            <w:tcW w:w="1524" w:type="dxa"/>
            <w:tcBorders>
              <w:top w:val="nil"/>
              <w:left w:val="nil"/>
              <w:bottom w:val="single" w:sz="8" w:space="0" w:color="auto"/>
              <w:right w:val="single" w:sz="8" w:space="0" w:color="auto"/>
            </w:tcBorders>
            <w:vAlign w:val="center"/>
            <w:hideMark/>
          </w:tcPr>
          <w:p w14:paraId="40967D16" w14:textId="6AB81866" w:rsidR="00C14C6F" w:rsidRDefault="00C14C6F">
            <w:pPr>
              <w:spacing w:before="0"/>
              <w:jc w:val="center"/>
              <w:rPr>
                <w:color w:val="000000"/>
                <w:sz w:val="20"/>
                <w:lang w:val="en-US" w:eastAsia="en-GB"/>
              </w:rPr>
            </w:pPr>
            <w:r>
              <w:rPr>
                <w:color w:val="000000"/>
                <w:sz w:val="20"/>
                <w:lang w:val="en-US" w:eastAsia="zh-CN"/>
              </w:rPr>
              <w:t> </w:t>
            </w:r>
            <w:r w:rsidR="00082DCF" w:rsidRPr="00082DCF">
              <w:rPr>
                <w:color w:val="000000"/>
                <w:sz w:val="20"/>
                <w:lang w:val="en-US" w:eastAsia="zh-CN"/>
              </w:rPr>
              <w:t>–</w:t>
            </w:r>
            <w:r>
              <w:rPr>
                <w:color w:val="000000"/>
                <w:sz w:val="20"/>
                <w:lang w:val="en-US" w:eastAsia="zh-CN"/>
              </w:rPr>
              <w:t>27</w:t>
            </w:r>
          </w:p>
        </w:tc>
        <w:tc>
          <w:tcPr>
            <w:tcW w:w="0" w:type="auto"/>
            <w:vMerge w:val="restart"/>
            <w:tcBorders>
              <w:top w:val="nil"/>
              <w:left w:val="single" w:sz="8" w:space="0" w:color="auto"/>
              <w:bottom w:val="single" w:sz="8" w:space="0" w:color="000000"/>
              <w:right w:val="single" w:sz="8" w:space="0" w:color="auto"/>
            </w:tcBorders>
            <w:vAlign w:val="center"/>
            <w:hideMark/>
          </w:tcPr>
          <w:p w14:paraId="684991FA" w14:textId="77777777" w:rsidR="00C14C6F" w:rsidRDefault="00C14C6F">
            <w:pPr>
              <w:spacing w:before="0"/>
              <w:jc w:val="center"/>
              <w:rPr>
                <w:color w:val="000000"/>
                <w:sz w:val="20"/>
                <w:lang w:val="en-US" w:eastAsia="en-GB"/>
              </w:rPr>
            </w:pPr>
            <w:r>
              <w:rPr>
                <w:color w:val="000000"/>
                <w:sz w:val="20"/>
                <w:lang w:val="en-US" w:eastAsia="zh-CN"/>
              </w:rPr>
              <w:t>dBm/Hz</w:t>
            </w:r>
          </w:p>
        </w:tc>
      </w:tr>
      <w:tr w:rsidR="00C14C6F" w14:paraId="071EE3C4" w14:textId="77777777" w:rsidTr="00C14C6F">
        <w:trPr>
          <w:trHeight w:val="501"/>
          <w:jc w:val="center"/>
        </w:trPr>
        <w:tc>
          <w:tcPr>
            <w:tcW w:w="0" w:type="auto"/>
            <w:vMerge/>
            <w:tcBorders>
              <w:top w:val="nil"/>
              <w:left w:val="single" w:sz="8" w:space="0" w:color="auto"/>
              <w:bottom w:val="single" w:sz="8" w:space="0" w:color="000000"/>
              <w:right w:val="single" w:sz="8" w:space="0" w:color="auto"/>
            </w:tcBorders>
            <w:vAlign w:val="center"/>
            <w:hideMark/>
          </w:tcPr>
          <w:p w14:paraId="57815285" w14:textId="77777777" w:rsidR="00C14C6F" w:rsidRDefault="00C14C6F">
            <w:pPr>
              <w:tabs>
                <w:tab w:val="clear" w:pos="1134"/>
                <w:tab w:val="clear" w:pos="1871"/>
                <w:tab w:val="clear" w:pos="2268"/>
              </w:tabs>
              <w:overflowPunct/>
              <w:autoSpaceDE/>
              <w:autoSpaceDN/>
              <w:adjustRightInd/>
              <w:spacing w:before="0"/>
              <w:rPr>
                <w:color w:val="000000"/>
                <w:sz w:val="20"/>
                <w:lang w:val="en-US" w:eastAsia="en-GB"/>
              </w:rPr>
            </w:pPr>
          </w:p>
        </w:tc>
        <w:tc>
          <w:tcPr>
            <w:tcW w:w="1560" w:type="dxa"/>
            <w:tcBorders>
              <w:top w:val="nil"/>
              <w:left w:val="nil"/>
              <w:bottom w:val="single" w:sz="8" w:space="0" w:color="auto"/>
              <w:right w:val="single" w:sz="8" w:space="0" w:color="auto"/>
            </w:tcBorders>
            <w:vAlign w:val="center"/>
            <w:hideMark/>
          </w:tcPr>
          <w:p w14:paraId="17479647" w14:textId="77777777" w:rsidR="00C14C6F" w:rsidRDefault="00C14C6F">
            <w:pPr>
              <w:spacing w:before="0"/>
              <w:jc w:val="center"/>
              <w:rPr>
                <w:color w:val="000000"/>
                <w:sz w:val="20"/>
                <w:lang w:val="en-US" w:eastAsia="en-GB"/>
              </w:rPr>
            </w:pPr>
            <w:r>
              <w:rPr>
                <w:color w:val="000000"/>
                <w:sz w:val="20"/>
                <w:lang w:val="en-US" w:eastAsia="zh-CN"/>
              </w:rPr>
              <w:t>(43 dBm/5MHz)</w:t>
            </w:r>
          </w:p>
        </w:tc>
        <w:tc>
          <w:tcPr>
            <w:tcW w:w="1559" w:type="dxa"/>
            <w:tcBorders>
              <w:top w:val="nil"/>
              <w:left w:val="nil"/>
              <w:bottom w:val="single" w:sz="8" w:space="0" w:color="auto"/>
              <w:right w:val="single" w:sz="8" w:space="0" w:color="auto"/>
            </w:tcBorders>
            <w:vAlign w:val="center"/>
            <w:hideMark/>
          </w:tcPr>
          <w:p w14:paraId="305CF317" w14:textId="77777777" w:rsidR="00C14C6F" w:rsidRDefault="00C14C6F">
            <w:pPr>
              <w:spacing w:before="0"/>
              <w:jc w:val="center"/>
              <w:rPr>
                <w:color w:val="000000"/>
                <w:sz w:val="20"/>
                <w:lang w:val="en-US" w:eastAsia="en-GB"/>
              </w:rPr>
            </w:pPr>
            <w:r>
              <w:rPr>
                <w:color w:val="000000"/>
                <w:sz w:val="20"/>
                <w:lang w:val="en-US" w:eastAsia="zh-CN"/>
              </w:rPr>
              <w:t>(43dBm/5MHz)</w:t>
            </w:r>
          </w:p>
        </w:tc>
        <w:tc>
          <w:tcPr>
            <w:tcW w:w="1417" w:type="dxa"/>
            <w:tcBorders>
              <w:top w:val="nil"/>
              <w:left w:val="nil"/>
              <w:bottom w:val="single" w:sz="8" w:space="0" w:color="auto"/>
              <w:right w:val="single" w:sz="8" w:space="0" w:color="auto"/>
            </w:tcBorders>
            <w:vAlign w:val="center"/>
            <w:hideMark/>
          </w:tcPr>
          <w:p w14:paraId="78E69643" w14:textId="77777777" w:rsidR="00C14C6F" w:rsidRDefault="00C14C6F">
            <w:pPr>
              <w:spacing w:before="0"/>
              <w:jc w:val="center"/>
              <w:rPr>
                <w:color w:val="000000"/>
                <w:sz w:val="20"/>
                <w:lang w:val="en-US" w:eastAsia="en-GB"/>
              </w:rPr>
            </w:pPr>
            <w:r>
              <w:rPr>
                <w:color w:val="000000"/>
                <w:sz w:val="20"/>
                <w:lang w:val="en-US" w:eastAsia="zh-CN"/>
              </w:rPr>
              <w:t>(43dBm/5MHz)</w:t>
            </w:r>
          </w:p>
        </w:tc>
        <w:tc>
          <w:tcPr>
            <w:tcW w:w="1524" w:type="dxa"/>
            <w:tcBorders>
              <w:top w:val="nil"/>
              <w:left w:val="nil"/>
              <w:bottom w:val="single" w:sz="8" w:space="0" w:color="auto"/>
              <w:right w:val="single" w:sz="8" w:space="0" w:color="auto"/>
            </w:tcBorders>
            <w:vAlign w:val="center"/>
            <w:hideMark/>
          </w:tcPr>
          <w:p w14:paraId="411F9189" w14:textId="77777777" w:rsidR="00C14C6F" w:rsidRDefault="00C14C6F">
            <w:pPr>
              <w:spacing w:before="0"/>
              <w:jc w:val="center"/>
              <w:rPr>
                <w:color w:val="000000"/>
                <w:sz w:val="20"/>
                <w:lang w:val="en-US" w:eastAsia="en-GB"/>
              </w:rPr>
            </w:pPr>
            <w:r>
              <w:rPr>
                <w:color w:val="000000"/>
                <w:sz w:val="20"/>
                <w:lang w:val="en-US" w:eastAsia="zh-CN"/>
              </w:rPr>
              <w:t>(43dBm/5MHz) </w:t>
            </w:r>
          </w:p>
        </w:tc>
        <w:tc>
          <w:tcPr>
            <w:tcW w:w="0" w:type="auto"/>
            <w:vMerge/>
            <w:tcBorders>
              <w:top w:val="nil"/>
              <w:left w:val="single" w:sz="8" w:space="0" w:color="auto"/>
              <w:bottom w:val="single" w:sz="8" w:space="0" w:color="000000"/>
              <w:right w:val="single" w:sz="8" w:space="0" w:color="auto"/>
            </w:tcBorders>
            <w:vAlign w:val="center"/>
            <w:hideMark/>
          </w:tcPr>
          <w:p w14:paraId="731EFEB9" w14:textId="77777777" w:rsidR="00C14C6F" w:rsidRDefault="00C14C6F">
            <w:pPr>
              <w:tabs>
                <w:tab w:val="clear" w:pos="1134"/>
                <w:tab w:val="clear" w:pos="1871"/>
                <w:tab w:val="clear" w:pos="2268"/>
              </w:tabs>
              <w:overflowPunct/>
              <w:autoSpaceDE/>
              <w:autoSpaceDN/>
              <w:adjustRightInd/>
              <w:spacing w:before="0"/>
              <w:rPr>
                <w:color w:val="000000"/>
                <w:sz w:val="20"/>
                <w:lang w:val="en-US" w:eastAsia="en-GB"/>
              </w:rPr>
            </w:pPr>
          </w:p>
        </w:tc>
      </w:tr>
      <w:tr w:rsidR="00C14C6F" w14:paraId="4DAA17E8" w14:textId="77777777" w:rsidTr="00C14C6F">
        <w:trPr>
          <w:trHeight w:val="501"/>
          <w:jc w:val="center"/>
        </w:trPr>
        <w:tc>
          <w:tcPr>
            <w:tcW w:w="2825" w:type="dxa"/>
            <w:tcBorders>
              <w:top w:val="nil"/>
              <w:left w:val="single" w:sz="8" w:space="0" w:color="auto"/>
              <w:bottom w:val="single" w:sz="8" w:space="0" w:color="auto"/>
              <w:right w:val="single" w:sz="8" w:space="0" w:color="auto"/>
            </w:tcBorders>
            <w:vAlign w:val="center"/>
            <w:hideMark/>
          </w:tcPr>
          <w:p w14:paraId="471480B0" w14:textId="77777777" w:rsidR="00C14C6F" w:rsidRDefault="00C14C6F">
            <w:pPr>
              <w:spacing w:before="0"/>
              <w:rPr>
                <w:color w:val="000000"/>
                <w:sz w:val="20"/>
                <w:lang w:val="en-US" w:eastAsia="en-GB"/>
              </w:rPr>
            </w:pPr>
            <w:r>
              <w:rPr>
                <w:color w:val="000000"/>
                <w:sz w:val="20"/>
                <w:lang w:val="en-US" w:eastAsia="zh-CN"/>
              </w:rPr>
              <w:t xml:space="preserve">BS antenna gain in the direction of the satellite </w:t>
            </w:r>
          </w:p>
        </w:tc>
        <w:tc>
          <w:tcPr>
            <w:tcW w:w="1560" w:type="dxa"/>
            <w:tcBorders>
              <w:top w:val="nil"/>
              <w:left w:val="nil"/>
              <w:bottom w:val="single" w:sz="8" w:space="0" w:color="auto"/>
              <w:right w:val="single" w:sz="8" w:space="0" w:color="auto"/>
            </w:tcBorders>
            <w:vAlign w:val="center"/>
            <w:hideMark/>
          </w:tcPr>
          <w:p w14:paraId="7899B966" w14:textId="77777777" w:rsidR="00C14C6F" w:rsidRDefault="00C14C6F">
            <w:pPr>
              <w:spacing w:before="0"/>
              <w:jc w:val="center"/>
              <w:rPr>
                <w:color w:val="000000"/>
                <w:sz w:val="20"/>
                <w:lang w:val="en-US" w:eastAsia="en-GB"/>
              </w:rPr>
            </w:pPr>
            <w:r>
              <w:rPr>
                <w:color w:val="000000"/>
                <w:sz w:val="20"/>
                <w:lang w:val="en-US" w:eastAsia="zh-CN"/>
              </w:rPr>
              <w:t>11.7</w:t>
            </w:r>
          </w:p>
        </w:tc>
        <w:tc>
          <w:tcPr>
            <w:tcW w:w="1559" w:type="dxa"/>
            <w:tcBorders>
              <w:top w:val="nil"/>
              <w:left w:val="nil"/>
              <w:bottom w:val="single" w:sz="8" w:space="0" w:color="auto"/>
              <w:right w:val="single" w:sz="8" w:space="0" w:color="auto"/>
            </w:tcBorders>
            <w:vAlign w:val="center"/>
            <w:hideMark/>
          </w:tcPr>
          <w:p w14:paraId="3C6A799D" w14:textId="77777777" w:rsidR="00C14C6F" w:rsidRDefault="00C14C6F">
            <w:pPr>
              <w:spacing w:before="0"/>
              <w:jc w:val="center"/>
              <w:rPr>
                <w:color w:val="000000"/>
                <w:sz w:val="20"/>
                <w:lang w:val="en-US" w:eastAsia="en-GB"/>
              </w:rPr>
            </w:pPr>
            <w:r>
              <w:rPr>
                <w:color w:val="000000"/>
                <w:sz w:val="20"/>
                <w:lang w:val="en-US" w:eastAsia="zh-CN"/>
              </w:rPr>
              <w:t>0.5</w:t>
            </w:r>
          </w:p>
        </w:tc>
        <w:tc>
          <w:tcPr>
            <w:tcW w:w="1417" w:type="dxa"/>
            <w:tcBorders>
              <w:top w:val="nil"/>
              <w:left w:val="nil"/>
              <w:bottom w:val="single" w:sz="8" w:space="0" w:color="auto"/>
              <w:right w:val="single" w:sz="8" w:space="0" w:color="auto"/>
            </w:tcBorders>
            <w:vAlign w:val="center"/>
            <w:hideMark/>
          </w:tcPr>
          <w:p w14:paraId="5BC843BD" w14:textId="77777777" w:rsidR="00C14C6F" w:rsidRDefault="00C14C6F">
            <w:pPr>
              <w:spacing w:before="0"/>
              <w:jc w:val="center"/>
              <w:rPr>
                <w:color w:val="000000"/>
                <w:sz w:val="20"/>
                <w:lang w:val="en-US" w:eastAsia="en-GB"/>
              </w:rPr>
            </w:pPr>
            <w:r>
              <w:rPr>
                <w:sz w:val="20"/>
                <w:lang w:val="en-US"/>
              </w:rPr>
              <w:t>6.9</w:t>
            </w:r>
          </w:p>
        </w:tc>
        <w:tc>
          <w:tcPr>
            <w:tcW w:w="1524" w:type="dxa"/>
            <w:tcBorders>
              <w:top w:val="nil"/>
              <w:left w:val="nil"/>
              <w:bottom w:val="single" w:sz="8" w:space="0" w:color="auto"/>
              <w:right w:val="single" w:sz="8" w:space="0" w:color="auto"/>
            </w:tcBorders>
            <w:vAlign w:val="center"/>
            <w:hideMark/>
          </w:tcPr>
          <w:p w14:paraId="2CDBA358" w14:textId="77777777" w:rsidR="00C14C6F" w:rsidRDefault="00C14C6F">
            <w:pPr>
              <w:spacing w:before="0"/>
              <w:jc w:val="center"/>
              <w:rPr>
                <w:color w:val="000000"/>
                <w:sz w:val="20"/>
                <w:lang w:val="en-US" w:eastAsia="en-GB"/>
              </w:rPr>
            </w:pPr>
            <w:r>
              <w:rPr>
                <w:color w:val="000000"/>
                <w:sz w:val="20"/>
                <w:lang w:val="en-US" w:eastAsia="zh-CN"/>
              </w:rPr>
              <w:t> 2.6</w:t>
            </w:r>
          </w:p>
        </w:tc>
        <w:tc>
          <w:tcPr>
            <w:tcW w:w="0" w:type="auto"/>
            <w:tcBorders>
              <w:top w:val="nil"/>
              <w:left w:val="nil"/>
              <w:bottom w:val="single" w:sz="8" w:space="0" w:color="auto"/>
              <w:right w:val="single" w:sz="8" w:space="0" w:color="auto"/>
            </w:tcBorders>
            <w:vAlign w:val="center"/>
            <w:hideMark/>
          </w:tcPr>
          <w:p w14:paraId="01164036" w14:textId="77777777" w:rsidR="00C14C6F" w:rsidRDefault="00C14C6F">
            <w:pPr>
              <w:spacing w:before="0"/>
              <w:jc w:val="center"/>
              <w:rPr>
                <w:color w:val="000000"/>
                <w:sz w:val="20"/>
                <w:lang w:val="en-US" w:eastAsia="en-GB"/>
              </w:rPr>
            </w:pPr>
            <w:proofErr w:type="spellStart"/>
            <w:r>
              <w:rPr>
                <w:color w:val="000000"/>
                <w:sz w:val="20"/>
                <w:lang w:val="en-US" w:eastAsia="zh-CN"/>
              </w:rPr>
              <w:t>dBi</w:t>
            </w:r>
            <w:proofErr w:type="spellEnd"/>
          </w:p>
        </w:tc>
      </w:tr>
      <w:tr w:rsidR="00C14C6F" w14:paraId="7EEBBCA6" w14:textId="77777777" w:rsidTr="00C14C6F">
        <w:trPr>
          <w:trHeight w:val="501"/>
          <w:jc w:val="center"/>
        </w:trPr>
        <w:tc>
          <w:tcPr>
            <w:tcW w:w="2825" w:type="dxa"/>
            <w:tcBorders>
              <w:top w:val="nil"/>
              <w:left w:val="single" w:sz="8" w:space="0" w:color="auto"/>
              <w:bottom w:val="single" w:sz="8" w:space="0" w:color="auto"/>
              <w:right w:val="single" w:sz="8" w:space="0" w:color="auto"/>
            </w:tcBorders>
            <w:vAlign w:val="center"/>
            <w:hideMark/>
          </w:tcPr>
          <w:p w14:paraId="1163F348" w14:textId="77777777" w:rsidR="00C14C6F" w:rsidRDefault="00C14C6F">
            <w:pPr>
              <w:spacing w:before="0"/>
              <w:rPr>
                <w:color w:val="000000"/>
                <w:sz w:val="20"/>
                <w:lang w:val="en-US" w:eastAsia="en-GB"/>
              </w:rPr>
            </w:pPr>
            <w:r>
              <w:rPr>
                <w:color w:val="000000"/>
                <w:sz w:val="20"/>
                <w:lang w:val="en-US" w:eastAsia="en-GB"/>
              </w:rPr>
              <w:t>BS Interference EIRP spectral density</w:t>
            </w:r>
          </w:p>
        </w:tc>
        <w:tc>
          <w:tcPr>
            <w:tcW w:w="1560" w:type="dxa"/>
            <w:tcBorders>
              <w:top w:val="nil"/>
              <w:left w:val="nil"/>
              <w:bottom w:val="single" w:sz="8" w:space="0" w:color="auto"/>
              <w:right w:val="single" w:sz="8" w:space="0" w:color="auto"/>
            </w:tcBorders>
            <w:vAlign w:val="center"/>
            <w:hideMark/>
          </w:tcPr>
          <w:p w14:paraId="4278C17C" w14:textId="6522A8E3" w:rsidR="00C14C6F" w:rsidRDefault="00082DCF">
            <w:pPr>
              <w:spacing w:before="0"/>
              <w:jc w:val="center"/>
              <w:rPr>
                <w:color w:val="000000"/>
                <w:sz w:val="20"/>
                <w:lang w:val="en-US" w:eastAsia="en-GB"/>
              </w:rPr>
            </w:pPr>
            <w:r w:rsidRPr="00082DCF">
              <w:rPr>
                <w:color w:val="000000"/>
                <w:sz w:val="20"/>
                <w:lang w:val="en-US" w:eastAsia="zh-CN"/>
              </w:rPr>
              <w:t>–</w:t>
            </w:r>
            <w:r w:rsidR="00C14C6F">
              <w:rPr>
                <w:color w:val="000000"/>
                <w:sz w:val="20"/>
                <w:lang w:val="en-US" w:eastAsia="en-GB"/>
              </w:rPr>
              <w:t>15.3</w:t>
            </w:r>
          </w:p>
        </w:tc>
        <w:tc>
          <w:tcPr>
            <w:tcW w:w="1559" w:type="dxa"/>
            <w:tcBorders>
              <w:top w:val="nil"/>
              <w:left w:val="nil"/>
              <w:bottom w:val="single" w:sz="8" w:space="0" w:color="auto"/>
              <w:right w:val="single" w:sz="8" w:space="0" w:color="auto"/>
            </w:tcBorders>
            <w:vAlign w:val="center"/>
            <w:hideMark/>
          </w:tcPr>
          <w:p w14:paraId="2DA391F5" w14:textId="47FD5CBD" w:rsidR="00C14C6F" w:rsidRDefault="00082DCF">
            <w:pPr>
              <w:spacing w:before="0"/>
              <w:jc w:val="center"/>
              <w:rPr>
                <w:color w:val="000000"/>
                <w:sz w:val="20"/>
                <w:lang w:val="en-US" w:eastAsia="en-GB"/>
              </w:rPr>
            </w:pPr>
            <w:r w:rsidRPr="00082DCF">
              <w:rPr>
                <w:color w:val="000000"/>
                <w:sz w:val="20"/>
                <w:lang w:val="en-US" w:eastAsia="zh-CN"/>
              </w:rPr>
              <w:t>–</w:t>
            </w:r>
            <w:r w:rsidR="00C14C6F">
              <w:rPr>
                <w:color w:val="000000"/>
                <w:sz w:val="20"/>
                <w:lang w:val="en-US" w:eastAsia="en-GB"/>
              </w:rPr>
              <w:t>26.5</w:t>
            </w:r>
          </w:p>
        </w:tc>
        <w:tc>
          <w:tcPr>
            <w:tcW w:w="1417" w:type="dxa"/>
            <w:tcBorders>
              <w:top w:val="nil"/>
              <w:left w:val="nil"/>
              <w:bottom w:val="single" w:sz="8" w:space="0" w:color="auto"/>
              <w:right w:val="single" w:sz="8" w:space="0" w:color="auto"/>
            </w:tcBorders>
            <w:vAlign w:val="center"/>
            <w:hideMark/>
          </w:tcPr>
          <w:p w14:paraId="77232AA9" w14:textId="4C5F3935" w:rsidR="00C14C6F" w:rsidRDefault="00082DCF">
            <w:pPr>
              <w:spacing w:before="0"/>
              <w:jc w:val="center"/>
              <w:rPr>
                <w:color w:val="000000"/>
                <w:sz w:val="20"/>
                <w:lang w:val="en-US" w:eastAsia="en-GB"/>
              </w:rPr>
            </w:pPr>
            <w:r w:rsidRPr="00082DCF">
              <w:rPr>
                <w:color w:val="000000"/>
                <w:sz w:val="20"/>
                <w:lang w:val="en-US" w:eastAsia="zh-CN"/>
              </w:rPr>
              <w:t>–</w:t>
            </w:r>
            <w:r w:rsidR="00C14C6F">
              <w:rPr>
                <w:color w:val="000000"/>
                <w:sz w:val="20"/>
                <w:lang w:val="en-US" w:eastAsia="zh-CN"/>
              </w:rPr>
              <w:t>20.1</w:t>
            </w:r>
          </w:p>
        </w:tc>
        <w:tc>
          <w:tcPr>
            <w:tcW w:w="1524" w:type="dxa"/>
            <w:tcBorders>
              <w:top w:val="nil"/>
              <w:left w:val="nil"/>
              <w:bottom w:val="single" w:sz="8" w:space="0" w:color="auto"/>
              <w:right w:val="single" w:sz="8" w:space="0" w:color="auto"/>
            </w:tcBorders>
            <w:vAlign w:val="center"/>
            <w:hideMark/>
          </w:tcPr>
          <w:p w14:paraId="1B287A40" w14:textId="51B8B47A" w:rsidR="00C14C6F" w:rsidRDefault="00C14C6F">
            <w:pPr>
              <w:spacing w:before="0"/>
              <w:jc w:val="center"/>
              <w:rPr>
                <w:color w:val="000000"/>
                <w:sz w:val="20"/>
                <w:lang w:val="en-US" w:eastAsia="en-GB"/>
              </w:rPr>
            </w:pPr>
            <w:r>
              <w:rPr>
                <w:color w:val="000000"/>
                <w:sz w:val="20"/>
                <w:lang w:val="en-US" w:eastAsia="zh-CN"/>
              </w:rPr>
              <w:t> </w:t>
            </w:r>
            <w:r w:rsidR="00082DCF" w:rsidRPr="00082DCF">
              <w:rPr>
                <w:color w:val="000000"/>
                <w:sz w:val="20"/>
                <w:lang w:val="en-US" w:eastAsia="zh-CN"/>
              </w:rPr>
              <w:t>–</w:t>
            </w:r>
            <w:r>
              <w:rPr>
                <w:color w:val="000000"/>
                <w:sz w:val="20"/>
                <w:lang w:val="en-US" w:eastAsia="zh-CN"/>
              </w:rPr>
              <w:t>23.4</w:t>
            </w:r>
          </w:p>
        </w:tc>
        <w:tc>
          <w:tcPr>
            <w:tcW w:w="0" w:type="auto"/>
            <w:tcBorders>
              <w:top w:val="nil"/>
              <w:left w:val="nil"/>
              <w:bottom w:val="single" w:sz="8" w:space="0" w:color="auto"/>
              <w:right w:val="single" w:sz="8" w:space="0" w:color="auto"/>
            </w:tcBorders>
            <w:vAlign w:val="center"/>
            <w:hideMark/>
          </w:tcPr>
          <w:p w14:paraId="7AE6AF9B" w14:textId="77777777" w:rsidR="00C14C6F" w:rsidRDefault="00C14C6F">
            <w:pPr>
              <w:spacing w:before="0"/>
              <w:jc w:val="center"/>
              <w:rPr>
                <w:color w:val="000000"/>
                <w:sz w:val="20"/>
                <w:lang w:val="en-US" w:eastAsia="en-GB"/>
              </w:rPr>
            </w:pPr>
            <w:r>
              <w:rPr>
                <w:color w:val="000000"/>
                <w:sz w:val="20"/>
                <w:lang w:val="en-US" w:eastAsia="zh-CN"/>
              </w:rPr>
              <w:t>dBm/Hz</w:t>
            </w:r>
          </w:p>
        </w:tc>
      </w:tr>
      <w:tr w:rsidR="00C14C6F" w14:paraId="09FC3DAC" w14:textId="77777777" w:rsidTr="00C14C6F">
        <w:trPr>
          <w:trHeight w:val="501"/>
          <w:jc w:val="center"/>
        </w:trPr>
        <w:tc>
          <w:tcPr>
            <w:tcW w:w="2825" w:type="dxa"/>
            <w:tcBorders>
              <w:top w:val="nil"/>
              <w:left w:val="single" w:sz="8" w:space="0" w:color="auto"/>
              <w:bottom w:val="single" w:sz="8" w:space="0" w:color="auto"/>
              <w:right w:val="single" w:sz="8" w:space="0" w:color="auto"/>
            </w:tcBorders>
            <w:vAlign w:val="center"/>
            <w:hideMark/>
          </w:tcPr>
          <w:p w14:paraId="34B12983" w14:textId="77777777" w:rsidR="00C14C6F" w:rsidRDefault="00C14C6F">
            <w:pPr>
              <w:spacing w:before="0"/>
              <w:rPr>
                <w:b/>
                <w:bCs/>
                <w:color w:val="000000"/>
                <w:sz w:val="20"/>
                <w:lang w:val="en-US" w:eastAsia="en-GB"/>
              </w:rPr>
            </w:pPr>
            <w:r>
              <w:rPr>
                <w:b/>
                <w:bCs/>
                <w:color w:val="000000"/>
                <w:sz w:val="20"/>
                <w:lang w:val="en-US" w:eastAsia="en-GB"/>
              </w:rPr>
              <w:t>Exceedance level</w:t>
            </w:r>
          </w:p>
        </w:tc>
        <w:tc>
          <w:tcPr>
            <w:tcW w:w="1560" w:type="dxa"/>
            <w:tcBorders>
              <w:top w:val="nil"/>
              <w:left w:val="nil"/>
              <w:bottom w:val="single" w:sz="8" w:space="0" w:color="auto"/>
              <w:right w:val="single" w:sz="8" w:space="0" w:color="auto"/>
            </w:tcBorders>
            <w:vAlign w:val="center"/>
            <w:hideMark/>
          </w:tcPr>
          <w:p w14:paraId="0B924E26" w14:textId="77777777" w:rsidR="00C14C6F" w:rsidRDefault="00C14C6F">
            <w:pPr>
              <w:spacing w:before="0"/>
              <w:jc w:val="center"/>
              <w:rPr>
                <w:b/>
                <w:bCs/>
                <w:color w:val="000000"/>
                <w:sz w:val="20"/>
                <w:lang w:val="en-US" w:eastAsia="en-GB"/>
              </w:rPr>
            </w:pPr>
            <w:r>
              <w:rPr>
                <w:b/>
                <w:bCs/>
                <w:color w:val="000000"/>
                <w:sz w:val="20"/>
                <w:lang w:val="en-US" w:eastAsia="en-GB"/>
              </w:rPr>
              <w:t>20.7</w:t>
            </w:r>
          </w:p>
        </w:tc>
        <w:tc>
          <w:tcPr>
            <w:tcW w:w="1559" w:type="dxa"/>
            <w:tcBorders>
              <w:top w:val="nil"/>
              <w:left w:val="nil"/>
              <w:bottom w:val="single" w:sz="8" w:space="0" w:color="auto"/>
              <w:right w:val="single" w:sz="8" w:space="0" w:color="auto"/>
            </w:tcBorders>
            <w:vAlign w:val="center"/>
            <w:hideMark/>
          </w:tcPr>
          <w:p w14:paraId="06CCCD31" w14:textId="77777777" w:rsidR="00C14C6F" w:rsidRDefault="00C14C6F">
            <w:pPr>
              <w:spacing w:before="0"/>
              <w:jc w:val="center"/>
              <w:rPr>
                <w:b/>
                <w:color w:val="000000"/>
                <w:sz w:val="20"/>
                <w:lang w:val="en-US" w:eastAsia="en-GB"/>
              </w:rPr>
            </w:pPr>
            <w:r>
              <w:rPr>
                <w:b/>
                <w:color w:val="000000"/>
                <w:sz w:val="20"/>
                <w:lang w:val="en-US" w:eastAsia="zh-CN"/>
              </w:rPr>
              <w:t>10.2</w:t>
            </w:r>
          </w:p>
        </w:tc>
        <w:tc>
          <w:tcPr>
            <w:tcW w:w="1417" w:type="dxa"/>
            <w:tcBorders>
              <w:top w:val="nil"/>
              <w:left w:val="nil"/>
              <w:bottom w:val="single" w:sz="8" w:space="0" w:color="auto"/>
              <w:right w:val="single" w:sz="8" w:space="0" w:color="auto"/>
            </w:tcBorders>
            <w:vAlign w:val="center"/>
            <w:hideMark/>
          </w:tcPr>
          <w:p w14:paraId="79E88BEA" w14:textId="77777777" w:rsidR="00C14C6F" w:rsidRDefault="00C14C6F">
            <w:pPr>
              <w:spacing w:before="0"/>
              <w:jc w:val="center"/>
              <w:rPr>
                <w:b/>
                <w:color w:val="000000"/>
                <w:sz w:val="20"/>
                <w:lang w:val="en-US" w:eastAsia="en-GB"/>
              </w:rPr>
            </w:pPr>
            <w:r>
              <w:rPr>
                <w:b/>
                <w:color w:val="000000"/>
                <w:sz w:val="20"/>
                <w:lang w:val="en-US" w:eastAsia="zh-CN"/>
              </w:rPr>
              <w:t>11.8</w:t>
            </w:r>
          </w:p>
        </w:tc>
        <w:tc>
          <w:tcPr>
            <w:tcW w:w="1524" w:type="dxa"/>
            <w:tcBorders>
              <w:top w:val="nil"/>
              <w:left w:val="nil"/>
              <w:bottom w:val="single" w:sz="8" w:space="0" w:color="auto"/>
              <w:right w:val="single" w:sz="8" w:space="0" w:color="auto"/>
            </w:tcBorders>
            <w:vAlign w:val="center"/>
            <w:hideMark/>
          </w:tcPr>
          <w:p w14:paraId="694C9C45" w14:textId="77777777" w:rsidR="00C14C6F" w:rsidRDefault="00C14C6F">
            <w:pPr>
              <w:spacing w:before="0"/>
              <w:jc w:val="center"/>
              <w:rPr>
                <w:b/>
                <w:color w:val="000000"/>
                <w:sz w:val="20"/>
                <w:lang w:val="en-US" w:eastAsia="en-GB"/>
              </w:rPr>
            </w:pPr>
            <w:r>
              <w:rPr>
                <w:b/>
                <w:color w:val="000000"/>
                <w:sz w:val="20"/>
                <w:lang w:val="en-US" w:eastAsia="zh-CN"/>
              </w:rPr>
              <w:t> 7.0</w:t>
            </w:r>
          </w:p>
        </w:tc>
        <w:tc>
          <w:tcPr>
            <w:tcW w:w="0" w:type="auto"/>
            <w:tcBorders>
              <w:top w:val="nil"/>
              <w:left w:val="nil"/>
              <w:bottom w:val="single" w:sz="8" w:space="0" w:color="auto"/>
              <w:right w:val="single" w:sz="8" w:space="0" w:color="auto"/>
            </w:tcBorders>
            <w:vAlign w:val="center"/>
            <w:hideMark/>
          </w:tcPr>
          <w:p w14:paraId="3B140478" w14:textId="77777777" w:rsidR="00C14C6F" w:rsidRDefault="00C14C6F">
            <w:pPr>
              <w:spacing w:before="0"/>
              <w:jc w:val="center"/>
              <w:rPr>
                <w:color w:val="000000"/>
                <w:sz w:val="20"/>
                <w:lang w:val="en-US" w:eastAsia="en-GB"/>
              </w:rPr>
            </w:pPr>
            <w:r>
              <w:rPr>
                <w:color w:val="000000"/>
                <w:sz w:val="20"/>
                <w:lang w:val="en-US" w:eastAsia="zh-CN"/>
              </w:rPr>
              <w:t>dB</w:t>
            </w:r>
          </w:p>
        </w:tc>
      </w:tr>
    </w:tbl>
    <w:p w14:paraId="2CD6AD4D" w14:textId="77777777" w:rsidR="00C14C6F" w:rsidRDefault="00C14C6F" w:rsidP="00C14C6F">
      <w:pPr>
        <w:rPr>
          <w:szCs w:val="24"/>
        </w:rPr>
      </w:pPr>
    </w:p>
    <w:p w14:paraId="42C33731" w14:textId="77777777" w:rsidR="00C14C6F" w:rsidRDefault="00C14C6F" w:rsidP="00C14C6F">
      <w:pPr>
        <w:rPr>
          <w:b/>
          <w:szCs w:val="24"/>
        </w:rPr>
      </w:pPr>
      <w:r>
        <w:rPr>
          <w:b/>
          <w:szCs w:val="24"/>
        </w:rPr>
        <w:br w:type="page"/>
      </w:r>
    </w:p>
    <w:p w14:paraId="562932EF" w14:textId="77777777" w:rsidR="00C14C6F" w:rsidRDefault="00C14C6F" w:rsidP="00C14C6F">
      <w:pPr>
        <w:pStyle w:val="AnnexNo"/>
      </w:pPr>
      <w:r>
        <w:lastRenderedPageBreak/>
        <w:t>Annex B</w:t>
      </w:r>
    </w:p>
    <w:p w14:paraId="0593D664" w14:textId="77777777" w:rsidR="00C14C6F" w:rsidRDefault="00C14C6F" w:rsidP="00C14C6F">
      <w:pPr>
        <w:pStyle w:val="Annextitle"/>
      </w:pPr>
      <w:r>
        <w:t>Measurements of interference to an operational MEO satellite</w:t>
      </w:r>
    </w:p>
    <w:p w14:paraId="40118BD6" w14:textId="77777777" w:rsidR="00C14C6F" w:rsidRDefault="00C14C6F" w:rsidP="00082DCF">
      <w:r>
        <w:t xml:space="preserve">The following visualisations indicate the geographical extent of the interference measured from terrestrial downlink emissions from terrestrial IMT deployments in North America (Region 2) over the frequency range 1 990-1 995 </w:t>
      </w:r>
      <w:proofErr w:type="spellStart"/>
      <w:r>
        <w:t>MHz.</w:t>
      </w:r>
      <w:proofErr w:type="spellEnd"/>
      <w:r>
        <w:t xml:space="preserve"> These measurements were recorded by receive spot beams from an operation IMT satellite in Medium Earth Orbit (MEO). The visualisations in this Annex are traceable to the appropriate numerical values of interference exceedance that are shown in Table 4 of this document.</w:t>
      </w:r>
    </w:p>
    <w:p w14:paraId="1B48ACFA" w14:textId="77777777" w:rsidR="00C14C6F" w:rsidRDefault="00C14C6F" w:rsidP="00082DCF">
      <w:r>
        <w:t xml:space="preserve">The circles indicate the position of the satellite when each measurement was recorded, while the colour of the circles indicate the level of exceedance of the satellite’s protection criteria in </w:t>
      </w:r>
      <w:proofErr w:type="spellStart"/>
      <w:r>
        <w:t>dB.</w:t>
      </w:r>
      <w:proofErr w:type="spellEnd"/>
      <w:r>
        <w:t xml:space="preserve"> The triangle indicates the centre location of the spot beam from which the interference measurements were recorded. </w:t>
      </w:r>
    </w:p>
    <w:p w14:paraId="5741F024" w14:textId="77777777" w:rsidR="00C14C6F" w:rsidRDefault="00C14C6F" w:rsidP="00082DCF">
      <w:r>
        <w:t>The plot in Figure B1 below shows measured interference into West Africa (Region 1) from terrestrial IMT base station downlink emissions in Region 2.</w:t>
      </w:r>
    </w:p>
    <w:p w14:paraId="17A6725E" w14:textId="77777777" w:rsidR="00C14C6F" w:rsidRDefault="00C14C6F" w:rsidP="00C14C6F">
      <w:pPr>
        <w:pStyle w:val="PlainText"/>
        <w:rPr>
          <w:rFonts w:ascii="Times New Roman" w:hAnsi="Times New Roman" w:cs="Times New Roman"/>
          <w:sz w:val="24"/>
          <w:szCs w:val="24"/>
        </w:rPr>
      </w:pPr>
    </w:p>
    <w:p w14:paraId="677E3918" w14:textId="77777777" w:rsidR="00C14C6F" w:rsidRDefault="00C14C6F" w:rsidP="00C14C6F">
      <w:pPr>
        <w:pStyle w:val="Tabletitle"/>
      </w:pPr>
      <w:r>
        <w:t>Figure B1: Measured interference into MEO IMT satellite for spotbeam over West Africa</w:t>
      </w:r>
    </w:p>
    <w:p w14:paraId="7061295A" w14:textId="77777777" w:rsidR="00C14C6F" w:rsidRDefault="00C14C6F" w:rsidP="00C14C6F">
      <w:pPr>
        <w:pStyle w:val="PlainText"/>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22B48F04" wp14:editId="03DF45B4">
            <wp:extent cx="5726430" cy="3056890"/>
            <wp:effectExtent l="0" t="0" r="7620" b="0"/>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 up of a map&#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l="9941" t="48792" r="9717" b="4469"/>
                    <a:stretch>
                      <a:fillRect/>
                    </a:stretch>
                  </pic:blipFill>
                  <pic:spPr bwMode="auto">
                    <a:xfrm>
                      <a:off x="0" y="0"/>
                      <a:ext cx="5726430" cy="3056890"/>
                    </a:xfrm>
                    <a:prstGeom prst="rect">
                      <a:avLst/>
                    </a:prstGeom>
                    <a:noFill/>
                    <a:ln>
                      <a:noFill/>
                    </a:ln>
                  </pic:spPr>
                </pic:pic>
              </a:graphicData>
            </a:graphic>
          </wp:inline>
        </w:drawing>
      </w:r>
      <w:r>
        <w:rPr>
          <w:rFonts w:ascii="Times New Roman" w:hAnsi="Times New Roman" w:cs="Times New Roman"/>
          <w:sz w:val="24"/>
          <w:szCs w:val="24"/>
          <w:highlight w:val="yellow"/>
        </w:rPr>
        <w:t xml:space="preserve"> </w:t>
      </w:r>
    </w:p>
    <w:p w14:paraId="36A4E5B1" w14:textId="2406EB83" w:rsidR="00C14C6F" w:rsidRDefault="00C14C6F" w:rsidP="00082DCF">
      <w:r>
        <w:t>The plot in Figure B2 below shows measured interference into Papua New Guinea (Region 3) from terrestrial IMT base station downlink emissions in Region 2.</w:t>
      </w:r>
    </w:p>
    <w:p w14:paraId="6F0C8A3E" w14:textId="77777777" w:rsidR="00C14C6F" w:rsidRDefault="00C14C6F" w:rsidP="00C14C6F">
      <w:pPr>
        <w:pStyle w:val="Tabletitle"/>
      </w:pPr>
      <w:r>
        <w:lastRenderedPageBreak/>
        <w:t>Figure B2: Measured interference into MEO IMT satellite for spotbeam over Papua New Guinea</w:t>
      </w:r>
    </w:p>
    <w:p w14:paraId="4F206FA6" w14:textId="77777777" w:rsidR="00C14C6F" w:rsidRDefault="00C14C6F" w:rsidP="00C14C6F">
      <w:pPr>
        <w:pStyle w:val="PlainText"/>
        <w:jc w:val="center"/>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2781B52D" wp14:editId="36104E53">
            <wp:extent cx="5726430" cy="3056890"/>
            <wp:effectExtent l="0" t="0" r="7620" b="0"/>
            <wp:docPr id="3" name="Picture 3"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close up of a map&#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l="9807" t="47620" r="9851" b="5640"/>
                    <a:stretch>
                      <a:fillRect/>
                    </a:stretch>
                  </pic:blipFill>
                  <pic:spPr bwMode="auto">
                    <a:xfrm>
                      <a:off x="0" y="0"/>
                      <a:ext cx="5726430" cy="3056890"/>
                    </a:xfrm>
                    <a:prstGeom prst="rect">
                      <a:avLst/>
                    </a:prstGeom>
                    <a:noFill/>
                    <a:ln>
                      <a:noFill/>
                    </a:ln>
                  </pic:spPr>
                </pic:pic>
              </a:graphicData>
            </a:graphic>
          </wp:inline>
        </w:drawing>
      </w:r>
    </w:p>
    <w:p w14:paraId="6F08361F" w14:textId="77777777" w:rsidR="00003AED" w:rsidRDefault="00003AED" w:rsidP="00C14C6F">
      <w:pPr>
        <w:pStyle w:val="PlainText"/>
        <w:jc w:val="both"/>
        <w:rPr>
          <w:rFonts w:ascii="Times New Roman" w:hAnsi="Times New Roman" w:cs="Times New Roman"/>
          <w:sz w:val="24"/>
          <w:szCs w:val="24"/>
        </w:rPr>
      </w:pPr>
    </w:p>
    <w:p w14:paraId="74151E63" w14:textId="11AE83F0" w:rsidR="00C14C6F" w:rsidRDefault="00C14C6F" w:rsidP="00C14C6F">
      <w:pPr>
        <w:pStyle w:val="PlainText"/>
        <w:jc w:val="both"/>
        <w:rPr>
          <w:rFonts w:ascii="Times New Roman" w:hAnsi="Times New Roman" w:cs="Times New Roman"/>
          <w:sz w:val="24"/>
          <w:szCs w:val="24"/>
          <w:lang w:val="en-US"/>
        </w:rPr>
      </w:pPr>
      <w:r>
        <w:rPr>
          <w:rFonts w:ascii="Times New Roman" w:hAnsi="Times New Roman" w:cs="Times New Roman"/>
          <w:sz w:val="24"/>
          <w:szCs w:val="24"/>
        </w:rPr>
        <w:t>Both plots above indicate that terrestrial IMT downlink operation is demonstrably shown to cause significant interference to IMT satellite uplinks, even when the respective terrestrial and satellite deployments are many thousands of kilometres apart. This conclusion confirms that interference from terrestrial IMT downlink operations into the satellite IMT uplink segment is an international concern, affecting global technical compatibility between terrestrial and satellite IMT in the band 1 980-2 010</w:t>
      </w:r>
      <w:r w:rsidR="00082DCF">
        <w:rPr>
          <w:rFonts w:ascii="Times New Roman" w:hAnsi="Times New Roman" w:cs="Times New Roman"/>
          <w:sz w:val="24"/>
          <w:szCs w:val="24"/>
        </w:rPr>
        <w:t> </w:t>
      </w:r>
      <w:proofErr w:type="spellStart"/>
      <w:r>
        <w:rPr>
          <w:rFonts w:ascii="Times New Roman" w:hAnsi="Times New Roman" w:cs="Times New Roman"/>
          <w:sz w:val="24"/>
          <w:szCs w:val="24"/>
        </w:rPr>
        <w:t>MHz.</w:t>
      </w:r>
      <w:proofErr w:type="spellEnd"/>
    </w:p>
    <w:p w14:paraId="693BB6EC" w14:textId="77777777" w:rsidR="00C14C6F" w:rsidRDefault="00C14C6F" w:rsidP="00C14C6F">
      <w:pPr>
        <w:rPr>
          <w:b/>
          <w:szCs w:val="24"/>
        </w:rPr>
      </w:pPr>
    </w:p>
    <w:p w14:paraId="32E5586C" w14:textId="77777777" w:rsidR="00C14C6F" w:rsidRDefault="00C14C6F" w:rsidP="00C14C6F">
      <w:pPr>
        <w:rPr>
          <w:b/>
          <w:szCs w:val="24"/>
        </w:rPr>
      </w:pPr>
      <w:r>
        <w:rPr>
          <w:b/>
          <w:szCs w:val="24"/>
        </w:rPr>
        <w:br w:type="page"/>
      </w:r>
    </w:p>
    <w:p w14:paraId="237DF529" w14:textId="77777777" w:rsidR="00C14C6F" w:rsidRDefault="00C14C6F" w:rsidP="00C14C6F">
      <w:pPr>
        <w:pStyle w:val="AnnexNo"/>
      </w:pPr>
      <w:r>
        <w:lastRenderedPageBreak/>
        <w:t>Annex C</w:t>
      </w:r>
    </w:p>
    <w:p w14:paraId="3232FC23" w14:textId="77777777" w:rsidR="00C14C6F" w:rsidRDefault="00C14C6F" w:rsidP="00C14C6F">
      <w:pPr>
        <w:pStyle w:val="Annextitle"/>
      </w:pPr>
      <w:r>
        <w:t>Derivation of parameter values for Table 7a of Appendix 7</w:t>
      </w:r>
    </w:p>
    <w:p w14:paraId="32BD48BC" w14:textId="29113C59" w:rsidR="00C14C6F" w:rsidRDefault="00C14C6F" w:rsidP="00082DCF">
      <w:r>
        <w:t>To address interference scenario B1, additions to Appendix 7 are proposed to include relevant parameters for digital modulation required for the determination of coordination distance for a transmitting earth station. The parameters are based on the characteristics of receiving IMT base stations, consistent with Report ITU-R M.2292. This addition would aid administrations in establishing the necessary coordination distances. The remarks of the following table describe the different parameters and the calculations.</w:t>
      </w:r>
    </w:p>
    <w:p w14:paraId="1544EA31" w14:textId="77777777" w:rsidR="00003AED" w:rsidRDefault="00003AED" w:rsidP="00082DCF"/>
    <w:p w14:paraId="58335978" w14:textId="77777777" w:rsidR="00C14C6F" w:rsidRDefault="00C14C6F" w:rsidP="00C14C6F">
      <w:pPr>
        <w:pStyle w:val="Tabletitle"/>
      </w:pPr>
      <w:bookmarkStart w:id="9" w:name="_Toc451865291"/>
      <w:r>
        <w:t>Table C1: Parameters required for the determination of coordination distance for</w:t>
      </w:r>
      <w:r>
        <w:br/>
        <w:t>a transmitting earth station</w:t>
      </w:r>
    </w:p>
    <w:tbl>
      <w:tblPr>
        <w:tblW w:w="0" w:type="dxa"/>
        <w:jc w:val="right"/>
        <w:tblLayout w:type="fixed"/>
        <w:tblCellMar>
          <w:left w:w="57" w:type="dxa"/>
          <w:right w:w="57" w:type="dxa"/>
        </w:tblCellMar>
        <w:tblLook w:val="04A0" w:firstRow="1" w:lastRow="0" w:firstColumn="1" w:lastColumn="0" w:noHBand="0" w:noVBand="1"/>
      </w:tblPr>
      <w:tblGrid>
        <w:gridCol w:w="1094"/>
        <w:gridCol w:w="1093"/>
        <w:gridCol w:w="633"/>
        <w:gridCol w:w="709"/>
        <w:gridCol w:w="5808"/>
      </w:tblGrid>
      <w:tr w:rsidR="00C14C6F" w14:paraId="22D5235D" w14:textId="77777777" w:rsidTr="00C14C6F">
        <w:trPr>
          <w:tblHeader/>
          <w:jc w:val="right"/>
        </w:trPr>
        <w:tc>
          <w:tcPr>
            <w:tcW w:w="2187" w:type="dxa"/>
            <w:gridSpan w:val="2"/>
            <w:tcBorders>
              <w:top w:val="single" w:sz="6" w:space="0" w:color="auto"/>
              <w:left w:val="single" w:sz="6" w:space="0" w:color="auto"/>
              <w:bottom w:val="nil"/>
              <w:right w:val="single" w:sz="6" w:space="0" w:color="auto"/>
            </w:tcBorders>
            <w:vAlign w:val="center"/>
            <w:hideMark/>
          </w:tcPr>
          <w:p w14:paraId="44FC3A8B" w14:textId="77777777" w:rsidR="00C14C6F" w:rsidRDefault="00C14C6F">
            <w:pPr>
              <w:keepNext/>
              <w:spacing w:before="0"/>
              <w:jc w:val="center"/>
              <w:rPr>
                <w:b/>
                <w:sz w:val="20"/>
                <w:szCs w:val="24"/>
                <w:lang w:val="en-US"/>
              </w:rPr>
            </w:pPr>
            <w:r>
              <w:rPr>
                <w:b/>
                <w:sz w:val="20"/>
                <w:szCs w:val="24"/>
                <w:lang w:val="en-US"/>
              </w:rPr>
              <w:t>Transmitting space</w:t>
            </w:r>
            <w:r>
              <w:rPr>
                <w:b/>
                <w:sz w:val="20"/>
                <w:szCs w:val="24"/>
                <w:lang w:val="en-US"/>
              </w:rPr>
              <w:br/>
              <w:t xml:space="preserve">radiocommunication </w:t>
            </w:r>
            <w:r>
              <w:rPr>
                <w:b/>
                <w:sz w:val="20"/>
                <w:szCs w:val="24"/>
                <w:lang w:val="en-US"/>
              </w:rPr>
              <w:br/>
              <w:t>service designation</w:t>
            </w:r>
          </w:p>
        </w:tc>
        <w:tc>
          <w:tcPr>
            <w:tcW w:w="1342" w:type="dxa"/>
            <w:gridSpan w:val="2"/>
            <w:tcBorders>
              <w:top w:val="single" w:sz="6" w:space="0" w:color="auto"/>
              <w:left w:val="single" w:sz="6" w:space="0" w:color="auto"/>
              <w:bottom w:val="single" w:sz="6" w:space="0" w:color="auto"/>
              <w:right w:val="single" w:sz="6" w:space="0" w:color="auto"/>
            </w:tcBorders>
            <w:vAlign w:val="center"/>
            <w:hideMark/>
          </w:tcPr>
          <w:p w14:paraId="1B5EBA32" w14:textId="77777777" w:rsidR="00C14C6F" w:rsidRDefault="00C14C6F">
            <w:pPr>
              <w:keepNext/>
              <w:spacing w:before="0"/>
              <w:jc w:val="center"/>
              <w:rPr>
                <w:b/>
                <w:sz w:val="20"/>
                <w:szCs w:val="24"/>
                <w:lang w:val="en-US"/>
              </w:rPr>
            </w:pPr>
            <w:r>
              <w:rPr>
                <w:b/>
                <w:sz w:val="20"/>
                <w:szCs w:val="24"/>
                <w:lang w:val="en-US"/>
              </w:rPr>
              <w:t>Mobile-</w:t>
            </w:r>
            <w:r>
              <w:rPr>
                <w:b/>
                <w:sz w:val="20"/>
                <w:szCs w:val="24"/>
                <w:lang w:val="en-US"/>
              </w:rPr>
              <w:br/>
              <w:t>satellite</w:t>
            </w:r>
          </w:p>
        </w:tc>
        <w:tc>
          <w:tcPr>
            <w:tcW w:w="5808" w:type="dxa"/>
            <w:tcBorders>
              <w:top w:val="single" w:sz="6" w:space="0" w:color="auto"/>
              <w:left w:val="single" w:sz="6" w:space="0" w:color="auto"/>
              <w:bottom w:val="single" w:sz="6" w:space="0" w:color="auto"/>
              <w:right w:val="single" w:sz="6" w:space="0" w:color="auto"/>
            </w:tcBorders>
            <w:vAlign w:val="center"/>
            <w:hideMark/>
          </w:tcPr>
          <w:p w14:paraId="1C19BF85" w14:textId="77777777" w:rsidR="00C14C6F" w:rsidRDefault="00C14C6F">
            <w:pPr>
              <w:keepNext/>
              <w:spacing w:before="0"/>
              <w:jc w:val="center"/>
              <w:rPr>
                <w:b/>
                <w:sz w:val="20"/>
                <w:szCs w:val="24"/>
                <w:lang w:val="en-US"/>
              </w:rPr>
            </w:pPr>
            <w:r>
              <w:rPr>
                <w:b/>
                <w:sz w:val="20"/>
                <w:szCs w:val="24"/>
                <w:lang w:val="en-US"/>
              </w:rPr>
              <w:t>Remarks</w:t>
            </w:r>
          </w:p>
        </w:tc>
      </w:tr>
      <w:tr w:rsidR="00C14C6F" w14:paraId="5C6223FA" w14:textId="77777777" w:rsidTr="00C14C6F">
        <w:trPr>
          <w:cantSplit/>
          <w:jc w:val="right"/>
        </w:trPr>
        <w:tc>
          <w:tcPr>
            <w:tcW w:w="2187" w:type="dxa"/>
            <w:gridSpan w:val="2"/>
            <w:tcBorders>
              <w:top w:val="single" w:sz="6" w:space="0" w:color="auto"/>
              <w:left w:val="single" w:sz="6" w:space="0" w:color="auto"/>
              <w:bottom w:val="nil"/>
              <w:right w:val="single" w:sz="6" w:space="0" w:color="auto"/>
            </w:tcBorders>
            <w:hideMark/>
          </w:tcPr>
          <w:p w14:paraId="65BA7CA7"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24"/>
                <w:lang w:val="en-US"/>
              </w:rPr>
            </w:pPr>
            <w:r>
              <w:rPr>
                <w:sz w:val="20"/>
                <w:szCs w:val="24"/>
                <w:lang w:val="en-US"/>
              </w:rPr>
              <w:t>Frequency bands (MHz)</w:t>
            </w:r>
          </w:p>
        </w:tc>
        <w:tc>
          <w:tcPr>
            <w:tcW w:w="1342" w:type="dxa"/>
            <w:gridSpan w:val="2"/>
            <w:tcBorders>
              <w:top w:val="single" w:sz="6" w:space="0" w:color="auto"/>
              <w:left w:val="single" w:sz="6" w:space="0" w:color="auto"/>
              <w:bottom w:val="single" w:sz="6" w:space="0" w:color="auto"/>
              <w:right w:val="single" w:sz="6" w:space="0" w:color="auto"/>
            </w:tcBorders>
            <w:hideMark/>
          </w:tcPr>
          <w:p w14:paraId="3E4CF2A7"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24"/>
                <w:lang w:val="en-US"/>
              </w:rPr>
            </w:pPr>
            <w:r>
              <w:rPr>
                <w:sz w:val="20"/>
                <w:szCs w:val="24"/>
                <w:lang w:val="en-US"/>
              </w:rPr>
              <w:t>1 980-2 025</w:t>
            </w:r>
          </w:p>
        </w:tc>
        <w:tc>
          <w:tcPr>
            <w:tcW w:w="5808" w:type="dxa"/>
            <w:tcBorders>
              <w:top w:val="single" w:sz="6" w:space="0" w:color="auto"/>
              <w:left w:val="single" w:sz="6" w:space="0" w:color="auto"/>
              <w:bottom w:val="single" w:sz="6" w:space="0" w:color="auto"/>
              <w:right w:val="single" w:sz="6" w:space="0" w:color="auto"/>
            </w:tcBorders>
            <w:hideMark/>
          </w:tcPr>
          <w:p w14:paraId="2905BE4C"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24"/>
                <w:lang w:val="en-US"/>
              </w:rPr>
            </w:pPr>
            <w:r>
              <w:rPr>
                <w:sz w:val="20"/>
                <w:szCs w:val="24"/>
                <w:lang w:val="en-US"/>
              </w:rPr>
              <w:t>-</w:t>
            </w:r>
          </w:p>
        </w:tc>
      </w:tr>
      <w:tr w:rsidR="00C14C6F" w14:paraId="25AF4D9C" w14:textId="77777777" w:rsidTr="00C14C6F">
        <w:trPr>
          <w:cantSplit/>
          <w:jc w:val="right"/>
        </w:trPr>
        <w:tc>
          <w:tcPr>
            <w:tcW w:w="2187" w:type="dxa"/>
            <w:gridSpan w:val="2"/>
            <w:tcBorders>
              <w:top w:val="single" w:sz="6" w:space="0" w:color="auto"/>
              <w:left w:val="single" w:sz="6" w:space="0" w:color="auto"/>
              <w:bottom w:val="nil"/>
              <w:right w:val="single" w:sz="6" w:space="0" w:color="auto"/>
            </w:tcBorders>
            <w:hideMark/>
          </w:tcPr>
          <w:p w14:paraId="3C0B1AC4"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24"/>
                <w:lang w:val="en-US"/>
              </w:rPr>
            </w:pPr>
            <w:r>
              <w:rPr>
                <w:sz w:val="20"/>
                <w:szCs w:val="24"/>
                <w:lang w:val="en-US"/>
              </w:rPr>
              <w:t xml:space="preserve">Receiving terrestrial </w:t>
            </w:r>
            <w:r>
              <w:rPr>
                <w:sz w:val="20"/>
                <w:szCs w:val="24"/>
                <w:lang w:val="en-US"/>
              </w:rPr>
              <w:br/>
              <w:t>service designations</w:t>
            </w:r>
          </w:p>
        </w:tc>
        <w:tc>
          <w:tcPr>
            <w:tcW w:w="1342" w:type="dxa"/>
            <w:gridSpan w:val="2"/>
            <w:tcBorders>
              <w:top w:val="single" w:sz="6" w:space="0" w:color="auto"/>
              <w:left w:val="single" w:sz="6" w:space="0" w:color="auto"/>
              <w:bottom w:val="single" w:sz="6" w:space="0" w:color="auto"/>
              <w:right w:val="single" w:sz="6" w:space="0" w:color="auto"/>
            </w:tcBorders>
            <w:hideMark/>
          </w:tcPr>
          <w:p w14:paraId="110EAF17"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24"/>
                <w:lang w:val="en-US"/>
              </w:rPr>
            </w:pPr>
            <w:r>
              <w:rPr>
                <w:sz w:val="20"/>
                <w:szCs w:val="24"/>
                <w:lang w:val="en-US"/>
              </w:rPr>
              <w:t>Fixed, mobile</w:t>
            </w:r>
          </w:p>
        </w:tc>
        <w:tc>
          <w:tcPr>
            <w:tcW w:w="5808" w:type="dxa"/>
            <w:tcBorders>
              <w:top w:val="single" w:sz="6" w:space="0" w:color="auto"/>
              <w:left w:val="single" w:sz="6" w:space="0" w:color="auto"/>
              <w:bottom w:val="single" w:sz="6" w:space="0" w:color="auto"/>
              <w:right w:val="single" w:sz="6" w:space="0" w:color="auto"/>
            </w:tcBorders>
            <w:hideMark/>
          </w:tcPr>
          <w:p w14:paraId="7B5FCFAE"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24"/>
                <w:lang w:val="en-US"/>
              </w:rPr>
            </w:pPr>
            <w:r>
              <w:rPr>
                <w:sz w:val="20"/>
                <w:szCs w:val="24"/>
                <w:lang w:val="en-US"/>
              </w:rPr>
              <w:t>-</w:t>
            </w:r>
          </w:p>
        </w:tc>
      </w:tr>
      <w:tr w:rsidR="00C14C6F" w14:paraId="5B9E84DD" w14:textId="77777777" w:rsidTr="00C14C6F">
        <w:trPr>
          <w:cantSplit/>
          <w:jc w:val="right"/>
        </w:trPr>
        <w:tc>
          <w:tcPr>
            <w:tcW w:w="2187" w:type="dxa"/>
            <w:gridSpan w:val="2"/>
            <w:tcBorders>
              <w:top w:val="single" w:sz="6" w:space="0" w:color="auto"/>
              <w:left w:val="single" w:sz="6" w:space="0" w:color="auto"/>
              <w:bottom w:val="nil"/>
              <w:right w:val="single" w:sz="6" w:space="0" w:color="auto"/>
            </w:tcBorders>
            <w:hideMark/>
          </w:tcPr>
          <w:p w14:paraId="514115D7"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24"/>
                <w:lang w:val="en-US"/>
              </w:rPr>
            </w:pPr>
            <w:r>
              <w:rPr>
                <w:sz w:val="20"/>
                <w:szCs w:val="24"/>
                <w:lang w:val="en-US"/>
              </w:rPr>
              <w:t>Method to be used</w:t>
            </w:r>
          </w:p>
        </w:tc>
        <w:tc>
          <w:tcPr>
            <w:tcW w:w="1342" w:type="dxa"/>
            <w:gridSpan w:val="2"/>
            <w:tcBorders>
              <w:top w:val="single" w:sz="6" w:space="0" w:color="auto"/>
              <w:left w:val="single" w:sz="6" w:space="0" w:color="auto"/>
              <w:bottom w:val="single" w:sz="6" w:space="0" w:color="auto"/>
              <w:right w:val="single" w:sz="6" w:space="0" w:color="auto"/>
            </w:tcBorders>
            <w:hideMark/>
          </w:tcPr>
          <w:p w14:paraId="48EFAD79"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24"/>
                <w:lang w:val="en-US"/>
              </w:rPr>
            </w:pPr>
            <w:r>
              <w:rPr>
                <w:sz w:val="20"/>
                <w:szCs w:val="24"/>
                <w:lang w:val="en-US"/>
              </w:rPr>
              <w:t>§ 1.4.6</w:t>
            </w:r>
          </w:p>
        </w:tc>
        <w:tc>
          <w:tcPr>
            <w:tcW w:w="5808" w:type="dxa"/>
            <w:tcBorders>
              <w:top w:val="single" w:sz="6" w:space="0" w:color="auto"/>
              <w:left w:val="single" w:sz="6" w:space="0" w:color="auto"/>
              <w:bottom w:val="single" w:sz="6" w:space="0" w:color="auto"/>
              <w:right w:val="single" w:sz="6" w:space="0" w:color="auto"/>
            </w:tcBorders>
            <w:hideMark/>
          </w:tcPr>
          <w:p w14:paraId="2DDEE907"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24"/>
                <w:lang w:val="en-US"/>
              </w:rPr>
            </w:pPr>
            <w:r>
              <w:rPr>
                <w:sz w:val="20"/>
                <w:szCs w:val="24"/>
                <w:lang w:val="en-US"/>
              </w:rPr>
              <w:t>-</w:t>
            </w:r>
          </w:p>
        </w:tc>
      </w:tr>
      <w:tr w:rsidR="00C14C6F" w14:paraId="7DE70DA6" w14:textId="77777777" w:rsidTr="00C14C6F">
        <w:trPr>
          <w:cantSplit/>
          <w:jc w:val="right"/>
        </w:trPr>
        <w:tc>
          <w:tcPr>
            <w:tcW w:w="2187" w:type="dxa"/>
            <w:gridSpan w:val="2"/>
            <w:tcBorders>
              <w:top w:val="single" w:sz="6" w:space="0" w:color="auto"/>
              <w:left w:val="single" w:sz="6" w:space="0" w:color="auto"/>
              <w:bottom w:val="nil"/>
              <w:right w:val="single" w:sz="6" w:space="0" w:color="auto"/>
            </w:tcBorders>
            <w:hideMark/>
          </w:tcPr>
          <w:p w14:paraId="6B5BEB86"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24"/>
                <w:lang w:val="en-US"/>
              </w:rPr>
            </w:pPr>
            <w:r>
              <w:rPr>
                <w:sz w:val="20"/>
                <w:szCs w:val="24"/>
                <w:lang w:val="en-US"/>
              </w:rPr>
              <w:t xml:space="preserve">Modulation at terrestrial </w:t>
            </w:r>
            <w:proofErr w:type="gramStart"/>
            <w:r>
              <w:rPr>
                <w:sz w:val="20"/>
                <w:szCs w:val="24"/>
                <w:lang w:val="en-US"/>
              </w:rPr>
              <w:t xml:space="preserve">station  </w:t>
            </w:r>
            <w:r>
              <w:rPr>
                <w:position w:val="4"/>
                <w:sz w:val="20"/>
                <w:szCs w:val="24"/>
                <w:lang w:val="en-US"/>
              </w:rPr>
              <w:t>1</w:t>
            </w:r>
            <w:proofErr w:type="gramEnd"/>
          </w:p>
        </w:tc>
        <w:tc>
          <w:tcPr>
            <w:tcW w:w="633" w:type="dxa"/>
            <w:tcBorders>
              <w:top w:val="single" w:sz="6" w:space="0" w:color="auto"/>
              <w:left w:val="single" w:sz="6" w:space="0" w:color="auto"/>
              <w:bottom w:val="single" w:sz="6" w:space="0" w:color="auto"/>
              <w:right w:val="single" w:sz="6" w:space="0" w:color="auto"/>
            </w:tcBorders>
            <w:hideMark/>
          </w:tcPr>
          <w:p w14:paraId="40675A55"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24"/>
                <w:lang w:val="en-US"/>
              </w:rPr>
            </w:pPr>
            <w:r>
              <w:rPr>
                <w:sz w:val="20"/>
                <w:szCs w:val="24"/>
                <w:lang w:val="en-US"/>
              </w:rPr>
              <w:t>A</w:t>
            </w:r>
          </w:p>
        </w:tc>
        <w:tc>
          <w:tcPr>
            <w:tcW w:w="709" w:type="dxa"/>
            <w:tcBorders>
              <w:top w:val="single" w:sz="6" w:space="0" w:color="auto"/>
              <w:left w:val="single" w:sz="6" w:space="0" w:color="auto"/>
              <w:bottom w:val="single" w:sz="6" w:space="0" w:color="auto"/>
              <w:right w:val="single" w:sz="6" w:space="0" w:color="auto"/>
            </w:tcBorders>
            <w:hideMark/>
          </w:tcPr>
          <w:p w14:paraId="58014306"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24"/>
                <w:lang w:val="en-US"/>
              </w:rPr>
            </w:pPr>
            <w:r>
              <w:rPr>
                <w:sz w:val="20"/>
                <w:szCs w:val="24"/>
                <w:lang w:val="en-US"/>
              </w:rPr>
              <w:t>N</w:t>
            </w:r>
          </w:p>
        </w:tc>
        <w:tc>
          <w:tcPr>
            <w:tcW w:w="5808" w:type="dxa"/>
            <w:tcBorders>
              <w:top w:val="single" w:sz="6" w:space="0" w:color="auto"/>
              <w:left w:val="single" w:sz="6" w:space="0" w:color="auto"/>
              <w:bottom w:val="single" w:sz="6" w:space="0" w:color="auto"/>
              <w:right w:val="single" w:sz="6" w:space="0" w:color="auto"/>
            </w:tcBorders>
            <w:hideMark/>
          </w:tcPr>
          <w:p w14:paraId="43751658"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24"/>
                <w:lang w:val="en-US"/>
              </w:rPr>
            </w:pPr>
            <w:r>
              <w:rPr>
                <w:sz w:val="20"/>
                <w:szCs w:val="24"/>
                <w:lang w:val="en-US"/>
              </w:rPr>
              <w:t>-</w:t>
            </w:r>
          </w:p>
        </w:tc>
      </w:tr>
      <w:tr w:rsidR="00C14C6F" w14:paraId="309B6761" w14:textId="77777777" w:rsidTr="00C14C6F">
        <w:trPr>
          <w:cantSplit/>
          <w:jc w:val="right"/>
        </w:trPr>
        <w:tc>
          <w:tcPr>
            <w:tcW w:w="1094" w:type="dxa"/>
            <w:vMerge w:val="restart"/>
            <w:tcBorders>
              <w:top w:val="single" w:sz="6" w:space="0" w:color="auto"/>
              <w:left w:val="single" w:sz="6" w:space="0" w:color="auto"/>
              <w:bottom w:val="single" w:sz="6" w:space="0" w:color="auto"/>
              <w:right w:val="single" w:sz="6" w:space="0" w:color="auto"/>
            </w:tcBorders>
            <w:hideMark/>
          </w:tcPr>
          <w:p w14:paraId="240397C9"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24"/>
                <w:lang w:val="en-US"/>
              </w:rPr>
            </w:pPr>
            <w:r>
              <w:rPr>
                <w:sz w:val="20"/>
                <w:szCs w:val="24"/>
                <w:lang w:val="en-US"/>
              </w:rPr>
              <w:t>Terrestrial station interference parameters and criteria</w:t>
            </w:r>
          </w:p>
        </w:tc>
        <w:tc>
          <w:tcPr>
            <w:tcW w:w="1093" w:type="dxa"/>
            <w:tcBorders>
              <w:top w:val="single" w:sz="6" w:space="0" w:color="auto"/>
              <w:left w:val="single" w:sz="6" w:space="0" w:color="auto"/>
              <w:bottom w:val="single" w:sz="6" w:space="0" w:color="auto"/>
              <w:right w:val="single" w:sz="6" w:space="0" w:color="auto"/>
            </w:tcBorders>
            <w:hideMark/>
          </w:tcPr>
          <w:p w14:paraId="38E2C4E0"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24"/>
                <w:lang w:val="en-US"/>
              </w:rPr>
            </w:pPr>
            <w:r>
              <w:rPr>
                <w:i/>
                <w:iCs/>
                <w:sz w:val="20"/>
                <w:szCs w:val="24"/>
                <w:lang w:val="en-US"/>
              </w:rPr>
              <w:t>p</w:t>
            </w:r>
            <w:r>
              <w:rPr>
                <w:position w:val="-4"/>
                <w:sz w:val="20"/>
                <w:szCs w:val="24"/>
                <w:lang w:val="en-US"/>
              </w:rPr>
              <w:t>0</w:t>
            </w:r>
            <w:r>
              <w:rPr>
                <w:sz w:val="20"/>
                <w:szCs w:val="24"/>
                <w:lang w:val="en-US"/>
              </w:rPr>
              <w:t xml:space="preserve"> (%)</w:t>
            </w:r>
          </w:p>
        </w:tc>
        <w:tc>
          <w:tcPr>
            <w:tcW w:w="633" w:type="dxa"/>
            <w:tcBorders>
              <w:top w:val="single" w:sz="6" w:space="0" w:color="auto"/>
              <w:left w:val="single" w:sz="6" w:space="0" w:color="auto"/>
              <w:bottom w:val="single" w:sz="6" w:space="0" w:color="auto"/>
              <w:right w:val="single" w:sz="6" w:space="0" w:color="auto"/>
            </w:tcBorders>
            <w:hideMark/>
          </w:tcPr>
          <w:p w14:paraId="6EA78A75"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24"/>
                <w:lang w:val="en-US"/>
              </w:rPr>
            </w:pPr>
            <w:r>
              <w:rPr>
                <w:sz w:val="20"/>
                <w:szCs w:val="24"/>
                <w:lang w:val="en-US"/>
              </w:rPr>
              <w:t>0.01</w:t>
            </w:r>
          </w:p>
        </w:tc>
        <w:tc>
          <w:tcPr>
            <w:tcW w:w="709" w:type="dxa"/>
            <w:tcBorders>
              <w:top w:val="single" w:sz="6" w:space="0" w:color="auto"/>
              <w:left w:val="single" w:sz="6" w:space="0" w:color="auto"/>
              <w:bottom w:val="single" w:sz="6" w:space="0" w:color="auto"/>
              <w:right w:val="single" w:sz="6" w:space="0" w:color="auto"/>
            </w:tcBorders>
            <w:hideMark/>
          </w:tcPr>
          <w:p w14:paraId="2C77967A"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24"/>
                <w:lang w:val="en-US"/>
              </w:rPr>
            </w:pPr>
            <w:r>
              <w:rPr>
                <w:sz w:val="20"/>
                <w:szCs w:val="24"/>
                <w:lang w:val="en-US" w:eastAsia="ru-RU"/>
              </w:rPr>
              <w:t>20</w:t>
            </w:r>
          </w:p>
        </w:tc>
        <w:tc>
          <w:tcPr>
            <w:tcW w:w="5808" w:type="dxa"/>
            <w:tcBorders>
              <w:top w:val="single" w:sz="6" w:space="0" w:color="auto"/>
              <w:left w:val="single" w:sz="6" w:space="0" w:color="auto"/>
              <w:bottom w:val="single" w:sz="6" w:space="0" w:color="auto"/>
              <w:right w:val="single" w:sz="6" w:space="0" w:color="auto"/>
            </w:tcBorders>
            <w:hideMark/>
          </w:tcPr>
          <w:p w14:paraId="02D4966C"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24"/>
                <w:lang w:val="en-US"/>
              </w:rPr>
            </w:pPr>
            <w:r>
              <w:rPr>
                <w:sz w:val="20"/>
                <w:szCs w:val="24"/>
                <w:lang w:val="en-US"/>
              </w:rPr>
              <w:t>percentage of the time during which the interference from all sources may exceed the threshold value</w:t>
            </w:r>
          </w:p>
        </w:tc>
      </w:tr>
      <w:tr w:rsidR="00C14C6F" w14:paraId="2D3A6E0C" w14:textId="77777777" w:rsidTr="00C14C6F">
        <w:trPr>
          <w:cantSplit/>
          <w:jc w:val="right"/>
        </w:trPr>
        <w:tc>
          <w:tcPr>
            <w:tcW w:w="2187" w:type="dxa"/>
            <w:vMerge/>
            <w:tcBorders>
              <w:top w:val="single" w:sz="6" w:space="0" w:color="auto"/>
              <w:left w:val="single" w:sz="6" w:space="0" w:color="auto"/>
              <w:bottom w:val="single" w:sz="6" w:space="0" w:color="auto"/>
              <w:right w:val="single" w:sz="6" w:space="0" w:color="auto"/>
            </w:tcBorders>
            <w:vAlign w:val="center"/>
            <w:hideMark/>
          </w:tcPr>
          <w:p w14:paraId="54D9CC48" w14:textId="77777777" w:rsidR="00C14C6F" w:rsidRDefault="00C14C6F">
            <w:pPr>
              <w:tabs>
                <w:tab w:val="clear" w:pos="1134"/>
                <w:tab w:val="clear" w:pos="1871"/>
                <w:tab w:val="clear" w:pos="2268"/>
              </w:tabs>
              <w:overflowPunct/>
              <w:autoSpaceDE/>
              <w:autoSpaceDN/>
              <w:adjustRightInd/>
              <w:spacing w:before="0"/>
              <w:rPr>
                <w:sz w:val="20"/>
                <w:szCs w:val="24"/>
                <w:lang w:val="en-US"/>
              </w:rPr>
            </w:pPr>
          </w:p>
        </w:tc>
        <w:tc>
          <w:tcPr>
            <w:tcW w:w="1093" w:type="dxa"/>
            <w:tcBorders>
              <w:top w:val="single" w:sz="6" w:space="0" w:color="auto"/>
              <w:left w:val="single" w:sz="6" w:space="0" w:color="auto"/>
              <w:bottom w:val="single" w:sz="6" w:space="0" w:color="auto"/>
              <w:right w:val="single" w:sz="6" w:space="0" w:color="auto"/>
            </w:tcBorders>
            <w:hideMark/>
          </w:tcPr>
          <w:p w14:paraId="427EC10B"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i/>
                <w:iCs/>
                <w:sz w:val="20"/>
                <w:szCs w:val="24"/>
                <w:lang w:val="en-US"/>
              </w:rPr>
            </w:pPr>
            <w:r>
              <w:rPr>
                <w:i/>
                <w:iCs/>
                <w:sz w:val="20"/>
                <w:szCs w:val="24"/>
                <w:lang w:val="en-US"/>
              </w:rPr>
              <w:t>n</w:t>
            </w:r>
          </w:p>
        </w:tc>
        <w:tc>
          <w:tcPr>
            <w:tcW w:w="633" w:type="dxa"/>
            <w:tcBorders>
              <w:top w:val="single" w:sz="6" w:space="0" w:color="auto"/>
              <w:left w:val="single" w:sz="6" w:space="0" w:color="auto"/>
              <w:bottom w:val="single" w:sz="6" w:space="0" w:color="auto"/>
              <w:right w:val="single" w:sz="6" w:space="0" w:color="auto"/>
            </w:tcBorders>
            <w:hideMark/>
          </w:tcPr>
          <w:p w14:paraId="13C0A980"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24"/>
                <w:lang w:val="en-US"/>
              </w:rPr>
            </w:pPr>
            <w:r>
              <w:rPr>
                <w:sz w:val="20"/>
                <w:szCs w:val="24"/>
                <w:lang w:val="en-US"/>
              </w:rPr>
              <w:t>2</w:t>
            </w:r>
          </w:p>
        </w:tc>
        <w:tc>
          <w:tcPr>
            <w:tcW w:w="709" w:type="dxa"/>
            <w:tcBorders>
              <w:top w:val="single" w:sz="6" w:space="0" w:color="auto"/>
              <w:left w:val="single" w:sz="6" w:space="0" w:color="auto"/>
              <w:bottom w:val="single" w:sz="6" w:space="0" w:color="auto"/>
              <w:right w:val="single" w:sz="6" w:space="0" w:color="auto"/>
            </w:tcBorders>
            <w:hideMark/>
          </w:tcPr>
          <w:p w14:paraId="6133598E"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24"/>
                <w:lang w:val="en-US"/>
              </w:rPr>
            </w:pPr>
            <w:r>
              <w:rPr>
                <w:sz w:val="20"/>
                <w:szCs w:val="24"/>
                <w:lang w:val="en-US" w:eastAsia="ru-RU"/>
              </w:rPr>
              <w:t>1</w:t>
            </w:r>
          </w:p>
        </w:tc>
        <w:tc>
          <w:tcPr>
            <w:tcW w:w="5808" w:type="dxa"/>
            <w:tcBorders>
              <w:top w:val="single" w:sz="6" w:space="0" w:color="auto"/>
              <w:left w:val="single" w:sz="6" w:space="0" w:color="auto"/>
              <w:bottom w:val="single" w:sz="6" w:space="0" w:color="auto"/>
              <w:right w:val="single" w:sz="6" w:space="0" w:color="auto"/>
            </w:tcBorders>
            <w:hideMark/>
          </w:tcPr>
          <w:p w14:paraId="09FF966C"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24"/>
                <w:lang w:val="en-US"/>
              </w:rPr>
            </w:pPr>
            <w:r>
              <w:rPr>
                <w:sz w:val="20"/>
                <w:szCs w:val="24"/>
                <w:lang w:val="en-US"/>
              </w:rPr>
              <w:t>number of equivalent, equal level, equal probability entries of interference, assumed to be uncorrelated for small percentages of the time</w:t>
            </w:r>
          </w:p>
        </w:tc>
      </w:tr>
      <w:tr w:rsidR="00C14C6F" w14:paraId="6015F583" w14:textId="77777777" w:rsidTr="00C14C6F">
        <w:trPr>
          <w:cantSplit/>
          <w:jc w:val="right"/>
        </w:trPr>
        <w:tc>
          <w:tcPr>
            <w:tcW w:w="2187" w:type="dxa"/>
            <w:vMerge/>
            <w:tcBorders>
              <w:top w:val="single" w:sz="6" w:space="0" w:color="auto"/>
              <w:left w:val="single" w:sz="6" w:space="0" w:color="auto"/>
              <w:bottom w:val="single" w:sz="6" w:space="0" w:color="auto"/>
              <w:right w:val="single" w:sz="6" w:space="0" w:color="auto"/>
            </w:tcBorders>
            <w:vAlign w:val="center"/>
            <w:hideMark/>
          </w:tcPr>
          <w:p w14:paraId="359CA0C5" w14:textId="77777777" w:rsidR="00C14C6F" w:rsidRDefault="00C14C6F">
            <w:pPr>
              <w:tabs>
                <w:tab w:val="clear" w:pos="1134"/>
                <w:tab w:val="clear" w:pos="1871"/>
                <w:tab w:val="clear" w:pos="2268"/>
              </w:tabs>
              <w:overflowPunct/>
              <w:autoSpaceDE/>
              <w:autoSpaceDN/>
              <w:adjustRightInd/>
              <w:spacing w:before="0"/>
              <w:rPr>
                <w:sz w:val="20"/>
                <w:szCs w:val="24"/>
                <w:lang w:val="en-US"/>
              </w:rPr>
            </w:pPr>
          </w:p>
        </w:tc>
        <w:tc>
          <w:tcPr>
            <w:tcW w:w="1093" w:type="dxa"/>
            <w:tcBorders>
              <w:top w:val="single" w:sz="6" w:space="0" w:color="auto"/>
              <w:left w:val="single" w:sz="6" w:space="0" w:color="auto"/>
              <w:bottom w:val="single" w:sz="6" w:space="0" w:color="auto"/>
              <w:right w:val="single" w:sz="6" w:space="0" w:color="auto"/>
            </w:tcBorders>
            <w:hideMark/>
          </w:tcPr>
          <w:p w14:paraId="54D07A4F"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position w:val="3"/>
                <w:sz w:val="20"/>
                <w:szCs w:val="24"/>
                <w:lang w:val="en-US"/>
              </w:rPr>
            </w:pPr>
            <w:r>
              <w:rPr>
                <w:i/>
                <w:iCs/>
                <w:sz w:val="20"/>
                <w:szCs w:val="24"/>
                <w:lang w:val="en-US"/>
              </w:rPr>
              <w:t>p</w:t>
            </w:r>
            <w:r>
              <w:rPr>
                <w:sz w:val="20"/>
                <w:szCs w:val="24"/>
                <w:lang w:val="en-US"/>
              </w:rPr>
              <w:t xml:space="preserve"> (%)</w:t>
            </w:r>
          </w:p>
        </w:tc>
        <w:tc>
          <w:tcPr>
            <w:tcW w:w="633" w:type="dxa"/>
            <w:tcBorders>
              <w:top w:val="single" w:sz="6" w:space="0" w:color="auto"/>
              <w:left w:val="single" w:sz="6" w:space="0" w:color="auto"/>
              <w:bottom w:val="single" w:sz="6" w:space="0" w:color="auto"/>
              <w:right w:val="single" w:sz="6" w:space="0" w:color="auto"/>
            </w:tcBorders>
            <w:hideMark/>
          </w:tcPr>
          <w:p w14:paraId="5CF1133F"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24"/>
                <w:lang w:val="en-US"/>
              </w:rPr>
            </w:pPr>
            <w:r>
              <w:rPr>
                <w:sz w:val="20"/>
                <w:szCs w:val="24"/>
                <w:lang w:val="en-US"/>
              </w:rPr>
              <w:t>0.005</w:t>
            </w:r>
          </w:p>
        </w:tc>
        <w:tc>
          <w:tcPr>
            <w:tcW w:w="709" w:type="dxa"/>
            <w:tcBorders>
              <w:top w:val="single" w:sz="6" w:space="0" w:color="auto"/>
              <w:left w:val="single" w:sz="6" w:space="0" w:color="auto"/>
              <w:bottom w:val="single" w:sz="6" w:space="0" w:color="auto"/>
              <w:right w:val="single" w:sz="6" w:space="0" w:color="auto"/>
            </w:tcBorders>
            <w:hideMark/>
          </w:tcPr>
          <w:p w14:paraId="277C3CF8"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24"/>
                <w:lang w:val="en-US"/>
              </w:rPr>
            </w:pPr>
            <w:r>
              <w:rPr>
                <w:sz w:val="20"/>
                <w:szCs w:val="24"/>
                <w:lang w:val="en-US" w:eastAsia="ru-RU"/>
              </w:rPr>
              <w:t>20</w:t>
            </w:r>
          </w:p>
        </w:tc>
        <w:tc>
          <w:tcPr>
            <w:tcW w:w="5808" w:type="dxa"/>
            <w:tcBorders>
              <w:top w:val="single" w:sz="6" w:space="0" w:color="auto"/>
              <w:left w:val="single" w:sz="6" w:space="0" w:color="auto"/>
              <w:bottom w:val="single" w:sz="6" w:space="0" w:color="auto"/>
              <w:right w:val="single" w:sz="6" w:space="0" w:color="auto"/>
            </w:tcBorders>
            <w:hideMark/>
          </w:tcPr>
          <w:p w14:paraId="643BAAD7"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24"/>
                <w:lang w:val="en-US"/>
              </w:rPr>
            </w:pPr>
            <w:r>
              <w:rPr>
                <w:sz w:val="20"/>
                <w:szCs w:val="24"/>
                <w:lang w:val="en-US"/>
              </w:rPr>
              <w:t xml:space="preserve">percentage of the time during which the interference from one source may exceed the permissible interference power value; since the entries of interference are not likely to occur simultaneously </w:t>
            </w:r>
            <w:r>
              <w:rPr>
                <w:i/>
                <w:sz w:val="20"/>
                <w:szCs w:val="24"/>
                <w:lang w:val="en-US"/>
              </w:rPr>
              <w:t>p</w:t>
            </w:r>
            <w:r>
              <w:rPr>
                <w:sz w:val="20"/>
                <w:szCs w:val="24"/>
                <w:lang w:val="en-US"/>
              </w:rPr>
              <w:t> = </w:t>
            </w:r>
            <w:r>
              <w:rPr>
                <w:i/>
                <w:sz w:val="20"/>
                <w:szCs w:val="24"/>
                <w:lang w:val="en-US"/>
              </w:rPr>
              <w:t>p</w:t>
            </w:r>
            <w:r>
              <w:rPr>
                <w:i/>
                <w:sz w:val="20"/>
                <w:szCs w:val="24"/>
                <w:vertAlign w:val="subscript"/>
                <w:lang w:val="en-US"/>
              </w:rPr>
              <w:t>0</w:t>
            </w:r>
            <w:r>
              <w:rPr>
                <w:sz w:val="20"/>
                <w:szCs w:val="24"/>
                <w:lang w:val="en-US"/>
              </w:rPr>
              <w:t>/</w:t>
            </w:r>
            <w:r>
              <w:rPr>
                <w:i/>
                <w:sz w:val="20"/>
                <w:szCs w:val="24"/>
                <w:lang w:val="en-US"/>
              </w:rPr>
              <w:t>n</w:t>
            </w:r>
          </w:p>
        </w:tc>
      </w:tr>
      <w:tr w:rsidR="00C14C6F" w14:paraId="664D650B" w14:textId="77777777" w:rsidTr="00C14C6F">
        <w:trPr>
          <w:cantSplit/>
          <w:jc w:val="right"/>
        </w:trPr>
        <w:tc>
          <w:tcPr>
            <w:tcW w:w="2187" w:type="dxa"/>
            <w:vMerge/>
            <w:tcBorders>
              <w:top w:val="single" w:sz="6" w:space="0" w:color="auto"/>
              <w:left w:val="single" w:sz="6" w:space="0" w:color="auto"/>
              <w:bottom w:val="single" w:sz="6" w:space="0" w:color="auto"/>
              <w:right w:val="single" w:sz="6" w:space="0" w:color="auto"/>
            </w:tcBorders>
            <w:vAlign w:val="center"/>
            <w:hideMark/>
          </w:tcPr>
          <w:p w14:paraId="457882A6" w14:textId="77777777" w:rsidR="00C14C6F" w:rsidRDefault="00C14C6F">
            <w:pPr>
              <w:tabs>
                <w:tab w:val="clear" w:pos="1134"/>
                <w:tab w:val="clear" w:pos="1871"/>
                <w:tab w:val="clear" w:pos="2268"/>
              </w:tabs>
              <w:overflowPunct/>
              <w:autoSpaceDE/>
              <w:autoSpaceDN/>
              <w:adjustRightInd/>
              <w:spacing w:before="0"/>
              <w:rPr>
                <w:sz w:val="20"/>
                <w:szCs w:val="24"/>
                <w:lang w:val="en-US"/>
              </w:rPr>
            </w:pPr>
          </w:p>
        </w:tc>
        <w:tc>
          <w:tcPr>
            <w:tcW w:w="1093" w:type="dxa"/>
            <w:tcBorders>
              <w:top w:val="single" w:sz="6" w:space="0" w:color="auto"/>
              <w:left w:val="single" w:sz="6" w:space="0" w:color="auto"/>
              <w:bottom w:val="single" w:sz="6" w:space="0" w:color="auto"/>
              <w:right w:val="single" w:sz="6" w:space="0" w:color="auto"/>
            </w:tcBorders>
            <w:hideMark/>
          </w:tcPr>
          <w:p w14:paraId="3B38EEE6"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position w:val="3"/>
                <w:sz w:val="20"/>
                <w:szCs w:val="24"/>
                <w:lang w:val="en-US"/>
              </w:rPr>
            </w:pPr>
            <w:r>
              <w:rPr>
                <w:i/>
                <w:iCs/>
                <w:sz w:val="20"/>
                <w:szCs w:val="24"/>
                <w:lang w:val="en-US"/>
              </w:rPr>
              <w:t>N</w:t>
            </w:r>
            <w:r>
              <w:rPr>
                <w:i/>
                <w:iCs/>
                <w:position w:val="-4"/>
                <w:sz w:val="20"/>
                <w:szCs w:val="24"/>
                <w:lang w:val="en-US"/>
              </w:rPr>
              <w:t>L</w:t>
            </w:r>
            <w:r>
              <w:rPr>
                <w:sz w:val="20"/>
                <w:szCs w:val="24"/>
                <w:lang w:val="en-US"/>
              </w:rPr>
              <w:t xml:space="preserve"> (dB)</w:t>
            </w:r>
          </w:p>
        </w:tc>
        <w:tc>
          <w:tcPr>
            <w:tcW w:w="633" w:type="dxa"/>
            <w:tcBorders>
              <w:top w:val="single" w:sz="6" w:space="0" w:color="auto"/>
              <w:left w:val="single" w:sz="6" w:space="0" w:color="auto"/>
              <w:bottom w:val="single" w:sz="6" w:space="0" w:color="auto"/>
              <w:right w:val="single" w:sz="6" w:space="0" w:color="auto"/>
            </w:tcBorders>
            <w:hideMark/>
          </w:tcPr>
          <w:p w14:paraId="1231CA2B"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24"/>
                <w:lang w:val="en-US"/>
              </w:rPr>
            </w:pPr>
            <w:r>
              <w:rPr>
                <w:sz w:val="20"/>
                <w:szCs w:val="24"/>
                <w:lang w:val="en-US"/>
              </w:rPr>
              <w:t>0</w:t>
            </w:r>
          </w:p>
        </w:tc>
        <w:tc>
          <w:tcPr>
            <w:tcW w:w="709" w:type="dxa"/>
            <w:tcBorders>
              <w:top w:val="single" w:sz="6" w:space="0" w:color="auto"/>
              <w:left w:val="single" w:sz="6" w:space="0" w:color="auto"/>
              <w:bottom w:val="single" w:sz="6" w:space="0" w:color="auto"/>
              <w:right w:val="single" w:sz="6" w:space="0" w:color="auto"/>
            </w:tcBorders>
            <w:hideMark/>
          </w:tcPr>
          <w:p w14:paraId="1B259A95"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24"/>
                <w:lang w:val="en-US"/>
              </w:rPr>
            </w:pPr>
            <w:r>
              <w:rPr>
                <w:sz w:val="20"/>
                <w:szCs w:val="24"/>
                <w:lang w:val="en-US" w:eastAsia="ru-RU"/>
              </w:rPr>
              <w:t>0</w:t>
            </w:r>
          </w:p>
        </w:tc>
        <w:tc>
          <w:tcPr>
            <w:tcW w:w="5808" w:type="dxa"/>
            <w:tcBorders>
              <w:top w:val="single" w:sz="6" w:space="0" w:color="auto"/>
              <w:left w:val="single" w:sz="6" w:space="0" w:color="auto"/>
              <w:bottom w:val="single" w:sz="6" w:space="0" w:color="auto"/>
              <w:right w:val="single" w:sz="6" w:space="0" w:color="auto"/>
            </w:tcBorders>
            <w:hideMark/>
          </w:tcPr>
          <w:p w14:paraId="0CA7FA22"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24"/>
                <w:lang w:val="en-US"/>
              </w:rPr>
            </w:pPr>
            <w:r>
              <w:rPr>
                <w:sz w:val="20"/>
                <w:szCs w:val="24"/>
                <w:lang w:val="en-US"/>
              </w:rPr>
              <w:t xml:space="preserve">The factor </w:t>
            </w:r>
            <w:r>
              <w:rPr>
                <w:i/>
                <w:sz w:val="20"/>
                <w:szCs w:val="24"/>
                <w:lang w:val="en-US"/>
              </w:rPr>
              <w:t>N</w:t>
            </w:r>
            <w:r>
              <w:rPr>
                <w:i/>
                <w:sz w:val="20"/>
                <w:szCs w:val="24"/>
                <w:vertAlign w:val="subscript"/>
                <w:lang w:val="en-US"/>
              </w:rPr>
              <w:t>L</w:t>
            </w:r>
            <w:r>
              <w:rPr>
                <w:sz w:val="20"/>
                <w:szCs w:val="24"/>
                <w:lang w:val="en-US"/>
              </w:rPr>
              <w:t xml:space="preserve"> is the noise contribution to the link. In the case of a satellite transponder, it includes the uplink noise, intermodulation, etc. In the absence of table entries, it is assumed:</w:t>
            </w:r>
          </w:p>
          <w:p w14:paraId="2333A014"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24"/>
                <w:lang w:val="en-US"/>
              </w:rPr>
            </w:pPr>
            <w:r>
              <w:rPr>
                <w:sz w:val="20"/>
                <w:szCs w:val="24"/>
                <w:lang w:val="en-US"/>
              </w:rPr>
              <w:tab/>
            </w:r>
            <w:r>
              <w:rPr>
                <w:i/>
                <w:sz w:val="20"/>
                <w:szCs w:val="24"/>
                <w:lang w:val="en-US"/>
              </w:rPr>
              <w:t>N</w:t>
            </w:r>
            <w:r>
              <w:rPr>
                <w:i/>
                <w:sz w:val="20"/>
                <w:szCs w:val="24"/>
                <w:vertAlign w:val="subscript"/>
                <w:lang w:val="en-US"/>
              </w:rPr>
              <w:t>L</w:t>
            </w:r>
            <w:r>
              <w:rPr>
                <w:sz w:val="20"/>
                <w:szCs w:val="24"/>
                <w:lang w:val="en-US"/>
              </w:rPr>
              <w:t> = 1 </w:t>
            </w:r>
            <w:proofErr w:type="gramStart"/>
            <w:r>
              <w:rPr>
                <w:sz w:val="20"/>
                <w:szCs w:val="24"/>
                <w:lang w:val="en-US"/>
              </w:rPr>
              <w:t>dB  for</w:t>
            </w:r>
            <w:proofErr w:type="gramEnd"/>
            <w:r>
              <w:rPr>
                <w:sz w:val="20"/>
                <w:szCs w:val="24"/>
                <w:lang w:val="en-US"/>
              </w:rPr>
              <w:t xml:space="preserve"> fixed</w:t>
            </w:r>
            <w:r>
              <w:rPr>
                <w:sz w:val="20"/>
                <w:szCs w:val="24"/>
                <w:lang w:val="en-US"/>
              </w:rPr>
              <w:noBreakHyphen/>
              <w:t>satellite links</w:t>
            </w:r>
          </w:p>
          <w:p w14:paraId="0E90DBD0"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24"/>
                <w:lang w:val="en-US"/>
              </w:rPr>
            </w:pPr>
            <w:r>
              <w:rPr>
                <w:sz w:val="20"/>
                <w:szCs w:val="24"/>
                <w:lang w:val="en-US"/>
              </w:rPr>
              <w:tab/>
            </w:r>
            <w:r>
              <w:rPr>
                <w:sz w:val="20"/>
                <w:szCs w:val="24"/>
                <w:lang w:val="en-US"/>
              </w:rPr>
              <w:t> </w:t>
            </w:r>
            <w:r>
              <w:rPr>
                <w:sz w:val="20"/>
                <w:szCs w:val="24"/>
                <w:lang w:val="en-US"/>
              </w:rPr>
              <w:t> </w:t>
            </w:r>
            <w:r>
              <w:rPr>
                <w:sz w:val="20"/>
                <w:szCs w:val="24"/>
                <w:lang w:val="en-US"/>
              </w:rPr>
              <w:t> = 0 </w:t>
            </w:r>
            <w:proofErr w:type="gramStart"/>
            <w:r>
              <w:rPr>
                <w:sz w:val="20"/>
                <w:szCs w:val="24"/>
                <w:lang w:val="en-US"/>
              </w:rPr>
              <w:t>dB  for</w:t>
            </w:r>
            <w:proofErr w:type="gramEnd"/>
            <w:r>
              <w:rPr>
                <w:sz w:val="20"/>
                <w:szCs w:val="24"/>
                <w:lang w:val="en-US"/>
              </w:rPr>
              <w:t xml:space="preserve"> terrestrial links</w:t>
            </w:r>
          </w:p>
        </w:tc>
      </w:tr>
      <w:tr w:rsidR="00C14C6F" w14:paraId="28D0012E" w14:textId="77777777" w:rsidTr="00C14C6F">
        <w:trPr>
          <w:cantSplit/>
          <w:jc w:val="right"/>
        </w:trPr>
        <w:tc>
          <w:tcPr>
            <w:tcW w:w="2187" w:type="dxa"/>
            <w:vMerge/>
            <w:tcBorders>
              <w:top w:val="single" w:sz="6" w:space="0" w:color="auto"/>
              <w:left w:val="single" w:sz="6" w:space="0" w:color="auto"/>
              <w:bottom w:val="single" w:sz="6" w:space="0" w:color="auto"/>
              <w:right w:val="single" w:sz="6" w:space="0" w:color="auto"/>
            </w:tcBorders>
            <w:vAlign w:val="center"/>
            <w:hideMark/>
          </w:tcPr>
          <w:p w14:paraId="422A56D3" w14:textId="77777777" w:rsidR="00C14C6F" w:rsidRDefault="00C14C6F">
            <w:pPr>
              <w:tabs>
                <w:tab w:val="clear" w:pos="1134"/>
                <w:tab w:val="clear" w:pos="1871"/>
                <w:tab w:val="clear" w:pos="2268"/>
              </w:tabs>
              <w:overflowPunct/>
              <w:autoSpaceDE/>
              <w:autoSpaceDN/>
              <w:adjustRightInd/>
              <w:spacing w:before="0"/>
              <w:rPr>
                <w:sz w:val="20"/>
                <w:szCs w:val="24"/>
                <w:lang w:val="en-US"/>
              </w:rPr>
            </w:pPr>
          </w:p>
        </w:tc>
        <w:tc>
          <w:tcPr>
            <w:tcW w:w="1093" w:type="dxa"/>
            <w:tcBorders>
              <w:top w:val="single" w:sz="6" w:space="0" w:color="auto"/>
              <w:left w:val="single" w:sz="6" w:space="0" w:color="auto"/>
              <w:bottom w:val="single" w:sz="6" w:space="0" w:color="auto"/>
              <w:right w:val="single" w:sz="6" w:space="0" w:color="auto"/>
            </w:tcBorders>
            <w:hideMark/>
          </w:tcPr>
          <w:p w14:paraId="6D51B1D8"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position w:val="3"/>
                <w:sz w:val="20"/>
                <w:szCs w:val="24"/>
                <w:lang w:val="en-US"/>
              </w:rPr>
            </w:pPr>
            <w:r>
              <w:rPr>
                <w:i/>
                <w:iCs/>
                <w:sz w:val="20"/>
                <w:szCs w:val="24"/>
                <w:lang w:val="en-US"/>
              </w:rPr>
              <w:t>M</w:t>
            </w:r>
            <w:r>
              <w:rPr>
                <w:i/>
                <w:iCs/>
                <w:position w:val="-4"/>
                <w:sz w:val="20"/>
                <w:szCs w:val="24"/>
                <w:lang w:val="en-US"/>
              </w:rPr>
              <w:t>s</w:t>
            </w:r>
            <w:r>
              <w:rPr>
                <w:sz w:val="20"/>
                <w:szCs w:val="24"/>
                <w:lang w:val="en-US"/>
              </w:rPr>
              <w:t xml:space="preserve"> (dB)</w:t>
            </w:r>
          </w:p>
        </w:tc>
        <w:tc>
          <w:tcPr>
            <w:tcW w:w="633" w:type="dxa"/>
            <w:tcBorders>
              <w:top w:val="single" w:sz="6" w:space="0" w:color="auto"/>
              <w:left w:val="single" w:sz="6" w:space="0" w:color="auto"/>
              <w:bottom w:val="single" w:sz="6" w:space="0" w:color="auto"/>
              <w:right w:val="single" w:sz="6" w:space="0" w:color="auto"/>
            </w:tcBorders>
            <w:hideMark/>
          </w:tcPr>
          <w:p w14:paraId="72209976"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24"/>
                <w:lang w:val="en-US"/>
              </w:rPr>
            </w:pPr>
            <w:proofErr w:type="gramStart"/>
            <w:r>
              <w:rPr>
                <w:sz w:val="20"/>
                <w:szCs w:val="24"/>
                <w:lang w:val="en-US"/>
              </w:rPr>
              <w:t xml:space="preserve">26  </w:t>
            </w:r>
            <w:r>
              <w:rPr>
                <w:position w:val="4"/>
                <w:sz w:val="20"/>
                <w:szCs w:val="24"/>
                <w:lang w:val="en-US"/>
              </w:rPr>
              <w:t>2</w:t>
            </w:r>
            <w:proofErr w:type="gramEnd"/>
          </w:p>
        </w:tc>
        <w:tc>
          <w:tcPr>
            <w:tcW w:w="709" w:type="dxa"/>
            <w:tcBorders>
              <w:top w:val="single" w:sz="6" w:space="0" w:color="auto"/>
              <w:left w:val="single" w:sz="6" w:space="0" w:color="auto"/>
              <w:bottom w:val="single" w:sz="6" w:space="0" w:color="auto"/>
              <w:right w:val="single" w:sz="6" w:space="0" w:color="auto"/>
            </w:tcBorders>
            <w:hideMark/>
          </w:tcPr>
          <w:p w14:paraId="67AC3695"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24"/>
                <w:lang w:val="en-US"/>
              </w:rPr>
            </w:pPr>
            <w:r>
              <w:rPr>
                <w:sz w:val="20"/>
                <w:szCs w:val="24"/>
                <w:lang w:val="en-US" w:eastAsia="ru-RU"/>
              </w:rPr>
              <w:t>1</w:t>
            </w:r>
          </w:p>
        </w:tc>
        <w:tc>
          <w:tcPr>
            <w:tcW w:w="5808" w:type="dxa"/>
            <w:tcBorders>
              <w:top w:val="single" w:sz="6" w:space="0" w:color="auto"/>
              <w:left w:val="single" w:sz="6" w:space="0" w:color="auto"/>
              <w:bottom w:val="single" w:sz="6" w:space="0" w:color="auto"/>
              <w:right w:val="single" w:sz="6" w:space="0" w:color="auto"/>
            </w:tcBorders>
            <w:hideMark/>
          </w:tcPr>
          <w:p w14:paraId="54B6CF90"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24"/>
                <w:lang w:val="en-US"/>
              </w:rPr>
            </w:pPr>
            <w:r>
              <w:rPr>
                <w:sz w:val="20"/>
                <w:szCs w:val="24"/>
                <w:lang w:val="en-US"/>
              </w:rPr>
              <w:t xml:space="preserve">for BS IMT station NF=5 </w:t>
            </w:r>
            <w:proofErr w:type="spellStart"/>
            <w:r>
              <w:rPr>
                <w:sz w:val="20"/>
                <w:szCs w:val="24"/>
                <w:lang w:val="en-US"/>
              </w:rPr>
              <w:t>dB.</w:t>
            </w:r>
            <w:proofErr w:type="spellEnd"/>
            <w:r>
              <w:rPr>
                <w:sz w:val="20"/>
                <w:szCs w:val="24"/>
                <w:lang w:val="en-US"/>
              </w:rPr>
              <w:t xml:space="preserve"> Therefore </w:t>
            </w:r>
            <w:r w:rsidRPr="00042643">
              <w:rPr>
                <w:sz w:val="20"/>
                <w:szCs w:val="24"/>
                <w:lang w:val="en-US"/>
              </w:rPr>
              <w:t>N</w:t>
            </w:r>
            <w:r>
              <w:rPr>
                <w:sz w:val="20"/>
                <w:szCs w:val="24"/>
                <w:lang w:val="en-US"/>
              </w:rPr>
              <w:t xml:space="preserve">=-204 </w:t>
            </w:r>
            <w:proofErr w:type="spellStart"/>
            <w:r>
              <w:rPr>
                <w:sz w:val="20"/>
                <w:szCs w:val="24"/>
                <w:lang w:val="en-US"/>
              </w:rPr>
              <w:t>dBW</w:t>
            </w:r>
            <w:proofErr w:type="spellEnd"/>
            <w:r>
              <w:rPr>
                <w:sz w:val="20"/>
                <w:szCs w:val="24"/>
                <w:lang w:val="en-US"/>
              </w:rPr>
              <w:t xml:space="preserve">/Hz +5dB=-199 </w:t>
            </w:r>
            <w:proofErr w:type="spellStart"/>
            <w:r>
              <w:rPr>
                <w:sz w:val="20"/>
                <w:szCs w:val="24"/>
                <w:lang w:val="en-US"/>
              </w:rPr>
              <w:t>dBW</w:t>
            </w:r>
            <w:proofErr w:type="spellEnd"/>
            <w:r>
              <w:rPr>
                <w:sz w:val="20"/>
                <w:szCs w:val="24"/>
                <w:lang w:val="en-US"/>
              </w:rPr>
              <w:t>/Hz.</w:t>
            </w:r>
          </w:p>
          <w:p w14:paraId="0445B490"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24"/>
                <w:lang w:val="en-US"/>
              </w:rPr>
            </w:pPr>
            <w:r>
              <w:rPr>
                <w:sz w:val="20"/>
                <w:szCs w:val="24"/>
                <w:lang w:val="en-US"/>
              </w:rPr>
              <w:t xml:space="preserve">Therefore based on </w:t>
            </w:r>
            <w:r w:rsidRPr="00082DCF">
              <w:rPr>
                <w:i/>
                <w:iCs/>
                <w:sz w:val="20"/>
                <w:szCs w:val="24"/>
                <w:lang w:val="en-US"/>
              </w:rPr>
              <w:t>I</w:t>
            </w:r>
            <w:r>
              <w:rPr>
                <w:sz w:val="20"/>
                <w:szCs w:val="24"/>
                <w:lang w:val="en-US"/>
              </w:rPr>
              <w:t>/</w:t>
            </w:r>
            <w:r w:rsidRPr="00082DCF">
              <w:rPr>
                <w:i/>
                <w:iCs/>
                <w:sz w:val="20"/>
                <w:szCs w:val="24"/>
                <w:lang w:val="en-US"/>
              </w:rPr>
              <w:t>N</w:t>
            </w:r>
            <w:r>
              <w:rPr>
                <w:sz w:val="20"/>
                <w:szCs w:val="24"/>
                <w:lang w:val="en-US"/>
              </w:rPr>
              <w:t xml:space="preserve"> = –6 </w:t>
            </w:r>
            <w:proofErr w:type="gramStart"/>
            <w:r>
              <w:rPr>
                <w:sz w:val="20"/>
                <w:szCs w:val="24"/>
                <w:lang w:val="en-US"/>
              </w:rPr>
              <w:t xml:space="preserve">dB  </w:t>
            </w:r>
            <w:r w:rsidRPr="00042643">
              <w:rPr>
                <w:sz w:val="20"/>
                <w:szCs w:val="24"/>
                <w:lang w:val="en-US"/>
              </w:rPr>
              <w:t>I</w:t>
            </w:r>
            <w:proofErr w:type="gramEnd"/>
            <w:r>
              <w:rPr>
                <w:sz w:val="20"/>
                <w:szCs w:val="24"/>
                <w:lang w:val="en-US"/>
              </w:rPr>
              <w:t xml:space="preserve">=-205 </w:t>
            </w:r>
            <w:proofErr w:type="spellStart"/>
            <w:r>
              <w:rPr>
                <w:sz w:val="20"/>
                <w:szCs w:val="24"/>
                <w:lang w:val="en-US"/>
              </w:rPr>
              <w:t>dBW</w:t>
            </w:r>
            <w:proofErr w:type="spellEnd"/>
            <w:r>
              <w:rPr>
                <w:sz w:val="20"/>
                <w:szCs w:val="24"/>
                <w:lang w:val="en-US"/>
              </w:rPr>
              <w:t xml:space="preserve">/Hz or 169 </w:t>
            </w:r>
            <w:proofErr w:type="spellStart"/>
            <w:r>
              <w:rPr>
                <w:sz w:val="20"/>
                <w:szCs w:val="24"/>
                <w:lang w:val="en-US"/>
              </w:rPr>
              <w:t>dBW</w:t>
            </w:r>
            <w:proofErr w:type="spellEnd"/>
            <w:r>
              <w:rPr>
                <w:sz w:val="20"/>
                <w:szCs w:val="24"/>
                <w:lang w:val="en-US"/>
              </w:rPr>
              <w:t>/4kHz)</w:t>
            </w:r>
          </w:p>
          <w:p w14:paraId="012CA559" w14:textId="278851FC"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24"/>
                <w:lang w:val="en-US"/>
              </w:rPr>
            </w:pPr>
            <w:r>
              <w:rPr>
                <w:sz w:val="20"/>
                <w:szCs w:val="24"/>
                <w:lang w:val="en-US"/>
              </w:rPr>
              <w:t xml:space="preserve">Since </w:t>
            </w:r>
            <w:proofErr w:type="spellStart"/>
            <w:r>
              <w:rPr>
                <w:i/>
                <w:sz w:val="20"/>
                <w:szCs w:val="24"/>
                <w:lang w:val="en-US"/>
              </w:rPr>
              <w:t>P</w:t>
            </w:r>
            <w:r>
              <w:rPr>
                <w:i/>
                <w:sz w:val="20"/>
                <w:szCs w:val="24"/>
                <w:vertAlign w:val="subscript"/>
                <w:lang w:val="en-US"/>
              </w:rPr>
              <w:t>r</w:t>
            </w:r>
            <w:proofErr w:type="spellEnd"/>
            <w:r>
              <w:rPr>
                <w:sz w:val="20"/>
                <w:szCs w:val="24"/>
                <w:lang w:val="en-US"/>
              </w:rPr>
              <w:t>(</w:t>
            </w:r>
            <w:r>
              <w:rPr>
                <w:i/>
                <w:sz w:val="20"/>
                <w:szCs w:val="24"/>
                <w:lang w:val="en-US"/>
              </w:rPr>
              <w:t>p</w:t>
            </w:r>
            <w:r>
              <w:rPr>
                <w:sz w:val="20"/>
                <w:szCs w:val="24"/>
                <w:lang w:val="en-US"/>
              </w:rPr>
              <w:t xml:space="preserve">) = </w:t>
            </w:r>
            <w:r w:rsidR="00082DCF" w:rsidRPr="00082DCF">
              <w:rPr>
                <w:color w:val="000000"/>
                <w:sz w:val="20"/>
                <w:lang w:val="en-US" w:eastAsia="zh-CN"/>
              </w:rPr>
              <w:t>–</w:t>
            </w:r>
            <w:r>
              <w:rPr>
                <w:sz w:val="20"/>
                <w:szCs w:val="24"/>
                <w:lang w:val="en-US"/>
              </w:rPr>
              <w:t xml:space="preserve">169 </w:t>
            </w:r>
            <w:proofErr w:type="spellStart"/>
            <w:r>
              <w:rPr>
                <w:sz w:val="20"/>
                <w:szCs w:val="24"/>
                <w:lang w:val="en-US"/>
              </w:rPr>
              <w:t>dBW</w:t>
            </w:r>
            <w:proofErr w:type="spellEnd"/>
            <w:r>
              <w:rPr>
                <w:sz w:val="20"/>
                <w:szCs w:val="24"/>
                <w:lang w:val="en-US"/>
              </w:rPr>
              <w:t xml:space="preserve">/4kHz) than </w:t>
            </w:r>
            <w:proofErr w:type="spellStart"/>
            <w:r>
              <w:rPr>
                <w:i/>
                <w:sz w:val="20"/>
                <w:szCs w:val="24"/>
                <w:lang w:val="en-US"/>
              </w:rPr>
              <w:t>M</w:t>
            </w:r>
            <w:r>
              <w:rPr>
                <w:i/>
                <w:sz w:val="20"/>
                <w:szCs w:val="24"/>
                <w:vertAlign w:val="subscript"/>
                <w:lang w:val="en-US"/>
              </w:rPr>
              <w:t>s</w:t>
            </w:r>
            <w:proofErr w:type="spellEnd"/>
            <w:r>
              <w:rPr>
                <w:sz w:val="20"/>
                <w:szCs w:val="24"/>
                <w:lang w:val="en-US"/>
              </w:rPr>
              <w:t xml:space="preserve"> = 1 dB</w:t>
            </w:r>
          </w:p>
        </w:tc>
      </w:tr>
      <w:tr w:rsidR="00C14C6F" w14:paraId="7B247EA0" w14:textId="77777777" w:rsidTr="00C14C6F">
        <w:trPr>
          <w:cantSplit/>
          <w:jc w:val="right"/>
        </w:trPr>
        <w:tc>
          <w:tcPr>
            <w:tcW w:w="2187" w:type="dxa"/>
            <w:vMerge/>
            <w:tcBorders>
              <w:top w:val="single" w:sz="6" w:space="0" w:color="auto"/>
              <w:left w:val="single" w:sz="6" w:space="0" w:color="auto"/>
              <w:bottom w:val="single" w:sz="6" w:space="0" w:color="auto"/>
              <w:right w:val="single" w:sz="6" w:space="0" w:color="auto"/>
            </w:tcBorders>
            <w:vAlign w:val="center"/>
            <w:hideMark/>
          </w:tcPr>
          <w:p w14:paraId="4EC9FDE1" w14:textId="77777777" w:rsidR="00C14C6F" w:rsidRDefault="00C14C6F">
            <w:pPr>
              <w:tabs>
                <w:tab w:val="clear" w:pos="1134"/>
                <w:tab w:val="clear" w:pos="1871"/>
                <w:tab w:val="clear" w:pos="2268"/>
              </w:tabs>
              <w:overflowPunct/>
              <w:autoSpaceDE/>
              <w:autoSpaceDN/>
              <w:adjustRightInd/>
              <w:spacing w:before="0"/>
              <w:rPr>
                <w:sz w:val="20"/>
                <w:szCs w:val="24"/>
                <w:lang w:val="en-US"/>
              </w:rPr>
            </w:pPr>
          </w:p>
        </w:tc>
        <w:tc>
          <w:tcPr>
            <w:tcW w:w="1093" w:type="dxa"/>
            <w:tcBorders>
              <w:top w:val="single" w:sz="6" w:space="0" w:color="auto"/>
              <w:left w:val="single" w:sz="6" w:space="0" w:color="auto"/>
              <w:bottom w:val="single" w:sz="6" w:space="0" w:color="auto"/>
              <w:right w:val="single" w:sz="6" w:space="0" w:color="auto"/>
            </w:tcBorders>
            <w:hideMark/>
          </w:tcPr>
          <w:p w14:paraId="361D809C"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position w:val="3"/>
                <w:sz w:val="20"/>
                <w:szCs w:val="24"/>
                <w:lang w:val="en-US"/>
              </w:rPr>
            </w:pPr>
            <w:r>
              <w:rPr>
                <w:i/>
                <w:iCs/>
                <w:sz w:val="20"/>
                <w:szCs w:val="24"/>
                <w:lang w:val="en-US"/>
              </w:rPr>
              <w:t>W</w:t>
            </w:r>
            <w:r>
              <w:rPr>
                <w:sz w:val="20"/>
                <w:szCs w:val="24"/>
                <w:lang w:val="en-US"/>
              </w:rPr>
              <w:t xml:space="preserve"> (dB)</w:t>
            </w:r>
          </w:p>
        </w:tc>
        <w:tc>
          <w:tcPr>
            <w:tcW w:w="633" w:type="dxa"/>
            <w:tcBorders>
              <w:top w:val="single" w:sz="6" w:space="0" w:color="auto"/>
              <w:left w:val="single" w:sz="6" w:space="0" w:color="auto"/>
              <w:bottom w:val="single" w:sz="6" w:space="0" w:color="auto"/>
              <w:right w:val="single" w:sz="6" w:space="0" w:color="auto"/>
            </w:tcBorders>
            <w:hideMark/>
          </w:tcPr>
          <w:p w14:paraId="24DBB6FE"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24"/>
                <w:lang w:val="en-US"/>
              </w:rPr>
            </w:pPr>
            <w:r>
              <w:rPr>
                <w:sz w:val="20"/>
                <w:szCs w:val="24"/>
                <w:lang w:val="en-US"/>
              </w:rPr>
              <w:t>0</w:t>
            </w:r>
          </w:p>
        </w:tc>
        <w:tc>
          <w:tcPr>
            <w:tcW w:w="709" w:type="dxa"/>
            <w:tcBorders>
              <w:top w:val="single" w:sz="6" w:space="0" w:color="auto"/>
              <w:left w:val="single" w:sz="6" w:space="0" w:color="auto"/>
              <w:bottom w:val="single" w:sz="6" w:space="0" w:color="auto"/>
              <w:right w:val="single" w:sz="6" w:space="0" w:color="auto"/>
            </w:tcBorders>
            <w:hideMark/>
          </w:tcPr>
          <w:p w14:paraId="1C07EB58"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24"/>
                <w:lang w:val="en-US"/>
              </w:rPr>
            </w:pPr>
            <w:r>
              <w:rPr>
                <w:sz w:val="20"/>
                <w:szCs w:val="24"/>
                <w:lang w:val="en-US" w:eastAsia="ru-RU"/>
              </w:rPr>
              <w:t>0</w:t>
            </w:r>
          </w:p>
        </w:tc>
        <w:tc>
          <w:tcPr>
            <w:tcW w:w="5808" w:type="dxa"/>
            <w:tcBorders>
              <w:top w:val="single" w:sz="6" w:space="0" w:color="auto"/>
              <w:left w:val="single" w:sz="6" w:space="0" w:color="auto"/>
              <w:bottom w:val="single" w:sz="6" w:space="0" w:color="auto"/>
              <w:right w:val="single" w:sz="6" w:space="0" w:color="auto"/>
            </w:tcBorders>
            <w:hideMark/>
          </w:tcPr>
          <w:p w14:paraId="76DC43DD"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24"/>
                <w:lang w:val="en-US"/>
              </w:rPr>
            </w:pPr>
            <w:r>
              <w:rPr>
                <w:sz w:val="20"/>
                <w:szCs w:val="24"/>
                <w:lang w:val="en-US"/>
              </w:rPr>
              <w:t xml:space="preserve">When the wanted signal is digital, </w:t>
            </w:r>
            <w:r>
              <w:rPr>
                <w:i/>
                <w:sz w:val="20"/>
                <w:szCs w:val="24"/>
                <w:lang w:val="en-US"/>
              </w:rPr>
              <w:t>W</w:t>
            </w:r>
            <w:r>
              <w:rPr>
                <w:sz w:val="20"/>
                <w:szCs w:val="24"/>
                <w:lang w:val="en-US"/>
              </w:rPr>
              <w:t xml:space="preserve"> is usually equal to or less than 0 dB, regardless of the characteristics of the interfering signal.</w:t>
            </w:r>
          </w:p>
        </w:tc>
      </w:tr>
      <w:tr w:rsidR="00C14C6F" w14:paraId="6EB69E71" w14:textId="77777777" w:rsidTr="00C14C6F">
        <w:trPr>
          <w:cantSplit/>
          <w:jc w:val="right"/>
        </w:trPr>
        <w:tc>
          <w:tcPr>
            <w:tcW w:w="1094" w:type="dxa"/>
            <w:vMerge w:val="restart"/>
            <w:tcBorders>
              <w:top w:val="single" w:sz="6" w:space="0" w:color="auto"/>
              <w:left w:val="single" w:sz="6" w:space="0" w:color="auto"/>
              <w:bottom w:val="single" w:sz="4" w:space="0" w:color="auto"/>
              <w:right w:val="single" w:sz="6" w:space="0" w:color="auto"/>
            </w:tcBorders>
            <w:hideMark/>
          </w:tcPr>
          <w:p w14:paraId="421ABE61"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24"/>
                <w:lang w:val="en-US"/>
              </w:rPr>
            </w:pPr>
            <w:r>
              <w:rPr>
                <w:sz w:val="20"/>
                <w:szCs w:val="24"/>
                <w:lang w:val="en-US"/>
              </w:rPr>
              <w:t>Terrestrial station parameters</w:t>
            </w:r>
          </w:p>
        </w:tc>
        <w:tc>
          <w:tcPr>
            <w:tcW w:w="1093" w:type="dxa"/>
            <w:tcBorders>
              <w:top w:val="single" w:sz="6" w:space="0" w:color="auto"/>
              <w:left w:val="single" w:sz="6" w:space="0" w:color="auto"/>
              <w:bottom w:val="single" w:sz="6" w:space="0" w:color="auto"/>
              <w:right w:val="single" w:sz="6" w:space="0" w:color="auto"/>
            </w:tcBorders>
            <w:hideMark/>
          </w:tcPr>
          <w:p w14:paraId="17066BA1"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position w:val="3"/>
                <w:sz w:val="20"/>
                <w:szCs w:val="24"/>
                <w:lang w:val="en-US"/>
              </w:rPr>
            </w:pPr>
            <w:r>
              <w:rPr>
                <w:i/>
                <w:iCs/>
                <w:sz w:val="20"/>
                <w:szCs w:val="24"/>
                <w:lang w:val="en-US"/>
              </w:rPr>
              <w:t>G</w:t>
            </w:r>
            <w:r>
              <w:rPr>
                <w:i/>
                <w:iCs/>
                <w:position w:val="-4"/>
                <w:sz w:val="20"/>
                <w:szCs w:val="24"/>
                <w:lang w:val="en-US"/>
              </w:rPr>
              <w:t>x</w:t>
            </w:r>
            <w:r>
              <w:rPr>
                <w:sz w:val="20"/>
                <w:szCs w:val="24"/>
                <w:lang w:val="en-US"/>
              </w:rPr>
              <w:t xml:space="preserve"> (</w:t>
            </w:r>
            <w:proofErr w:type="spellStart"/>
            <w:proofErr w:type="gramStart"/>
            <w:r>
              <w:rPr>
                <w:sz w:val="20"/>
                <w:szCs w:val="24"/>
                <w:lang w:val="en-US"/>
              </w:rPr>
              <w:t>dBi</w:t>
            </w:r>
            <w:proofErr w:type="spellEnd"/>
            <w:r>
              <w:rPr>
                <w:sz w:val="20"/>
                <w:szCs w:val="24"/>
                <w:lang w:val="en-US"/>
              </w:rPr>
              <w:t xml:space="preserve">)  </w:t>
            </w:r>
            <w:r>
              <w:rPr>
                <w:position w:val="4"/>
                <w:sz w:val="20"/>
                <w:szCs w:val="24"/>
                <w:lang w:val="en-US"/>
              </w:rPr>
              <w:t>3</w:t>
            </w:r>
            <w:proofErr w:type="gramEnd"/>
          </w:p>
        </w:tc>
        <w:tc>
          <w:tcPr>
            <w:tcW w:w="633" w:type="dxa"/>
            <w:tcBorders>
              <w:top w:val="single" w:sz="6" w:space="0" w:color="auto"/>
              <w:left w:val="single" w:sz="6" w:space="0" w:color="auto"/>
              <w:bottom w:val="single" w:sz="6" w:space="0" w:color="auto"/>
              <w:right w:val="single" w:sz="6" w:space="0" w:color="auto"/>
            </w:tcBorders>
            <w:hideMark/>
          </w:tcPr>
          <w:p w14:paraId="6C5BB18A"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24"/>
                <w:lang w:val="en-US"/>
              </w:rPr>
            </w:pPr>
            <w:proofErr w:type="gramStart"/>
            <w:r>
              <w:rPr>
                <w:sz w:val="20"/>
                <w:szCs w:val="24"/>
                <w:lang w:val="en-US"/>
              </w:rPr>
              <w:t xml:space="preserve">49  </w:t>
            </w:r>
            <w:r>
              <w:rPr>
                <w:position w:val="4"/>
                <w:sz w:val="20"/>
                <w:szCs w:val="24"/>
                <w:lang w:val="en-US"/>
              </w:rPr>
              <w:t>2</w:t>
            </w:r>
            <w:proofErr w:type="gramEnd"/>
          </w:p>
        </w:tc>
        <w:tc>
          <w:tcPr>
            <w:tcW w:w="709" w:type="dxa"/>
            <w:tcBorders>
              <w:top w:val="single" w:sz="6" w:space="0" w:color="auto"/>
              <w:left w:val="single" w:sz="6" w:space="0" w:color="auto"/>
              <w:bottom w:val="single" w:sz="6" w:space="0" w:color="auto"/>
              <w:right w:val="single" w:sz="6" w:space="0" w:color="auto"/>
            </w:tcBorders>
            <w:hideMark/>
          </w:tcPr>
          <w:p w14:paraId="14B6E1DD"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24"/>
                <w:lang w:val="en-US"/>
              </w:rPr>
            </w:pPr>
            <w:r>
              <w:rPr>
                <w:sz w:val="20"/>
                <w:szCs w:val="24"/>
                <w:lang w:val="en-US" w:eastAsia="ru-RU"/>
              </w:rPr>
              <w:t>16.1</w:t>
            </w:r>
          </w:p>
        </w:tc>
        <w:tc>
          <w:tcPr>
            <w:tcW w:w="5808" w:type="dxa"/>
            <w:tcBorders>
              <w:top w:val="single" w:sz="6" w:space="0" w:color="auto"/>
              <w:left w:val="single" w:sz="6" w:space="0" w:color="auto"/>
              <w:bottom w:val="single" w:sz="6" w:space="0" w:color="auto"/>
              <w:right w:val="single" w:sz="6" w:space="0" w:color="auto"/>
            </w:tcBorders>
            <w:hideMark/>
          </w:tcPr>
          <w:p w14:paraId="47038FF6"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24"/>
                <w:lang w:val="en-US"/>
              </w:rPr>
            </w:pPr>
            <w:r>
              <w:rPr>
                <w:sz w:val="20"/>
                <w:szCs w:val="24"/>
                <w:lang w:val="en-US"/>
              </w:rPr>
              <w:t xml:space="preserve">Receiving antenna gain without feeder loss of IMT base station towards the direction to MSS earth station </w:t>
            </w:r>
          </w:p>
        </w:tc>
      </w:tr>
      <w:tr w:rsidR="00C14C6F" w14:paraId="2B5C8C1A" w14:textId="77777777" w:rsidTr="00C14C6F">
        <w:trPr>
          <w:cantSplit/>
          <w:jc w:val="right"/>
        </w:trPr>
        <w:tc>
          <w:tcPr>
            <w:tcW w:w="2187" w:type="dxa"/>
            <w:vMerge/>
            <w:tcBorders>
              <w:top w:val="single" w:sz="6" w:space="0" w:color="auto"/>
              <w:left w:val="single" w:sz="6" w:space="0" w:color="auto"/>
              <w:bottom w:val="single" w:sz="4" w:space="0" w:color="auto"/>
              <w:right w:val="single" w:sz="6" w:space="0" w:color="auto"/>
            </w:tcBorders>
            <w:vAlign w:val="center"/>
            <w:hideMark/>
          </w:tcPr>
          <w:p w14:paraId="6EE9393A" w14:textId="77777777" w:rsidR="00C14C6F" w:rsidRDefault="00C14C6F">
            <w:pPr>
              <w:tabs>
                <w:tab w:val="clear" w:pos="1134"/>
                <w:tab w:val="clear" w:pos="1871"/>
                <w:tab w:val="clear" w:pos="2268"/>
              </w:tabs>
              <w:overflowPunct/>
              <w:autoSpaceDE/>
              <w:autoSpaceDN/>
              <w:adjustRightInd/>
              <w:spacing w:before="0"/>
              <w:rPr>
                <w:sz w:val="20"/>
                <w:szCs w:val="24"/>
                <w:lang w:val="en-US"/>
              </w:rPr>
            </w:pPr>
          </w:p>
        </w:tc>
        <w:tc>
          <w:tcPr>
            <w:tcW w:w="1093" w:type="dxa"/>
            <w:tcBorders>
              <w:top w:val="single" w:sz="6" w:space="0" w:color="auto"/>
              <w:left w:val="single" w:sz="6" w:space="0" w:color="auto"/>
              <w:bottom w:val="single" w:sz="4" w:space="0" w:color="auto"/>
              <w:right w:val="single" w:sz="6" w:space="0" w:color="auto"/>
            </w:tcBorders>
            <w:hideMark/>
          </w:tcPr>
          <w:p w14:paraId="044560BB"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position w:val="3"/>
                <w:sz w:val="20"/>
                <w:szCs w:val="24"/>
                <w:lang w:val="en-US"/>
              </w:rPr>
            </w:pPr>
            <w:r>
              <w:rPr>
                <w:i/>
                <w:iCs/>
                <w:sz w:val="20"/>
                <w:szCs w:val="24"/>
                <w:lang w:val="en-US"/>
              </w:rPr>
              <w:t>T</w:t>
            </w:r>
            <w:r>
              <w:rPr>
                <w:i/>
                <w:iCs/>
                <w:position w:val="-4"/>
                <w:sz w:val="20"/>
                <w:szCs w:val="24"/>
                <w:lang w:val="en-US"/>
              </w:rPr>
              <w:t>e</w:t>
            </w:r>
            <w:r>
              <w:rPr>
                <w:i/>
                <w:iCs/>
                <w:sz w:val="20"/>
                <w:szCs w:val="24"/>
                <w:lang w:val="en-US"/>
              </w:rPr>
              <w:t xml:space="preserve"> </w:t>
            </w:r>
            <w:r>
              <w:rPr>
                <w:sz w:val="20"/>
                <w:szCs w:val="24"/>
                <w:lang w:val="en-US"/>
              </w:rPr>
              <w:t>(K)</w:t>
            </w:r>
          </w:p>
        </w:tc>
        <w:tc>
          <w:tcPr>
            <w:tcW w:w="633" w:type="dxa"/>
            <w:tcBorders>
              <w:top w:val="single" w:sz="6" w:space="0" w:color="auto"/>
              <w:left w:val="single" w:sz="6" w:space="0" w:color="auto"/>
              <w:bottom w:val="single" w:sz="4" w:space="0" w:color="auto"/>
              <w:right w:val="single" w:sz="6" w:space="0" w:color="auto"/>
            </w:tcBorders>
            <w:hideMark/>
          </w:tcPr>
          <w:p w14:paraId="749CA6BE"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24"/>
                <w:lang w:val="en-US"/>
              </w:rPr>
            </w:pPr>
            <w:proofErr w:type="gramStart"/>
            <w:r>
              <w:rPr>
                <w:sz w:val="20"/>
                <w:szCs w:val="24"/>
                <w:lang w:val="en-US"/>
              </w:rPr>
              <w:t xml:space="preserve">500  </w:t>
            </w:r>
            <w:r>
              <w:rPr>
                <w:position w:val="4"/>
                <w:sz w:val="20"/>
                <w:szCs w:val="24"/>
                <w:lang w:val="en-US"/>
              </w:rPr>
              <w:t>2</w:t>
            </w:r>
            <w:proofErr w:type="gramEnd"/>
          </w:p>
        </w:tc>
        <w:tc>
          <w:tcPr>
            <w:tcW w:w="709" w:type="dxa"/>
            <w:tcBorders>
              <w:top w:val="single" w:sz="6" w:space="0" w:color="auto"/>
              <w:left w:val="single" w:sz="6" w:space="0" w:color="auto"/>
              <w:bottom w:val="single" w:sz="4" w:space="0" w:color="auto"/>
              <w:right w:val="single" w:sz="6" w:space="0" w:color="auto"/>
            </w:tcBorders>
            <w:hideMark/>
          </w:tcPr>
          <w:p w14:paraId="38B5CBCC"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24"/>
                <w:lang w:val="en-US"/>
              </w:rPr>
            </w:pPr>
            <w:r>
              <w:rPr>
                <w:sz w:val="20"/>
                <w:szCs w:val="24"/>
                <w:lang w:val="en-US" w:eastAsia="ru-RU"/>
              </w:rPr>
              <w:t>925</w:t>
            </w:r>
          </w:p>
        </w:tc>
        <w:tc>
          <w:tcPr>
            <w:tcW w:w="5808" w:type="dxa"/>
            <w:tcBorders>
              <w:top w:val="single" w:sz="6" w:space="0" w:color="auto"/>
              <w:left w:val="single" w:sz="6" w:space="0" w:color="auto"/>
              <w:bottom w:val="single" w:sz="4" w:space="0" w:color="auto"/>
              <w:right w:val="single" w:sz="6" w:space="0" w:color="auto"/>
            </w:tcBorders>
            <w:hideMark/>
          </w:tcPr>
          <w:p w14:paraId="315825DB" w14:textId="1FDB8F71"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24"/>
                <w:lang w:val="en-US"/>
              </w:rPr>
            </w:pPr>
            <w:r>
              <w:rPr>
                <w:sz w:val="20"/>
                <w:szCs w:val="24"/>
                <w:lang w:val="en-US"/>
              </w:rPr>
              <w:t xml:space="preserve">for BS IMT station NF=5 dB and N = </w:t>
            </w:r>
            <w:r w:rsidR="00082DCF" w:rsidRPr="00082DCF">
              <w:rPr>
                <w:color w:val="000000"/>
                <w:sz w:val="20"/>
                <w:lang w:val="en-US" w:eastAsia="zh-CN"/>
              </w:rPr>
              <w:t>–</w:t>
            </w:r>
            <w:r>
              <w:rPr>
                <w:sz w:val="20"/>
                <w:szCs w:val="24"/>
                <w:lang w:val="en-US"/>
              </w:rPr>
              <w:t xml:space="preserve">199 </w:t>
            </w:r>
            <w:proofErr w:type="spellStart"/>
            <w:r>
              <w:rPr>
                <w:sz w:val="20"/>
                <w:szCs w:val="24"/>
                <w:lang w:val="en-US"/>
              </w:rPr>
              <w:t>dBW</w:t>
            </w:r>
            <w:proofErr w:type="spellEnd"/>
            <w:r>
              <w:rPr>
                <w:sz w:val="20"/>
                <w:szCs w:val="24"/>
                <w:lang w:val="en-US"/>
              </w:rPr>
              <w:t xml:space="preserve">/Hz </w:t>
            </w:r>
          </w:p>
          <w:p w14:paraId="1DB106BF"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24"/>
                <w:lang w:val="en-US"/>
              </w:rPr>
            </w:pPr>
            <w:proofErr w:type="spellStart"/>
            <w:r>
              <w:rPr>
                <w:i/>
                <w:sz w:val="20"/>
                <w:szCs w:val="24"/>
                <w:lang w:val="en-US"/>
              </w:rPr>
              <w:t>T</w:t>
            </w:r>
            <w:r>
              <w:rPr>
                <w:i/>
                <w:sz w:val="20"/>
                <w:szCs w:val="24"/>
                <w:vertAlign w:val="subscript"/>
                <w:lang w:val="en-US"/>
              </w:rPr>
              <w:t>e</w:t>
            </w:r>
            <w:proofErr w:type="spellEnd"/>
            <w:r>
              <w:rPr>
                <w:sz w:val="20"/>
                <w:szCs w:val="24"/>
                <w:lang w:val="en-US"/>
              </w:rPr>
              <w:t xml:space="preserve"> = 10^(</w:t>
            </w:r>
            <w:r>
              <w:rPr>
                <w:i/>
                <w:sz w:val="20"/>
                <w:szCs w:val="24"/>
                <w:lang w:val="en-US"/>
              </w:rPr>
              <w:t>N</w:t>
            </w:r>
            <w:r>
              <w:rPr>
                <w:sz w:val="20"/>
                <w:szCs w:val="24"/>
                <w:lang w:val="en-US"/>
              </w:rPr>
              <w:t>/10)/</w:t>
            </w:r>
            <w:r>
              <w:rPr>
                <w:i/>
                <w:sz w:val="20"/>
                <w:szCs w:val="24"/>
                <w:lang w:val="en-US"/>
              </w:rPr>
              <w:t>k</w:t>
            </w:r>
            <w:r>
              <w:rPr>
                <w:sz w:val="20"/>
                <w:szCs w:val="24"/>
                <w:lang w:val="en-US"/>
              </w:rPr>
              <w:t xml:space="preserve"> = 925 K</w:t>
            </w:r>
          </w:p>
        </w:tc>
      </w:tr>
      <w:tr w:rsidR="00C14C6F" w14:paraId="3D8BA4DE" w14:textId="77777777" w:rsidTr="00C14C6F">
        <w:trPr>
          <w:cantSplit/>
          <w:jc w:val="right"/>
        </w:trPr>
        <w:tc>
          <w:tcPr>
            <w:tcW w:w="1094" w:type="dxa"/>
            <w:tcBorders>
              <w:top w:val="single" w:sz="4" w:space="0" w:color="auto"/>
              <w:left w:val="single" w:sz="4" w:space="0" w:color="auto"/>
              <w:bottom w:val="single" w:sz="4" w:space="0" w:color="auto"/>
              <w:right w:val="single" w:sz="4" w:space="0" w:color="auto"/>
            </w:tcBorders>
            <w:hideMark/>
          </w:tcPr>
          <w:p w14:paraId="18779C90"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24"/>
                <w:lang w:val="en-US"/>
              </w:rPr>
            </w:pPr>
            <w:r>
              <w:rPr>
                <w:sz w:val="20"/>
                <w:szCs w:val="24"/>
                <w:lang w:val="en-US"/>
              </w:rPr>
              <w:t>Reference bandwidth</w:t>
            </w:r>
          </w:p>
        </w:tc>
        <w:tc>
          <w:tcPr>
            <w:tcW w:w="1093" w:type="dxa"/>
            <w:tcBorders>
              <w:top w:val="single" w:sz="4" w:space="0" w:color="auto"/>
              <w:left w:val="single" w:sz="4" w:space="0" w:color="auto"/>
              <w:bottom w:val="single" w:sz="4" w:space="0" w:color="auto"/>
              <w:right w:val="single" w:sz="4" w:space="0" w:color="auto"/>
            </w:tcBorders>
            <w:hideMark/>
          </w:tcPr>
          <w:p w14:paraId="3FBDEEFE"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position w:val="3"/>
                <w:sz w:val="20"/>
                <w:szCs w:val="24"/>
                <w:lang w:val="en-US"/>
              </w:rPr>
            </w:pPr>
            <w:r>
              <w:rPr>
                <w:i/>
                <w:iCs/>
                <w:sz w:val="20"/>
                <w:szCs w:val="24"/>
                <w:lang w:val="en-US"/>
              </w:rPr>
              <w:t>B</w:t>
            </w:r>
            <w:r>
              <w:rPr>
                <w:sz w:val="20"/>
                <w:szCs w:val="24"/>
                <w:lang w:val="en-US"/>
              </w:rPr>
              <w:t xml:space="preserve"> (Hz)</w:t>
            </w:r>
          </w:p>
        </w:tc>
        <w:tc>
          <w:tcPr>
            <w:tcW w:w="633" w:type="dxa"/>
            <w:tcBorders>
              <w:top w:val="single" w:sz="4" w:space="0" w:color="auto"/>
              <w:left w:val="single" w:sz="4" w:space="0" w:color="auto"/>
              <w:bottom w:val="single" w:sz="4" w:space="0" w:color="auto"/>
              <w:right w:val="single" w:sz="4" w:space="0" w:color="auto"/>
            </w:tcBorders>
            <w:hideMark/>
          </w:tcPr>
          <w:p w14:paraId="74866654"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24"/>
                <w:lang w:val="en-US"/>
              </w:rPr>
            </w:pPr>
            <w:r>
              <w:rPr>
                <w:sz w:val="20"/>
                <w:szCs w:val="24"/>
                <w:lang w:val="en-US"/>
              </w:rPr>
              <w:t>4 × 10</w:t>
            </w:r>
            <w:r>
              <w:rPr>
                <w:position w:val="4"/>
                <w:sz w:val="20"/>
                <w:szCs w:val="24"/>
                <w:lang w:val="en-US"/>
              </w:rPr>
              <w:t>3</w:t>
            </w:r>
          </w:p>
        </w:tc>
        <w:tc>
          <w:tcPr>
            <w:tcW w:w="709" w:type="dxa"/>
            <w:tcBorders>
              <w:top w:val="single" w:sz="4" w:space="0" w:color="auto"/>
              <w:left w:val="single" w:sz="4" w:space="0" w:color="auto"/>
              <w:bottom w:val="single" w:sz="4" w:space="0" w:color="auto"/>
              <w:right w:val="single" w:sz="4" w:space="0" w:color="auto"/>
            </w:tcBorders>
            <w:hideMark/>
          </w:tcPr>
          <w:p w14:paraId="63109F79"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24"/>
                <w:lang w:val="en-US"/>
              </w:rPr>
            </w:pPr>
            <w:r>
              <w:rPr>
                <w:sz w:val="20"/>
                <w:szCs w:val="24"/>
                <w:lang w:val="en-US" w:eastAsia="ru-RU"/>
              </w:rPr>
              <w:t>4 x 10</w:t>
            </w:r>
            <w:r>
              <w:rPr>
                <w:sz w:val="20"/>
                <w:szCs w:val="24"/>
                <w:vertAlign w:val="superscript"/>
                <w:lang w:val="en-US" w:eastAsia="ru-RU"/>
              </w:rPr>
              <w:t>3</w:t>
            </w:r>
          </w:p>
        </w:tc>
        <w:tc>
          <w:tcPr>
            <w:tcW w:w="5808" w:type="dxa"/>
            <w:tcBorders>
              <w:top w:val="single" w:sz="4" w:space="0" w:color="auto"/>
              <w:left w:val="single" w:sz="4" w:space="0" w:color="auto"/>
              <w:bottom w:val="single" w:sz="4" w:space="0" w:color="auto"/>
              <w:right w:val="single" w:sz="4" w:space="0" w:color="auto"/>
            </w:tcBorders>
            <w:vAlign w:val="center"/>
            <w:hideMark/>
          </w:tcPr>
          <w:p w14:paraId="0FC2C1A6"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24"/>
                <w:lang w:val="en-US"/>
              </w:rPr>
            </w:pPr>
            <w:r>
              <w:rPr>
                <w:sz w:val="20"/>
                <w:szCs w:val="24"/>
                <w:lang w:val="en-US"/>
              </w:rPr>
              <w:t>-</w:t>
            </w:r>
          </w:p>
        </w:tc>
      </w:tr>
      <w:tr w:rsidR="00C14C6F" w14:paraId="15F02A61" w14:textId="77777777" w:rsidTr="00C14C6F">
        <w:trPr>
          <w:cantSplit/>
          <w:jc w:val="right"/>
        </w:trPr>
        <w:tc>
          <w:tcPr>
            <w:tcW w:w="1094" w:type="dxa"/>
            <w:tcBorders>
              <w:top w:val="single" w:sz="4" w:space="0" w:color="auto"/>
              <w:left w:val="single" w:sz="6" w:space="0" w:color="auto"/>
              <w:bottom w:val="single" w:sz="6" w:space="0" w:color="auto"/>
              <w:right w:val="single" w:sz="6" w:space="0" w:color="auto"/>
            </w:tcBorders>
            <w:hideMark/>
          </w:tcPr>
          <w:p w14:paraId="3140AEE4"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24"/>
                <w:lang w:val="en-US"/>
              </w:rPr>
            </w:pPr>
            <w:r>
              <w:rPr>
                <w:sz w:val="20"/>
                <w:szCs w:val="24"/>
                <w:lang w:val="en-US"/>
              </w:rPr>
              <w:lastRenderedPageBreak/>
              <w:t>Permissible interference power</w:t>
            </w:r>
          </w:p>
        </w:tc>
        <w:tc>
          <w:tcPr>
            <w:tcW w:w="1093" w:type="dxa"/>
            <w:tcBorders>
              <w:top w:val="single" w:sz="4" w:space="0" w:color="auto"/>
              <w:left w:val="single" w:sz="6" w:space="0" w:color="auto"/>
              <w:bottom w:val="single" w:sz="6" w:space="0" w:color="auto"/>
              <w:right w:val="single" w:sz="6" w:space="0" w:color="auto"/>
            </w:tcBorders>
            <w:hideMark/>
          </w:tcPr>
          <w:p w14:paraId="19823D4B"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position w:val="3"/>
                <w:sz w:val="20"/>
                <w:szCs w:val="24"/>
                <w:lang w:val="en-US"/>
              </w:rPr>
            </w:pPr>
            <w:r>
              <w:rPr>
                <w:i/>
                <w:iCs/>
                <w:sz w:val="20"/>
                <w:szCs w:val="24"/>
                <w:lang w:val="en-US"/>
              </w:rPr>
              <w:t>P</w:t>
            </w:r>
            <w:r>
              <w:rPr>
                <w:i/>
                <w:iCs/>
                <w:position w:val="-4"/>
                <w:sz w:val="20"/>
                <w:szCs w:val="24"/>
                <w:lang w:val="en-US"/>
              </w:rPr>
              <w:t>r</w:t>
            </w:r>
            <w:r>
              <w:rPr>
                <w:sz w:val="20"/>
                <w:szCs w:val="24"/>
                <w:lang w:val="en-US"/>
              </w:rPr>
              <w:t>(</w:t>
            </w:r>
            <w:r>
              <w:rPr>
                <w:i/>
                <w:iCs/>
                <w:sz w:val="20"/>
                <w:szCs w:val="24"/>
                <w:lang w:val="en-US"/>
              </w:rPr>
              <w:t>p</w:t>
            </w:r>
            <w:r>
              <w:rPr>
                <w:sz w:val="20"/>
                <w:szCs w:val="24"/>
                <w:lang w:val="en-US"/>
              </w:rPr>
              <w:t>) (</w:t>
            </w:r>
            <w:proofErr w:type="spellStart"/>
            <w:r>
              <w:rPr>
                <w:sz w:val="20"/>
                <w:szCs w:val="24"/>
                <w:lang w:val="en-US"/>
              </w:rPr>
              <w:t>dBW</w:t>
            </w:r>
            <w:proofErr w:type="spellEnd"/>
            <w:r>
              <w:rPr>
                <w:sz w:val="20"/>
                <w:szCs w:val="24"/>
                <w:lang w:val="en-US"/>
              </w:rPr>
              <w:t>)</w:t>
            </w:r>
            <w:r>
              <w:rPr>
                <w:sz w:val="20"/>
                <w:szCs w:val="24"/>
                <w:lang w:val="en-US"/>
              </w:rPr>
              <w:br/>
              <w:t xml:space="preserve">in </w:t>
            </w:r>
            <w:r>
              <w:rPr>
                <w:i/>
                <w:iCs/>
                <w:sz w:val="20"/>
                <w:szCs w:val="24"/>
                <w:lang w:val="en-US"/>
              </w:rPr>
              <w:t>B</w:t>
            </w:r>
          </w:p>
        </w:tc>
        <w:tc>
          <w:tcPr>
            <w:tcW w:w="633" w:type="dxa"/>
            <w:tcBorders>
              <w:top w:val="single" w:sz="4" w:space="0" w:color="auto"/>
              <w:left w:val="single" w:sz="6" w:space="0" w:color="auto"/>
              <w:bottom w:val="single" w:sz="6" w:space="0" w:color="auto"/>
              <w:right w:val="single" w:sz="6" w:space="0" w:color="auto"/>
            </w:tcBorders>
            <w:hideMark/>
          </w:tcPr>
          <w:p w14:paraId="34761F44"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24"/>
                <w:lang w:val="en-US"/>
              </w:rPr>
            </w:pPr>
            <w:r>
              <w:rPr>
                <w:sz w:val="20"/>
                <w:szCs w:val="24"/>
                <w:lang w:val="en-US"/>
              </w:rPr>
              <w:t>−140</w:t>
            </w:r>
          </w:p>
        </w:tc>
        <w:tc>
          <w:tcPr>
            <w:tcW w:w="709" w:type="dxa"/>
            <w:tcBorders>
              <w:top w:val="single" w:sz="4" w:space="0" w:color="auto"/>
              <w:left w:val="single" w:sz="6" w:space="0" w:color="auto"/>
              <w:bottom w:val="single" w:sz="6" w:space="0" w:color="auto"/>
              <w:right w:val="single" w:sz="6" w:space="0" w:color="auto"/>
            </w:tcBorders>
            <w:hideMark/>
          </w:tcPr>
          <w:p w14:paraId="329A564F" w14:textId="227606CE" w:rsidR="00C14C6F" w:rsidRDefault="000E7C4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24"/>
                <w:lang w:val="en-US"/>
              </w:rPr>
            </w:pPr>
            <w:r w:rsidRPr="00082DCF">
              <w:rPr>
                <w:color w:val="000000"/>
                <w:sz w:val="20"/>
                <w:lang w:val="en-US" w:eastAsia="zh-CN"/>
              </w:rPr>
              <w:t>–</w:t>
            </w:r>
            <w:r w:rsidR="00C14C6F">
              <w:rPr>
                <w:sz w:val="20"/>
                <w:szCs w:val="24"/>
                <w:lang w:val="en-US" w:eastAsia="ru-RU"/>
              </w:rPr>
              <w:t>169</w:t>
            </w:r>
          </w:p>
        </w:tc>
        <w:tc>
          <w:tcPr>
            <w:tcW w:w="5808" w:type="dxa"/>
            <w:tcBorders>
              <w:top w:val="single" w:sz="4" w:space="0" w:color="auto"/>
              <w:left w:val="single" w:sz="6" w:space="0" w:color="auto"/>
              <w:bottom w:val="single" w:sz="6" w:space="0" w:color="auto"/>
              <w:right w:val="single" w:sz="6" w:space="0" w:color="auto"/>
            </w:tcBorders>
            <w:hideMark/>
          </w:tcPr>
          <w:p w14:paraId="65EDF009"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24"/>
                <w:lang w:val="en-US"/>
              </w:rPr>
            </w:pPr>
            <w:r>
              <w:rPr>
                <w:noProof/>
                <w:position w:val="-12"/>
                <w:sz w:val="20"/>
                <w:szCs w:val="24"/>
                <w:lang w:eastAsia="en-GB"/>
              </w:rPr>
              <w:drawing>
                <wp:inline distT="0" distB="0" distL="0" distR="0" wp14:anchorId="2A998ADD" wp14:editId="5F71096A">
                  <wp:extent cx="2790190" cy="207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0190" cy="207010"/>
                          </a:xfrm>
                          <a:prstGeom prst="rect">
                            <a:avLst/>
                          </a:prstGeom>
                          <a:noFill/>
                          <a:ln>
                            <a:noFill/>
                          </a:ln>
                        </pic:spPr>
                      </pic:pic>
                    </a:graphicData>
                  </a:graphic>
                </wp:inline>
              </w:drawing>
            </w:r>
          </w:p>
          <w:p w14:paraId="741E7337"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24"/>
                <w:lang w:val="en-US"/>
              </w:rPr>
            </w:pPr>
            <w:r>
              <w:rPr>
                <w:sz w:val="20"/>
                <w:szCs w:val="24"/>
                <w:lang w:val="en-US"/>
              </w:rPr>
              <w:tab/>
            </w:r>
            <w:r>
              <w:rPr>
                <w:i/>
                <w:sz w:val="20"/>
                <w:szCs w:val="24"/>
                <w:lang w:val="en-US"/>
              </w:rPr>
              <w:t>k</w:t>
            </w:r>
            <w:r>
              <w:rPr>
                <w:sz w:val="20"/>
                <w:szCs w:val="24"/>
                <w:lang w:val="en-US"/>
              </w:rPr>
              <w:t>:</w:t>
            </w:r>
            <w:r>
              <w:rPr>
                <w:sz w:val="20"/>
                <w:szCs w:val="24"/>
                <w:lang w:val="en-US"/>
              </w:rPr>
              <w:tab/>
              <w:t>Boltzmann's constant (1.38 × 10−23 J/K)</w:t>
            </w:r>
          </w:p>
          <w:p w14:paraId="4F36FF0A"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24"/>
                <w:lang w:val="en-US"/>
              </w:rPr>
            </w:pPr>
            <w:r>
              <w:rPr>
                <w:sz w:val="20"/>
                <w:szCs w:val="24"/>
                <w:lang w:val="en-US"/>
              </w:rPr>
              <w:tab/>
            </w:r>
            <w:proofErr w:type="spellStart"/>
            <w:r>
              <w:rPr>
                <w:i/>
                <w:sz w:val="20"/>
                <w:szCs w:val="24"/>
                <w:lang w:val="en-US"/>
              </w:rPr>
              <w:t>T</w:t>
            </w:r>
            <w:r>
              <w:rPr>
                <w:i/>
                <w:sz w:val="20"/>
                <w:szCs w:val="24"/>
                <w:vertAlign w:val="subscript"/>
                <w:lang w:val="en-US"/>
              </w:rPr>
              <w:t>e</w:t>
            </w:r>
            <w:proofErr w:type="spellEnd"/>
            <w:r>
              <w:rPr>
                <w:sz w:val="20"/>
                <w:szCs w:val="24"/>
                <w:lang w:val="en-US"/>
              </w:rPr>
              <w:t>:</w:t>
            </w:r>
            <w:r>
              <w:rPr>
                <w:sz w:val="20"/>
                <w:szCs w:val="24"/>
                <w:lang w:val="en-US"/>
              </w:rPr>
              <w:tab/>
              <w:t>thermal noise temperature of the receiving system (K), at the terminal of the receiving antenna</w:t>
            </w:r>
          </w:p>
          <w:p w14:paraId="0BE2F86E"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24"/>
                <w:lang w:val="en-US"/>
              </w:rPr>
            </w:pPr>
            <w:r>
              <w:rPr>
                <w:sz w:val="20"/>
                <w:szCs w:val="24"/>
                <w:lang w:val="en-US"/>
              </w:rPr>
              <w:tab/>
            </w:r>
            <w:r>
              <w:rPr>
                <w:i/>
                <w:sz w:val="20"/>
                <w:szCs w:val="24"/>
                <w:lang w:val="en-US"/>
              </w:rPr>
              <w:t>N</w:t>
            </w:r>
            <w:r>
              <w:rPr>
                <w:i/>
                <w:sz w:val="20"/>
                <w:szCs w:val="24"/>
                <w:vertAlign w:val="subscript"/>
                <w:lang w:val="en-US"/>
              </w:rPr>
              <w:t>L</w:t>
            </w:r>
            <w:r>
              <w:rPr>
                <w:sz w:val="20"/>
                <w:szCs w:val="24"/>
                <w:lang w:val="en-US"/>
              </w:rPr>
              <w:t>:</w:t>
            </w:r>
            <w:r>
              <w:rPr>
                <w:sz w:val="20"/>
                <w:szCs w:val="24"/>
                <w:lang w:val="en-US"/>
              </w:rPr>
              <w:tab/>
              <w:t>link noise contribution</w:t>
            </w:r>
          </w:p>
          <w:p w14:paraId="1D61469D"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24"/>
                <w:lang w:val="en-US"/>
              </w:rPr>
            </w:pPr>
            <w:r>
              <w:rPr>
                <w:sz w:val="20"/>
                <w:szCs w:val="24"/>
                <w:lang w:val="en-US"/>
              </w:rPr>
              <w:tab/>
            </w:r>
            <w:r>
              <w:rPr>
                <w:i/>
                <w:sz w:val="20"/>
                <w:szCs w:val="24"/>
                <w:lang w:val="en-US"/>
              </w:rPr>
              <w:t>B</w:t>
            </w:r>
            <w:r>
              <w:rPr>
                <w:sz w:val="20"/>
                <w:szCs w:val="24"/>
                <w:lang w:val="en-US"/>
              </w:rPr>
              <w:t>:</w:t>
            </w:r>
            <w:r>
              <w:rPr>
                <w:sz w:val="20"/>
                <w:szCs w:val="24"/>
                <w:lang w:val="en-US"/>
              </w:rPr>
              <w:tab/>
              <w:t>reference bandwidth (Hz), i.e. the bandwidth in the receiving station that is subject to the interference and over which the power of the interfering emission can be averaged</w:t>
            </w:r>
          </w:p>
          <w:p w14:paraId="37DEC6C8"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24"/>
                <w:lang w:val="en-US"/>
              </w:rPr>
            </w:pPr>
            <w:r>
              <w:rPr>
                <w:sz w:val="20"/>
                <w:szCs w:val="24"/>
                <w:lang w:val="en-US"/>
              </w:rPr>
              <w:tab/>
            </w:r>
            <w:r>
              <w:rPr>
                <w:i/>
                <w:sz w:val="20"/>
                <w:szCs w:val="24"/>
                <w:lang w:val="en-US"/>
              </w:rPr>
              <w:t>p</w:t>
            </w:r>
            <w:r>
              <w:rPr>
                <w:sz w:val="20"/>
                <w:szCs w:val="24"/>
                <w:lang w:val="en-US"/>
              </w:rPr>
              <w:t>:</w:t>
            </w:r>
            <w:r>
              <w:rPr>
                <w:sz w:val="20"/>
                <w:szCs w:val="24"/>
                <w:lang w:val="en-US"/>
              </w:rPr>
              <w:tab/>
              <w:t>percentage of the time during which the interference from one source may exceed the permissible interference power value; since the entries of interference are not likely to occur simultaneously, p = p0/n</w:t>
            </w:r>
          </w:p>
          <w:p w14:paraId="787CC703"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24"/>
                <w:lang w:val="en-US"/>
              </w:rPr>
            </w:pPr>
            <w:r>
              <w:rPr>
                <w:sz w:val="20"/>
                <w:szCs w:val="24"/>
                <w:lang w:val="en-US"/>
              </w:rPr>
              <w:tab/>
            </w:r>
            <w:r>
              <w:rPr>
                <w:i/>
                <w:sz w:val="20"/>
                <w:szCs w:val="24"/>
                <w:lang w:val="en-US"/>
              </w:rPr>
              <w:t>p</w:t>
            </w:r>
            <w:r>
              <w:rPr>
                <w:i/>
                <w:sz w:val="20"/>
                <w:szCs w:val="24"/>
                <w:vertAlign w:val="subscript"/>
                <w:lang w:val="en-US"/>
              </w:rPr>
              <w:t>0</w:t>
            </w:r>
            <w:r>
              <w:rPr>
                <w:sz w:val="20"/>
                <w:szCs w:val="24"/>
                <w:lang w:val="en-US"/>
              </w:rPr>
              <w:t>:</w:t>
            </w:r>
            <w:r>
              <w:rPr>
                <w:sz w:val="20"/>
                <w:szCs w:val="24"/>
                <w:lang w:val="en-US"/>
              </w:rPr>
              <w:tab/>
              <w:t>percentage of the time during which the interference from all sources may exceed the threshold value</w:t>
            </w:r>
          </w:p>
          <w:p w14:paraId="65EBAE8E"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24"/>
                <w:lang w:val="en-US"/>
              </w:rPr>
            </w:pPr>
            <w:r>
              <w:rPr>
                <w:sz w:val="20"/>
                <w:szCs w:val="24"/>
                <w:lang w:val="en-US"/>
              </w:rPr>
              <w:tab/>
            </w:r>
            <w:r>
              <w:rPr>
                <w:i/>
                <w:sz w:val="20"/>
                <w:szCs w:val="24"/>
                <w:lang w:val="en-US"/>
              </w:rPr>
              <w:t>n</w:t>
            </w:r>
            <w:r>
              <w:rPr>
                <w:sz w:val="20"/>
                <w:szCs w:val="24"/>
                <w:lang w:val="en-US"/>
              </w:rPr>
              <w:t>:</w:t>
            </w:r>
            <w:r>
              <w:rPr>
                <w:sz w:val="20"/>
                <w:szCs w:val="24"/>
                <w:lang w:val="en-US"/>
              </w:rPr>
              <w:tab/>
              <w:t>number of equivalent, equal level, equal probability entries of interference, assumed to be uncorrelated for small percentages of the time</w:t>
            </w:r>
          </w:p>
          <w:p w14:paraId="1D947027"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24"/>
                <w:lang w:val="en-US"/>
              </w:rPr>
            </w:pPr>
            <w:r>
              <w:rPr>
                <w:sz w:val="20"/>
                <w:szCs w:val="24"/>
                <w:lang w:val="en-US"/>
              </w:rPr>
              <w:tab/>
            </w:r>
            <w:proofErr w:type="spellStart"/>
            <w:r>
              <w:rPr>
                <w:i/>
                <w:sz w:val="20"/>
                <w:szCs w:val="24"/>
                <w:lang w:val="en-US"/>
              </w:rPr>
              <w:t>M</w:t>
            </w:r>
            <w:r>
              <w:rPr>
                <w:i/>
                <w:sz w:val="20"/>
                <w:szCs w:val="24"/>
                <w:vertAlign w:val="subscript"/>
                <w:lang w:val="en-US"/>
              </w:rPr>
              <w:t>s</w:t>
            </w:r>
            <w:proofErr w:type="spellEnd"/>
            <w:r>
              <w:rPr>
                <w:sz w:val="20"/>
                <w:szCs w:val="24"/>
                <w:lang w:val="en-US"/>
              </w:rPr>
              <w:t>:</w:t>
            </w:r>
            <w:r>
              <w:rPr>
                <w:sz w:val="20"/>
                <w:szCs w:val="24"/>
                <w:lang w:val="en-US"/>
              </w:rPr>
              <w:tab/>
              <w:t>link performance margin (dB)</w:t>
            </w:r>
          </w:p>
          <w:p w14:paraId="629F5797" w14:textId="77777777" w:rsidR="00C14C6F" w:rsidRDefault="00C14C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24"/>
                <w:lang w:val="en-US"/>
              </w:rPr>
            </w:pPr>
            <w:r>
              <w:rPr>
                <w:sz w:val="20"/>
                <w:szCs w:val="24"/>
                <w:lang w:val="en-US"/>
              </w:rPr>
              <w:tab/>
            </w:r>
            <w:r>
              <w:rPr>
                <w:i/>
                <w:sz w:val="20"/>
                <w:szCs w:val="24"/>
                <w:lang w:val="en-US"/>
              </w:rPr>
              <w:t>W</w:t>
            </w:r>
            <w:r>
              <w:rPr>
                <w:sz w:val="20"/>
                <w:szCs w:val="24"/>
                <w:lang w:val="en-US"/>
              </w:rPr>
              <w:t>:</w:t>
            </w:r>
            <w:r>
              <w:rPr>
                <w:sz w:val="20"/>
                <w:szCs w:val="24"/>
                <w:lang w:val="en-US"/>
              </w:rPr>
              <w:tab/>
              <w:t>a thermal noise equivalence factor (dB) for interfering emissions in the reference bandwidth; it is positive when the interfering emissions would cause more degradation than thermal noise</w:t>
            </w:r>
          </w:p>
        </w:tc>
      </w:tr>
    </w:tbl>
    <w:p w14:paraId="39967BA5" w14:textId="77777777" w:rsidR="00C14C6F" w:rsidRDefault="00C14C6F" w:rsidP="00C14C6F">
      <w:pPr>
        <w:tabs>
          <w:tab w:val="left" w:pos="284"/>
        </w:tabs>
        <w:spacing w:before="80"/>
        <w:ind w:left="284" w:hanging="284"/>
        <w:rPr>
          <w:sz w:val="20"/>
          <w:lang w:val="fr-CH"/>
        </w:rPr>
      </w:pPr>
      <w:r>
        <w:rPr>
          <w:position w:val="6"/>
          <w:sz w:val="20"/>
          <w:lang w:val="fr-CH"/>
        </w:rPr>
        <w:t>1</w:t>
      </w:r>
      <w:r>
        <w:rPr>
          <w:sz w:val="20"/>
          <w:lang w:val="fr-CH"/>
        </w:rPr>
        <w:tab/>
      </w:r>
      <w:proofErr w:type="gramStart"/>
      <w:r>
        <w:rPr>
          <w:sz w:val="20"/>
          <w:lang w:val="fr-CH"/>
        </w:rPr>
        <w:t>A:</w:t>
      </w:r>
      <w:proofErr w:type="gramEnd"/>
      <w:r>
        <w:rPr>
          <w:sz w:val="20"/>
          <w:lang w:val="fr-CH"/>
        </w:rPr>
        <w:t xml:space="preserve"> analogue modulation; N: digital modulation.</w:t>
      </w:r>
    </w:p>
    <w:p w14:paraId="5D122974" w14:textId="77777777" w:rsidR="00C14C6F" w:rsidRDefault="00C14C6F" w:rsidP="00C14C6F">
      <w:pPr>
        <w:tabs>
          <w:tab w:val="left" w:pos="284"/>
        </w:tabs>
        <w:spacing w:before="80"/>
        <w:ind w:left="284" w:hanging="284"/>
        <w:rPr>
          <w:sz w:val="20"/>
          <w:lang w:val="fr-CH"/>
        </w:rPr>
      </w:pPr>
      <w:r>
        <w:rPr>
          <w:position w:val="6"/>
          <w:sz w:val="20"/>
        </w:rPr>
        <w:t>2</w:t>
      </w:r>
      <w:r>
        <w:rPr>
          <w:sz w:val="20"/>
        </w:rPr>
        <w:tab/>
      </w:r>
      <w:r>
        <w:rPr>
          <w:sz w:val="20"/>
          <w:lang w:val="en-US"/>
        </w:rPr>
        <w:t xml:space="preserve">The </w:t>
      </w:r>
      <w:r>
        <w:rPr>
          <w:sz w:val="20"/>
        </w:rPr>
        <w:t>parameters</w:t>
      </w:r>
      <w:r>
        <w:rPr>
          <w:sz w:val="20"/>
          <w:lang w:val="en-US"/>
        </w:rPr>
        <w:t xml:space="preserve"> for the terrestrial station associated with </w:t>
      </w:r>
      <w:proofErr w:type="spellStart"/>
      <w:r>
        <w:rPr>
          <w:sz w:val="20"/>
          <w:lang w:val="en-US"/>
        </w:rPr>
        <w:t>transhorizon</w:t>
      </w:r>
      <w:proofErr w:type="spellEnd"/>
      <w:r>
        <w:rPr>
          <w:sz w:val="20"/>
          <w:lang w:val="en-US"/>
        </w:rPr>
        <w:t xml:space="preserve"> systems have been used. Line-of-sight radio-relay parameters associated with the frequency band 1 668.4-1 675 MHz may also be used to determine a supplementary contour.     (</w:t>
      </w:r>
      <w:r>
        <w:rPr>
          <w:sz w:val="20"/>
          <w:lang w:val="fr-CH"/>
        </w:rPr>
        <w:t>WRC</w:t>
      </w:r>
      <w:r>
        <w:rPr>
          <w:sz w:val="20"/>
          <w:lang w:val="fr-CH"/>
        </w:rPr>
        <w:noBreakHyphen/>
        <w:t>03)</w:t>
      </w:r>
    </w:p>
    <w:p w14:paraId="1CCD300B" w14:textId="77777777" w:rsidR="00C14C6F" w:rsidRDefault="00C14C6F" w:rsidP="00C14C6F">
      <w:pPr>
        <w:tabs>
          <w:tab w:val="left" w:pos="284"/>
        </w:tabs>
        <w:spacing w:before="80"/>
        <w:ind w:left="284" w:hanging="284"/>
        <w:rPr>
          <w:sz w:val="20"/>
          <w:lang w:val="en-US"/>
        </w:rPr>
      </w:pPr>
      <w:r>
        <w:rPr>
          <w:position w:val="6"/>
          <w:sz w:val="20"/>
        </w:rPr>
        <w:t>3</w:t>
      </w:r>
      <w:r>
        <w:rPr>
          <w:sz w:val="20"/>
          <w:lang w:val="en-US"/>
        </w:rPr>
        <w:tab/>
      </w:r>
      <w:r>
        <w:rPr>
          <w:sz w:val="20"/>
        </w:rPr>
        <w:t>Feeder losses are not included.</w:t>
      </w:r>
      <w:bookmarkEnd w:id="9"/>
    </w:p>
    <w:p w14:paraId="06B8D4DD" w14:textId="77777777" w:rsidR="00C14C6F" w:rsidRDefault="00C14C6F" w:rsidP="00003AED"/>
    <w:p w14:paraId="7BCAE4F8" w14:textId="77777777" w:rsidR="00C14C6F" w:rsidRDefault="00C14C6F" w:rsidP="00C14C6F">
      <w:pPr>
        <w:jc w:val="center"/>
      </w:pPr>
      <w:r>
        <w:t>______________</w:t>
      </w:r>
    </w:p>
    <w:p w14:paraId="31BEF142" w14:textId="77777777" w:rsidR="00187BD9" w:rsidRDefault="00187BD9" w:rsidP="00C14C6F">
      <w:pPr>
        <w:rPr>
          <w:lang w:val="fr-CH"/>
        </w:rPr>
      </w:pPr>
    </w:p>
    <w:sectPr w:rsidR="00187BD9" w:rsidSect="0039169B">
      <w:headerReference w:type="default" r:id="rId17"/>
      <w:footerReference w:type="even" r:id="rId18"/>
      <w:footerReference w:type="default" r:id="rId19"/>
      <w:footerReference w:type="first" r:id="rId2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C5C7F" w14:textId="77777777" w:rsidR="00A21AC2" w:rsidRDefault="00A21AC2">
      <w:r>
        <w:separator/>
      </w:r>
    </w:p>
  </w:endnote>
  <w:endnote w:type="continuationSeparator" w:id="0">
    <w:p w14:paraId="629F902D" w14:textId="77777777" w:rsidR="00A21AC2" w:rsidRDefault="00A2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1CDE7" w14:textId="77777777" w:rsidR="00E45D05" w:rsidRDefault="00E45D05">
    <w:pPr>
      <w:framePr w:wrap="around" w:vAnchor="text" w:hAnchor="margin" w:xAlign="right" w:y="1"/>
    </w:pPr>
    <w:r>
      <w:fldChar w:fldCharType="begin"/>
    </w:r>
    <w:r>
      <w:instrText xml:space="preserve">PAGE  </w:instrText>
    </w:r>
    <w:r>
      <w:fldChar w:fldCharType="end"/>
    </w:r>
  </w:p>
  <w:p w14:paraId="2E74DFAD" w14:textId="19C455C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07DAE">
      <w:rPr>
        <w:noProof/>
        <w:lang w:val="en-US"/>
      </w:rPr>
      <w:t>P:\ENG\ITU-R\CONF-R\CMR19\000\077E.docx</w:t>
    </w:r>
    <w:r>
      <w:fldChar w:fldCharType="end"/>
    </w:r>
    <w:r w:rsidRPr="0041348E">
      <w:rPr>
        <w:lang w:val="en-US"/>
      </w:rPr>
      <w:tab/>
    </w:r>
    <w:r>
      <w:fldChar w:fldCharType="begin"/>
    </w:r>
    <w:r>
      <w:instrText xml:space="preserve"> SAVEDATE \@ DD.MM.YY </w:instrText>
    </w:r>
    <w:r>
      <w:fldChar w:fldCharType="separate"/>
    </w:r>
    <w:r w:rsidR="00207DAE">
      <w:rPr>
        <w:noProof/>
      </w:rPr>
      <w:t>15.10.19</w:t>
    </w:r>
    <w:r>
      <w:fldChar w:fldCharType="end"/>
    </w:r>
    <w:r w:rsidRPr="0041348E">
      <w:rPr>
        <w:lang w:val="en-US"/>
      </w:rPr>
      <w:tab/>
    </w:r>
    <w:r>
      <w:fldChar w:fldCharType="begin"/>
    </w:r>
    <w:r>
      <w:instrText xml:space="preserve"> PRINTDATE \@ DD.MM.YY </w:instrText>
    </w:r>
    <w:r>
      <w:fldChar w:fldCharType="separate"/>
    </w:r>
    <w:r w:rsidR="00207DAE">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C801F" w14:textId="3A3DC929" w:rsidR="00E45D05" w:rsidRDefault="00E45D05" w:rsidP="009B1EA1">
    <w:pPr>
      <w:pStyle w:val="Footer"/>
    </w:pPr>
    <w:r>
      <w:fldChar w:fldCharType="begin"/>
    </w:r>
    <w:r w:rsidRPr="0041348E">
      <w:rPr>
        <w:lang w:val="en-US"/>
      </w:rPr>
      <w:instrText xml:space="preserve"> FILENAME \p  \* MERGEFORMAT </w:instrText>
    </w:r>
    <w:r>
      <w:fldChar w:fldCharType="separate"/>
    </w:r>
    <w:r w:rsidR="00207DAE">
      <w:rPr>
        <w:lang w:val="en-US"/>
      </w:rPr>
      <w:t>P:\ENG\ITU-R\CONF-R\CMR19\000\077E.docx</w:t>
    </w:r>
    <w:r>
      <w:fldChar w:fldCharType="end"/>
    </w:r>
    <w:r w:rsidR="00082DCF">
      <w:t xml:space="preserve"> (462152)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B1AF3" w14:textId="0F638F3A"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207DAE">
      <w:rPr>
        <w:lang w:val="en-US"/>
      </w:rPr>
      <w:t>P:\ENG\ITU-R\CONF-R\CMR19\000\077E.docx</w:t>
    </w:r>
    <w:r>
      <w:fldChar w:fldCharType="end"/>
    </w:r>
    <w:r w:rsidR="00082DCF">
      <w:t xml:space="preserve"> (462152)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30C24" w14:textId="77777777" w:rsidR="00A21AC2" w:rsidRDefault="00A21AC2">
      <w:r>
        <w:rPr>
          <w:b/>
        </w:rPr>
        <w:t>_______________</w:t>
      </w:r>
    </w:p>
  </w:footnote>
  <w:footnote w:type="continuationSeparator" w:id="0">
    <w:p w14:paraId="38B1E102" w14:textId="77777777" w:rsidR="00A21AC2" w:rsidRDefault="00A21AC2">
      <w:r>
        <w:continuationSeparator/>
      </w:r>
    </w:p>
  </w:footnote>
  <w:footnote w:id="1">
    <w:p w14:paraId="58DDC8DA" w14:textId="652D9793" w:rsidR="00C14C6F" w:rsidRDefault="00C14C6F" w:rsidP="00C14C6F">
      <w:pPr>
        <w:pStyle w:val="FootnoteText"/>
      </w:pPr>
      <w:r>
        <w:rPr>
          <w:rStyle w:val="FootnoteReference"/>
        </w:rPr>
        <w:footnoteRef/>
      </w:r>
      <w:r>
        <w:t xml:space="preserve"> </w:t>
      </w:r>
      <w:r w:rsidR="00082DCF">
        <w:tab/>
      </w:r>
      <w:r>
        <w:t>ITU-R frequency arrangement “B1” is also known as 3GPP “Band 1” and is widely implemented.  The combination of ITU-R frequency arrangement “B1” and “B6” is known as 3GPP “Band 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3F84A" w14:textId="77777777" w:rsidR="00E45D05" w:rsidRDefault="00A066F1" w:rsidP="00187BD9">
    <w:pPr>
      <w:pStyle w:val="Header"/>
    </w:pPr>
    <w:r>
      <w:fldChar w:fldCharType="begin"/>
    </w:r>
    <w:r>
      <w:instrText xml:space="preserve"> PAGE  \* MERGEFORMAT </w:instrText>
    </w:r>
    <w:r>
      <w:fldChar w:fldCharType="separate"/>
    </w:r>
    <w:r w:rsidR="00E9544B">
      <w:rPr>
        <w:noProof/>
      </w:rPr>
      <w:t>9</w:t>
    </w:r>
    <w:r>
      <w:fldChar w:fldCharType="end"/>
    </w:r>
  </w:p>
  <w:p w14:paraId="1B18D998" w14:textId="77777777" w:rsidR="00A066F1" w:rsidRPr="00A066F1" w:rsidRDefault="00187BD9" w:rsidP="00241FA2">
    <w:pPr>
      <w:pStyle w:val="Header"/>
    </w:pPr>
    <w:r>
      <w:t>CMR1</w:t>
    </w:r>
    <w:r w:rsidR="00202756">
      <w:t>9</w:t>
    </w:r>
    <w:r w:rsidR="00A066F1">
      <w:t>/</w:t>
    </w:r>
    <w:bookmarkStart w:id="10" w:name="OLE_LINK1"/>
    <w:bookmarkStart w:id="11" w:name="OLE_LINK2"/>
    <w:bookmarkStart w:id="12" w:name="OLE_LINK3"/>
    <w:r w:rsidR="00EB55C6">
      <w:t>77</w:t>
    </w:r>
    <w:bookmarkEnd w:id="10"/>
    <w:bookmarkEnd w:id="11"/>
    <w:bookmarkEnd w:id="12"/>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3AED"/>
    <w:rsid w:val="000041EA"/>
    <w:rsid w:val="00022A29"/>
    <w:rsid w:val="000355FD"/>
    <w:rsid w:val="00042643"/>
    <w:rsid w:val="00051E39"/>
    <w:rsid w:val="000705F2"/>
    <w:rsid w:val="00077239"/>
    <w:rsid w:val="0007795D"/>
    <w:rsid w:val="00082DCF"/>
    <w:rsid w:val="00086491"/>
    <w:rsid w:val="00091346"/>
    <w:rsid w:val="0009706C"/>
    <w:rsid w:val="000D154B"/>
    <w:rsid w:val="000D2DAF"/>
    <w:rsid w:val="000E463E"/>
    <w:rsid w:val="000E7C4A"/>
    <w:rsid w:val="000F73FF"/>
    <w:rsid w:val="00111F4D"/>
    <w:rsid w:val="00114CF7"/>
    <w:rsid w:val="00116C7A"/>
    <w:rsid w:val="00123B68"/>
    <w:rsid w:val="00126F2E"/>
    <w:rsid w:val="00146F6F"/>
    <w:rsid w:val="00187BD9"/>
    <w:rsid w:val="00190B55"/>
    <w:rsid w:val="001C3B5F"/>
    <w:rsid w:val="001D058F"/>
    <w:rsid w:val="002009EA"/>
    <w:rsid w:val="00202756"/>
    <w:rsid w:val="00202CA0"/>
    <w:rsid w:val="00207DAE"/>
    <w:rsid w:val="00216B6D"/>
    <w:rsid w:val="00241FA2"/>
    <w:rsid w:val="00271316"/>
    <w:rsid w:val="002A76E4"/>
    <w:rsid w:val="002B349C"/>
    <w:rsid w:val="002D58BE"/>
    <w:rsid w:val="002F4747"/>
    <w:rsid w:val="00302605"/>
    <w:rsid w:val="00361B37"/>
    <w:rsid w:val="00377BD3"/>
    <w:rsid w:val="00384088"/>
    <w:rsid w:val="003852CE"/>
    <w:rsid w:val="0039169B"/>
    <w:rsid w:val="003A7F8C"/>
    <w:rsid w:val="003B2065"/>
    <w:rsid w:val="003B2284"/>
    <w:rsid w:val="003B532E"/>
    <w:rsid w:val="003C3573"/>
    <w:rsid w:val="003D0F8B"/>
    <w:rsid w:val="003E0DB6"/>
    <w:rsid w:val="0041348E"/>
    <w:rsid w:val="00420873"/>
    <w:rsid w:val="0048574B"/>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0103"/>
    <w:rsid w:val="00A141AF"/>
    <w:rsid w:val="00A16D29"/>
    <w:rsid w:val="00A21AC2"/>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4C6F"/>
    <w:rsid w:val="00C16A5A"/>
    <w:rsid w:val="00C20466"/>
    <w:rsid w:val="00C214ED"/>
    <w:rsid w:val="00C234E6"/>
    <w:rsid w:val="00C324A8"/>
    <w:rsid w:val="00C54517"/>
    <w:rsid w:val="00C56F70"/>
    <w:rsid w:val="00C57B91"/>
    <w:rsid w:val="00C64CD8"/>
    <w:rsid w:val="00C82695"/>
    <w:rsid w:val="00C97C68"/>
    <w:rsid w:val="00CA0C82"/>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137C"/>
    <w:rsid w:val="00DE2AC3"/>
    <w:rsid w:val="00DE5692"/>
    <w:rsid w:val="00DE6300"/>
    <w:rsid w:val="00DF4BC6"/>
    <w:rsid w:val="00E03C94"/>
    <w:rsid w:val="00E205BC"/>
    <w:rsid w:val="00E26226"/>
    <w:rsid w:val="00E45D05"/>
    <w:rsid w:val="00E55816"/>
    <w:rsid w:val="00E55AEF"/>
    <w:rsid w:val="00E9544B"/>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296EB02"/>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styleId="PlainText">
    <w:name w:val="Plain Text"/>
    <w:basedOn w:val="Normal"/>
    <w:link w:val="PlainTextChar"/>
    <w:uiPriority w:val="99"/>
    <w:semiHidden/>
    <w:unhideWhenUsed/>
    <w:rsid w:val="00C14C6F"/>
    <w:pPr>
      <w:tabs>
        <w:tab w:val="clear" w:pos="1134"/>
        <w:tab w:val="clear" w:pos="1871"/>
        <w:tab w:val="clear" w:pos="2268"/>
      </w:tabs>
      <w:overflowPunct/>
      <w:autoSpaceDE/>
      <w:autoSpaceDN/>
      <w:adjustRightInd/>
      <w:spacing w:before="0"/>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C14C6F"/>
    <w:rPr>
      <w:rFonts w:ascii="Calibri" w:eastAsiaTheme="minorHAnsi" w:hAnsi="Calibri" w:cstheme="minorBidi"/>
      <w:sz w:val="22"/>
      <w:szCs w:val="21"/>
      <w:lang w:val="en-GB" w:eastAsia="en-US"/>
    </w:rPr>
  </w:style>
  <w:style w:type="table" w:styleId="TableGrid">
    <w:name w:val="Table Grid"/>
    <w:basedOn w:val="TableNormal"/>
    <w:uiPriority w:val="39"/>
    <w:rsid w:val="00C14C6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06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R16-WRC19-C-0077!!MSW-E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DE46998F-ED23-4E01-A2FB-B7EC0E5B9E9B}">
  <ds:schemaRefs>
    <ds:schemaRef ds:uri="http://schemas.microsoft.com/sharepoint/v3/contenttype/forms"/>
  </ds:schemaRefs>
</ds:datastoreItem>
</file>

<file path=customXml/itemProps3.xml><?xml version="1.0" encoding="utf-8"?>
<ds:datastoreItem xmlns:ds="http://schemas.openxmlformats.org/officeDocument/2006/customXml" ds:itemID="{176C5079-E3AC-4B64-8B67-694D2A913349}">
  <ds:schemaRefs>
    <ds:schemaRef ds:uri="996b2e75-67fd-4955-a3b0-5ab9934cb50b"/>
    <ds:schemaRef ds:uri="http://purl.org/dc/term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32a1a8c5-2265-4ebc-b7a0-2071e2c5c9bb"/>
    <ds:schemaRef ds:uri="http://purl.org/dc/elements/1.1/"/>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9032D9-3C67-4B42-BB4D-16268F901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2268</Words>
  <Characters>12012</Characters>
  <Application>Microsoft Office Word</Application>
  <DocSecurity>0</DocSecurity>
  <Lines>435</Lines>
  <Paragraphs>268</Paragraphs>
  <ScaleCrop>false</ScaleCrop>
  <HeadingPairs>
    <vt:vector size="2" baseType="variant">
      <vt:variant>
        <vt:lpstr>Title</vt:lpstr>
      </vt:variant>
      <vt:variant>
        <vt:i4>1</vt:i4>
      </vt:variant>
    </vt:vector>
  </HeadingPairs>
  <TitlesOfParts>
    <vt:vector size="1" baseType="lpstr">
      <vt:lpstr>R16-WRC19-C-0077!!MSW-E</vt:lpstr>
    </vt:vector>
  </TitlesOfParts>
  <Manager>General Secretariat - Pool</Manager>
  <Company>International Telecommunication Union (ITU)</Company>
  <LinksUpToDate>false</LinksUpToDate>
  <CharactersWithSpaces>14063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R16-WRC19-C-0077!!MSW-E</dc:title>
  <dc:subject>World Radiocommunication Conference - 2019</dc:subject>
  <dc:creator>Documents Proposals Manager (DPM)</dc:creator>
  <cp:keywords>DPM_v2019.10.8.1_prod</cp:keywords>
  <dc:description>Uploaded on 2015.07.06</dc:description>
  <cp:lastModifiedBy>Scott, Sarah</cp:lastModifiedBy>
  <cp:revision>5</cp:revision>
  <cp:lastPrinted>2019-10-16T16:54:00Z</cp:lastPrinted>
  <dcterms:created xsi:type="dcterms:W3CDTF">2019-10-15T13:06:00Z</dcterms:created>
  <dcterms:modified xsi:type="dcterms:W3CDTF">2019-10-16T16:58:00Z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