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14:paraId="1A4896F8" w14:textId="77777777" w:rsidTr="00773113">
        <w:trPr>
          <w:cantSplit/>
        </w:trPr>
        <w:tc>
          <w:tcPr>
            <w:tcW w:w="6911" w:type="dxa"/>
          </w:tcPr>
          <w:p w14:paraId="3CA633C4" w14:textId="77777777" w:rsidR="00587A4E" w:rsidRPr="00930FFD" w:rsidRDefault="00587A4E" w:rsidP="00C10236">
            <w:pPr>
              <w:spacing w:before="400" w:after="48"/>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14:paraId="4F1CADE9" w14:textId="77777777" w:rsidR="00587A4E" w:rsidRPr="002A6F8F" w:rsidRDefault="00587A4E" w:rsidP="00C10236">
            <w:pPr>
              <w:spacing w:before="0"/>
              <w:rPr>
                <w:lang w:val="en-US"/>
              </w:rPr>
            </w:pPr>
            <w:bookmarkStart w:id="0" w:name="ditulogo"/>
            <w:bookmarkEnd w:id="0"/>
            <w:r>
              <w:rPr>
                <w:rFonts w:ascii="Verdana" w:hAnsi="Verdana"/>
                <w:b/>
                <w:bCs/>
                <w:noProof/>
                <w:lang w:val="en-US" w:eastAsia="zh-CN"/>
              </w:rPr>
              <w:drawing>
                <wp:inline distT="0" distB="0" distL="0" distR="0" wp14:anchorId="3C595EDC" wp14:editId="4B9904F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14:paraId="12E5ED89" w14:textId="77777777" w:rsidTr="00773113">
        <w:trPr>
          <w:cantSplit/>
        </w:trPr>
        <w:tc>
          <w:tcPr>
            <w:tcW w:w="6911" w:type="dxa"/>
            <w:tcBorders>
              <w:bottom w:val="single" w:sz="12" w:space="0" w:color="auto"/>
            </w:tcBorders>
          </w:tcPr>
          <w:p w14:paraId="6DD45AF8" w14:textId="77777777" w:rsidR="00587A4E" w:rsidRPr="002A6F8F" w:rsidRDefault="00587A4E" w:rsidP="00C10236">
            <w:pPr>
              <w:spacing w:before="0" w:after="48"/>
              <w:rPr>
                <w:b/>
                <w:smallCaps/>
                <w:szCs w:val="24"/>
                <w:lang w:val="en-US"/>
              </w:rPr>
            </w:pPr>
            <w:bookmarkStart w:id="1" w:name="dhead"/>
          </w:p>
        </w:tc>
        <w:tc>
          <w:tcPr>
            <w:tcW w:w="3120" w:type="dxa"/>
            <w:tcBorders>
              <w:bottom w:val="single" w:sz="12" w:space="0" w:color="auto"/>
            </w:tcBorders>
          </w:tcPr>
          <w:p w14:paraId="06B2C2C0" w14:textId="77777777" w:rsidR="00587A4E" w:rsidRPr="002A6F8F" w:rsidRDefault="00587A4E" w:rsidP="00C10236">
            <w:pPr>
              <w:spacing w:before="0"/>
              <w:rPr>
                <w:rFonts w:ascii="Verdana" w:hAnsi="Verdana"/>
                <w:szCs w:val="24"/>
                <w:lang w:val="en-US"/>
              </w:rPr>
            </w:pPr>
          </w:p>
        </w:tc>
      </w:tr>
      <w:tr w:rsidR="00587A4E" w:rsidRPr="002A6F8F" w14:paraId="10D67C53" w14:textId="77777777" w:rsidTr="00773113">
        <w:trPr>
          <w:cantSplit/>
        </w:trPr>
        <w:tc>
          <w:tcPr>
            <w:tcW w:w="6911" w:type="dxa"/>
            <w:tcBorders>
              <w:top w:val="single" w:sz="12" w:space="0" w:color="auto"/>
            </w:tcBorders>
          </w:tcPr>
          <w:p w14:paraId="19D65393" w14:textId="77777777" w:rsidR="00587A4E" w:rsidRPr="002A6F8F" w:rsidRDefault="00587A4E" w:rsidP="00C10236">
            <w:pPr>
              <w:spacing w:before="0" w:after="48"/>
              <w:rPr>
                <w:rFonts w:ascii="Verdana" w:hAnsi="Verdana"/>
                <w:b/>
                <w:smallCaps/>
                <w:sz w:val="20"/>
                <w:lang w:val="en-US"/>
              </w:rPr>
            </w:pPr>
          </w:p>
        </w:tc>
        <w:tc>
          <w:tcPr>
            <w:tcW w:w="3120" w:type="dxa"/>
            <w:tcBorders>
              <w:top w:val="single" w:sz="12" w:space="0" w:color="auto"/>
            </w:tcBorders>
          </w:tcPr>
          <w:p w14:paraId="4E50E7B9" w14:textId="77777777" w:rsidR="00587A4E" w:rsidRPr="002C67CB" w:rsidRDefault="00587A4E" w:rsidP="00C10236">
            <w:pPr>
              <w:spacing w:before="0"/>
              <w:rPr>
                <w:rFonts w:ascii="Verdana" w:hAnsi="Verdana"/>
                <w:sz w:val="20"/>
              </w:rPr>
            </w:pPr>
          </w:p>
        </w:tc>
      </w:tr>
      <w:tr w:rsidR="00587A4E" w:rsidRPr="002A6F8F" w14:paraId="64DFDD2B" w14:textId="77777777" w:rsidTr="00773113">
        <w:trPr>
          <w:cantSplit/>
        </w:trPr>
        <w:tc>
          <w:tcPr>
            <w:tcW w:w="6911" w:type="dxa"/>
          </w:tcPr>
          <w:p w14:paraId="0F6C4702" w14:textId="5026CF14" w:rsidR="00587A4E" w:rsidRPr="002C67CB" w:rsidRDefault="00F47DE8" w:rsidP="00C10236">
            <w:pPr>
              <w:spacing w:before="0"/>
              <w:rPr>
                <w:rFonts w:ascii="Verdana" w:hAnsi="Verdana"/>
                <w:b/>
                <w:sz w:val="20"/>
              </w:rPr>
            </w:pPr>
            <w:r w:rsidRPr="002C67CB">
              <w:rPr>
                <w:rFonts w:ascii="Verdana" w:hAnsi="Verdana"/>
                <w:b/>
                <w:sz w:val="20"/>
              </w:rPr>
              <w:t>SÉANCE PLÉNIÈRE</w:t>
            </w:r>
          </w:p>
        </w:tc>
        <w:tc>
          <w:tcPr>
            <w:tcW w:w="3120" w:type="dxa"/>
          </w:tcPr>
          <w:p w14:paraId="47ECDCCF" w14:textId="33AC9191" w:rsidR="00587A4E" w:rsidRPr="002C67CB" w:rsidRDefault="00587A4E" w:rsidP="00C10236">
            <w:pPr>
              <w:spacing w:before="0"/>
              <w:rPr>
                <w:rFonts w:ascii="Verdana" w:hAnsi="Verdana"/>
                <w:sz w:val="20"/>
              </w:rPr>
            </w:pPr>
            <w:r w:rsidRPr="002C67CB">
              <w:rPr>
                <w:rFonts w:ascii="Verdana" w:hAnsi="Verdana"/>
                <w:b/>
                <w:sz w:val="20"/>
              </w:rPr>
              <w:t xml:space="preserve">Document </w:t>
            </w:r>
            <w:r w:rsidR="00F47DE8" w:rsidRPr="002C67CB">
              <w:rPr>
                <w:rFonts w:ascii="Verdana" w:hAnsi="Verdana"/>
                <w:b/>
                <w:sz w:val="20"/>
              </w:rPr>
              <w:t>77</w:t>
            </w:r>
            <w:r w:rsidRPr="002C67CB">
              <w:rPr>
                <w:rFonts w:ascii="Verdana" w:hAnsi="Verdana"/>
                <w:b/>
                <w:sz w:val="20"/>
              </w:rPr>
              <w:t>-F</w:t>
            </w:r>
          </w:p>
        </w:tc>
      </w:tr>
      <w:bookmarkEnd w:id="1"/>
      <w:tr w:rsidR="00587A4E" w:rsidRPr="002A6F8F" w14:paraId="148DD3F1" w14:textId="77777777" w:rsidTr="00773113">
        <w:trPr>
          <w:cantSplit/>
        </w:trPr>
        <w:tc>
          <w:tcPr>
            <w:tcW w:w="6911" w:type="dxa"/>
          </w:tcPr>
          <w:p w14:paraId="7B34B101" w14:textId="77777777" w:rsidR="00587A4E" w:rsidRPr="002C67CB" w:rsidRDefault="00587A4E" w:rsidP="00C10236">
            <w:pPr>
              <w:spacing w:before="0"/>
              <w:rPr>
                <w:rFonts w:ascii="Verdana" w:hAnsi="Verdana"/>
                <w:b/>
                <w:sz w:val="20"/>
              </w:rPr>
            </w:pPr>
          </w:p>
        </w:tc>
        <w:tc>
          <w:tcPr>
            <w:tcW w:w="3120" w:type="dxa"/>
          </w:tcPr>
          <w:p w14:paraId="2F777344" w14:textId="1ACF63B1" w:rsidR="00587A4E" w:rsidRPr="002C67CB" w:rsidRDefault="00F47DE8" w:rsidP="00C10236">
            <w:pPr>
              <w:spacing w:before="0"/>
              <w:rPr>
                <w:rFonts w:ascii="Verdana" w:hAnsi="Verdana"/>
                <w:b/>
                <w:sz w:val="20"/>
              </w:rPr>
            </w:pPr>
            <w:r w:rsidRPr="002C67CB">
              <w:rPr>
                <w:rFonts w:ascii="Verdana" w:hAnsi="Verdana"/>
                <w:b/>
                <w:sz w:val="20"/>
              </w:rPr>
              <w:t>7 octobre</w:t>
            </w:r>
            <w:r w:rsidR="00587A4E" w:rsidRPr="002C67CB">
              <w:rPr>
                <w:rFonts w:ascii="Verdana" w:hAnsi="Verdana"/>
                <w:b/>
                <w:sz w:val="20"/>
              </w:rPr>
              <w:t xml:space="preserve"> 201</w:t>
            </w:r>
            <w:r w:rsidR="009765A8" w:rsidRPr="002C67CB">
              <w:rPr>
                <w:rFonts w:ascii="Verdana" w:hAnsi="Verdana"/>
                <w:b/>
                <w:sz w:val="20"/>
              </w:rPr>
              <w:t>9</w:t>
            </w:r>
          </w:p>
        </w:tc>
      </w:tr>
      <w:tr w:rsidR="00587A4E" w:rsidRPr="002A6F8F" w14:paraId="2BC1F1CE" w14:textId="77777777" w:rsidTr="00773113">
        <w:trPr>
          <w:cantSplit/>
        </w:trPr>
        <w:tc>
          <w:tcPr>
            <w:tcW w:w="6911" w:type="dxa"/>
          </w:tcPr>
          <w:p w14:paraId="20088F08" w14:textId="77777777" w:rsidR="00587A4E" w:rsidRPr="002C67CB" w:rsidRDefault="00587A4E" w:rsidP="00C10236">
            <w:pPr>
              <w:spacing w:before="0" w:after="48"/>
              <w:rPr>
                <w:rFonts w:ascii="Verdana" w:hAnsi="Verdana"/>
                <w:b/>
                <w:smallCaps/>
                <w:sz w:val="20"/>
              </w:rPr>
            </w:pPr>
          </w:p>
        </w:tc>
        <w:tc>
          <w:tcPr>
            <w:tcW w:w="3120" w:type="dxa"/>
          </w:tcPr>
          <w:p w14:paraId="0363EE84" w14:textId="77777777" w:rsidR="00587A4E" w:rsidRPr="002C67CB" w:rsidRDefault="00587A4E" w:rsidP="00C10236">
            <w:pPr>
              <w:spacing w:before="0"/>
              <w:rPr>
                <w:rFonts w:ascii="Verdana" w:hAnsi="Verdana"/>
                <w:b/>
                <w:sz w:val="20"/>
              </w:rPr>
            </w:pPr>
            <w:r w:rsidRPr="002C67CB">
              <w:rPr>
                <w:rFonts w:ascii="Verdana" w:hAnsi="Verdana"/>
                <w:b/>
                <w:sz w:val="20"/>
              </w:rPr>
              <w:t>Original: anglais</w:t>
            </w:r>
          </w:p>
        </w:tc>
      </w:tr>
      <w:tr w:rsidR="00587A4E" w:rsidRPr="002A6F8F" w14:paraId="4ECB63B2" w14:textId="77777777" w:rsidTr="00773113">
        <w:trPr>
          <w:cantSplit/>
        </w:trPr>
        <w:tc>
          <w:tcPr>
            <w:tcW w:w="10031" w:type="dxa"/>
            <w:gridSpan w:val="2"/>
          </w:tcPr>
          <w:p w14:paraId="4A6639FC" w14:textId="77777777" w:rsidR="00587A4E" w:rsidRPr="002C67CB" w:rsidRDefault="00587A4E" w:rsidP="00C10236">
            <w:pPr>
              <w:spacing w:before="0"/>
              <w:rPr>
                <w:rFonts w:ascii="Verdana" w:hAnsi="Verdana"/>
                <w:b/>
                <w:sz w:val="20"/>
              </w:rPr>
            </w:pPr>
          </w:p>
        </w:tc>
      </w:tr>
      <w:tr w:rsidR="00587A4E" w:rsidRPr="002A6F8F" w14:paraId="37B1E059" w14:textId="77777777" w:rsidTr="00773113">
        <w:trPr>
          <w:cantSplit/>
        </w:trPr>
        <w:tc>
          <w:tcPr>
            <w:tcW w:w="10031" w:type="dxa"/>
            <w:gridSpan w:val="2"/>
          </w:tcPr>
          <w:p w14:paraId="6BBC73C3" w14:textId="703BF4FE" w:rsidR="00587A4E" w:rsidRPr="002C67CB" w:rsidRDefault="00F47DE8" w:rsidP="00332324">
            <w:pPr>
              <w:pStyle w:val="Source"/>
            </w:pPr>
            <w:bookmarkStart w:id="2" w:name="dsource" w:colFirst="0" w:colLast="0"/>
            <w:r w:rsidRPr="002C67CB">
              <w:t>Chine (République populaire de)/Fédération de Russie/</w:t>
            </w:r>
            <w:r w:rsidR="00C41C5A">
              <w:br/>
            </w:r>
            <w:r w:rsidRPr="002C67CB">
              <w:t>Papouasie-Nouvelle-Guinée</w:t>
            </w:r>
          </w:p>
        </w:tc>
      </w:tr>
      <w:tr w:rsidR="00587A4E" w:rsidRPr="002A6F8F" w14:paraId="037ABCC4" w14:textId="77777777" w:rsidTr="00773113">
        <w:trPr>
          <w:cantSplit/>
        </w:trPr>
        <w:tc>
          <w:tcPr>
            <w:tcW w:w="10031" w:type="dxa"/>
            <w:gridSpan w:val="2"/>
          </w:tcPr>
          <w:p w14:paraId="3DF88E60" w14:textId="051D83A0" w:rsidR="00587A4E" w:rsidRPr="002C67CB" w:rsidRDefault="00F47DE8" w:rsidP="00332324">
            <w:pPr>
              <w:pStyle w:val="Title1"/>
            </w:pPr>
            <w:bookmarkStart w:id="3" w:name="dtitle1" w:colFirst="0" w:colLast="0"/>
            <w:bookmarkEnd w:id="2"/>
            <w:r w:rsidRPr="002C67CB">
              <w:t>ProposITIONs POUR LES TRAVAUX DE LA confÉrence</w:t>
            </w:r>
          </w:p>
        </w:tc>
      </w:tr>
      <w:tr w:rsidR="00587A4E" w:rsidRPr="002A6F8F" w14:paraId="51C6E798" w14:textId="77777777" w:rsidTr="00773113">
        <w:trPr>
          <w:cantSplit/>
        </w:trPr>
        <w:tc>
          <w:tcPr>
            <w:tcW w:w="10031" w:type="dxa"/>
            <w:gridSpan w:val="2"/>
          </w:tcPr>
          <w:p w14:paraId="16A84E0C" w14:textId="4732ACAF" w:rsidR="00587A4E" w:rsidRPr="002C67CB" w:rsidRDefault="00F47DE8" w:rsidP="00332324">
            <w:pPr>
              <w:pStyle w:val="Title2"/>
            </w:pPr>
            <w:bookmarkStart w:id="4" w:name="dtitle2" w:colFirst="0" w:colLast="0"/>
            <w:bookmarkEnd w:id="3"/>
            <w:r w:rsidRPr="002C67CB">
              <w:t xml:space="preserve">ÉTUDES TECHNIQUES CONCERNANT LA QUESTION 9.1.1 DU POINT 9.1 </w:t>
            </w:r>
            <w:r w:rsidR="00C41C5A">
              <w:br/>
            </w:r>
            <w:r w:rsidRPr="002C67CB">
              <w:t>DE L'ORDRE DU JOUR</w:t>
            </w:r>
          </w:p>
        </w:tc>
      </w:tr>
      <w:tr w:rsidR="00587A4E" w14:paraId="26AB77FC" w14:textId="77777777" w:rsidTr="00773113">
        <w:trPr>
          <w:cantSplit/>
        </w:trPr>
        <w:tc>
          <w:tcPr>
            <w:tcW w:w="10031" w:type="dxa"/>
            <w:gridSpan w:val="2"/>
          </w:tcPr>
          <w:p w14:paraId="56AF85C3" w14:textId="00FC479B" w:rsidR="00587A4E" w:rsidRPr="002C67CB" w:rsidRDefault="00F47DE8" w:rsidP="00332324">
            <w:pPr>
              <w:pStyle w:val="Agendaitem"/>
              <w:rPr>
                <w:lang w:val="fr-FR"/>
              </w:rPr>
            </w:pPr>
            <w:bookmarkStart w:id="5" w:name="dtitle3" w:colFirst="0" w:colLast="0"/>
            <w:bookmarkEnd w:id="4"/>
            <w:r w:rsidRPr="002C67CB">
              <w:rPr>
                <w:lang w:val="fr-FR"/>
              </w:rPr>
              <w:t>Point 9.1 (9.1.1) de l'ordre du jour</w:t>
            </w:r>
          </w:p>
        </w:tc>
      </w:tr>
    </w:tbl>
    <w:bookmarkEnd w:id="5"/>
    <w:p w14:paraId="31A2BB31" w14:textId="68502DE7" w:rsidR="00F47DE8" w:rsidRPr="00C264ED" w:rsidRDefault="00F47DE8" w:rsidP="00C41C5A">
      <w:pPr>
        <w:pStyle w:val="Normalaftertitle"/>
      </w:pPr>
      <w:r w:rsidRPr="00C264ED">
        <w:t>9</w:t>
      </w:r>
      <w:r w:rsidRPr="00C264ED">
        <w:tab/>
        <w:t xml:space="preserve">examiner et approuver le </w:t>
      </w:r>
      <w:r w:rsidR="00C41C5A">
        <w:t>R</w:t>
      </w:r>
      <w:r w:rsidRPr="00C264ED">
        <w:t>apport du Directeur du Bureau des radiocommunications, conformément à l'article 7 de la Convention:</w:t>
      </w:r>
    </w:p>
    <w:p w14:paraId="4AF412A1" w14:textId="77777777" w:rsidR="00F47DE8" w:rsidRPr="00C264ED" w:rsidRDefault="00F47DE8" w:rsidP="00C10236">
      <w:pPr>
        <w:overflowPunct/>
        <w:autoSpaceDE/>
        <w:autoSpaceDN/>
        <w:adjustRightInd/>
        <w:textAlignment w:val="auto"/>
      </w:pPr>
      <w:r w:rsidRPr="00C264ED">
        <w:t>9.1</w:t>
      </w:r>
      <w:r w:rsidRPr="00C264ED">
        <w:tab/>
        <w:t>sur les activités du Secteur des radiocommunications depuis la CMR-15;</w:t>
      </w:r>
    </w:p>
    <w:p w14:paraId="107B7D70" w14:textId="66FDE6EF" w:rsidR="00F47DE8" w:rsidRPr="00C264ED" w:rsidRDefault="00F47DE8" w:rsidP="00C10236">
      <w:r w:rsidRPr="00C264ED">
        <w:rPr>
          <w:rFonts w:cstheme="majorBidi"/>
          <w:color w:val="000000"/>
          <w:szCs w:val="24"/>
          <w:lang w:eastAsia="zh-CN"/>
        </w:rPr>
        <w:t>9.1 (</w:t>
      </w:r>
      <w:r w:rsidRPr="00C264ED">
        <w:rPr>
          <w:rFonts w:hint="eastAsia"/>
          <w:lang w:eastAsia="zh-CN"/>
        </w:rPr>
        <w:t>9.1.</w:t>
      </w:r>
      <w:r w:rsidRPr="00C264ED">
        <w:rPr>
          <w:lang w:eastAsia="zh-CN"/>
        </w:rPr>
        <w:t>1)</w:t>
      </w:r>
      <w:r w:rsidRPr="00C264ED">
        <w:tab/>
        <w:t xml:space="preserve">Résolution </w:t>
      </w:r>
      <w:r w:rsidRPr="00C264ED">
        <w:rPr>
          <w:b/>
          <w:bCs/>
        </w:rPr>
        <w:t>212 (Rév.CMR-15) -</w:t>
      </w:r>
      <w:r w:rsidRPr="00C264ED">
        <w:t xml:space="preserve"> Mise en œuvre des Télécommunications mobiles internationales dans les bandes de fréquences 1</w:t>
      </w:r>
      <w:r w:rsidR="00C10236">
        <w:t> </w:t>
      </w:r>
      <w:r w:rsidRPr="00C264ED">
        <w:t>885</w:t>
      </w:r>
      <w:r w:rsidR="00C10236">
        <w:noBreakHyphen/>
      </w:r>
      <w:r w:rsidRPr="00C264ED">
        <w:t>2</w:t>
      </w:r>
      <w:r w:rsidR="00C10236">
        <w:t> </w:t>
      </w:r>
      <w:r w:rsidRPr="00C264ED">
        <w:t>025</w:t>
      </w:r>
      <w:r w:rsidR="00C10236">
        <w:t> </w:t>
      </w:r>
      <w:r w:rsidRPr="00C264ED">
        <w:t>MHz et 2</w:t>
      </w:r>
      <w:r w:rsidR="00C10236">
        <w:t> </w:t>
      </w:r>
      <w:r w:rsidRPr="00C264ED">
        <w:t>110</w:t>
      </w:r>
      <w:r w:rsidR="00C10236">
        <w:noBreakHyphen/>
      </w:r>
      <w:r w:rsidRPr="00C264ED">
        <w:t>2</w:t>
      </w:r>
      <w:r w:rsidR="00C10236">
        <w:t> </w:t>
      </w:r>
      <w:r w:rsidRPr="00C264ED">
        <w:t>200</w:t>
      </w:r>
      <w:r w:rsidR="00C10236">
        <w:t> </w:t>
      </w:r>
      <w:r w:rsidRPr="00C264ED">
        <w:t>MHz</w:t>
      </w:r>
    </w:p>
    <w:p w14:paraId="6C87E815" w14:textId="77777777" w:rsidR="00F47DE8" w:rsidRPr="009F3E9D" w:rsidRDefault="00F47DE8" w:rsidP="00C10236">
      <w:pPr>
        <w:pStyle w:val="Heading1"/>
        <w:rPr>
          <w:rFonts w:eastAsiaTheme="minorEastAsia"/>
        </w:rPr>
      </w:pPr>
      <w:r w:rsidRPr="009F3E9D">
        <w:rPr>
          <w:rFonts w:eastAsiaTheme="minorEastAsia"/>
        </w:rPr>
        <w:t>1.</w:t>
      </w:r>
      <w:r w:rsidRPr="009F3E9D">
        <w:rPr>
          <w:rFonts w:eastAsiaTheme="minorEastAsia"/>
        </w:rPr>
        <w:tab/>
        <w:t>Introduction</w:t>
      </w:r>
    </w:p>
    <w:p w14:paraId="34DF68E3" w14:textId="77777777" w:rsidR="00F47DE8" w:rsidRPr="00090697" w:rsidRDefault="00F47DE8" w:rsidP="00C10236">
      <w:r>
        <w:t>Les études</w:t>
      </w:r>
      <w:r w:rsidRPr="00C264ED">
        <w:t xml:space="preserve"> de l'UIT-R </w:t>
      </w:r>
      <w:r>
        <w:t xml:space="preserve">menées </w:t>
      </w:r>
      <w:r w:rsidRPr="00C264ED">
        <w:t>au titre de la Question 9.</w:t>
      </w:r>
      <w:r>
        <w:t>1.1 du point</w:t>
      </w:r>
      <w:r w:rsidRPr="00C264ED">
        <w:t xml:space="preserve"> 9.1</w:t>
      </w:r>
      <w:r>
        <w:t xml:space="preserve"> de l'ordre du jour relèvent de la responsabilité des Groupes de travail 4C et 5D</w:t>
      </w:r>
      <w:r w:rsidRPr="00C264ED">
        <w:t xml:space="preserve">. Bien que </w:t>
      </w:r>
      <w:r>
        <w:t>c</w:t>
      </w:r>
      <w:r w:rsidRPr="00C264ED">
        <w:t xml:space="preserve">es deux groupes de travail n'aient pas réussi à </w:t>
      </w:r>
      <w:r>
        <w:t>terminer</w:t>
      </w:r>
      <w:r w:rsidRPr="00C264ED">
        <w:t xml:space="preserve"> le Rapport UIT-R</w:t>
      </w:r>
      <w:r>
        <w:t xml:space="preserve"> prévu comportant</w:t>
      </w:r>
      <w:r w:rsidRPr="00C264ED">
        <w:t xml:space="preserve"> les études techniques</w:t>
      </w:r>
      <w:r w:rsidRPr="00A95004">
        <w:t xml:space="preserve"> </w:t>
      </w:r>
      <w:r>
        <w:t xml:space="preserve">avant la CMR-19, les différentes études </w:t>
      </w:r>
      <w:r w:rsidRPr="0039370A">
        <w:t>décrivent</w:t>
      </w:r>
      <w:r>
        <w:t xml:space="preserve"> de façon claire et cohérente la situation des brouillages dans chacun des scénarios examinés</w:t>
      </w:r>
      <w:r w:rsidRPr="00C264ED">
        <w:t xml:space="preserve">. </w:t>
      </w:r>
      <w:r w:rsidRPr="00090697">
        <w:t xml:space="preserve">Le document </w:t>
      </w:r>
      <w:r>
        <w:t>élaboré par</w:t>
      </w:r>
      <w:r w:rsidRPr="00090697">
        <w:t xml:space="preserve"> les deux groupes </w:t>
      </w:r>
      <w:r>
        <w:t xml:space="preserve">de travail </w:t>
      </w:r>
      <w:r w:rsidRPr="00090697">
        <w:t>contient actuellement environ 430 pages</w:t>
      </w:r>
      <w:r>
        <w:t>, et il est difficile pour les personnes</w:t>
      </w:r>
      <w:r w:rsidRPr="00090697">
        <w:t xml:space="preserve"> </w:t>
      </w:r>
      <w:r>
        <w:t>n'ayant pas participé directement aux études d'y faire référence facilement</w:t>
      </w:r>
      <w:r w:rsidRPr="00090697">
        <w:t xml:space="preserve">. </w:t>
      </w:r>
      <w:r>
        <w:t>L</w:t>
      </w:r>
      <w:r w:rsidRPr="00090697">
        <w:t xml:space="preserve">'objet </w:t>
      </w:r>
      <w:r>
        <w:t>du présent</w:t>
      </w:r>
      <w:r w:rsidRPr="00090697">
        <w:t xml:space="preserve"> document est </w:t>
      </w:r>
      <w:r>
        <w:t xml:space="preserve">donc </w:t>
      </w:r>
      <w:r w:rsidRPr="00090697">
        <w:t>de présenter un résumé des principaux résultats des études de brouillage.</w:t>
      </w:r>
    </w:p>
    <w:p w14:paraId="79C79EA8" w14:textId="51224810" w:rsidR="00F47DE8" w:rsidRPr="00F17A8B" w:rsidRDefault="00F47DE8" w:rsidP="00C10236">
      <w:r w:rsidRPr="00F17A8B">
        <w:t>Quatre sc</w:t>
      </w:r>
      <w:r>
        <w:t>é</w:t>
      </w:r>
      <w:r w:rsidRPr="00F17A8B">
        <w:t xml:space="preserve">narios de brouillage sont examinés au titre de ce point de l'ordre du jour, et </w:t>
      </w:r>
      <w:r>
        <w:t>l'image</w:t>
      </w:r>
      <w:r w:rsidRPr="00F17A8B">
        <w:t xml:space="preserve"> ci</w:t>
      </w:r>
      <w:r w:rsidR="00551ED8">
        <w:noBreakHyphen/>
      </w:r>
      <w:r w:rsidRPr="00F17A8B">
        <w:t xml:space="preserve">dessous montre un exemple de déploiement </w:t>
      </w:r>
      <w:r>
        <w:t>d'un système IMT de Terre et d'un système IMT à satellites dans deux pays différents</w:t>
      </w:r>
      <w:r w:rsidRPr="00F17A8B">
        <w:t xml:space="preserve">, </w:t>
      </w:r>
      <w:r>
        <w:t>qui ne sont pas nécessairement frontaliers</w:t>
      </w:r>
      <w:r w:rsidRPr="00F17A8B">
        <w:t>.</w:t>
      </w:r>
    </w:p>
    <w:p w14:paraId="1AE27685" w14:textId="77777777" w:rsidR="00F47DE8" w:rsidRDefault="00F47DE8" w:rsidP="00055592">
      <w:r>
        <w:rPr>
          <w:noProof/>
          <w:lang w:eastAsia="zh-CN"/>
        </w:rPr>
        <w:lastRenderedPageBreak/>
        <w:drawing>
          <wp:inline distT="0" distB="0" distL="0" distR="0" wp14:anchorId="0DB3B49B" wp14:editId="422451DC">
            <wp:extent cx="5726430" cy="185547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430" cy="1855470"/>
                    </a:xfrm>
                    <a:prstGeom prst="rect">
                      <a:avLst/>
                    </a:prstGeom>
                    <a:noFill/>
                    <a:ln>
                      <a:noFill/>
                    </a:ln>
                  </pic:spPr>
                </pic:pic>
              </a:graphicData>
            </a:graphic>
          </wp:inline>
        </w:drawing>
      </w:r>
    </w:p>
    <w:p w14:paraId="7CE9869B" w14:textId="77777777" w:rsidR="00F47DE8" w:rsidRDefault="00F47DE8" w:rsidP="00055592"/>
    <w:p w14:paraId="25DDF4A7" w14:textId="77777777" w:rsidR="00F47DE8" w:rsidRPr="00330135" w:rsidRDefault="00F47DE8" w:rsidP="00330135">
      <w:pPr>
        <w:pStyle w:val="Tabletitle"/>
        <w:rPr>
          <w:sz w:val="24"/>
          <w:szCs w:val="24"/>
        </w:rPr>
      </w:pPr>
      <w:r w:rsidRPr="00330135">
        <w:rPr>
          <w:sz w:val="24"/>
          <w:szCs w:val="24"/>
        </w:rPr>
        <w:t>Scénarios de brouillage</w:t>
      </w:r>
    </w:p>
    <w:tbl>
      <w:tblPr>
        <w:tblStyle w:val="TableGrid"/>
        <w:tblW w:w="0" w:type="auto"/>
        <w:tblLook w:val="04A0" w:firstRow="1" w:lastRow="0" w:firstColumn="1" w:lastColumn="0" w:noHBand="0" w:noVBand="1"/>
      </w:tblPr>
      <w:tblGrid>
        <w:gridCol w:w="3209"/>
        <w:gridCol w:w="3210"/>
        <w:gridCol w:w="3210"/>
      </w:tblGrid>
      <w:tr w:rsidR="00F47DE8" w:rsidRPr="00330135" w14:paraId="220070A1" w14:textId="77777777" w:rsidTr="00930582">
        <w:tc>
          <w:tcPr>
            <w:tcW w:w="3209" w:type="dxa"/>
          </w:tcPr>
          <w:p w14:paraId="4EFF6663" w14:textId="77777777" w:rsidR="00F47DE8" w:rsidRPr="00330135" w:rsidRDefault="00F47DE8" w:rsidP="00330135">
            <w:pPr>
              <w:pStyle w:val="Tablehead"/>
              <w:jc w:val="left"/>
              <w:rPr>
                <w:sz w:val="24"/>
                <w:szCs w:val="24"/>
              </w:rPr>
            </w:pPr>
            <w:r w:rsidRPr="00330135">
              <w:rPr>
                <w:sz w:val="24"/>
                <w:szCs w:val="24"/>
              </w:rPr>
              <w:t>Scénario</w:t>
            </w:r>
          </w:p>
        </w:tc>
        <w:tc>
          <w:tcPr>
            <w:tcW w:w="3210" w:type="dxa"/>
          </w:tcPr>
          <w:p w14:paraId="3707B4E3" w14:textId="77777777" w:rsidR="00F47DE8" w:rsidRPr="00330135" w:rsidRDefault="00F47DE8" w:rsidP="00330135">
            <w:pPr>
              <w:pStyle w:val="Tablehead"/>
              <w:jc w:val="left"/>
              <w:rPr>
                <w:sz w:val="24"/>
                <w:szCs w:val="24"/>
              </w:rPr>
            </w:pPr>
            <w:r w:rsidRPr="00330135">
              <w:rPr>
                <w:sz w:val="24"/>
                <w:szCs w:val="24"/>
              </w:rPr>
              <w:t>Système brouilleur</w:t>
            </w:r>
          </w:p>
        </w:tc>
        <w:tc>
          <w:tcPr>
            <w:tcW w:w="3210" w:type="dxa"/>
          </w:tcPr>
          <w:p w14:paraId="3DB348E6" w14:textId="77777777" w:rsidR="00F47DE8" w:rsidRPr="00330135" w:rsidRDefault="00F47DE8" w:rsidP="00330135">
            <w:pPr>
              <w:pStyle w:val="Tablehead"/>
              <w:jc w:val="left"/>
              <w:rPr>
                <w:sz w:val="24"/>
                <w:szCs w:val="24"/>
              </w:rPr>
            </w:pPr>
            <w:r w:rsidRPr="00330135">
              <w:rPr>
                <w:sz w:val="24"/>
                <w:szCs w:val="24"/>
              </w:rPr>
              <w:t>Système brouillé</w:t>
            </w:r>
          </w:p>
        </w:tc>
      </w:tr>
      <w:tr w:rsidR="00F47DE8" w:rsidRPr="00332324" w14:paraId="632C9EFB" w14:textId="77777777" w:rsidTr="00930582">
        <w:tc>
          <w:tcPr>
            <w:tcW w:w="3209" w:type="dxa"/>
          </w:tcPr>
          <w:p w14:paraId="05ED9880" w14:textId="77777777" w:rsidR="00F47DE8" w:rsidRPr="00332324" w:rsidRDefault="00F47DE8" w:rsidP="00332324">
            <w:pPr>
              <w:pStyle w:val="Tabletext"/>
              <w:rPr>
                <w:sz w:val="24"/>
                <w:szCs w:val="24"/>
              </w:rPr>
            </w:pPr>
            <w:r w:rsidRPr="00332324">
              <w:rPr>
                <w:sz w:val="24"/>
                <w:szCs w:val="24"/>
              </w:rPr>
              <w:t>A1</w:t>
            </w:r>
          </w:p>
        </w:tc>
        <w:tc>
          <w:tcPr>
            <w:tcW w:w="3210" w:type="dxa"/>
          </w:tcPr>
          <w:p w14:paraId="070008F9" w14:textId="77777777" w:rsidR="00F47DE8" w:rsidRPr="00332324" w:rsidRDefault="00F47DE8" w:rsidP="00332324">
            <w:pPr>
              <w:pStyle w:val="Tabletext"/>
              <w:rPr>
                <w:sz w:val="24"/>
                <w:szCs w:val="24"/>
              </w:rPr>
            </w:pPr>
            <w:r w:rsidRPr="00332324">
              <w:rPr>
                <w:sz w:val="24"/>
                <w:szCs w:val="24"/>
              </w:rPr>
              <w:t>Station de base ou station mobile IMT (de Terre)</w:t>
            </w:r>
          </w:p>
        </w:tc>
        <w:tc>
          <w:tcPr>
            <w:tcW w:w="3210" w:type="dxa"/>
          </w:tcPr>
          <w:p w14:paraId="2764DADA" w14:textId="77777777" w:rsidR="00F47DE8" w:rsidRPr="00332324" w:rsidRDefault="00F47DE8" w:rsidP="00332324">
            <w:pPr>
              <w:pStyle w:val="Tabletext"/>
              <w:rPr>
                <w:sz w:val="24"/>
                <w:szCs w:val="24"/>
              </w:rPr>
            </w:pPr>
            <w:r w:rsidRPr="00332324">
              <w:rPr>
                <w:sz w:val="24"/>
                <w:szCs w:val="24"/>
              </w:rPr>
              <w:t>Station spatiale IMT (satellite)</w:t>
            </w:r>
          </w:p>
        </w:tc>
      </w:tr>
      <w:tr w:rsidR="00F47DE8" w:rsidRPr="00332324" w14:paraId="036C4E9A" w14:textId="77777777" w:rsidTr="00930582">
        <w:tc>
          <w:tcPr>
            <w:tcW w:w="3209" w:type="dxa"/>
          </w:tcPr>
          <w:p w14:paraId="41DBEF75" w14:textId="77777777" w:rsidR="00F47DE8" w:rsidRPr="00332324" w:rsidRDefault="00F47DE8" w:rsidP="00332324">
            <w:pPr>
              <w:pStyle w:val="Tabletext"/>
              <w:rPr>
                <w:sz w:val="24"/>
                <w:szCs w:val="24"/>
              </w:rPr>
            </w:pPr>
            <w:r w:rsidRPr="00332324">
              <w:rPr>
                <w:sz w:val="24"/>
                <w:szCs w:val="24"/>
              </w:rPr>
              <w:t>A2</w:t>
            </w:r>
          </w:p>
        </w:tc>
        <w:tc>
          <w:tcPr>
            <w:tcW w:w="3210" w:type="dxa"/>
          </w:tcPr>
          <w:p w14:paraId="2D7E210A" w14:textId="77777777" w:rsidR="00F47DE8" w:rsidRPr="00332324" w:rsidRDefault="00F47DE8" w:rsidP="00332324">
            <w:pPr>
              <w:pStyle w:val="Tabletext"/>
              <w:rPr>
                <w:sz w:val="24"/>
                <w:szCs w:val="24"/>
              </w:rPr>
            </w:pPr>
            <w:r w:rsidRPr="00332324">
              <w:rPr>
                <w:sz w:val="24"/>
                <w:szCs w:val="24"/>
              </w:rPr>
              <w:t>Station de base IMT (de Terre)</w:t>
            </w:r>
          </w:p>
        </w:tc>
        <w:tc>
          <w:tcPr>
            <w:tcW w:w="3210" w:type="dxa"/>
          </w:tcPr>
          <w:p w14:paraId="5AC645B0" w14:textId="77777777" w:rsidR="00F47DE8" w:rsidRPr="00332324" w:rsidRDefault="00F47DE8" w:rsidP="00332324">
            <w:pPr>
              <w:pStyle w:val="Tabletext"/>
              <w:rPr>
                <w:sz w:val="24"/>
                <w:szCs w:val="24"/>
              </w:rPr>
            </w:pPr>
            <w:r w:rsidRPr="00332324">
              <w:rPr>
                <w:sz w:val="24"/>
                <w:szCs w:val="24"/>
              </w:rPr>
              <w:t>Station MES IMT (satellite)</w:t>
            </w:r>
          </w:p>
        </w:tc>
      </w:tr>
      <w:tr w:rsidR="00F47DE8" w:rsidRPr="00332324" w14:paraId="343E53FC" w14:textId="77777777" w:rsidTr="00930582">
        <w:tc>
          <w:tcPr>
            <w:tcW w:w="3209" w:type="dxa"/>
          </w:tcPr>
          <w:p w14:paraId="6D101F5E" w14:textId="77777777" w:rsidR="00F47DE8" w:rsidRPr="00332324" w:rsidRDefault="00F47DE8" w:rsidP="00332324">
            <w:pPr>
              <w:pStyle w:val="Tabletext"/>
              <w:rPr>
                <w:sz w:val="24"/>
                <w:szCs w:val="24"/>
              </w:rPr>
            </w:pPr>
            <w:r w:rsidRPr="00332324">
              <w:rPr>
                <w:sz w:val="24"/>
                <w:szCs w:val="24"/>
              </w:rPr>
              <w:t>B1</w:t>
            </w:r>
          </w:p>
        </w:tc>
        <w:tc>
          <w:tcPr>
            <w:tcW w:w="3210" w:type="dxa"/>
          </w:tcPr>
          <w:p w14:paraId="1E90468C" w14:textId="77777777" w:rsidR="00F47DE8" w:rsidRPr="00332324" w:rsidRDefault="00F47DE8" w:rsidP="00332324">
            <w:pPr>
              <w:pStyle w:val="Tabletext"/>
              <w:rPr>
                <w:sz w:val="24"/>
                <w:szCs w:val="24"/>
              </w:rPr>
            </w:pPr>
            <w:r w:rsidRPr="00332324">
              <w:rPr>
                <w:sz w:val="24"/>
                <w:szCs w:val="24"/>
              </w:rPr>
              <w:t>Station MES IMT (satellite)</w:t>
            </w:r>
          </w:p>
        </w:tc>
        <w:tc>
          <w:tcPr>
            <w:tcW w:w="3210" w:type="dxa"/>
          </w:tcPr>
          <w:p w14:paraId="1FEF23D5" w14:textId="77777777" w:rsidR="00F47DE8" w:rsidRPr="00332324" w:rsidRDefault="00F47DE8" w:rsidP="00332324">
            <w:pPr>
              <w:pStyle w:val="Tabletext"/>
              <w:rPr>
                <w:sz w:val="24"/>
                <w:szCs w:val="24"/>
              </w:rPr>
            </w:pPr>
            <w:r w:rsidRPr="00332324">
              <w:rPr>
                <w:sz w:val="24"/>
                <w:szCs w:val="24"/>
              </w:rPr>
              <w:t>Station de base ou équipement d'utilisateur IMT (de Terre)</w:t>
            </w:r>
          </w:p>
        </w:tc>
      </w:tr>
      <w:tr w:rsidR="00F47DE8" w:rsidRPr="00332324" w14:paraId="66EE7B57" w14:textId="77777777" w:rsidTr="00930582">
        <w:tc>
          <w:tcPr>
            <w:tcW w:w="3209" w:type="dxa"/>
          </w:tcPr>
          <w:p w14:paraId="5628A776" w14:textId="77777777" w:rsidR="00F47DE8" w:rsidRPr="00332324" w:rsidRDefault="00F47DE8" w:rsidP="00332324">
            <w:pPr>
              <w:pStyle w:val="Tabletext"/>
              <w:rPr>
                <w:sz w:val="24"/>
                <w:szCs w:val="24"/>
              </w:rPr>
            </w:pPr>
            <w:r w:rsidRPr="00332324">
              <w:rPr>
                <w:sz w:val="24"/>
                <w:szCs w:val="24"/>
              </w:rPr>
              <w:t>B2</w:t>
            </w:r>
          </w:p>
        </w:tc>
        <w:tc>
          <w:tcPr>
            <w:tcW w:w="3210" w:type="dxa"/>
          </w:tcPr>
          <w:p w14:paraId="70AD4D8E" w14:textId="77777777" w:rsidR="00F47DE8" w:rsidRPr="00332324" w:rsidRDefault="00F47DE8" w:rsidP="00332324">
            <w:pPr>
              <w:pStyle w:val="Tabletext"/>
              <w:rPr>
                <w:sz w:val="24"/>
                <w:szCs w:val="24"/>
              </w:rPr>
            </w:pPr>
            <w:r w:rsidRPr="00332324">
              <w:rPr>
                <w:sz w:val="24"/>
                <w:szCs w:val="24"/>
              </w:rPr>
              <w:t>Station spatiale IMT (satellite)</w:t>
            </w:r>
          </w:p>
        </w:tc>
        <w:tc>
          <w:tcPr>
            <w:tcW w:w="3210" w:type="dxa"/>
          </w:tcPr>
          <w:p w14:paraId="43852BCF" w14:textId="77777777" w:rsidR="00F47DE8" w:rsidRPr="00332324" w:rsidRDefault="00F47DE8" w:rsidP="00332324">
            <w:pPr>
              <w:pStyle w:val="Tabletext"/>
              <w:rPr>
                <w:sz w:val="24"/>
                <w:szCs w:val="24"/>
              </w:rPr>
            </w:pPr>
            <w:r w:rsidRPr="00332324">
              <w:rPr>
                <w:sz w:val="24"/>
                <w:szCs w:val="24"/>
              </w:rPr>
              <w:t>Équipement d'utilisateur IMT (de Terre)</w:t>
            </w:r>
          </w:p>
        </w:tc>
      </w:tr>
    </w:tbl>
    <w:p w14:paraId="73B200A9" w14:textId="77777777" w:rsidR="00F47DE8" w:rsidRDefault="00F47DE8" w:rsidP="00330135">
      <w:pPr>
        <w:pStyle w:val="Tablelegend"/>
      </w:pPr>
      <w:r w:rsidRPr="0038270A">
        <w:rPr>
          <w:b/>
          <w:bCs/>
        </w:rPr>
        <w:t>Image</w:t>
      </w:r>
      <w:r>
        <w:t xml:space="preserve">: Pays A; </w:t>
      </w:r>
      <w:r w:rsidRPr="00551ED8">
        <w:rPr>
          <w:b/>
          <w:bCs/>
        </w:rPr>
        <w:t>Station de base</w:t>
      </w:r>
      <w:r>
        <w:t>; Équipement d'utilisateur</w:t>
      </w:r>
    </w:p>
    <w:p w14:paraId="0ED03A80" w14:textId="401EE93B" w:rsidR="00F47DE8" w:rsidRDefault="00F47DE8" w:rsidP="00330135">
      <w:pPr>
        <w:pStyle w:val="Tablelegend"/>
      </w:pPr>
      <w:r>
        <w:t xml:space="preserve">Pays B; </w:t>
      </w:r>
      <w:r w:rsidRPr="00551ED8">
        <w:rPr>
          <w:b/>
          <w:bCs/>
        </w:rPr>
        <w:t>Satellite du SMS</w:t>
      </w:r>
      <w:r>
        <w:t>; Liaison montante: 1</w:t>
      </w:r>
      <w:r w:rsidR="00C10236">
        <w:t> </w:t>
      </w:r>
      <w:r>
        <w:t>980</w:t>
      </w:r>
      <w:r w:rsidR="00C10236">
        <w:noBreakHyphen/>
      </w:r>
      <w:r>
        <w:t>2</w:t>
      </w:r>
      <w:r w:rsidR="00C10236">
        <w:t> </w:t>
      </w:r>
      <w:r>
        <w:t>010</w:t>
      </w:r>
      <w:r w:rsidR="00C10236">
        <w:t> </w:t>
      </w:r>
      <w:r>
        <w:t>MHz; Liaison descendante: 2 170</w:t>
      </w:r>
      <w:r w:rsidR="00C10236">
        <w:noBreakHyphen/>
      </w:r>
      <w:r>
        <w:t>2 200</w:t>
      </w:r>
      <w:r w:rsidR="00C10236">
        <w:t> </w:t>
      </w:r>
      <w:r>
        <w:t xml:space="preserve">MHz; </w:t>
      </w:r>
      <w:r w:rsidRPr="00551ED8">
        <w:rPr>
          <w:b/>
          <w:bCs/>
        </w:rPr>
        <w:t>Station MES</w:t>
      </w:r>
    </w:p>
    <w:p w14:paraId="7CE65AC4" w14:textId="77777777" w:rsidR="00C10236" w:rsidRPr="001E0EB6" w:rsidRDefault="00C10236" w:rsidP="00832389"/>
    <w:p w14:paraId="532093A1" w14:textId="66873B8E" w:rsidR="00F47DE8" w:rsidRPr="00330135" w:rsidRDefault="00F47DE8" w:rsidP="00330135">
      <w:pPr>
        <w:pStyle w:val="Tabletitle"/>
        <w:spacing w:after="240"/>
      </w:pPr>
      <w:r w:rsidRPr="00A80C16">
        <w:t xml:space="preserve">Tableau 1: Scénarios examinés </w:t>
      </w:r>
      <w:r>
        <w:t>et situation</w:t>
      </w:r>
      <w:r w:rsidRPr="00A80C16">
        <w:t xml:space="preserve"> de</w:t>
      </w:r>
      <w:r>
        <w:t>s</w:t>
      </w:r>
      <w:r w:rsidRPr="00A80C16">
        <w:t xml:space="preserve"> brouillage</w:t>
      </w:r>
      <w:r>
        <w:t>s</w:t>
      </w:r>
    </w:p>
    <w:tbl>
      <w:tblPr>
        <w:tblStyle w:val="TableGrid"/>
        <w:tblW w:w="8217" w:type="dxa"/>
        <w:jc w:val="center"/>
        <w:tblLook w:val="04A0" w:firstRow="1" w:lastRow="0" w:firstColumn="1" w:lastColumn="0" w:noHBand="0" w:noVBand="1"/>
      </w:tblPr>
      <w:tblGrid>
        <w:gridCol w:w="1167"/>
        <w:gridCol w:w="7050"/>
      </w:tblGrid>
      <w:tr w:rsidR="00F47DE8" w:rsidRPr="00330135" w14:paraId="7ECA27FD" w14:textId="77777777" w:rsidTr="00930582">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23CC71AA" w14:textId="77777777" w:rsidR="00F47DE8" w:rsidRPr="00330135" w:rsidRDefault="00F47DE8" w:rsidP="00330135">
            <w:pPr>
              <w:pStyle w:val="Tablehead"/>
              <w:rPr>
                <w:sz w:val="24"/>
                <w:szCs w:val="24"/>
              </w:rPr>
            </w:pPr>
            <w:r w:rsidRPr="00330135">
              <w:rPr>
                <w:sz w:val="24"/>
                <w:szCs w:val="24"/>
              </w:rPr>
              <w:t>Scénario</w:t>
            </w:r>
          </w:p>
        </w:tc>
        <w:tc>
          <w:tcPr>
            <w:tcW w:w="7050" w:type="dxa"/>
            <w:tcBorders>
              <w:top w:val="single" w:sz="4" w:space="0" w:color="auto"/>
              <w:left w:val="single" w:sz="4" w:space="0" w:color="auto"/>
              <w:bottom w:val="single" w:sz="4" w:space="0" w:color="auto"/>
              <w:right w:val="single" w:sz="4" w:space="0" w:color="auto"/>
            </w:tcBorders>
            <w:vAlign w:val="center"/>
            <w:hideMark/>
          </w:tcPr>
          <w:p w14:paraId="753148FE" w14:textId="77777777" w:rsidR="00F47DE8" w:rsidRPr="00330135" w:rsidRDefault="00F47DE8" w:rsidP="00330135">
            <w:pPr>
              <w:pStyle w:val="Tablehead"/>
              <w:rPr>
                <w:sz w:val="24"/>
                <w:szCs w:val="24"/>
              </w:rPr>
            </w:pPr>
            <w:r w:rsidRPr="00330135">
              <w:rPr>
                <w:sz w:val="24"/>
                <w:szCs w:val="24"/>
              </w:rPr>
              <w:t>Brouillages/Observations</w:t>
            </w:r>
          </w:p>
        </w:tc>
      </w:tr>
      <w:tr w:rsidR="00F47DE8" w:rsidRPr="00330135" w14:paraId="29820323" w14:textId="77777777" w:rsidTr="00930582">
        <w:trPr>
          <w:trHeight w:val="443"/>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2C6D0E85" w14:textId="77777777" w:rsidR="00F47DE8" w:rsidRPr="00330135" w:rsidRDefault="00F47DE8" w:rsidP="00330135">
            <w:pPr>
              <w:pStyle w:val="Tabletext"/>
              <w:rPr>
                <w:b/>
                <w:bCs/>
                <w:sz w:val="24"/>
                <w:szCs w:val="24"/>
              </w:rPr>
            </w:pPr>
            <w:r w:rsidRPr="00330135">
              <w:rPr>
                <w:b/>
                <w:bCs/>
                <w:sz w:val="24"/>
                <w:szCs w:val="24"/>
              </w:rPr>
              <w:t>A1</w:t>
            </w:r>
          </w:p>
        </w:tc>
        <w:tc>
          <w:tcPr>
            <w:tcW w:w="7050" w:type="dxa"/>
            <w:tcBorders>
              <w:top w:val="single" w:sz="4" w:space="0" w:color="auto"/>
              <w:left w:val="single" w:sz="4" w:space="0" w:color="auto"/>
              <w:bottom w:val="single" w:sz="4" w:space="0" w:color="auto"/>
              <w:right w:val="single" w:sz="4" w:space="0" w:color="auto"/>
            </w:tcBorders>
            <w:vAlign w:val="center"/>
            <w:hideMark/>
          </w:tcPr>
          <w:p w14:paraId="6ED2D6A9" w14:textId="77777777" w:rsidR="00F47DE8" w:rsidRPr="00330135" w:rsidRDefault="00F47DE8" w:rsidP="00330135">
            <w:pPr>
              <w:pStyle w:val="Tabletext"/>
              <w:rPr>
                <w:sz w:val="24"/>
                <w:szCs w:val="24"/>
              </w:rPr>
            </w:pPr>
            <w:r w:rsidRPr="00330135">
              <w:rPr>
                <w:sz w:val="24"/>
                <w:szCs w:val="24"/>
              </w:rPr>
              <w:t>Niveau de dépassement allant jusqu'à 52,2 dB – actuellement non traité par le RR</w:t>
            </w:r>
          </w:p>
        </w:tc>
      </w:tr>
      <w:tr w:rsidR="00F47DE8" w:rsidRPr="00330135" w14:paraId="50967863" w14:textId="77777777" w:rsidTr="00930582">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7BBF255C" w14:textId="77777777" w:rsidR="00F47DE8" w:rsidRPr="00330135" w:rsidRDefault="00F47DE8" w:rsidP="00330135">
            <w:pPr>
              <w:pStyle w:val="Tabletext"/>
              <w:rPr>
                <w:b/>
                <w:bCs/>
                <w:sz w:val="24"/>
                <w:szCs w:val="24"/>
              </w:rPr>
            </w:pPr>
            <w:r w:rsidRPr="00330135">
              <w:rPr>
                <w:b/>
                <w:bCs/>
                <w:sz w:val="24"/>
                <w:szCs w:val="24"/>
              </w:rPr>
              <w:t>A2</w:t>
            </w:r>
          </w:p>
        </w:tc>
        <w:tc>
          <w:tcPr>
            <w:tcW w:w="7050" w:type="dxa"/>
            <w:tcBorders>
              <w:top w:val="single" w:sz="4" w:space="0" w:color="auto"/>
              <w:left w:val="single" w:sz="4" w:space="0" w:color="auto"/>
              <w:bottom w:val="single" w:sz="4" w:space="0" w:color="auto"/>
              <w:right w:val="single" w:sz="4" w:space="0" w:color="auto"/>
            </w:tcBorders>
            <w:vAlign w:val="center"/>
            <w:hideMark/>
          </w:tcPr>
          <w:p w14:paraId="6F093DD8" w14:textId="77777777" w:rsidR="00F47DE8" w:rsidRPr="00330135" w:rsidRDefault="00F47DE8" w:rsidP="00330135">
            <w:pPr>
              <w:pStyle w:val="Tabletext"/>
              <w:rPr>
                <w:sz w:val="24"/>
                <w:szCs w:val="24"/>
              </w:rPr>
            </w:pPr>
            <w:r w:rsidRPr="00330135">
              <w:rPr>
                <w:sz w:val="24"/>
                <w:szCs w:val="24"/>
              </w:rPr>
              <w:t>Les problèmes de brouillage peuvent être traités moyennant l'application des dispositions actuelles du RR en matière de coordination transfrontière</w:t>
            </w:r>
          </w:p>
        </w:tc>
      </w:tr>
      <w:tr w:rsidR="00F47DE8" w:rsidRPr="00330135" w14:paraId="3356C27D" w14:textId="77777777" w:rsidTr="00930582">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37953D9D" w14:textId="77777777" w:rsidR="00F47DE8" w:rsidRPr="00330135" w:rsidRDefault="00F47DE8" w:rsidP="00330135">
            <w:pPr>
              <w:pStyle w:val="Tabletext"/>
              <w:rPr>
                <w:b/>
                <w:bCs/>
                <w:sz w:val="24"/>
                <w:szCs w:val="24"/>
              </w:rPr>
            </w:pPr>
            <w:r w:rsidRPr="00330135">
              <w:rPr>
                <w:b/>
                <w:bCs/>
                <w:sz w:val="24"/>
                <w:szCs w:val="24"/>
              </w:rPr>
              <w:t>B1</w:t>
            </w:r>
          </w:p>
        </w:tc>
        <w:tc>
          <w:tcPr>
            <w:tcW w:w="7050" w:type="dxa"/>
            <w:tcBorders>
              <w:top w:val="single" w:sz="4" w:space="0" w:color="auto"/>
              <w:left w:val="single" w:sz="4" w:space="0" w:color="auto"/>
              <w:bottom w:val="single" w:sz="4" w:space="0" w:color="auto"/>
              <w:right w:val="single" w:sz="4" w:space="0" w:color="auto"/>
            </w:tcBorders>
            <w:vAlign w:val="center"/>
            <w:hideMark/>
          </w:tcPr>
          <w:p w14:paraId="73698D18" w14:textId="77777777" w:rsidR="00F47DE8" w:rsidRPr="00330135" w:rsidRDefault="00F47DE8" w:rsidP="00330135">
            <w:pPr>
              <w:pStyle w:val="Tabletext"/>
              <w:rPr>
                <w:sz w:val="24"/>
                <w:szCs w:val="24"/>
              </w:rPr>
            </w:pPr>
            <w:r w:rsidRPr="00330135">
              <w:rPr>
                <w:sz w:val="24"/>
                <w:szCs w:val="24"/>
              </w:rPr>
              <w:t>Les problèmes de brouillage peuvent être traités moyennant l'application des dispositions actuelles en matière de coordination transfrontière et de dispositions modifiées du RR (voir l'Annexe C)</w:t>
            </w:r>
          </w:p>
        </w:tc>
      </w:tr>
      <w:tr w:rsidR="00F47DE8" w:rsidRPr="00330135" w14:paraId="07419556" w14:textId="77777777" w:rsidTr="00930582">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14:paraId="226FF720" w14:textId="77777777" w:rsidR="00F47DE8" w:rsidRPr="00330135" w:rsidRDefault="00F47DE8" w:rsidP="00330135">
            <w:pPr>
              <w:pStyle w:val="Tabletext"/>
              <w:rPr>
                <w:b/>
                <w:bCs/>
                <w:sz w:val="24"/>
                <w:szCs w:val="24"/>
              </w:rPr>
            </w:pPr>
            <w:r w:rsidRPr="00330135">
              <w:rPr>
                <w:b/>
                <w:bCs/>
                <w:sz w:val="24"/>
                <w:szCs w:val="24"/>
              </w:rPr>
              <w:t>B2</w:t>
            </w:r>
          </w:p>
        </w:tc>
        <w:tc>
          <w:tcPr>
            <w:tcW w:w="7050" w:type="dxa"/>
            <w:tcBorders>
              <w:top w:val="single" w:sz="4" w:space="0" w:color="auto"/>
              <w:left w:val="single" w:sz="4" w:space="0" w:color="auto"/>
              <w:bottom w:val="single" w:sz="4" w:space="0" w:color="auto"/>
              <w:right w:val="single" w:sz="4" w:space="0" w:color="auto"/>
            </w:tcBorders>
            <w:vAlign w:val="center"/>
            <w:hideMark/>
          </w:tcPr>
          <w:p w14:paraId="3C684591" w14:textId="77777777" w:rsidR="00F47DE8" w:rsidRPr="00330135" w:rsidRDefault="00F47DE8" w:rsidP="00330135">
            <w:pPr>
              <w:pStyle w:val="Tabletext"/>
              <w:rPr>
                <w:sz w:val="24"/>
                <w:szCs w:val="24"/>
              </w:rPr>
            </w:pPr>
            <w:r w:rsidRPr="00330135">
              <w:rPr>
                <w:sz w:val="24"/>
                <w:szCs w:val="24"/>
              </w:rPr>
              <w:t>Les problèmes de brouillage peuvent être résolus moyennant l'inclusion d'un nouveau seuil de puissance surfacique déclenchant la coordination</w:t>
            </w:r>
          </w:p>
        </w:tc>
      </w:tr>
    </w:tbl>
    <w:p w14:paraId="172CEB75" w14:textId="3054F598" w:rsidR="00F47DE8" w:rsidRPr="00C10236" w:rsidRDefault="00F47DE8" w:rsidP="00C10236">
      <w:r w:rsidRPr="000725E6">
        <w:t xml:space="preserve">Le Tableau 1 </w:t>
      </w:r>
      <w:r>
        <w:t>ci-dess</w:t>
      </w:r>
      <w:r w:rsidRPr="000725E6">
        <w:t>us présente un résumé des quatre scenarios étudiés, la situation de</w:t>
      </w:r>
      <w:r>
        <w:t>s</w:t>
      </w:r>
      <w:r w:rsidRPr="000725E6">
        <w:t xml:space="preserve"> brouillage</w:t>
      </w:r>
      <w:r>
        <w:t>s</w:t>
      </w:r>
      <w:r w:rsidRPr="000725E6">
        <w:t xml:space="preserve"> </w:t>
      </w:r>
      <w:r>
        <w:t>dans chaque scénario</w:t>
      </w:r>
      <w:r w:rsidRPr="000725E6">
        <w:t xml:space="preserve"> et </w:t>
      </w:r>
      <w:r>
        <w:t>une solution qui permettrait de résoudre les problèmes de brouillage</w:t>
      </w:r>
      <w:r w:rsidRPr="000725E6">
        <w:t xml:space="preserve"> (</w:t>
      </w:r>
      <w:r>
        <w:t xml:space="preserve">sauf pour le </w:t>
      </w:r>
      <w:r w:rsidR="00551ED8">
        <w:t>S</w:t>
      </w:r>
      <w:r w:rsidRPr="000725E6">
        <w:t>c</w:t>
      </w:r>
      <w:r>
        <w:t>é</w:t>
      </w:r>
      <w:r w:rsidRPr="000725E6">
        <w:t xml:space="preserve">nario A1). Le présent document </w:t>
      </w:r>
      <w:r>
        <w:t>porte principalement sur le</w:t>
      </w:r>
      <w:r w:rsidRPr="000725E6">
        <w:t xml:space="preserve"> </w:t>
      </w:r>
      <w:r w:rsidR="00B63179">
        <w:t>S</w:t>
      </w:r>
      <w:r w:rsidRPr="000725E6">
        <w:t>cénario A1 (brouillage</w:t>
      </w:r>
      <w:r>
        <w:t>s</w:t>
      </w:r>
      <w:r w:rsidRPr="000725E6">
        <w:t xml:space="preserve"> causé</w:t>
      </w:r>
      <w:r>
        <w:t>s</w:t>
      </w:r>
      <w:r w:rsidRPr="000725E6">
        <w:t xml:space="preserve"> par </w:t>
      </w:r>
      <w:r>
        <w:t>les</w:t>
      </w:r>
      <w:r w:rsidRPr="000725E6">
        <w:t xml:space="preserve"> station</w:t>
      </w:r>
      <w:r>
        <w:t>s</w:t>
      </w:r>
      <w:r w:rsidRPr="000725E6">
        <w:t xml:space="preserve"> de base IMT de Terre </w:t>
      </w:r>
      <w:r>
        <w:t>aux</w:t>
      </w:r>
      <w:r w:rsidRPr="000725E6">
        <w:t xml:space="preserve"> récepteurs de satellite IMT dans la bande 1 980</w:t>
      </w:r>
      <w:r w:rsidR="00C10236">
        <w:noBreakHyphen/>
      </w:r>
      <w:r w:rsidRPr="000725E6">
        <w:t>2 010</w:t>
      </w:r>
      <w:r w:rsidR="00C10236">
        <w:t> </w:t>
      </w:r>
      <w:r w:rsidRPr="000725E6">
        <w:t xml:space="preserve">MHz), </w:t>
      </w:r>
      <w:r>
        <w:t>qui est le scénario le plus critique</w:t>
      </w:r>
      <w:r w:rsidRPr="000725E6">
        <w:t xml:space="preserve"> </w:t>
      </w:r>
      <w:r>
        <w:t>traité au titre de ce point de l'ordre du jour</w:t>
      </w:r>
      <w:r w:rsidRPr="000725E6">
        <w:t xml:space="preserve">, </w:t>
      </w:r>
      <w:r>
        <w:t>car des niveaux de brouillages élevés empêcheraient l'utilisation de la bande par le SMS</w:t>
      </w:r>
      <w:r w:rsidRPr="000725E6">
        <w:t>.</w:t>
      </w:r>
    </w:p>
    <w:p w14:paraId="3151B3A2" w14:textId="77777777" w:rsidR="00F47DE8" w:rsidRPr="007B77B7" w:rsidRDefault="00F47DE8" w:rsidP="00C10236">
      <w:pPr>
        <w:pStyle w:val="Heading1"/>
        <w:rPr>
          <w:rFonts w:eastAsiaTheme="minorEastAsia"/>
        </w:rPr>
      </w:pPr>
      <w:r w:rsidRPr="007B77B7">
        <w:rPr>
          <w:rFonts w:eastAsiaTheme="minorEastAsia"/>
        </w:rPr>
        <w:lastRenderedPageBreak/>
        <w:t>2.</w:t>
      </w:r>
      <w:r w:rsidRPr="007B77B7">
        <w:rPr>
          <w:rFonts w:eastAsiaTheme="minorEastAsia"/>
        </w:rPr>
        <w:tab/>
        <w:t xml:space="preserve">Les études techniques </w:t>
      </w:r>
      <w:r>
        <w:rPr>
          <w:rFonts w:eastAsiaTheme="minorEastAsia"/>
        </w:rPr>
        <w:t>mettent en évidence les</w:t>
      </w:r>
      <w:r w:rsidRPr="007B77B7">
        <w:rPr>
          <w:rFonts w:eastAsiaTheme="minorEastAsia"/>
        </w:rPr>
        <w:t xml:space="preserve"> brouillages produits </w:t>
      </w:r>
      <w:r>
        <w:rPr>
          <w:rFonts w:eastAsiaTheme="minorEastAsia"/>
        </w:rPr>
        <w:t>par les stations de base mobiles</w:t>
      </w:r>
    </w:p>
    <w:p w14:paraId="0F15A0FB" w14:textId="77777777" w:rsidR="00F47DE8" w:rsidRPr="007B77B7" w:rsidRDefault="00F47DE8" w:rsidP="00330135">
      <w:r w:rsidRPr="007B77B7">
        <w:t>Une simple analyse des brouillages produit</w:t>
      </w:r>
      <w:r>
        <w:t>s</w:t>
      </w:r>
      <w:r w:rsidRPr="007B77B7">
        <w:t xml:space="preserve"> par une seule station de base </w:t>
      </w:r>
      <w:r>
        <w:t xml:space="preserve">IMT montre que le niveau des brouillages dépasserait la valeur du critère de protection </w:t>
      </w:r>
      <w:r w:rsidRPr="007B77B7">
        <w:t xml:space="preserve">I/N </w:t>
      </w:r>
      <w:r>
        <w:t>du SMS, comme indiqué dans le Tableau 2</w:t>
      </w:r>
      <w:r w:rsidRPr="007B77B7">
        <w:t>.</w:t>
      </w:r>
    </w:p>
    <w:p w14:paraId="4BCD6D36" w14:textId="77F772A0" w:rsidR="00F47DE8" w:rsidRPr="007B77B7" w:rsidRDefault="00F47DE8" w:rsidP="00832389"/>
    <w:p w14:paraId="22E39B04" w14:textId="2B2DD281" w:rsidR="00F47DE8" w:rsidRPr="007B77B7" w:rsidRDefault="00F47DE8" w:rsidP="00330135">
      <w:pPr>
        <w:pStyle w:val="Tabletitle"/>
        <w:spacing w:after="240"/>
        <w:rPr>
          <w:rFonts w:ascii="Times New Roman" w:hAnsi="Times New Roman"/>
          <w:b w:val="0"/>
          <w:szCs w:val="24"/>
        </w:rPr>
      </w:pPr>
      <w:r w:rsidRPr="007B77B7">
        <w:t xml:space="preserve">Tableau 2: Brouillages </w:t>
      </w:r>
      <w:r>
        <w:t>causés</w:t>
      </w:r>
      <w:r w:rsidRPr="007B77B7">
        <w:t xml:space="preserve"> par une seule station de base IMT </w:t>
      </w:r>
      <w:r>
        <w:t>aux différents systèmes à satellites</w:t>
      </w:r>
    </w:p>
    <w:tbl>
      <w:tblPr>
        <w:tblStyle w:val="TableGrid"/>
        <w:tblW w:w="0" w:type="auto"/>
        <w:jc w:val="center"/>
        <w:tblLook w:val="04A0" w:firstRow="1" w:lastRow="0" w:firstColumn="1" w:lastColumn="0" w:noHBand="0" w:noVBand="1"/>
      </w:tblPr>
      <w:tblGrid>
        <w:gridCol w:w="2547"/>
        <w:gridCol w:w="1961"/>
        <w:gridCol w:w="2254"/>
      </w:tblGrid>
      <w:tr w:rsidR="00F47DE8" w:rsidRPr="002C67CB" w14:paraId="62C757C4" w14:textId="77777777" w:rsidTr="00B63179">
        <w:trPr>
          <w:trHeight w:val="35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0BEBF99" w14:textId="77777777" w:rsidR="00F47DE8" w:rsidRPr="002C67CB" w:rsidRDefault="00F47DE8" w:rsidP="00330135">
            <w:pPr>
              <w:pStyle w:val="Tablehead"/>
            </w:pPr>
            <w:r w:rsidRPr="002C67CB">
              <w:t>Brouilleur</w:t>
            </w:r>
          </w:p>
        </w:tc>
        <w:tc>
          <w:tcPr>
            <w:tcW w:w="1961" w:type="dxa"/>
            <w:tcBorders>
              <w:top w:val="single" w:sz="4" w:space="0" w:color="auto"/>
              <w:left w:val="single" w:sz="4" w:space="0" w:color="auto"/>
              <w:bottom w:val="single" w:sz="4" w:space="0" w:color="auto"/>
              <w:right w:val="single" w:sz="4" w:space="0" w:color="auto"/>
            </w:tcBorders>
            <w:vAlign w:val="center"/>
            <w:hideMark/>
          </w:tcPr>
          <w:p w14:paraId="00C90D94" w14:textId="77777777" w:rsidR="00F47DE8" w:rsidRPr="002C67CB" w:rsidRDefault="00F47DE8" w:rsidP="00330135">
            <w:pPr>
              <w:pStyle w:val="Tablehead"/>
            </w:pPr>
            <w:r w:rsidRPr="002C67CB">
              <w:t>Type de satellite</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C1A94B2" w14:textId="77777777" w:rsidR="00F47DE8" w:rsidRPr="002C67CB" w:rsidRDefault="00F47DE8" w:rsidP="00330135">
            <w:pPr>
              <w:pStyle w:val="Tablehead"/>
            </w:pPr>
            <w:r w:rsidRPr="002C67CB">
              <w:t>Niveau de dépassement (dB)</w:t>
            </w:r>
          </w:p>
        </w:tc>
      </w:tr>
      <w:tr w:rsidR="00F47DE8" w:rsidRPr="002C67CB" w14:paraId="2A72E05A" w14:textId="77777777" w:rsidTr="00B63179">
        <w:trPr>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47EDD1D" w14:textId="77777777" w:rsidR="00F47DE8" w:rsidRPr="002C67CB" w:rsidRDefault="00F47DE8" w:rsidP="00330135">
            <w:pPr>
              <w:pStyle w:val="Tabletext"/>
            </w:pPr>
            <w:r w:rsidRPr="002C67CB">
              <w:t>Station de base IMT unique</w:t>
            </w:r>
          </w:p>
        </w:tc>
        <w:tc>
          <w:tcPr>
            <w:tcW w:w="1961" w:type="dxa"/>
            <w:tcBorders>
              <w:top w:val="single" w:sz="4" w:space="0" w:color="auto"/>
              <w:left w:val="single" w:sz="4" w:space="0" w:color="auto"/>
              <w:bottom w:val="single" w:sz="4" w:space="0" w:color="auto"/>
              <w:right w:val="single" w:sz="4" w:space="0" w:color="auto"/>
            </w:tcBorders>
            <w:hideMark/>
          </w:tcPr>
          <w:p w14:paraId="61F54C05" w14:textId="77777777" w:rsidR="00F47DE8" w:rsidRPr="002C67CB" w:rsidRDefault="00F47DE8" w:rsidP="00B63179">
            <w:pPr>
              <w:pStyle w:val="Tabletext"/>
              <w:jc w:val="center"/>
              <w:rPr>
                <w:highlight w:val="yellow"/>
              </w:rPr>
            </w:pPr>
            <w:r w:rsidRPr="002C67CB">
              <w:t>LEO</w:t>
            </w:r>
          </w:p>
        </w:tc>
        <w:tc>
          <w:tcPr>
            <w:tcW w:w="2254" w:type="dxa"/>
            <w:tcBorders>
              <w:top w:val="single" w:sz="4" w:space="0" w:color="auto"/>
              <w:left w:val="single" w:sz="4" w:space="0" w:color="auto"/>
              <w:bottom w:val="single" w:sz="4" w:space="0" w:color="auto"/>
              <w:right w:val="single" w:sz="4" w:space="0" w:color="auto"/>
            </w:tcBorders>
            <w:hideMark/>
          </w:tcPr>
          <w:p w14:paraId="1A723549"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10,2</w:t>
            </w:r>
          </w:p>
        </w:tc>
      </w:tr>
      <w:tr w:rsidR="00F47DE8" w:rsidRPr="002C67CB" w14:paraId="6EAFB300" w14:textId="77777777" w:rsidTr="00B63179">
        <w:trPr>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415A454" w14:textId="77777777" w:rsidR="00F47DE8" w:rsidRPr="002C67CB" w:rsidRDefault="00F47DE8" w:rsidP="00330135">
            <w:pPr>
              <w:pStyle w:val="Tabletext"/>
            </w:pPr>
          </w:p>
        </w:tc>
        <w:tc>
          <w:tcPr>
            <w:tcW w:w="1961" w:type="dxa"/>
            <w:tcBorders>
              <w:top w:val="single" w:sz="4" w:space="0" w:color="auto"/>
              <w:left w:val="single" w:sz="4" w:space="0" w:color="auto"/>
              <w:bottom w:val="single" w:sz="4" w:space="0" w:color="auto"/>
              <w:right w:val="single" w:sz="4" w:space="0" w:color="auto"/>
            </w:tcBorders>
            <w:hideMark/>
          </w:tcPr>
          <w:p w14:paraId="1D4DF6DF" w14:textId="77777777" w:rsidR="00F47DE8" w:rsidRPr="002C67CB" w:rsidRDefault="00F47DE8" w:rsidP="00B63179">
            <w:pPr>
              <w:pStyle w:val="Tabletext"/>
              <w:jc w:val="center"/>
            </w:pPr>
            <w:r w:rsidRPr="002C67CB">
              <w:t>MEO</w:t>
            </w:r>
          </w:p>
        </w:tc>
        <w:tc>
          <w:tcPr>
            <w:tcW w:w="2254" w:type="dxa"/>
            <w:tcBorders>
              <w:top w:val="single" w:sz="4" w:space="0" w:color="auto"/>
              <w:left w:val="single" w:sz="4" w:space="0" w:color="auto"/>
              <w:bottom w:val="single" w:sz="4" w:space="0" w:color="auto"/>
              <w:right w:val="single" w:sz="4" w:space="0" w:color="auto"/>
            </w:tcBorders>
            <w:hideMark/>
          </w:tcPr>
          <w:p w14:paraId="53048002"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7,0</w:t>
            </w:r>
          </w:p>
        </w:tc>
      </w:tr>
      <w:tr w:rsidR="00F47DE8" w:rsidRPr="002C67CB" w14:paraId="28AB4955" w14:textId="77777777" w:rsidTr="00B63179">
        <w:trPr>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57304E1" w14:textId="77777777" w:rsidR="00F47DE8" w:rsidRPr="002C67CB" w:rsidRDefault="00F47DE8" w:rsidP="00330135">
            <w:pPr>
              <w:pStyle w:val="Tabletext"/>
            </w:pPr>
          </w:p>
        </w:tc>
        <w:tc>
          <w:tcPr>
            <w:tcW w:w="1961" w:type="dxa"/>
            <w:tcBorders>
              <w:top w:val="single" w:sz="4" w:space="0" w:color="auto"/>
              <w:left w:val="single" w:sz="4" w:space="0" w:color="auto"/>
              <w:bottom w:val="single" w:sz="4" w:space="0" w:color="auto"/>
              <w:right w:val="single" w:sz="4" w:space="0" w:color="auto"/>
            </w:tcBorders>
            <w:hideMark/>
          </w:tcPr>
          <w:p w14:paraId="088F0B93" w14:textId="77777777" w:rsidR="00F47DE8" w:rsidRPr="002C67CB" w:rsidRDefault="00F47DE8" w:rsidP="00B63179">
            <w:pPr>
              <w:pStyle w:val="Tabletext"/>
              <w:jc w:val="center"/>
              <w:rPr>
                <w:highlight w:val="yellow"/>
              </w:rPr>
            </w:pPr>
            <w:r w:rsidRPr="002C67CB">
              <w:t>HEO</w:t>
            </w:r>
          </w:p>
        </w:tc>
        <w:tc>
          <w:tcPr>
            <w:tcW w:w="2254" w:type="dxa"/>
            <w:tcBorders>
              <w:top w:val="single" w:sz="4" w:space="0" w:color="auto"/>
              <w:left w:val="single" w:sz="4" w:space="0" w:color="auto"/>
              <w:bottom w:val="single" w:sz="4" w:space="0" w:color="auto"/>
              <w:right w:val="single" w:sz="4" w:space="0" w:color="auto"/>
            </w:tcBorders>
            <w:hideMark/>
          </w:tcPr>
          <w:p w14:paraId="72BBC617"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11,8</w:t>
            </w:r>
          </w:p>
        </w:tc>
      </w:tr>
      <w:tr w:rsidR="00F47DE8" w:rsidRPr="002C67CB" w14:paraId="05FF3043" w14:textId="77777777" w:rsidTr="00B63179">
        <w:trPr>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E2907C9" w14:textId="77777777" w:rsidR="00F47DE8" w:rsidRPr="002C67CB" w:rsidRDefault="00F47DE8" w:rsidP="00330135">
            <w:pPr>
              <w:pStyle w:val="Tabletext"/>
            </w:pPr>
          </w:p>
        </w:tc>
        <w:tc>
          <w:tcPr>
            <w:tcW w:w="1961" w:type="dxa"/>
            <w:tcBorders>
              <w:top w:val="single" w:sz="4" w:space="0" w:color="auto"/>
              <w:left w:val="single" w:sz="4" w:space="0" w:color="auto"/>
              <w:bottom w:val="single" w:sz="4" w:space="0" w:color="auto"/>
              <w:right w:val="single" w:sz="4" w:space="0" w:color="auto"/>
            </w:tcBorders>
            <w:hideMark/>
          </w:tcPr>
          <w:p w14:paraId="171C95EB" w14:textId="77777777" w:rsidR="00F47DE8" w:rsidRPr="002C67CB" w:rsidRDefault="00F47DE8" w:rsidP="00B63179">
            <w:pPr>
              <w:pStyle w:val="Tabletext"/>
              <w:jc w:val="center"/>
            </w:pPr>
            <w:r w:rsidRPr="002C67CB">
              <w:t>GEO</w:t>
            </w:r>
          </w:p>
        </w:tc>
        <w:tc>
          <w:tcPr>
            <w:tcW w:w="2254" w:type="dxa"/>
            <w:tcBorders>
              <w:top w:val="single" w:sz="4" w:space="0" w:color="auto"/>
              <w:left w:val="single" w:sz="4" w:space="0" w:color="auto"/>
              <w:bottom w:val="single" w:sz="4" w:space="0" w:color="auto"/>
              <w:right w:val="single" w:sz="4" w:space="0" w:color="auto"/>
            </w:tcBorders>
            <w:hideMark/>
          </w:tcPr>
          <w:p w14:paraId="3EB0216D"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20,7</w:t>
            </w:r>
          </w:p>
        </w:tc>
      </w:tr>
    </w:tbl>
    <w:p w14:paraId="57649421" w14:textId="1A8AEEEC" w:rsidR="00F47DE8" w:rsidRPr="00DF060E" w:rsidRDefault="00F47DE8" w:rsidP="00330135">
      <w:r w:rsidRPr="00DF060E">
        <w:t xml:space="preserve">Les détails des calculs ayant </w:t>
      </w:r>
      <w:r>
        <w:t>abouti</w:t>
      </w:r>
      <w:r w:rsidRPr="00DF060E">
        <w:t xml:space="preserve"> aux résultats indiqués dans le Tableau 2 </w:t>
      </w:r>
      <w:r>
        <w:t>figurent</w:t>
      </w:r>
      <w:r w:rsidRPr="00DF060E">
        <w:t xml:space="preserve"> </w:t>
      </w:r>
      <w:r>
        <w:t>dans l'</w:t>
      </w:r>
      <w:r w:rsidRPr="00DF060E">
        <w:t>Annex</w:t>
      </w:r>
      <w:r>
        <w:t>e </w:t>
      </w:r>
      <w:r w:rsidRPr="00DF060E">
        <w:t>A.</w:t>
      </w:r>
    </w:p>
    <w:p w14:paraId="48938DF4" w14:textId="77777777" w:rsidR="00F47DE8" w:rsidRPr="00DF060E" w:rsidRDefault="00F47DE8" w:rsidP="00330135">
      <w:r>
        <w:t>Il est évident que</w:t>
      </w:r>
      <w:r w:rsidRPr="00DF060E">
        <w:t xml:space="preserve"> le</w:t>
      </w:r>
      <w:r>
        <w:t xml:space="preserve"> niveau des</w:t>
      </w:r>
      <w:r w:rsidRPr="00DF060E">
        <w:t xml:space="preserve"> brouillages causés par un </w:t>
      </w:r>
      <w:r>
        <w:t>groupe de stations de base</w:t>
      </w:r>
      <w:r w:rsidRPr="00DF060E">
        <w:t xml:space="preserve"> IMT </w:t>
      </w:r>
      <w:r>
        <w:t>dépasserait très largement la valeur du critère de protection</w:t>
      </w:r>
      <w:r w:rsidRPr="00DF060E">
        <w:t>. Le Tableau 3 ci-dessous présente un résumé des résultats des analyses de</w:t>
      </w:r>
      <w:r>
        <w:t xml:space="preserve"> brouillage</w:t>
      </w:r>
      <w:r w:rsidRPr="00DF060E">
        <w:t xml:space="preserve"> effectuées dans le cadre des études menées au titre de ce point de l'ordre du jour, </w:t>
      </w:r>
      <w:r>
        <w:t>en utilisant les paramètres et les hypothèses figurant dans la Recommandation UIT</w:t>
      </w:r>
      <w:r w:rsidRPr="00DF060E">
        <w:t xml:space="preserve">-R M.2101 </w:t>
      </w:r>
      <w:r>
        <w:t>et dans le Rapport</w:t>
      </w:r>
      <w:r w:rsidRPr="00DF060E">
        <w:t xml:space="preserve"> M.2292.</w:t>
      </w:r>
    </w:p>
    <w:p w14:paraId="5FB9ACEB" w14:textId="77777777" w:rsidR="00F47DE8" w:rsidRPr="00DF060E" w:rsidRDefault="00F47DE8" w:rsidP="00832389"/>
    <w:p w14:paraId="712BA70F" w14:textId="3287962D" w:rsidR="00F47DE8" w:rsidRPr="00DF060E" w:rsidRDefault="00F47DE8" w:rsidP="00330135">
      <w:pPr>
        <w:pStyle w:val="Tabletitle"/>
        <w:spacing w:after="240"/>
        <w:rPr>
          <w:rFonts w:ascii="Times New Roman" w:hAnsi="Times New Roman"/>
          <w:b w:val="0"/>
          <w:szCs w:val="24"/>
        </w:rPr>
      </w:pPr>
      <w:r w:rsidRPr="00DF060E">
        <w:t xml:space="preserve">Tableau 3: Brouillages causés par un groupe de stations de base IMT </w:t>
      </w:r>
      <w:r>
        <w:t>aux différents systèmes à satellites</w:t>
      </w:r>
    </w:p>
    <w:tbl>
      <w:tblPr>
        <w:tblStyle w:val="TableGrid"/>
        <w:tblW w:w="0" w:type="auto"/>
        <w:jc w:val="center"/>
        <w:tblLook w:val="04A0" w:firstRow="1" w:lastRow="0" w:firstColumn="1" w:lastColumn="0" w:noHBand="0" w:noVBand="1"/>
      </w:tblPr>
      <w:tblGrid>
        <w:gridCol w:w="2689"/>
        <w:gridCol w:w="1819"/>
        <w:gridCol w:w="2254"/>
      </w:tblGrid>
      <w:tr w:rsidR="00F47DE8" w:rsidRPr="002C67CB" w14:paraId="397BF9FB" w14:textId="77777777" w:rsidTr="00930582">
        <w:trPr>
          <w:jc w:val="center"/>
        </w:trPr>
        <w:tc>
          <w:tcPr>
            <w:tcW w:w="2689" w:type="dxa"/>
            <w:tcBorders>
              <w:top w:val="single" w:sz="4" w:space="0" w:color="auto"/>
              <w:left w:val="single" w:sz="4" w:space="0" w:color="auto"/>
              <w:bottom w:val="single" w:sz="4" w:space="0" w:color="auto"/>
              <w:right w:val="single" w:sz="4" w:space="0" w:color="auto"/>
            </w:tcBorders>
            <w:hideMark/>
          </w:tcPr>
          <w:p w14:paraId="32B4D5AC" w14:textId="77777777" w:rsidR="00F47DE8" w:rsidRPr="002C67CB" w:rsidRDefault="00F47DE8" w:rsidP="00330135">
            <w:pPr>
              <w:pStyle w:val="Tablehead"/>
            </w:pPr>
            <w:r w:rsidRPr="002C67CB">
              <w:t>Brouilleur</w:t>
            </w:r>
          </w:p>
        </w:tc>
        <w:tc>
          <w:tcPr>
            <w:tcW w:w="1819" w:type="dxa"/>
            <w:tcBorders>
              <w:top w:val="single" w:sz="4" w:space="0" w:color="auto"/>
              <w:left w:val="single" w:sz="4" w:space="0" w:color="auto"/>
              <w:bottom w:val="single" w:sz="4" w:space="0" w:color="auto"/>
              <w:right w:val="single" w:sz="4" w:space="0" w:color="auto"/>
            </w:tcBorders>
            <w:hideMark/>
          </w:tcPr>
          <w:p w14:paraId="5E75FEA0" w14:textId="77777777" w:rsidR="00F47DE8" w:rsidRPr="002C67CB" w:rsidRDefault="00F47DE8" w:rsidP="00330135">
            <w:pPr>
              <w:pStyle w:val="Tablehead"/>
            </w:pPr>
            <w:r w:rsidRPr="002C67CB">
              <w:t>Type de satellite</w:t>
            </w:r>
          </w:p>
        </w:tc>
        <w:tc>
          <w:tcPr>
            <w:tcW w:w="2254" w:type="dxa"/>
            <w:tcBorders>
              <w:top w:val="single" w:sz="4" w:space="0" w:color="auto"/>
              <w:left w:val="single" w:sz="4" w:space="0" w:color="auto"/>
              <w:bottom w:val="single" w:sz="4" w:space="0" w:color="auto"/>
              <w:right w:val="single" w:sz="4" w:space="0" w:color="auto"/>
            </w:tcBorders>
            <w:hideMark/>
          </w:tcPr>
          <w:p w14:paraId="6FB6237A" w14:textId="77777777" w:rsidR="00F47DE8" w:rsidRPr="002C67CB" w:rsidRDefault="00F47DE8" w:rsidP="00330135">
            <w:pPr>
              <w:pStyle w:val="Tablehead"/>
            </w:pPr>
            <w:r w:rsidRPr="002C67CB">
              <w:t>Niveau de dépassement (dB)</w:t>
            </w:r>
          </w:p>
        </w:tc>
      </w:tr>
      <w:tr w:rsidR="00F47DE8" w:rsidRPr="002C67CB" w14:paraId="4EECE3FE" w14:textId="77777777" w:rsidTr="00930582">
        <w:trP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431D2FF" w14:textId="77777777" w:rsidR="00F47DE8" w:rsidRPr="002C67CB" w:rsidRDefault="00F47DE8" w:rsidP="00330135">
            <w:pPr>
              <w:pStyle w:val="Tabletext"/>
            </w:pPr>
            <w:r w:rsidRPr="002C67CB">
              <w:t>Plusieurs stations de base IMT</w:t>
            </w:r>
          </w:p>
        </w:tc>
        <w:tc>
          <w:tcPr>
            <w:tcW w:w="1819" w:type="dxa"/>
            <w:tcBorders>
              <w:top w:val="single" w:sz="4" w:space="0" w:color="auto"/>
              <w:left w:val="single" w:sz="4" w:space="0" w:color="auto"/>
              <w:bottom w:val="single" w:sz="4" w:space="0" w:color="auto"/>
              <w:right w:val="single" w:sz="4" w:space="0" w:color="auto"/>
            </w:tcBorders>
            <w:hideMark/>
          </w:tcPr>
          <w:p w14:paraId="66785F0B" w14:textId="77777777" w:rsidR="00F47DE8" w:rsidRPr="002C67CB" w:rsidRDefault="00F47DE8" w:rsidP="00B63179">
            <w:pPr>
              <w:pStyle w:val="Tabletext"/>
              <w:jc w:val="center"/>
            </w:pPr>
            <w:r w:rsidRPr="002C67CB">
              <w:t>LEO</w:t>
            </w:r>
          </w:p>
        </w:tc>
        <w:tc>
          <w:tcPr>
            <w:tcW w:w="2254" w:type="dxa"/>
            <w:tcBorders>
              <w:top w:val="single" w:sz="4" w:space="0" w:color="auto"/>
              <w:left w:val="single" w:sz="4" w:space="0" w:color="auto"/>
              <w:bottom w:val="single" w:sz="4" w:space="0" w:color="auto"/>
              <w:right w:val="single" w:sz="4" w:space="0" w:color="auto"/>
            </w:tcBorders>
            <w:hideMark/>
          </w:tcPr>
          <w:p w14:paraId="32E3241B"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39,5</w:t>
            </w:r>
          </w:p>
        </w:tc>
      </w:tr>
      <w:tr w:rsidR="00F47DE8" w:rsidRPr="002C67CB" w14:paraId="046AC796" w14:textId="77777777" w:rsidTr="009305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36C59" w14:textId="77777777" w:rsidR="00F47DE8" w:rsidRPr="002C67CB" w:rsidRDefault="00F47DE8" w:rsidP="00330135">
            <w:pPr>
              <w:pStyle w:val="Tabletext"/>
            </w:pPr>
          </w:p>
        </w:tc>
        <w:tc>
          <w:tcPr>
            <w:tcW w:w="1819" w:type="dxa"/>
            <w:tcBorders>
              <w:top w:val="single" w:sz="4" w:space="0" w:color="auto"/>
              <w:left w:val="single" w:sz="4" w:space="0" w:color="auto"/>
              <w:bottom w:val="single" w:sz="4" w:space="0" w:color="auto"/>
              <w:right w:val="single" w:sz="4" w:space="0" w:color="auto"/>
            </w:tcBorders>
            <w:hideMark/>
          </w:tcPr>
          <w:p w14:paraId="459093CF" w14:textId="77777777" w:rsidR="00F47DE8" w:rsidRPr="002C67CB" w:rsidRDefault="00F47DE8" w:rsidP="00B63179">
            <w:pPr>
              <w:pStyle w:val="Tabletext"/>
              <w:jc w:val="center"/>
            </w:pPr>
            <w:r w:rsidRPr="002C67CB">
              <w:t>MEO</w:t>
            </w:r>
          </w:p>
        </w:tc>
        <w:tc>
          <w:tcPr>
            <w:tcW w:w="2254" w:type="dxa"/>
            <w:tcBorders>
              <w:top w:val="single" w:sz="4" w:space="0" w:color="auto"/>
              <w:left w:val="single" w:sz="4" w:space="0" w:color="auto"/>
              <w:bottom w:val="single" w:sz="4" w:space="0" w:color="auto"/>
              <w:right w:val="single" w:sz="4" w:space="0" w:color="auto"/>
            </w:tcBorders>
            <w:hideMark/>
          </w:tcPr>
          <w:p w14:paraId="5683413E"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37,2</w:t>
            </w:r>
          </w:p>
        </w:tc>
      </w:tr>
      <w:tr w:rsidR="00F47DE8" w:rsidRPr="002C67CB" w14:paraId="678E6A53" w14:textId="77777777" w:rsidTr="009305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773BA" w14:textId="77777777" w:rsidR="00F47DE8" w:rsidRPr="002C67CB" w:rsidRDefault="00F47DE8" w:rsidP="00330135">
            <w:pPr>
              <w:pStyle w:val="Tabletext"/>
            </w:pPr>
          </w:p>
        </w:tc>
        <w:tc>
          <w:tcPr>
            <w:tcW w:w="1819" w:type="dxa"/>
            <w:tcBorders>
              <w:top w:val="single" w:sz="4" w:space="0" w:color="auto"/>
              <w:left w:val="single" w:sz="4" w:space="0" w:color="auto"/>
              <w:bottom w:val="single" w:sz="4" w:space="0" w:color="auto"/>
              <w:right w:val="single" w:sz="4" w:space="0" w:color="auto"/>
            </w:tcBorders>
            <w:hideMark/>
          </w:tcPr>
          <w:p w14:paraId="749F5CD1" w14:textId="77777777" w:rsidR="00F47DE8" w:rsidRPr="002C67CB" w:rsidRDefault="00F47DE8" w:rsidP="00B63179">
            <w:pPr>
              <w:pStyle w:val="Tabletext"/>
              <w:jc w:val="center"/>
            </w:pPr>
            <w:r w:rsidRPr="002C67CB">
              <w:t>HEO</w:t>
            </w:r>
          </w:p>
        </w:tc>
        <w:tc>
          <w:tcPr>
            <w:tcW w:w="2254" w:type="dxa"/>
            <w:tcBorders>
              <w:top w:val="single" w:sz="4" w:space="0" w:color="auto"/>
              <w:left w:val="single" w:sz="4" w:space="0" w:color="auto"/>
              <w:bottom w:val="single" w:sz="4" w:space="0" w:color="auto"/>
              <w:right w:val="single" w:sz="4" w:space="0" w:color="auto"/>
            </w:tcBorders>
            <w:hideMark/>
          </w:tcPr>
          <w:p w14:paraId="20B8AB40"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48,0</w:t>
            </w:r>
          </w:p>
        </w:tc>
      </w:tr>
      <w:tr w:rsidR="00F47DE8" w:rsidRPr="002C67CB" w14:paraId="31693081" w14:textId="77777777" w:rsidTr="009305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1D535" w14:textId="77777777" w:rsidR="00F47DE8" w:rsidRPr="002C67CB" w:rsidRDefault="00F47DE8" w:rsidP="00330135">
            <w:pPr>
              <w:pStyle w:val="Tabletext"/>
            </w:pPr>
          </w:p>
        </w:tc>
        <w:tc>
          <w:tcPr>
            <w:tcW w:w="1819" w:type="dxa"/>
            <w:tcBorders>
              <w:top w:val="single" w:sz="4" w:space="0" w:color="auto"/>
              <w:left w:val="single" w:sz="4" w:space="0" w:color="auto"/>
              <w:bottom w:val="single" w:sz="4" w:space="0" w:color="auto"/>
              <w:right w:val="single" w:sz="4" w:space="0" w:color="auto"/>
            </w:tcBorders>
            <w:hideMark/>
          </w:tcPr>
          <w:p w14:paraId="3EAD310A" w14:textId="77777777" w:rsidR="00F47DE8" w:rsidRPr="002C67CB" w:rsidRDefault="00F47DE8" w:rsidP="00B63179">
            <w:pPr>
              <w:pStyle w:val="Tabletext"/>
              <w:jc w:val="center"/>
            </w:pPr>
            <w:r w:rsidRPr="002C67CB">
              <w:t>GEO</w:t>
            </w:r>
          </w:p>
        </w:tc>
        <w:tc>
          <w:tcPr>
            <w:tcW w:w="2254" w:type="dxa"/>
            <w:tcBorders>
              <w:top w:val="single" w:sz="4" w:space="0" w:color="auto"/>
              <w:left w:val="single" w:sz="4" w:space="0" w:color="auto"/>
              <w:bottom w:val="single" w:sz="4" w:space="0" w:color="auto"/>
              <w:right w:val="single" w:sz="4" w:space="0" w:color="auto"/>
            </w:tcBorders>
            <w:hideMark/>
          </w:tcPr>
          <w:p w14:paraId="153F1DDC"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52,2</w:t>
            </w:r>
          </w:p>
        </w:tc>
      </w:tr>
    </w:tbl>
    <w:p w14:paraId="4ABCA70C" w14:textId="1D31825F" w:rsidR="00F47DE8" w:rsidRPr="008A22D2" w:rsidRDefault="00F47DE8" w:rsidP="00330135">
      <w:r>
        <w:t>A</w:t>
      </w:r>
      <w:r w:rsidRPr="008A22D2">
        <w:t xml:space="preserve">ucune mesure </w:t>
      </w:r>
      <w:r>
        <w:t>efficace permettant</w:t>
      </w:r>
      <w:r w:rsidRPr="008A22D2">
        <w:t xml:space="preserve"> de supprimer les brouillages </w:t>
      </w:r>
      <w:r>
        <w:t>par l'intermédiaire de</w:t>
      </w:r>
      <w:r w:rsidRPr="008A22D2">
        <w:t xml:space="preserve"> la coordination n'a été identi</w:t>
      </w:r>
      <w:r>
        <w:t>fiée</w:t>
      </w:r>
      <w:r w:rsidRPr="008A22D2">
        <w:t xml:space="preserve"> </w:t>
      </w:r>
      <w:r>
        <w:t>p</w:t>
      </w:r>
      <w:r w:rsidRPr="008A22D2">
        <w:t xml:space="preserve">our </w:t>
      </w:r>
      <w:r>
        <w:t xml:space="preserve">faire face à </w:t>
      </w:r>
      <w:r w:rsidRPr="008A22D2">
        <w:t xml:space="preserve">des niveaux </w:t>
      </w:r>
      <w:r>
        <w:t xml:space="preserve">aussi élevés </w:t>
      </w:r>
      <w:r w:rsidRPr="008A22D2">
        <w:t>de dépassement de</w:t>
      </w:r>
      <w:r>
        <w:t>s</w:t>
      </w:r>
      <w:r w:rsidRPr="008A22D2">
        <w:t xml:space="preserve"> critères de protection des systèmes du SMS. </w:t>
      </w:r>
      <w:r>
        <w:t>Des brouillages excessifs peuvent se produire lorsque les pays utilisant des systèmes IMT de Terre et des systèmes IMT à satellites partagent une frontière, et aussi lorsque des milliers de kilomètres les séparent</w:t>
      </w:r>
      <w:r w:rsidRPr="008A22D2">
        <w:t>.</w:t>
      </w:r>
    </w:p>
    <w:p w14:paraId="426160C9" w14:textId="3C9E97AE" w:rsidR="00F47DE8" w:rsidRPr="008A22D2" w:rsidRDefault="00F47DE8" w:rsidP="00330135">
      <w:r>
        <w:t xml:space="preserve">Il est apparu que les brouillages causés au SMS par un groupe d'équipements d'utilisateur </w:t>
      </w:r>
      <w:r w:rsidRPr="008A22D2">
        <w:t>(</w:t>
      </w:r>
      <w:r>
        <w:t>p.i.r.e. maximale de</w:t>
      </w:r>
      <w:r w:rsidRPr="008A22D2">
        <w:t xml:space="preserve"> 20 dBm/5</w:t>
      </w:r>
      <w:r w:rsidR="00330135">
        <w:t> </w:t>
      </w:r>
      <w:r w:rsidRPr="008A22D2">
        <w:t>MHz</w:t>
      </w:r>
      <w:r>
        <w:t xml:space="preserve"> pour un équipement d'utilisateur</w:t>
      </w:r>
      <w:r w:rsidRPr="008A22D2">
        <w:t>)</w:t>
      </w:r>
      <w:r>
        <w:t xml:space="preserve"> étaient</w:t>
      </w:r>
      <w:r w:rsidRPr="008A22D2">
        <w:t xml:space="preserve"> </w:t>
      </w:r>
      <w:r>
        <w:t>anodins</w:t>
      </w:r>
      <w:r w:rsidRPr="008A22D2">
        <w:t>.</w:t>
      </w:r>
    </w:p>
    <w:p w14:paraId="7A72FE2C" w14:textId="77777777" w:rsidR="00F47DE8" w:rsidRPr="00DC08C1" w:rsidRDefault="00F47DE8" w:rsidP="00C10236">
      <w:pPr>
        <w:pStyle w:val="Heading1"/>
        <w:rPr>
          <w:rFonts w:eastAsiaTheme="minorEastAsia"/>
        </w:rPr>
      </w:pPr>
      <w:r w:rsidRPr="00DC08C1">
        <w:rPr>
          <w:rFonts w:eastAsiaTheme="minorEastAsia"/>
        </w:rPr>
        <w:t>3.</w:t>
      </w:r>
      <w:r w:rsidRPr="00DC08C1">
        <w:rPr>
          <w:rFonts w:eastAsiaTheme="minorEastAsia"/>
        </w:rPr>
        <w:tab/>
        <w:t>Des cas effectifs de brouillage</w:t>
      </w:r>
      <w:r>
        <w:rPr>
          <w:rFonts w:eastAsiaTheme="minorEastAsia"/>
        </w:rPr>
        <w:t>s</w:t>
      </w:r>
      <w:r w:rsidRPr="00DC08C1">
        <w:rPr>
          <w:rFonts w:eastAsiaTheme="minorEastAsia"/>
        </w:rPr>
        <w:t xml:space="preserve"> </w:t>
      </w:r>
      <w:r>
        <w:rPr>
          <w:rFonts w:eastAsiaTheme="minorEastAsia"/>
        </w:rPr>
        <w:t xml:space="preserve">démontrent que </w:t>
      </w:r>
      <w:r w:rsidRPr="00DC08C1">
        <w:rPr>
          <w:rFonts w:eastAsiaTheme="minorEastAsia"/>
        </w:rPr>
        <w:t xml:space="preserve">les stations de base </w:t>
      </w:r>
      <w:r>
        <w:rPr>
          <w:rFonts w:eastAsiaTheme="minorEastAsia"/>
        </w:rPr>
        <w:t>IMT produisent bien des brouillages</w:t>
      </w:r>
    </w:p>
    <w:p w14:paraId="64021B15" w14:textId="5F53C783" w:rsidR="00F47DE8" w:rsidRPr="00DC08C1" w:rsidRDefault="00F47DE8" w:rsidP="00330135">
      <w:r>
        <w:t>Les brouillages</w:t>
      </w:r>
      <w:r w:rsidRPr="00DC08C1">
        <w:t xml:space="preserve"> ont été </w:t>
      </w:r>
      <w:r>
        <w:t>mesurés</w:t>
      </w:r>
      <w:r w:rsidRPr="00DC08C1">
        <w:t xml:space="preserve"> par un opérateur du SMS </w:t>
      </w:r>
      <w:r>
        <w:t xml:space="preserve">en </w:t>
      </w:r>
      <w:r w:rsidRPr="00DC08C1">
        <w:t xml:space="preserve">utilisant </w:t>
      </w:r>
      <w:r>
        <w:t xml:space="preserve">un satellite MEO en orbite fonctionnant dans la bande des </w:t>
      </w:r>
      <w:r w:rsidRPr="00DC08C1">
        <w:t>2</w:t>
      </w:r>
      <w:r w:rsidR="00C10236">
        <w:t> </w:t>
      </w:r>
      <w:r w:rsidRPr="00DC08C1">
        <w:t xml:space="preserve">GHz </w:t>
      </w:r>
      <w:r>
        <w:t>du SMS</w:t>
      </w:r>
      <w:r w:rsidRPr="00DC08C1">
        <w:t xml:space="preserve">. </w:t>
      </w:r>
      <w:r>
        <w:t>Les niveaux de brouillage mesurés sont indiqués dans le Tableau 4</w:t>
      </w:r>
      <w:r w:rsidRPr="00DC08C1">
        <w:t>.</w:t>
      </w:r>
    </w:p>
    <w:p w14:paraId="0DA8865B" w14:textId="67A97D39" w:rsidR="00F47DE8" w:rsidRPr="00DC08C1" w:rsidRDefault="00F47DE8" w:rsidP="00330135">
      <w:pPr>
        <w:pStyle w:val="Tabletitle"/>
        <w:rPr>
          <w:rFonts w:ascii="Times New Roman" w:hAnsi="Times New Roman"/>
          <w:b w:val="0"/>
          <w:szCs w:val="24"/>
        </w:rPr>
      </w:pPr>
      <w:r w:rsidRPr="00DC08C1">
        <w:lastRenderedPageBreak/>
        <w:t xml:space="preserve">Tableau 4: </w:t>
      </w:r>
      <w:r>
        <w:t>Niveaux de brouillage mesurés par un satellite MEO opérationnel</w:t>
      </w:r>
    </w:p>
    <w:tbl>
      <w:tblPr>
        <w:tblStyle w:val="TableGrid"/>
        <w:tblW w:w="0" w:type="auto"/>
        <w:jc w:val="center"/>
        <w:tblLook w:val="04A0" w:firstRow="1" w:lastRow="0" w:firstColumn="1" w:lastColumn="0" w:noHBand="0" w:noVBand="1"/>
      </w:tblPr>
      <w:tblGrid>
        <w:gridCol w:w="2547"/>
        <w:gridCol w:w="2835"/>
        <w:gridCol w:w="2273"/>
      </w:tblGrid>
      <w:tr w:rsidR="00F47DE8" w:rsidRPr="002C67CB" w14:paraId="7BA1532E" w14:textId="77777777" w:rsidTr="00551ED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5371399" w14:textId="77777777" w:rsidR="00F47DE8" w:rsidRPr="002C67CB" w:rsidRDefault="00F47DE8" w:rsidP="00330135">
            <w:pPr>
              <w:pStyle w:val="Tablehead"/>
            </w:pPr>
            <w:r w:rsidRPr="002C67CB">
              <w:t>Localisation du faisceau étroit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F79372" w14:textId="77777777" w:rsidR="00F47DE8" w:rsidRPr="002C67CB" w:rsidRDefault="00F47DE8" w:rsidP="00330135">
            <w:pPr>
              <w:pStyle w:val="Tablehead"/>
            </w:pPr>
            <w:r w:rsidRPr="002C67CB">
              <w:t>Distance par rapport à la zone de déploiement des IMT (km)</w:t>
            </w:r>
          </w:p>
        </w:tc>
        <w:tc>
          <w:tcPr>
            <w:tcW w:w="2273" w:type="dxa"/>
            <w:tcBorders>
              <w:top w:val="single" w:sz="4" w:space="0" w:color="auto"/>
              <w:left w:val="single" w:sz="4" w:space="0" w:color="auto"/>
              <w:bottom w:val="single" w:sz="4" w:space="0" w:color="auto"/>
              <w:right w:val="single" w:sz="4" w:space="0" w:color="auto"/>
            </w:tcBorders>
            <w:vAlign w:val="center"/>
            <w:hideMark/>
          </w:tcPr>
          <w:p w14:paraId="40E06577" w14:textId="77777777" w:rsidR="00F47DE8" w:rsidRPr="002C67CB" w:rsidRDefault="00F47DE8" w:rsidP="00330135">
            <w:pPr>
              <w:pStyle w:val="Tablehead"/>
            </w:pPr>
            <w:r w:rsidRPr="002C67CB">
              <w:t>Niveau de dépassement (dB)</w:t>
            </w:r>
          </w:p>
        </w:tc>
      </w:tr>
      <w:tr w:rsidR="00F47DE8" w:rsidRPr="002C67CB" w14:paraId="2079FBA8" w14:textId="77777777" w:rsidTr="00551ED8">
        <w:trPr>
          <w:jc w:val="center"/>
        </w:trPr>
        <w:tc>
          <w:tcPr>
            <w:tcW w:w="2547" w:type="dxa"/>
            <w:tcBorders>
              <w:top w:val="single" w:sz="4" w:space="0" w:color="auto"/>
              <w:left w:val="single" w:sz="4" w:space="0" w:color="auto"/>
              <w:bottom w:val="single" w:sz="4" w:space="0" w:color="auto"/>
              <w:right w:val="single" w:sz="4" w:space="0" w:color="auto"/>
            </w:tcBorders>
            <w:hideMark/>
          </w:tcPr>
          <w:p w14:paraId="7700FA74" w14:textId="77777777" w:rsidR="00F47DE8" w:rsidRPr="002C67CB" w:rsidRDefault="00F47DE8" w:rsidP="00330135">
            <w:pPr>
              <w:pStyle w:val="Tabletext"/>
            </w:pPr>
            <w:r w:rsidRPr="002C67CB">
              <w:t>Mexique</w:t>
            </w:r>
          </w:p>
        </w:tc>
        <w:tc>
          <w:tcPr>
            <w:tcW w:w="2835" w:type="dxa"/>
            <w:tcBorders>
              <w:top w:val="single" w:sz="4" w:space="0" w:color="auto"/>
              <w:left w:val="single" w:sz="4" w:space="0" w:color="auto"/>
              <w:bottom w:val="single" w:sz="4" w:space="0" w:color="auto"/>
              <w:right w:val="single" w:sz="4" w:space="0" w:color="auto"/>
            </w:tcBorders>
            <w:hideMark/>
          </w:tcPr>
          <w:p w14:paraId="7B951FF6"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44"/>
              </w:tabs>
            </w:pPr>
            <w:r w:rsidRPr="002C67CB">
              <w:t>200 km</w:t>
            </w:r>
          </w:p>
        </w:tc>
        <w:tc>
          <w:tcPr>
            <w:tcW w:w="2273" w:type="dxa"/>
            <w:tcBorders>
              <w:top w:val="single" w:sz="4" w:space="0" w:color="auto"/>
              <w:left w:val="single" w:sz="4" w:space="0" w:color="auto"/>
              <w:bottom w:val="single" w:sz="4" w:space="0" w:color="auto"/>
              <w:right w:val="single" w:sz="4" w:space="0" w:color="auto"/>
            </w:tcBorders>
            <w:hideMark/>
          </w:tcPr>
          <w:p w14:paraId="22F808E5"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36,0</w:t>
            </w:r>
          </w:p>
        </w:tc>
      </w:tr>
      <w:tr w:rsidR="00F47DE8" w:rsidRPr="002C67CB" w14:paraId="529FAC2E" w14:textId="77777777" w:rsidTr="00551ED8">
        <w:trPr>
          <w:jc w:val="center"/>
        </w:trPr>
        <w:tc>
          <w:tcPr>
            <w:tcW w:w="2547" w:type="dxa"/>
            <w:tcBorders>
              <w:top w:val="single" w:sz="4" w:space="0" w:color="auto"/>
              <w:left w:val="single" w:sz="4" w:space="0" w:color="auto"/>
              <w:bottom w:val="single" w:sz="4" w:space="0" w:color="auto"/>
              <w:right w:val="single" w:sz="4" w:space="0" w:color="auto"/>
            </w:tcBorders>
            <w:hideMark/>
          </w:tcPr>
          <w:p w14:paraId="02B813EF" w14:textId="77777777" w:rsidR="00F47DE8" w:rsidRPr="002C67CB" w:rsidRDefault="00F47DE8" w:rsidP="00330135">
            <w:pPr>
              <w:pStyle w:val="Tabletext"/>
            </w:pPr>
            <w:r w:rsidRPr="002C67CB">
              <w:t>Afrique de l'Ouest</w:t>
            </w:r>
          </w:p>
        </w:tc>
        <w:tc>
          <w:tcPr>
            <w:tcW w:w="2835" w:type="dxa"/>
            <w:tcBorders>
              <w:top w:val="single" w:sz="4" w:space="0" w:color="auto"/>
              <w:left w:val="single" w:sz="4" w:space="0" w:color="auto"/>
              <w:bottom w:val="single" w:sz="4" w:space="0" w:color="auto"/>
              <w:right w:val="single" w:sz="4" w:space="0" w:color="auto"/>
            </w:tcBorders>
            <w:hideMark/>
          </w:tcPr>
          <w:p w14:paraId="6AE15844"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44"/>
              </w:tabs>
            </w:pPr>
            <w:r w:rsidRPr="002C67CB">
              <w:t xml:space="preserve">6 000 km </w:t>
            </w:r>
          </w:p>
        </w:tc>
        <w:tc>
          <w:tcPr>
            <w:tcW w:w="2273" w:type="dxa"/>
            <w:tcBorders>
              <w:top w:val="single" w:sz="4" w:space="0" w:color="auto"/>
              <w:left w:val="single" w:sz="4" w:space="0" w:color="auto"/>
              <w:bottom w:val="single" w:sz="4" w:space="0" w:color="auto"/>
              <w:right w:val="single" w:sz="4" w:space="0" w:color="auto"/>
            </w:tcBorders>
            <w:hideMark/>
          </w:tcPr>
          <w:p w14:paraId="62041B7E"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20,7</w:t>
            </w:r>
          </w:p>
        </w:tc>
      </w:tr>
      <w:tr w:rsidR="00F47DE8" w:rsidRPr="002C67CB" w14:paraId="38F2892F" w14:textId="77777777" w:rsidTr="00551ED8">
        <w:trPr>
          <w:jc w:val="center"/>
        </w:trPr>
        <w:tc>
          <w:tcPr>
            <w:tcW w:w="2547" w:type="dxa"/>
            <w:tcBorders>
              <w:top w:val="single" w:sz="4" w:space="0" w:color="auto"/>
              <w:left w:val="single" w:sz="4" w:space="0" w:color="auto"/>
              <w:bottom w:val="single" w:sz="4" w:space="0" w:color="auto"/>
              <w:right w:val="single" w:sz="4" w:space="0" w:color="auto"/>
            </w:tcBorders>
            <w:hideMark/>
          </w:tcPr>
          <w:p w14:paraId="529D40C5" w14:textId="77777777" w:rsidR="00F47DE8" w:rsidRPr="002C67CB" w:rsidRDefault="00F47DE8" w:rsidP="00330135">
            <w:pPr>
              <w:pStyle w:val="Tabletext"/>
            </w:pPr>
            <w:r w:rsidRPr="002C67CB">
              <w:t>Royaume-Uni</w:t>
            </w:r>
          </w:p>
        </w:tc>
        <w:tc>
          <w:tcPr>
            <w:tcW w:w="2835" w:type="dxa"/>
            <w:tcBorders>
              <w:top w:val="single" w:sz="4" w:space="0" w:color="auto"/>
              <w:left w:val="single" w:sz="4" w:space="0" w:color="auto"/>
              <w:bottom w:val="single" w:sz="4" w:space="0" w:color="auto"/>
              <w:right w:val="single" w:sz="4" w:space="0" w:color="auto"/>
            </w:tcBorders>
            <w:hideMark/>
          </w:tcPr>
          <w:p w14:paraId="75CA9A28"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44"/>
              </w:tabs>
            </w:pPr>
            <w:r w:rsidRPr="002C67CB">
              <w:t>5 000 km</w:t>
            </w:r>
          </w:p>
        </w:tc>
        <w:tc>
          <w:tcPr>
            <w:tcW w:w="2273" w:type="dxa"/>
            <w:tcBorders>
              <w:top w:val="single" w:sz="4" w:space="0" w:color="auto"/>
              <w:left w:val="single" w:sz="4" w:space="0" w:color="auto"/>
              <w:bottom w:val="single" w:sz="4" w:space="0" w:color="auto"/>
              <w:right w:val="single" w:sz="4" w:space="0" w:color="auto"/>
            </w:tcBorders>
            <w:hideMark/>
          </w:tcPr>
          <w:p w14:paraId="7888F381"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23,6</w:t>
            </w:r>
          </w:p>
        </w:tc>
      </w:tr>
      <w:tr w:rsidR="00F47DE8" w:rsidRPr="002C67CB" w14:paraId="5AC8DECB" w14:textId="77777777" w:rsidTr="00551ED8">
        <w:trPr>
          <w:jc w:val="center"/>
        </w:trPr>
        <w:tc>
          <w:tcPr>
            <w:tcW w:w="2547" w:type="dxa"/>
            <w:tcBorders>
              <w:top w:val="single" w:sz="4" w:space="0" w:color="auto"/>
              <w:left w:val="single" w:sz="4" w:space="0" w:color="auto"/>
              <w:bottom w:val="single" w:sz="4" w:space="0" w:color="auto"/>
              <w:right w:val="single" w:sz="4" w:space="0" w:color="auto"/>
            </w:tcBorders>
            <w:hideMark/>
          </w:tcPr>
          <w:p w14:paraId="4B85AA83" w14:textId="77777777" w:rsidR="00F47DE8" w:rsidRPr="002C67CB" w:rsidRDefault="00F47DE8" w:rsidP="00330135">
            <w:pPr>
              <w:pStyle w:val="Tabletext"/>
            </w:pPr>
            <w:r w:rsidRPr="002C67CB">
              <w:t>Papouasie-Nouvelle-Guinée</w:t>
            </w:r>
          </w:p>
        </w:tc>
        <w:tc>
          <w:tcPr>
            <w:tcW w:w="2835" w:type="dxa"/>
            <w:tcBorders>
              <w:top w:val="single" w:sz="4" w:space="0" w:color="auto"/>
              <w:left w:val="single" w:sz="4" w:space="0" w:color="auto"/>
              <w:bottom w:val="single" w:sz="4" w:space="0" w:color="auto"/>
              <w:right w:val="single" w:sz="4" w:space="0" w:color="auto"/>
            </w:tcBorders>
            <w:hideMark/>
          </w:tcPr>
          <w:p w14:paraId="61EB46A5"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44"/>
              </w:tabs>
            </w:pPr>
            <w:r w:rsidRPr="002C67CB">
              <w:t>10 000 km</w:t>
            </w:r>
          </w:p>
        </w:tc>
        <w:tc>
          <w:tcPr>
            <w:tcW w:w="2273" w:type="dxa"/>
            <w:tcBorders>
              <w:top w:val="single" w:sz="4" w:space="0" w:color="auto"/>
              <w:left w:val="single" w:sz="4" w:space="0" w:color="auto"/>
              <w:bottom w:val="single" w:sz="4" w:space="0" w:color="auto"/>
              <w:right w:val="single" w:sz="4" w:space="0" w:color="auto"/>
            </w:tcBorders>
            <w:hideMark/>
          </w:tcPr>
          <w:p w14:paraId="1A0206BA" w14:textId="77777777" w:rsidR="00F47DE8" w:rsidRPr="002C67CB" w:rsidRDefault="00F47DE8" w:rsidP="00551E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55"/>
              </w:tabs>
            </w:pPr>
            <w:r w:rsidRPr="002C67CB">
              <w:t>26,7</w:t>
            </w:r>
          </w:p>
        </w:tc>
      </w:tr>
    </w:tbl>
    <w:p w14:paraId="3D26C155" w14:textId="2E880341" w:rsidR="00F47DE8" w:rsidRPr="0050099F" w:rsidRDefault="00F47DE8" w:rsidP="00330135">
      <w:r w:rsidRPr="005D15B8">
        <w:t xml:space="preserve">Comme indiqué dans le Tableau </w:t>
      </w:r>
      <w:r>
        <w:t xml:space="preserve">4 </w:t>
      </w:r>
      <w:r w:rsidRPr="005D15B8">
        <w:t xml:space="preserve">ci-dessus, </w:t>
      </w:r>
      <w:r>
        <w:t xml:space="preserve">avec des faisceaux étroits échantillonnés qui couvrent ensemble une grande partie de la surface de la Terre, </w:t>
      </w:r>
      <w:r w:rsidRPr="005D15B8">
        <w:t xml:space="preserve">le niveau des brouillages cumulatifs causés par un déploiement </w:t>
      </w:r>
      <w:r>
        <w:t>effectif de systèmes</w:t>
      </w:r>
      <w:r w:rsidRPr="005D15B8">
        <w:t xml:space="preserve"> IMT </w:t>
      </w:r>
      <w:r>
        <w:t xml:space="preserve">de Terre </w:t>
      </w:r>
      <w:r w:rsidRPr="005D15B8">
        <w:t xml:space="preserve">dépasse la valeur du critère de protection </w:t>
      </w:r>
      <w:r>
        <w:t>d'un satellite IMT opérationnel</w:t>
      </w:r>
      <w:r w:rsidRPr="005D15B8">
        <w:t xml:space="preserve"> </w:t>
      </w:r>
      <w:r>
        <w:t>de plusieurs ordres de grandeur</w:t>
      </w:r>
      <w:r w:rsidRPr="005D15B8">
        <w:t xml:space="preserve">. </w:t>
      </w:r>
      <w:r>
        <w:t xml:space="preserve">Des données supplémentaires sur les mesures de spectre </w:t>
      </w:r>
      <w:r w:rsidRPr="0050099F">
        <w:t>figurent dans l'Annexe B.</w:t>
      </w:r>
    </w:p>
    <w:p w14:paraId="12D3BAFD" w14:textId="056E57F3" w:rsidR="00F47DE8" w:rsidRPr="00F91558" w:rsidRDefault="00F47DE8" w:rsidP="00330135">
      <w:r w:rsidRPr="00F91558">
        <w:t>Dans un cas distinct, des brouillages causés à un satellite du SMS notifié du Royaume-Uni fonctionnant dans la bande 1 980</w:t>
      </w:r>
      <w:r w:rsidR="00C10236">
        <w:noBreakHyphen/>
      </w:r>
      <w:r w:rsidRPr="00F91558">
        <w:t>2 010</w:t>
      </w:r>
      <w:r w:rsidR="00C10236">
        <w:t> </w:t>
      </w:r>
      <w:r w:rsidRPr="00F91558">
        <w:t xml:space="preserve">MHz </w:t>
      </w:r>
      <w:r>
        <w:t>ont été signalés au Bureau de l'UIT</w:t>
      </w:r>
      <w:r w:rsidRPr="00F91558">
        <w:t xml:space="preserve"> </w:t>
      </w:r>
      <w:r>
        <w:t>conformément aux procédures établies à l'</w:t>
      </w:r>
      <w:r w:rsidRPr="00F91558">
        <w:t xml:space="preserve">Article 15 </w:t>
      </w:r>
      <w:r>
        <w:t>du RR</w:t>
      </w:r>
      <w:r w:rsidRPr="00F91558">
        <w:t>.</w:t>
      </w:r>
    </w:p>
    <w:p w14:paraId="60B19FBC" w14:textId="77777777" w:rsidR="00F47DE8" w:rsidRPr="00A02C16" w:rsidRDefault="00F47DE8" w:rsidP="00C10236">
      <w:pPr>
        <w:pStyle w:val="Heading1"/>
        <w:rPr>
          <w:rFonts w:eastAsiaTheme="minorEastAsia"/>
        </w:rPr>
      </w:pPr>
      <w:r w:rsidRPr="00A02C16">
        <w:rPr>
          <w:rFonts w:eastAsiaTheme="minorEastAsia"/>
        </w:rPr>
        <w:t>4.</w:t>
      </w:r>
      <w:r w:rsidRPr="00A02C16">
        <w:rPr>
          <w:rFonts w:eastAsiaTheme="minorEastAsia"/>
        </w:rPr>
        <w:tab/>
        <w:t xml:space="preserve">Mesures envisageables permettant d'assurer la coexistence </w:t>
      </w:r>
      <w:r>
        <w:rPr>
          <w:rFonts w:eastAsiaTheme="minorEastAsia"/>
        </w:rPr>
        <w:t xml:space="preserve">entre les stations de base </w:t>
      </w:r>
      <w:r w:rsidRPr="00A02C16">
        <w:rPr>
          <w:rFonts w:eastAsiaTheme="minorEastAsia"/>
        </w:rPr>
        <w:t xml:space="preserve">IMT </w:t>
      </w:r>
      <w:r>
        <w:rPr>
          <w:rFonts w:eastAsiaTheme="minorEastAsia"/>
        </w:rPr>
        <w:t>et les</w:t>
      </w:r>
      <w:r w:rsidRPr="00A02C16">
        <w:rPr>
          <w:rFonts w:eastAsiaTheme="minorEastAsia"/>
        </w:rPr>
        <w:t xml:space="preserve"> satellites</w:t>
      </w:r>
      <w:r>
        <w:rPr>
          <w:rFonts w:eastAsiaTheme="minorEastAsia"/>
        </w:rPr>
        <w:t xml:space="preserve"> IMT</w:t>
      </w:r>
    </w:p>
    <w:p w14:paraId="426AAAB6" w14:textId="55834EF9" w:rsidR="00F47DE8" w:rsidRPr="00844885" w:rsidRDefault="00F47DE8" w:rsidP="00C10236">
      <w:pPr>
        <w:rPr>
          <w:szCs w:val="24"/>
        </w:rPr>
      </w:pPr>
      <w:r>
        <w:rPr>
          <w:szCs w:val="24"/>
        </w:rPr>
        <w:t xml:space="preserve">Pour </w:t>
      </w:r>
      <w:r w:rsidRPr="00844885">
        <w:rPr>
          <w:szCs w:val="24"/>
        </w:rPr>
        <w:t xml:space="preserve">assurer la coexistence entre les stations de base </w:t>
      </w:r>
      <w:r>
        <w:rPr>
          <w:szCs w:val="24"/>
        </w:rPr>
        <w:t>IMT et les satellites</w:t>
      </w:r>
      <w:r w:rsidRPr="00844885">
        <w:rPr>
          <w:szCs w:val="24"/>
        </w:rPr>
        <w:t xml:space="preserve"> IMT</w:t>
      </w:r>
      <w:r>
        <w:rPr>
          <w:szCs w:val="24"/>
        </w:rPr>
        <w:t>, il est proposé</w:t>
      </w:r>
      <w:r w:rsidRPr="00844885">
        <w:rPr>
          <w:szCs w:val="24"/>
        </w:rPr>
        <w:t xml:space="preserve"> </w:t>
      </w:r>
      <w:r>
        <w:rPr>
          <w:szCs w:val="24"/>
        </w:rPr>
        <w:t>de fixer</w:t>
      </w:r>
      <w:r w:rsidRPr="00844885">
        <w:rPr>
          <w:szCs w:val="24"/>
        </w:rPr>
        <w:t xml:space="preserve"> </w:t>
      </w:r>
      <w:r>
        <w:rPr>
          <w:szCs w:val="24"/>
        </w:rPr>
        <w:t>une</w:t>
      </w:r>
      <w:r w:rsidRPr="00844885">
        <w:rPr>
          <w:szCs w:val="24"/>
        </w:rPr>
        <w:t xml:space="preserve"> </w:t>
      </w:r>
      <w:r>
        <w:rPr>
          <w:szCs w:val="24"/>
        </w:rPr>
        <w:t>limite de p.i.r.e</w:t>
      </w:r>
      <w:r w:rsidRPr="00844885">
        <w:rPr>
          <w:szCs w:val="24"/>
        </w:rPr>
        <w:t xml:space="preserve"> </w:t>
      </w:r>
      <w:r>
        <w:rPr>
          <w:szCs w:val="24"/>
        </w:rPr>
        <w:t>pour les</w:t>
      </w:r>
      <w:r w:rsidRPr="00844885">
        <w:rPr>
          <w:szCs w:val="24"/>
        </w:rPr>
        <w:t xml:space="preserve"> </w:t>
      </w:r>
      <w:r>
        <w:rPr>
          <w:szCs w:val="24"/>
        </w:rPr>
        <w:t>stations de base mobiles</w:t>
      </w:r>
      <w:r w:rsidRPr="00844885">
        <w:rPr>
          <w:szCs w:val="24"/>
        </w:rPr>
        <w:t xml:space="preserve"> </w:t>
      </w:r>
      <w:r>
        <w:rPr>
          <w:szCs w:val="24"/>
        </w:rPr>
        <w:t>fonctionnant dans la bande 1 980</w:t>
      </w:r>
      <w:r w:rsidR="00C10236">
        <w:rPr>
          <w:szCs w:val="24"/>
        </w:rPr>
        <w:noBreakHyphen/>
      </w:r>
      <w:r>
        <w:rPr>
          <w:szCs w:val="24"/>
        </w:rPr>
        <w:t>2 010 </w:t>
      </w:r>
      <w:r w:rsidRPr="00844885">
        <w:rPr>
          <w:szCs w:val="24"/>
        </w:rPr>
        <w:t>MHz. Une mesure opérationnelle</w:t>
      </w:r>
      <w:r>
        <w:rPr>
          <w:szCs w:val="24"/>
        </w:rPr>
        <w:t xml:space="preserve"> autre que l'application de la</w:t>
      </w:r>
      <w:r w:rsidRPr="00844885">
        <w:rPr>
          <w:szCs w:val="24"/>
        </w:rPr>
        <w:t xml:space="preserve"> </w:t>
      </w:r>
      <w:r>
        <w:rPr>
          <w:szCs w:val="24"/>
        </w:rPr>
        <w:t>limite de p.i.r.e. susmentionnée</w:t>
      </w:r>
      <w:r w:rsidRPr="00844885">
        <w:rPr>
          <w:szCs w:val="24"/>
        </w:rPr>
        <w:t xml:space="preserve"> </w:t>
      </w:r>
      <w:r>
        <w:rPr>
          <w:szCs w:val="24"/>
        </w:rPr>
        <w:t>consisterait à</w:t>
      </w:r>
      <w:r w:rsidRPr="00844885">
        <w:rPr>
          <w:szCs w:val="24"/>
        </w:rPr>
        <w:t xml:space="preserve"> </w:t>
      </w:r>
      <w:r>
        <w:rPr>
          <w:szCs w:val="24"/>
        </w:rPr>
        <w:t>adopter une disposition de fréquences qui utilise</w:t>
      </w:r>
      <w:r w:rsidRPr="00844885">
        <w:rPr>
          <w:szCs w:val="24"/>
        </w:rPr>
        <w:t xml:space="preserve"> </w:t>
      </w:r>
      <w:r>
        <w:rPr>
          <w:szCs w:val="24"/>
        </w:rPr>
        <w:t xml:space="preserve">la </w:t>
      </w:r>
      <w:r w:rsidRPr="00844885">
        <w:rPr>
          <w:szCs w:val="24"/>
        </w:rPr>
        <w:t>bande 1 980</w:t>
      </w:r>
      <w:r w:rsidR="00C10236">
        <w:rPr>
          <w:szCs w:val="24"/>
        </w:rPr>
        <w:noBreakHyphen/>
      </w:r>
      <w:r w:rsidRPr="00844885">
        <w:rPr>
          <w:szCs w:val="24"/>
        </w:rPr>
        <w:t xml:space="preserve">2 010 MHz </w:t>
      </w:r>
      <w:r>
        <w:rPr>
          <w:szCs w:val="24"/>
        </w:rPr>
        <w:t>pour les émissions des équipements d'utilisateur</w:t>
      </w:r>
      <w:r w:rsidRPr="00844885">
        <w:rPr>
          <w:szCs w:val="24"/>
        </w:rPr>
        <w:t xml:space="preserve"> </w:t>
      </w:r>
      <w:r>
        <w:rPr>
          <w:szCs w:val="24"/>
        </w:rPr>
        <w:t xml:space="preserve">et la bande </w:t>
      </w:r>
      <w:r w:rsidRPr="00844885">
        <w:rPr>
          <w:szCs w:val="24"/>
        </w:rPr>
        <w:t>2 170</w:t>
      </w:r>
      <w:r w:rsidR="00C10236">
        <w:rPr>
          <w:szCs w:val="24"/>
        </w:rPr>
        <w:noBreakHyphen/>
      </w:r>
      <w:r w:rsidRPr="00844885">
        <w:rPr>
          <w:szCs w:val="24"/>
        </w:rPr>
        <w:t>2 200</w:t>
      </w:r>
      <w:r w:rsidR="00C10236">
        <w:rPr>
          <w:szCs w:val="24"/>
        </w:rPr>
        <w:t> </w:t>
      </w:r>
      <w:r w:rsidRPr="00844885">
        <w:rPr>
          <w:szCs w:val="24"/>
        </w:rPr>
        <w:t xml:space="preserve">MHz </w:t>
      </w:r>
      <w:r>
        <w:rPr>
          <w:szCs w:val="24"/>
        </w:rPr>
        <w:t>pour</w:t>
      </w:r>
      <w:r w:rsidRPr="00844885">
        <w:rPr>
          <w:szCs w:val="24"/>
        </w:rPr>
        <w:t xml:space="preserve"> </w:t>
      </w:r>
      <w:r>
        <w:rPr>
          <w:szCs w:val="24"/>
        </w:rPr>
        <w:t>les émissions des stations de base.</w:t>
      </w:r>
    </w:p>
    <w:p w14:paraId="1123D047" w14:textId="7010EBB6" w:rsidR="00F47DE8" w:rsidRPr="00F47F67" w:rsidRDefault="00F47DE8" w:rsidP="00C10236">
      <w:pPr>
        <w:rPr>
          <w:szCs w:val="24"/>
        </w:rPr>
      </w:pPr>
      <w:r>
        <w:rPr>
          <w:szCs w:val="24"/>
        </w:rPr>
        <w:t>Pl</w:t>
      </w:r>
      <w:r w:rsidRPr="00F47F67">
        <w:rPr>
          <w:szCs w:val="24"/>
        </w:rPr>
        <w:t xml:space="preserve">usieurs dispositions de fréquences </w:t>
      </w:r>
      <w:r>
        <w:rPr>
          <w:szCs w:val="24"/>
        </w:rPr>
        <w:t>sont recommandées dans l</w:t>
      </w:r>
      <w:r w:rsidRPr="00F47F67">
        <w:rPr>
          <w:szCs w:val="24"/>
        </w:rPr>
        <w:t>a Recommandation UIT-R M.1036</w:t>
      </w:r>
      <w:r w:rsidR="00551ED8">
        <w:rPr>
          <w:szCs w:val="24"/>
        </w:rPr>
        <w:noBreakHyphen/>
      </w:r>
      <w:r w:rsidRPr="00F47F67">
        <w:rPr>
          <w:szCs w:val="24"/>
        </w:rPr>
        <w:t xml:space="preserve">5, </w:t>
      </w:r>
      <w:r>
        <w:rPr>
          <w:szCs w:val="24"/>
        </w:rPr>
        <w:t>notamment les dispositions «B6»</w:t>
      </w:r>
      <w:r w:rsidRPr="00F47F67">
        <w:rPr>
          <w:szCs w:val="24"/>
        </w:rPr>
        <w:t xml:space="preserve"> </w:t>
      </w:r>
      <w:r>
        <w:rPr>
          <w:szCs w:val="24"/>
        </w:rPr>
        <w:t>et «B7»</w:t>
      </w:r>
      <w:r w:rsidRPr="00F47F67">
        <w:rPr>
          <w:szCs w:val="24"/>
        </w:rPr>
        <w:t xml:space="preserve">. </w:t>
      </w:r>
      <w:r>
        <w:rPr>
          <w:szCs w:val="24"/>
        </w:rPr>
        <w:t>P</w:t>
      </w:r>
      <w:r w:rsidRPr="00F47F67">
        <w:rPr>
          <w:szCs w:val="24"/>
        </w:rPr>
        <w:t xml:space="preserve">our les administrations ayant déjà mis en œuvre des </w:t>
      </w:r>
      <w:r>
        <w:rPr>
          <w:szCs w:val="24"/>
        </w:rPr>
        <w:t>IMT dans les bandes</w:t>
      </w:r>
      <w:r w:rsidRPr="00F47F67">
        <w:rPr>
          <w:szCs w:val="24"/>
        </w:rPr>
        <w:t xml:space="preserve"> 1 920</w:t>
      </w:r>
      <w:r w:rsidR="00C10236">
        <w:rPr>
          <w:szCs w:val="24"/>
        </w:rPr>
        <w:noBreakHyphen/>
      </w:r>
      <w:r w:rsidRPr="00F47F67">
        <w:rPr>
          <w:szCs w:val="24"/>
        </w:rPr>
        <w:t>1 980</w:t>
      </w:r>
      <w:r w:rsidR="00C10236">
        <w:rPr>
          <w:szCs w:val="24"/>
        </w:rPr>
        <w:t> </w:t>
      </w:r>
      <w:r w:rsidRPr="00F47F67">
        <w:rPr>
          <w:szCs w:val="24"/>
        </w:rPr>
        <w:t xml:space="preserve">MHz </w:t>
      </w:r>
      <w:r>
        <w:rPr>
          <w:szCs w:val="24"/>
        </w:rPr>
        <w:t>et 2 110</w:t>
      </w:r>
      <w:r w:rsidR="00C10236">
        <w:rPr>
          <w:szCs w:val="24"/>
        </w:rPr>
        <w:noBreakHyphen/>
      </w:r>
      <w:r>
        <w:rPr>
          <w:szCs w:val="24"/>
        </w:rPr>
        <w:t>2 170 </w:t>
      </w:r>
      <w:r w:rsidRPr="00F47F67">
        <w:rPr>
          <w:szCs w:val="24"/>
        </w:rPr>
        <w:t xml:space="preserve">MHz </w:t>
      </w:r>
      <w:r>
        <w:rPr>
          <w:szCs w:val="24"/>
        </w:rPr>
        <w:t>grâce à la disposition de fréquences</w:t>
      </w:r>
      <w:r w:rsidRPr="00F47F67">
        <w:rPr>
          <w:szCs w:val="24"/>
        </w:rPr>
        <w:t xml:space="preserve"> </w:t>
      </w:r>
      <w:r>
        <w:rPr>
          <w:szCs w:val="24"/>
        </w:rPr>
        <w:t>«</w:t>
      </w:r>
      <w:r w:rsidRPr="00F47F67">
        <w:rPr>
          <w:szCs w:val="24"/>
        </w:rPr>
        <w:t>B1</w:t>
      </w:r>
      <w:r>
        <w:rPr>
          <w:szCs w:val="24"/>
        </w:rPr>
        <w:t>»</w:t>
      </w:r>
      <w:r>
        <w:rPr>
          <w:rStyle w:val="FootnoteReference"/>
          <w:szCs w:val="24"/>
        </w:rPr>
        <w:footnoteReference w:id="1"/>
      </w:r>
      <w:r>
        <w:rPr>
          <w:szCs w:val="24"/>
        </w:rPr>
        <w:t xml:space="preserve">, il serait logique </w:t>
      </w:r>
      <w:r w:rsidRPr="00630D29">
        <w:rPr>
          <w:szCs w:val="24"/>
        </w:rPr>
        <w:t>d'utiliser</w:t>
      </w:r>
      <w:r>
        <w:rPr>
          <w:szCs w:val="24"/>
        </w:rPr>
        <w:t xml:space="preserve"> la disposition complémentaire «B6»</w:t>
      </w:r>
      <w:r w:rsidRPr="00F47F67">
        <w:rPr>
          <w:szCs w:val="24"/>
        </w:rPr>
        <w:t>.</w:t>
      </w:r>
    </w:p>
    <w:p w14:paraId="7EB43909" w14:textId="77777777" w:rsidR="00F47DE8" w:rsidRPr="00045816" w:rsidRDefault="00F47DE8" w:rsidP="00832389">
      <w:pPr>
        <w:pStyle w:val="Heading1"/>
      </w:pPr>
      <w:r w:rsidRPr="00045816">
        <w:t>5.</w:t>
      </w:r>
      <w:r w:rsidRPr="00045816">
        <w:tab/>
        <w:t>Conclusion</w:t>
      </w:r>
    </w:p>
    <w:p w14:paraId="2362CFA3" w14:textId="4BB34E67" w:rsidR="00F47DE8" w:rsidRPr="008B2448" w:rsidRDefault="00F47DE8" w:rsidP="00C10236">
      <w:pPr>
        <w:rPr>
          <w:szCs w:val="24"/>
        </w:rPr>
      </w:pPr>
      <w:r w:rsidRPr="008B2448">
        <w:rPr>
          <w:szCs w:val="24"/>
        </w:rPr>
        <w:t>Les études de l'UIT-R ont montré que les satellites IMT subiss</w:t>
      </w:r>
      <w:r>
        <w:rPr>
          <w:szCs w:val="24"/>
        </w:rPr>
        <w:t>ai</w:t>
      </w:r>
      <w:r w:rsidRPr="008B2448">
        <w:rPr>
          <w:szCs w:val="24"/>
        </w:rPr>
        <w:t>ent des brouillages d'un niveau très élevé lorsque la bande 1 980</w:t>
      </w:r>
      <w:r w:rsidR="00C10236">
        <w:rPr>
          <w:szCs w:val="24"/>
        </w:rPr>
        <w:noBreakHyphen/>
      </w:r>
      <w:r w:rsidRPr="008B2448">
        <w:rPr>
          <w:szCs w:val="24"/>
        </w:rPr>
        <w:t>2 010</w:t>
      </w:r>
      <w:r w:rsidR="00C10236">
        <w:rPr>
          <w:szCs w:val="24"/>
        </w:rPr>
        <w:t> </w:t>
      </w:r>
      <w:r w:rsidRPr="008B2448">
        <w:rPr>
          <w:szCs w:val="24"/>
        </w:rPr>
        <w:t xml:space="preserve">MHz </w:t>
      </w:r>
      <w:r>
        <w:rPr>
          <w:szCs w:val="24"/>
        </w:rPr>
        <w:t>est utilisée</w:t>
      </w:r>
      <w:r w:rsidRPr="008B2448">
        <w:rPr>
          <w:szCs w:val="24"/>
        </w:rPr>
        <w:t xml:space="preserve"> </w:t>
      </w:r>
      <w:r>
        <w:rPr>
          <w:szCs w:val="24"/>
        </w:rPr>
        <w:t>par des émetteurs de stations de base IMT de Terre</w:t>
      </w:r>
      <w:r w:rsidRPr="008B2448">
        <w:rPr>
          <w:szCs w:val="24"/>
        </w:rPr>
        <w:t>. Le</w:t>
      </w:r>
      <w:r>
        <w:rPr>
          <w:szCs w:val="24"/>
        </w:rPr>
        <w:t>s</w:t>
      </w:r>
      <w:r w:rsidRPr="008B2448">
        <w:rPr>
          <w:szCs w:val="24"/>
        </w:rPr>
        <w:t xml:space="preserve"> niveau</w:t>
      </w:r>
      <w:r>
        <w:rPr>
          <w:szCs w:val="24"/>
        </w:rPr>
        <w:t>x</w:t>
      </w:r>
      <w:r w:rsidRPr="008B2448">
        <w:rPr>
          <w:szCs w:val="24"/>
        </w:rPr>
        <w:t xml:space="preserve"> de brouillage</w:t>
      </w:r>
      <w:r>
        <w:rPr>
          <w:szCs w:val="24"/>
        </w:rPr>
        <w:t>s</w:t>
      </w:r>
      <w:r w:rsidRPr="008B2448">
        <w:rPr>
          <w:szCs w:val="24"/>
        </w:rPr>
        <w:t xml:space="preserve"> très élevé</w:t>
      </w:r>
      <w:r>
        <w:rPr>
          <w:szCs w:val="24"/>
        </w:rPr>
        <w:t>s</w:t>
      </w:r>
      <w:r w:rsidRPr="008B2448">
        <w:rPr>
          <w:szCs w:val="24"/>
        </w:rPr>
        <w:t xml:space="preserve"> </w:t>
      </w:r>
      <w:r>
        <w:rPr>
          <w:szCs w:val="24"/>
        </w:rPr>
        <w:t>remettent en cause le fondement de l'utilisation des</w:t>
      </w:r>
      <w:r w:rsidRPr="008B2448">
        <w:rPr>
          <w:szCs w:val="24"/>
        </w:rPr>
        <w:t xml:space="preserve"> récepteurs de satellite </w:t>
      </w:r>
      <w:r>
        <w:rPr>
          <w:szCs w:val="24"/>
        </w:rPr>
        <w:t>dans la bande</w:t>
      </w:r>
      <w:r w:rsidRPr="008B2448">
        <w:rPr>
          <w:szCs w:val="24"/>
        </w:rPr>
        <w:t xml:space="preserve"> 1 980</w:t>
      </w:r>
      <w:r w:rsidR="00C10236">
        <w:rPr>
          <w:szCs w:val="24"/>
        </w:rPr>
        <w:noBreakHyphen/>
      </w:r>
      <w:r w:rsidRPr="008B2448">
        <w:rPr>
          <w:szCs w:val="24"/>
        </w:rPr>
        <w:t>2 010</w:t>
      </w:r>
      <w:r w:rsidR="00C10236">
        <w:rPr>
          <w:szCs w:val="24"/>
        </w:rPr>
        <w:t> </w:t>
      </w:r>
      <w:r w:rsidRPr="008B2448">
        <w:rPr>
          <w:szCs w:val="24"/>
        </w:rPr>
        <w:t xml:space="preserve">MHz </w:t>
      </w:r>
      <w:r>
        <w:rPr>
          <w:szCs w:val="24"/>
        </w:rPr>
        <w:t>lorsque celle-ci est utilisée pour la composante de Terre des IMT et la composante satellite des IMT dans différents pays</w:t>
      </w:r>
      <w:r w:rsidRPr="008B2448">
        <w:rPr>
          <w:szCs w:val="24"/>
        </w:rPr>
        <w:t>.</w:t>
      </w:r>
    </w:p>
    <w:p w14:paraId="20C462E7" w14:textId="099991F6" w:rsidR="00F47DE8" w:rsidRPr="005030CA" w:rsidRDefault="00F47DE8" w:rsidP="00C10236">
      <w:pPr>
        <w:rPr>
          <w:szCs w:val="24"/>
        </w:rPr>
      </w:pPr>
      <w:r w:rsidRPr="0051311A">
        <w:rPr>
          <w:szCs w:val="24"/>
        </w:rPr>
        <w:t>Les études théoriques ont été validées par les mesures des brouillages</w:t>
      </w:r>
      <w:r>
        <w:rPr>
          <w:szCs w:val="24"/>
        </w:rPr>
        <w:t xml:space="preserve"> effectifs</w:t>
      </w:r>
      <w:r w:rsidRPr="0051311A">
        <w:rPr>
          <w:szCs w:val="24"/>
        </w:rPr>
        <w:t xml:space="preserve">, qui montrent que les brouillages préjudiciables se produisent aujourd'hui dans de grandes </w:t>
      </w:r>
      <w:r>
        <w:rPr>
          <w:szCs w:val="24"/>
        </w:rPr>
        <w:t>parties de la bande</w:t>
      </w:r>
      <w:r w:rsidRPr="0051311A">
        <w:rPr>
          <w:szCs w:val="24"/>
        </w:rPr>
        <w:t xml:space="preserve"> </w:t>
      </w:r>
      <w:r>
        <w:rPr>
          <w:szCs w:val="24"/>
        </w:rPr>
        <w:t>1 980</w:t>
      </w:r>
      <w:r w:rsidR="00C10236">
        <w:rPr>
          <w:szCs w:val="24"/>
        </w:rPr>
        <w:noBreakHyphen/>
      </w:r>
      <w:r>
        <w:rPr>
          <w:szCs w:val="24"/>
        </w:rPr>
        <w:t>2 010 </w:t>
      </w:r>
      <w:r w:rsidRPr="0051311A">
        <w:rPr>
          <w:szCs w:val="24"/>
        </w:rPr>
        <w:t xml:space="preserve">MHz. </w:t>
      </w:r>
      <w:r w:rsidRPr="005030CA">
        <w:rPr>
          <w:szCs w:val="24"/>
        </w:rPr>
        <w:t>Il est donc nécessaire de modifier le Règlement des radiocommunications en ce qui concerne la bande 1 980</w:t>
      </w:r>
      <w:r w:rsidR="00C10236">
        <w:rPr>
          <w:szCs w:val="24"/>
        </w:rPr>
        <w:noBreakHyphen/>
      </w:r>
      <w:r w:rsidRPr="005030CA">
        <w:rPr>
          <w:szCs w:val="24"/>
        </w:rPr>
        <w:t>2 010</w:t>
      </w:r>
      <w:r w:rsidR="00C10236">
        <w:rPr>
          <w:szCs w:val="24"/>
        </w:rPr>
        <w:t> </w:t>
      </w:r>
      <w:r w:rsidRPr="005030CA">
        <w:rPr>
          <w:szCs w:val="24"/>
        </w:rPr>
        <w:t>MHz</w:t>
      </w:r>
      <w:r>
        <w:rPr>
          <w:szCs w:val="24"/>
        </w:rPr>
        <w:t>, afin d'empêcher que cette bande soit rendue inutilisable par le SMS.</w:t>
      </w:r>
    </w:p>
    <w:p w14:paraId="291304B9" w14:textId="1888E1C7" w:rsidR="00F47DE8" w:rsidRPr="0097118C" w:rsidRDefault="00F47DE8" w:rsidP="00C10236">
      <w:pPr>
        <w:rPr>
          <w:szCs w:val="24"/>
        </w:rPr>
      </w:pPr>
      <w:r w:rsidRPr="005030CA">
        <w:rPr>
          <w:szCs w:val="24"/>
        </w:rPr>
        <w:lastRenderedPageBreak/>
        <w:t>L'introduction de limites de puissance pour les stations de base IMT de Terre, comme proposé ci</w:t>
      </w:r>
      <w:r w:rsidR="00B63179">
        <w:rPr>
          <w:szCs w:val="24"/>
        </w:rPr>
        <w:noBreakHyphen/>
      </w:r>
      <w:r w:rsidRPr="005030CA">
        <w:rPr>
          <w:szCs w:val="24"/>
        </w:rPr>
        <w:t>avant, ou l'adoption d'une mesure opérationnelle visant à limiter l'utilisation de la bande de fréquences 1 980-2 010</w:t>
      </w:r>
      <w:r w:rsidR="00C10236">
        <w:rPr>
          <w:szCs w:val="24"/>
        </w:rPr>
        <w:t> </w:t>
      </w:r>
      <w:r w:rsidRPr="005030CA">
        <w:rPr>
          <w:szCs w:val="24"/>
        </w:rPr>
        <w:t xml:space="preserve">MHz </w:t>
      </w:r>
      <w:r>
        <w:rPr>
          <w:szCs w:val="24"/>
        </w:rPr>
        <w:t>par la composante de Terre des IMT</w:t>
      </w:r>
      <w:r w:rsidRPr="005030CA">
        <w:rPr>
          <w:szCs w:val="24"/>
        </w:rPr>
        <w:t xml:space="preserve"> </w:t>
      </w:r>
      <w:r>
        <w:rPr>
          <w:szCs w:val="24"/>
        </w:rPr>
        <w:t>pour les émissions des équipements d'utilisateur vers les stations de base</w:t>
      </w:r>
      <w:r w:rsidRPr="005030CA">
        <w:rPr>
          <w:szCs w:val="24"/>
        </w:rPr>
        <w:t xml:space="preserve"> </w:t>
      </w:r>
      <w:r>
        <w:rPr>
          <w:szCs w:val="24"/>
        </w:rPr>
        <w:t>permettrait de protéger convenablement les satellites IMT et d'assurer la coexistence entre les IMT de Terre et les IMT du SMS</w:t>
      </w:r>
      <w:r w:rsidRPr="005030CA">
        <w:rPr>
          <w:szCs w:val="24"/>
        </w:rPr>
        <w:t xml:space="preserve">. </w:t>
      </w:r>
      <w:r w:rsidRPr="0097118C">
        <w:rPr>
          <w:szCs w:val="24"/>
        </w:rPr>
        <w:t xml:space="preserve">Les solutions proposées permettraient également aux administrations de déployer des IMT de Terre, si elles le souhaitent, d'une manière compatible avec l'exploitation du </w:t>
      </w:r>
      <w:r>
        <w:rPr>
          <w:szCs w:val="24"/>
        </w:rPr>
        <w:t>SMS et conforme au statut primaire avec égalité des droits des attributions dont bénéficient les IMT et le SMS</w:t>
      </w:r>
      <w:r w:rsidRPr="0097118C">
        <w:rPr>
          <w:szCs w:val="24"/>
        </w:rPr>
        <w:t>.</w:t>
      </w:r>
    </w:p>
    <w:p w14:paraId="0673A11D" w14:textId="77777777" w:rsidR="00F47DE8" w:rsidRPr="0097118C" w:rsidRDefault="00F47DE8" w:rsidP="00C10236">
      <w:pPr>
        <w:rPr>
          <w:szCs w:val="24"/>
        </w:rPr>
      </w:pPr>
      <w:r w:rsidRPr="0097118C">
        <w:rPr>
          <w:szCs w:val="24"/>
        </w:rPr>
        <w:br w:type="page"/>
      </w:r>
    </w:p>
    <w:p w14:paraId="1CF879E1" w14:textId="77777777" w:rsidR="00F47DE8" w:rsidRPr="009F3E9D" w:rsidRDefault="00F47DE8" w:rsidP="00332324">
      <w:pPr>
        <w:pStyle w:val="AnnexNo"/>
      </w:pPr>
      <w:r w:rsidRPr="009F3E9D">
        <w:lastRenderedPageBreak/>
        <w:t>AnnexE A</w:t>
      </w:r>
    </w:p>
    <w:p w14:paraId="036863E4" w14:textId="77777777" w:rsidR="00F47DE8" w:rsidRPr="009F3E9D" w:rsidRDefault="00F47DE8" w:rsidP="00332324">
      <w:pPr>
        <w:pStyle w:val="Annextitle"/>
      </w:pPr>
      <w:r w:rsidRPr="009F3E9D">
        <w:t>Calcul</w:t>
      </w:r>
      <w:r>
        <w:t>s</w:t>
      </w:r>
      <w:r w:rsidRPr="009F3E9D">
        <w:t xml:space="preserve"> des brouillages caus</w:t>
      </w:r>
      <w:r>
        <w:t>é</w:t>
      </w:r>
      <w:r w:rsidRPr="009F3E9D">
        <w:t xml:space="preserve">s par une seule station de base </w:t>
      </w:r>
      <w:r>
        <w:t xml:space="preserve">IMT </w:t>
      </w:r>
      <w:r>
        <w:br/>
        <w:t>à un satellite du SMS</w:t>
      </w:r>
    </w:p>
    <w:p w14:paraId="56CCC950" w14:textId="77777777" w:rsidR="00F47DE8" w:rsidRPr="009F3E9D" w:rsidRDefault="00F47DE8" w:rsidP="00C10236">
      <w:pPr>
        <w:rPr>
          <w:szCs w:val="24"/>
        </w:rPr>
      </w:pPr>
      <w:r w:rsidRPr="009F3E9D">
        <w:rPr>
          <w:szCs w:val="24"/>
        </w:rPr>
        <w:t>Le Tableau A1 présente le détail d</w:t>
      </w:r>
      <w:r>
        <w:rPr>
          <w:szCs w:val="24"/>
        </w:rPr>
        <w:t>es</w:t>
      </w:r>
      <w:r w:rsidRPr="009F3E9D">
        <w:rPr>
          <w:szCs w:val="24"/>
        </w:rPr>
        <w:t xml:space="preserve"> calcul</w:t>
      </w:r>
      <w:r>
        <w:rPr>
          <w:szCs w:val="24"/>
        </w:rPr>
        <w:t>s</w:t>
      </w:r>
      <w:r w:rsidRPr="009F3E9D">
        <w:rPr>
          <w:szCs w:val="24"/>
        </w:rPr>
        <w:t xml:space="preserve"> des brouillages caus</w:t>
      </w:r>
      <w:r>
        <w:rPr>
          <w:szCs w:val="24"/>
        </w:rPr>
        <w:t>é</w:t>
      </w:r>
      <w:r w:rsidRPr="009F3E9D">
        <w:rPr>
          <w:szCs w:val="24"/>
        </w:rPr>
        <w:t xml:space="preserve">s par une seule station de base </w:t>
      </w:r>
      <w:r>
        <w:rPr>
          <w:szCs w:val="24"/>
        </w:rPr>
        <w:t>à un satellite du SMS</w:t>
      </w:r>
      <w:r w:rsidRPr="009F3E9D">
        <w:rPr>
          <w:szCs w:val="24"/>
        </w:rPr>
        <w:t xml:space="preserve">, </w:t>
      </w:r>
      <w:r>
        <w:rPr>
          <w:szCs w:val="24"/>
        </w:rPr>
        <w:t>en supposant que la station de base IMT et la zone de service du SMS se situent dans des pays différents</w:t>
      </w:r>
      <w:r w:rsidRPr="009F3E9D">
        <w:rPr>
          <w:szCs w:val="24"/>
        </w:rPr>
        <w:t>.</w:t>
      </w:r>
    </w:p>
    <w:p w14:paraId="0953F7B4" w14:textId="77777777" w:rsidR="00F47DE8" w:rsidRPr="009F3E9D" w:rsidRDefault="00F47DE8" w:rsidP="00332324">
      <w:pPr>
        <w:pStyle w:val="Tabletitle"/>
        <w:spacing w:before="120"/>
      </w:pPr>
      <w:r w:rsidRPr="009F3E9D">
        <w:t xml:space="preserve">Tableau A1: Brouillages </w:t>
      </w:r>
      <w:r>
        <w:t>causé</w:t>
      </w:r>
      <w:r w:rsidRPr="009F3E9D">
        <w:t xml:space="preserve">s par une seule station de base IMT </w:t>
      </w:r>
      <w:r>
        <w:t>aux différents systèmes à satellites</w:t>
      </w:r>
    </w:p>
    <w:tbl>
      <w:tblPr>
        <w:tblW w:w="0" w:type="auto"/>
        <w:jc w:val="center"/>
        <w:tblCellMar>
          <w:left w:w="28" w:type="dxa"/>
          <w:right w:w="28" w:type="dxa"/>
        </w:tblCellMar>
        <w:tblLook w:val="04A0" w:firstRow="1" w:lastRow="0" w:firstColumn="1" w:lastColumn="0" w:noHBand="0" w:noVBand="1"/>
      </w:tblPr>
      <w:tblGrid>
        <w:gridCol w:w="2825"/>
        <w:gridCol w:w="1560"/>
        <w:gridCol w:w="1559"/>
        <w:gridCol w:w="1417"/>
        <w:gridCol w:w="1524"/>
        <w:gridCol w:w="734"/>
      </w:tblGrid>
      <w:tr w:rsidR="00F47DE8" w:rsidRPr="002C67CB" w14:paraId="3C316B08" w14:textId="77777777" w:rsidTr="00930582">
        <w:trPr>
          <w:trHeight w:val="501"/>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75526E9B" w14:textId="77777777" w:rsidR="00F47DE8" w:rsidRPr="002C67CB" w:rsidRDefault="00F47DE8" w:rsidP="00330135">
            <w:pPr>
              <w:pStyle w:val="Tablehead"/>
              <w:rPr>
                <w:lang w:eastAsia="en-GB"/>
              </w:rPr>
            </w:pPr>
            <w:r w:rsidRPr="002C67CB">
              <w:rPr>
                <w:lang w:eastAsia="en-GB"/>
              </w:rPr>
              <w:t>Paramètre</w:t>
            </w:r>
          </w:p>
        </w:tc>
        <w:tc>
          <w:tcPr>
            <w:tcW w:w="1560" w:type="dxa"/>
            <w:tcBorders>
              <w:top w:val="single" w:sz="8" w:space="0" w:color="auto"/>
              <w:left w:val="nil"/>
              <w:bottom w:val="single" w:sz="8" w:space="0" w:color="auto"/>
              <w:right w:val="single" w:sz="8" w:space="0" w:color="auto"/>
            </w:tcBorders>
            <w:vAlign w:val="center"/>
            <w:hideMark/>
          </w:tcPr>
          <w:p w14:paraId="766A35AE" w14:textId="77777777" w:rsidR="00F47DE8" w:rsidRPr="002C67CB" w:rsidRDefault="00F47DE8" w:rsidP="00330135">
            <w:pPr>
              <w:pStyle w:val="Tablehead"/>
              <w:rPr>
                <w:lang w:eastAsia="en-GB"/>
              </w:rPr>
            </w:pPr>
            <w:r w:rsidRPr="002C67CB">
              <w:rPr>
                <w:lang w:eastAsia="en-GB"/>
              </w:rPr>
              <w:t>Station de base-GEO</w:t>
            </w:r>
          </w:p>
        </w:tc>
        <w:tc>
          <w:tcPr>
            <w:tcW w:w="1559" w:type="dxa"/>
            <w:tcBorders>
              <w:top w:val="single" w:sz="8" w:space="0" w:color="auto"/>
              <w:left w:val="nil"/>
              <w:bottom w:val="single" w:sz="8" w:space="0" w:color="auto"/>
              <w:right w:val="single" w:sz="8" w:space="0" w:color="auto"/>
            </w:tcBorders>
            <w:vAlign w:val="center"/>
            <w:hideMark/>
          </w:tcPr>
          <w:p w14:paraId="639A3A56" w14:textId="77777777" w:rsidR="00F47DE8" w:rsidRPr="002C67CB" w:rsidRDefault="00F47DE8" w:rsidP="00330135">
            <w:pPr>
              <w:pStyle w:val="Tablehead"/>
              <w:rPr>
                <w:lang w:eastAsia="en-GB"/>
              </w:rPr>
            </w:pPr>
            <w:r w:rsidRPr="002C67CB">
              <w:rPr>
                <w:lang w:eastAsia="en-GB"/>
              </w:rPr>
              <w:t>Station de base-LEO</w:t>
            </w:r>
          </w:p>
        </w:tc>
        <w:tc>
          <w:tcPr>
            <w:tcW w:w="1417" w:type="dxa"/>
            <w:tcBorders>
              <w:top w:val="single" w:sz="8" w:space="0" w:color="auto"/>
              <w:left w:val="nil"/>
              <w:bottom w:val="single" w:sz="8" w:space="0" w:color="auto"/>
              <w:right w:val="single" w:sz="8" w:space="0" w:color="auto"/>
            </w:tcBorders>
            <w:vAlign w:val="center"/>
            <w:hideMark/>
          </w:tcPr>
          <w:p w14:paraId="2EBCE543" w14:textId="77777777" w:rsidR="00F47DE8" w:rsidRPr="002C67CB" w:rsidRDefault="00F47DE8" w:rsidP="00330135">
            <w:pPr>
              <w:pStyle w:val="Tablehead"/>
              <w:rPr>
                <w:lang w:eastAsia="en-GB"/>
              </w:rPr>
            </w:pPr>
            <w:r w:rsidRPr="002C67CB">
              <w:rPr>
                <w:lang w:eastAsia="en-GB"/>
              </w:rPr>
              <w:t>Station de base-HEO</w:t>
            </w:r>
          </w:p>
        </w:tc>
        <w:tc>
          <w:tcPr>
            <w:tcW w:w="1524" w:type="dxa"/>
            <w:tcBorders>
              <w:top w:val="single" w:sz="8" w:space="0" w:color="auto"/>
              <w:left w:val="nil"/>
              <w:bottom w:val="single" w:sz="8" w:space="0" w:color="auto"/>
              <w:right w:val="single" w:sz="8" w:space="0" w:color="auto"/>
            </w:tcBorders>
            <w:vAlign w:val="center"/>
            <w:hideMark/>
          </w:tcPr>
          <w:p w14:paraId="1FB40406" w14:textId="77777777" w:rsidR="00F47DE8" w:rsidRPr="002C67CB" w:rsidRDefault="00F47DE8" w:rsidP="00330135">
            <w:pPr>
              <w:pStyle w:val="Tablehead"/>
              <w:rPr>
                <w:highlight w:val="yellow"/>
                <w:lang w:eastAsia="en-GB"/>
              </w:rPr>
            </w:pPr>
            <w:r w:rsidRPr="002C67CB">
              <w:rPr>
                <w:lang w:eastAsia="en-GB"/>
              </w:rPr>
              <w:t>Station de base-MEO</w:t>
            </w:r>
          </w:p>
        </w:tc>
        <w:tc>
          <w:tcPr>
            <w:tcW w:w="0" w:type="auto"/>
            <w:tcBorders>
              <w:top w:val="single" w:sz="8" w:space="0" w:color="auto"/>
              <w:left w:val="nil"/>
              <w:bottom w:val="single" w:sz="8" w:space="0" w:color="auto"/>
              <w:right w:val="single" w:sz="8" w:space="0" w:color="auto"/>
            </w:tcBorders>
            <w:vAlign w:val="center"/>
            <w:hideMark/>
          </w:tcPr>
          <w:p w14:paraId="580B14FF" w14:textId="77777777" w:rsidR="00F47DE8" w:rsidRPr="002C67CB" w:rsidRDefault="00F47DE8" w:rsidP="00330135">
            <w:pPr>
              <w:pStyle w:val="Tablehead"/>
              <w:rPr>
                <w:lang w:eastAsia="en-GB"/>
              </w:rPr>
            </w:pPr>
            <w:r w:rsidRPr="002C67CB">
              <w:rPr>
                <w:lang w:eastAsia="en-GB"/>
              </w:rPr>
              <w:t>Unité</w:t>
            </w:r>
          </w:p>
        </w:tc>
      </w:tr>
      <w:tr w:rsidR="00F47DE8" w14:paraId="0B7C1345"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4EE3D711" w14:textId="77777777" w:rsidR="00F47DE8" w:rsidRPr="002C67CB" w:rsidRDefault="00F47DE8" w:rsidP="00330135">
            <w:pPr>
              <w:pStyle w:val="Tabletext"/>
              <w:rPr>
                <w:lang w:eastAsia="en-GB"/>
              </w:rPr>
            </w:pPr>
            <w:r w:rsidRPr="002C67CB">
              <w:rPr>
                <w:lang w:eastAsia="zh-CN"/>
              </w:rPr>
              <w:t>Fréquence centrale</w:t>
            </w:r>
          </w:p>
        </w:tc>
        <w:tc>
          <w:tcPr>
            <w:tcW w:w="1560" w:type="dxa"/>
            <w:tcBorders>
              <w:top w:val="nil"/>
              <w:left w:val="nil"/>
              <w:bottom w:val="single" w:sz="8" w:space="0" w:color="auto"/>
              <w:right w:val="single" w:sz="8" w:space="0" w:color="auto"/>
            </w:tcBorders>
            <w:vAlign w:val="center"/>
            <w:hideMark/>
          </w:tcPr>
          <w:p w14:paraId="15BE73C1" w14:textId="77777777" w:rsidR="00F47DE8" w:rsidRDefault="00F47DE8" w:rsidP="00330135">
            <w:pPr>
              <w:pStyle w:val="Tabletext"/>
              <w:jc w:val="center"/>
              <w:rPr>
                <w:lang w:val="en-US" w:eastAsia="en-GB"/>
              </w:rPr>
            </w:pPr>
            <w:r>
              <w:rPr>
                <w:lang w:val="en-US" w:eastAsia="zh-CN"/>
              </w:rPr>
              <w:t>1 995</w:t>
            </w:r>
          </w:p>
        </w:tc>
        <w:tc>
          <w:tcPr>
            <w:tcW w:w="1559" w:type="dxa"/>
            <w:tcBorders>
              <w:top w:val="nil"/>
              <w:left w:val="nil"/>
              <w:bottom w:val="single" w:sz="8" w:space="0" w:color="auto"/>
              <w:right w:val="single" w:sz="8" w:space="0" w:color="auto"/>
            </w:tcBorders>
            <w:vAlign w:val="center"/>
            <w:hideMark/>
          </w:tcPr>
          <w:p w14:paraId="466B7F04" w14:textId="77777777" w:rsidR="00F47DE8" w:rsidRDefault="00F47DE8" w:rsidP="00330135">
            <w:pPr>
              <w:pStyle w:val="Tabletext"/>
              <w:jc w:val="center"/>
              <w:rPr>
                <w:lang w:val="en-US" w:eastAsia="en-GB"/>
              </w:rPr>
            </w:pPr>
            <w:r>
              <w:rPr>
                <w:lang w:val="en-US" w:eastAsia="en-GB"/>
              </w:rPr>
              <w:t>1 995</w:t>
            </w:r>
          </w:p>
        </w:tc>
        <w:tc>
          <w:tcPr>
            <w:tcW w:w="1417" w:type="dxa"/>
            <w:tcBorders>
              <w:top w:val="nil"/>
              <w:left w:val="nil"/>
              <w:bottom w:val="single" w:sz="8" w:space="0" w:color="auto"/>
              <w:right w:val="single" w:sz="8" w:space="0" w:color="auto"/>
            </w:tcBorders>
            <w:vAlign w:val="center"/>
            <w:hideMark/>
          </w:tcPr>
          <w:p w14:paraId="24F4965E" w14:textId="77777777" w:rsidR="00F47DE8" w:rsidRDefault="00F47DE8" w:rsidP="00330135">
            <w:pPr>
              <w:pStyle w:val="Tabletext"/>
              <w:jc w:val="center"/>
              <w:rPr>
                <w:lang w:val="en-US" w:eastAsia="en-GB"/>
              </w:rPr>
            </w:pPr>
            <w:r>
              <w:rPr>
                <w:lang w:val="en-US"/>
              </w:rPr>
              <w:t>1 995</w:t>
            </w:r>
          </w:p>
        </w:tc>
        <w:tc>
          <w:tcPr>
            <w:tcW w:w="1524" w:type="dxa"/>
            <w:tcBorders>
              <w:top w:val="nil"/>
              <w:left w:val="nil"/>
              <w:bottom w:val="single" w:sz="8" w:space="0" w:color="auto"/>
              <w:right w:val="single" w:sz="8" w:space="0" w:color="auto"/>
            </w:tcBorders>
            <w:vAlign w:val="center"/>
            <w:hideMark/>
          </w:tcPr>
          <w:p w14:paraId="56396CCA" w14:textId="0F2F68FD" w:rsidR="00F47DE8" w:rsidRDefault="00F47DE8" w:rsidP="00330135">
            <w:pPr>
              <w:pStyle w:val="Tabletext"/>
              <w:jc w:val="center"/>
              <w:rPr>
                <w:lang w:val="en-US" w:eastAsia="en-GB"/>
              </w:rPr>
            </w:pPr>
            <w:r>
              <w:rPr>
                <w:lang w:val="en-US" w:eastAsia="zh-CN"/>
              </w:rPr>
              <w:t>1995</w:t>
            </w:r>
          </w:p>
        </w:tc>
        <w:tc>
          <w:tcPr>
            <w:tcW w:w="0" w:type="auto"/>
            <w:tcBorders>
              <w:top w:val="nil"/>
              <w:left w:val="nil"/>
              <w:bottom w:val="single" w:sz="8" w:space="0" w:color="auto"/>
              <w:right w:val="single" w:sz="8" w:space="0" w:color="auto"/>
            </w:tcBorders>
            <w:vAlign w:val="center"/>
            <w:hideMark/>
          </w:tcPr>
          <w:p w14:paraId="740F56A6" w14:textId="77777777" w:rsidR="00F47DE8" w:rsidRDefault="00F47DE8" w:rsidP="00330135">
            <w:pPr>
              <w:pStyle w:val="Tabletext"/>
              <w:jc w:val="center"/>
              <w:rPr>
                <w:lang w:val="en-US" w:eastAsia="en-GB"/>
              </w:rPr>
            </w:pPr>
            <w:r>
              <w:rPr>
                <w:lang w:val="en-US" w:eastAsia="zh-CN"/>
              </w:rPr>
              <w:t>MHz</w:t>
            </w:r>
          </w:p>
        </w:tc>
      </w:tr>
      <w:tr w:rsidR="00F47DE8" w14:paraId="2B6E39C3"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1FC0660" w14:textId="77777777" w:rsidR="00F47DE8" w:rsidRPr="002C67CB" w:rsidRDefault="00F47DE8" w:rsidP="00330135">
            <w:pPr>
              <w:pStyle w:val="Tabletext"/>
              <w:rPr>
                <w:lang w:eastAsia="en-GB"/>
              </w:rPr>
            </w:pPr>
            <w:r w:rsidRPr="002C67CB">
              <w:rPr>
                <w:lang w:eastAsia="zh-CN"/>
              </w:rPr>
              <w:t>Distance entre le satellite et la station de base</w:t>
            </w:r>
          </w:p>
        </w:tc>
        <w:tc>
          <w:tcPr>
            <w:tcW w:w="1560" w:type="dxa"/>
            <w:tcBorders>
              <w:top w:val="nil"/>
              <w:left w:val="nil"/>
              <w:bottom w:val="single" w:sz="8" w:space="0" w:color="auto"/>
              <w:right w:val="single" w:sz="8" w:space="0" w:color="auto"/>
            </w:tcBorders>
            <w:vAlign w:val="center"/>
            <w:hideMark/>
          </w:tcPr>
          <w:p w14:paraId="2C8D4F38" w14:textId="77777777" w:rsidR="00F47DE8" w:rsidRDefault="00F47DE8" w:rsidP="00330135">
            <w:pPr>
              <w:pStyle w:val="Tabletext"/>
              <w:jc w:val="center"/>
              <w:rPr>
                <w:lang w:val="en-US" w:eastAsia="en-GB"/>
              </w:rPr>
            </w:pPr>
            <w:r>
              <w:rPr>
                <w:lang w:val="en-US" w:eastAsia="zh-CN"/>
              </w:rPr>
              <w:t>41 402</w:t>
            </w:r>
          </w:p>
        </w:tc>
        <w:tc>
          <w:tcPr>
            <w:tcW w:w="1559" w:type="dxa"/>
            <w:tcBorders>
              <w:top w:val="nil"/>
              <w:left w:val="nil"/>
              <w:bottom w:val="single" w:sz="8" w:space="0" w:color="auto"/>
              <w:right w:val="single" w:sz="8" w:space="0" w:color="auto"/>
            </w:tcBorders>
            <w:vAlign w:val="center"/>
            <w:hideMark/>
          </w:tcPr>
          <w:p w14:paraId="4424CF9D" w14:textId="77777777" w:rsidR="00F47DE8" w:rsidRDefault="00F47DE8" w:rsidP="00330135">
            <w:pPr>
              <w:pStyle w:val="Tabletext"/>
              <w:jc w:val="center"/>
              <w:rPr>
                <w:lang w:val="en-US" w:eastAsia="en-GB"/>
              </w:rPr>
            </w:pPr>
            <w:r>
              <w:rPr>
                <w:lang w:val="en-US" w:eastAsia="en-GB"/>
              </w:rPr>
              <w:t>2 430</w:t>
            </w:r>
          </w:p>
        </w:tc>
        <w:tc>
          <w:tcPr>
            <w:tcW w:w="1417" w:type="dxa"/>
            <w:tcBorders>
              <w:top w:val="nil"/>
              <w:left w:val="nil"/>
              <w:bottom w:val="single" w:sz="8" w:space="0" w:color="auto"/>
              <w:right w:val="single" w:sz="8" w:space="0" w:color="auto"/>
            </w:tcBorders>
            <w:vAlign w:val="center"/>
            <w:hideMark/>
          </w:tcPr>
          <w:p w14:paraId="533DA3AF" w14:textId="77777777" w:rsidR="00F47DE8" w:rsidRDefault="00F47DE8" w:rsidP="00330135">
            <w:pPr>
              <w:pStyle w:val="Tabletext"/>
              <w:jc w:val="center"/>
              <w:rPr>
                <w:lang w:val="en-US" w:eastAsia="en-GB"/>
              </w:rPr>
            </w:pPr>
            <w:r>
              <w:rPr>
                <w:lang w:val="en-US"/>
              </w:rPr>
              <w:t>51 500</w:t>
            </w:r>
          </w:p>
        </w:tc>
        <w:tc>
          <w:tcPr>
            <w:tcW w:w="1524" w:type="dxa"/>
            <w:tcBorders>
              <w:top w:val="nil"/>
              <w:left w:val="nil"/>
              <w:bottom w:val="single" w:sz="8" w:space="0" w:color="auto"/>
              <w:right w:val="single" w:sz="8" w:space="0" w:color="auto"/>
            </w:tcBorders>
            <w:vAlign w:val="center"/>
            <w:hideMark/>
          </w:tcPr>
          <w:p w14:paraId="7EBD4EC1" w14:textId="28DB67DC" w:rsidR="00F47DE8" w:rsidRDefault="00F47DE8" w:rsidP="00330135">
            <w:pPr>
              <w:pStyle w:val="Tabletext"/>
              <w:jc w:val="center"/>
              <w:rPr>
                <w:lang w:val="en-US" w:eastAsia="en-GB"/>
              </w:rPr>
            </w:pPr>
            <w:r>
              <w:rPr>
                <w:lang w:val="en-US" w:eastAsia="zh-CN"/>
              </w:rPr>
              <w:t>13 912</w:t>
            </w:r>
          </w:p>
        </w:tc>
        <w:tc>
          <w:tcPr>
            <w:tcW w:w="0" w:type="auto"/>
            <w:tcBorders>
              <w:top w:val="nil"/>
              <w:left w:val="nil"/>
              <w:bottom w:val="single" w:sz="8" w:space="0" w:color="auto"/>
              <w:right w:val="single" w:sz="8" w:space="0" w:color="auto"/>
            </w:tcBorders>
            <w:vAlign w:val="center"/>
            <w:hideMark/>
          </w:tcPr>
          <w:p w14:paraId="3F834EAE" w14:textId="77777777" w:rsidR="00F47DE8" w:rsidRDefault="00F47DE8" w:rsidP="00330135">
            <w:pPr>
              <w:pStyle w:val="Tabletext"/>
              <w:jc w:val="center"/>
              <w:rPr>
                <w:lang w:val="en-US" w:eastAsia="en-GB"/>
              </w:rPr>
            </w:pPr>
            <w:r>
              <w:rPr>
                <w:lang w:val="en-US" w:eastAsia="zh-CN"/>
              </w:rPr>
              <w:t>km</w:t>
            </w:r>
          </w:p>
        </w:tc>
      </w:tr>
      <w:tr w:rsidR="00F47DE8" w14:paraId="3094EE02"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EAAAB6E" w14:textId="77777777" w:rsidR="00F47DE8" w:rsidRPr="002C67CB" w:rsidRDefault="00F47DE8" w:rsidP="00330135">
            <w:pPr>
              <w:pStyle w:val="Tabletext"/>
              <w:rPr>
                <w:lang w:eastAsia="en-GB"/>
              </w:rPr>
            </w:pPr>
            <w:r w:rsidRPr="002C67CB">
              <w:rPr>
                <w:lang w:eastAsia="zh-CN"/>
              </w:rPr>
              <w:t>Angle d'élévation (de la station de base vers le satellite)</w:t>
            </w:r>
          </w:p>
        </w:tc>
        <w:tc>
          <w:tcPr>
            <w:tcW w:w="1560" w:type="dxa"/>
            <w:tcBorders>
              <w:top w:val="nil"/>
              <w:left w:val="nil"/>
              <w:bottom w:val="single" w:sz="8" w:space="0" w:color="auto"/>
              <w:right w:val="single" w:sz="8" w:space="0" w:color="auto"/>
            </w:tcBorders>
            <w:vAlign w:val="center"/>
            <w:hideMark/>
          </w:tcPr>
          <w:p w14:paraId="347F80A4" w14:textId="77777777" w:rsidR="00F47DE8" w:rsidRDefault="00F47DE8" w:rsidP="00330135">
            <w:pPr>
              <w:pStyle w:val="Tabletext"/>
              <w:jc w:val="center"/>
              <w:rPr>
                <w:lang w:val="en-US" w:eastAsia="en-GB"/>
              </w:rPr>
            </w:pPr>
            <w:r>
              <w:rPr>
                <w:lang w:val="en-US" w:eastAsia="zh-CN"/>
              </w:rPr>
              <w:t>2,5</w:t>
            </w:r>
          </w:p>
        </w:tc>
        <w:tc>
          <w:tcPr>
            <w:tcW w:w="1559" w:type="dxa"/>
            <w:tcBorders>
              <w:top w:val="nil"/>
              <w:left w:val="nil"/>
              <w:bottom w:val="single" w:sz="8" w:space="0" w:color="auto"/>
              <w:right w:val="single" w:sz="8" w:space="0" w:color="auto"/>
            </w:tcBorders>
            <w:vAlign w:val="center"/>
            <w:hideMark/>
          </w:tcPr>
          <w:p w14:paraId="1A76D9B7" w14:textId="77777777" w:rsidR="00F47DE8" w:rsidRDefault="00F47DE8" w:rsidP="00330135">
            <w:pPr>
              <w:pStyle w:val="Tabletext"/>
              <w:jc w:val="center"/>
              <w:rPr>
                <w:lang w:val="en-US" w:eastAsia="en-GB"/>
              </w:rPr>
            </w:pPr>
            <w:r>
              <w:rPr>
                <w:lang w:val="en-US" w:eastAsia="en-GB"/>
              </w:rPr>
              <w:t>30</w:t>
            </w:r>
          </w:p>
        </w:tc>
        <w:tc>
          <w:tcPr>
            <w:tcW w:w="1417" w:type="dxa"/>
            <w:tcBorders>
              <w:top w:val="nil"/>
              <w:left w:val="nil"/>
              <w:bottom w:val="single" w:sz="8" w:space="0" w:color="auto"/>
              <w:right w:val="single" w:sz="8" w:space="0" w:color="auto"/>
            </w:tcBorders>
            <w:vAlign w:val="center"/>
            <w:hideMark/>
          </w:tcPr>
          <w:p w14:paraId="5C8AF58E" w14:textId="77777777" w:rsidR="00F47DE8" w:rsidRDefault="00F47DE8" w:rsidP="00330135">
            <w:pPr>
              <w:pStyle w:val="Tabletext"/>
              <w:jc w:val="center"/>
              <w:rPr>
                <w:lang w:val="en-US" w:eastAsia="en-GB"/>
              </w:rPr>
            </w:pPr>
            <w:r>
              <w:rPr>
                <w:lang w:val="en-US"/>
              </w:rPr>
              <w:t>5</w:t>
            </w:r>
          </w:p>
        </w:tc>
        <w:tc>
          <w:tcPr>
            <w:tcW w:w="1524" w:type="dxa"/>
            <w:tcBorders>
              <w:top w:val="nil"/>
              <w:left w:val="nil"/>
              <w:bottom w:val="single" w:sz="8" w:space="0" w:color="auto"/>
              <w:right w:val="single" w:sz="8" w:space="0" w:color="auto"/>
            </w:tcBorders>
            <w:vAlign w:val="center"/>
            <w:hideMark/>
          </w:tcPr>
          <w:p w14:paraId="59FB2BA4" w14:textId="042C345F" w:rsidR="00F47DE8" w:rsidRDefault="00F47DE8" w:rsidP="00330135">
            <w:pPr>
              <w:pStyle w:val="Tabletext"/>
              <w:jc w:val="center"/>
              <w:rPr>
                <w:lang w:val="en-US" w:eastAsia="en-GB"/>
              </w:rPr>
            </w:pPr>
            <w:r>
              <w:rPr>
                <w:lang w:val="en-US" w:eastAsia="zh-CN"/>
              </w:rPr>
              <w:t>15</w:t>
            </w:r>
          </w:p>
        </w:tc>
        <w:tc>
          <w:tcPr>
            <w:tcW w:w="0" w:type="auto"/>
            <w:tcBorders>
              <w:top w:val="nil"/>
              <w:left w:val="nil"/>
              <w:bottom w:val="single" w:sz="8" w:space="0" w:color="auto"/>
              <w:right w:val="single" w:sz="8" w:space="0" w:color="auto"/>
            </w:tcBorders>
            <w:vAlign w:val="center"/>
            <w:hideMark/>
          </w:tcPr>
          <w:p w14:paraId="13C6115E" w14:textId="77777777" w:rsidR="00F47DE8" w:rsidRDefault="00F47DE8" w:rsidP="00330135">
            <w:pPr>
              <w:pStyle w:val="Tabletext"/>
              <w:jc w:val="center"/>
              <w:rPr>
                <w:lang w:val="en-US" w:eastAsia="en-GB"/>
              </w:rPr>
            </w:pPr>
            <w:r>
              <w:rPr>
                <w:lang w:val="en-US" w:eastAsia="zh-CN"/>
              </w:rPr>
              <w:t>deg</w:t>
            </w:r>
          </w:p>
        </w:tc>
      </w:tr>
      <w:tr w:rsidR="00F47DE8" w14:paraId="06391A87"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5C7B98AB" w14:textId="77777777" w:rsidR="00F47DE8" w:rsidRPr="002C67CB" w:rsidRDefault="00F47DE8" w:rsidP="00330135">
            <w:pPr>
              <w:pStyle w:val="Tabletext"/>
              <w:rPr>
                <w:lang w:eastAsia="en-GB"/>
              </w:rPr>
            </w:pPr>
            <w:r w:rsidRPr="002C67CB">
              <w:rPr>
                <w:lang w:eastAsia="zh-CN"/>
              </w:rPr>
              <w:t>Affaiblissement en espace libre</w:t>
            </w:r>
          </w:p>
        </w:tc>
        <w:tc>
          <w:tcPr>
            <w:tcW w:w="1560" w:type="dxa"/>
            <w:tcBorders>
              <w:top w:val="nil"/>
              <w:left w:val="nil"/>
              <w:bottom w:val="single" w:sz="8" w:space="0" w:color="auto"/>
              <w:right w:val="single" w:sz="8" w:space="0" w:color="auto"/>
            </w:tcBorders>
            <w:vAlign w:val="center"/>
            <w:hideMark/>
          </w:tcPr>
          <w:p w14:paraId="0C9CBF13" w14:textId="77777777" w:rsidR="00F47DE8" w:rsidRDefault="00F47DE8" w:rsidP="00330135">
            <w:pPr>
              <w:pStyle w:val="Tabletext"/>
              <w:jc w:val="center"/>
              <w:rPr>
                <w:lang w:val="en-US" w:eastAsia="en-GB"/>
              </w:rPr>
            </w:pPr>
            <w:r>
              <w:rPr>
                <w:lang w:val="en-US" w:eastAsia="zh-CN"/>
              </w:rPr>
              <w:t>190,8</w:t>
            </w:r>
          </w:p>
        </w:tc>
        <w:tc>
          <w:tcPr>
            <w:tcW w:w="1559" w:type="dxa"/>
            <w:tcBorders>
              <w:top w:val="nil"/>
              <w:left w:val="nil"/>
              <w:bottom w:val="single" w:sz="8" w:space="0" w:color="auto"/>
              <w:right w:val="single" w:sz="8" w:space="0" w:color="auto"/>
            </w:tcBorders>
            <w:vAlign w:val="center"/>
            <w:hideMark/>
          </w:tcPr>
          <w:p w14:paraId="745B0567" w14:textId="77777777" w:rsidR="00F47DE8" w:rsidRDefault="00F47DE8" w:rsidP="00330135">
            <w:pPr>
              <w:pStyle w:val="Tabletext"/>
              <w:jc w:val="center"/>
              <w:rPr>
                <w:lang w:val="en-US" w:eastAsia="en-GB"/>
              </w:rPr>
            </w:pPr>
            <w:r>
              <w:rPr>
                <w:lang w:val="en-US" w:eastAsia="en-GB"/>
              </w:rPr>
              <w:t>166,1</w:t>
            </w:r>
          </w:p>
        </w:tc>
        <w:tc>
          <w:tcPr>
            <w:tcW w:w="1417" w:type="dxa"/>
            <w:tcBorders>
              <w:top w:val="nil"/>
              <w:left w:val="nil"/>
              <w:bottom w:val="single" w:sz="8" w:space="0" w:color="auto"/>
              <w:right w:val="single" w:sz="8" w:space="0" w:color="auto"/>
            </w:tcBorders>
            <w:vAlign w:val="center"/>
            <w:hideMark/>
          </w:tcPr>
          <w:p w14:paraId="62EB47E3" w14:textId="77777777" w:rsidR="00F47DE8" w:rsidRDefault="00F47DE8" w:rsidP="00330135">
            <w:pPr>
              <w:pStyle w:val="Tabletext"/>
              <w:jc w:val="center"/>
              <w:rPr>
                <w:lang w:val="en-US" w:eastAsia="en-GB"/>
              </w:rPr>
            </w:pPr>
            <w:r>
              <w:rPr>
                <w:lang w:val="en-US"/>
              </w:rPr>
              <w:t>192,7</w:t>
            </w:r>
          </w:p>
        </w:tc>
        <w:tc>
          <w:tcPr>
            <w:tcW w:w="1524" w:type="dxa"/>
            <w:tcBorders>
              <w:top w:val="nil"/>
              <w:left w:val="nil"/>
              <w:bottom w:val="single" w:sz="8" w:space="0" w:color="auto"/>
              <w:right w:val="single" w:sz="8" w:space="0" w:color="auto"/>
            </w:tcBorders>
            <w:vAlign w:val="center"/>
            <w:hideMark/>
          </w:tcPr>
          <w:p w14:paraId="7731B8E3" w14:textId="2EE1E4FF" w:rsidR="00F47DE8" w:rsidRDefault="00F47DE8" w:rsidP="00330135">
            <w:pPr>
              <w:pStyle w:val="Tabletext"/>
              <w:jc w:val="center"/>
              <w:rPr>
                <w:lang w:val="en-US" w:eastAsia="en-GB"/>
              </w:rPr>
            </w:pPr>
            <w:r>
              <w:rPr>
                <w:lang w:val="en-US" w:eastAsia="zh-CN"/>
              </w:rPr>
              <w:t>181,3</w:t>
            </w:r>
          </w:p>
        </w:tc>
        <w:tc>
          <w:tcPr>
            <w:tcW w:w="0" w:type="auto"/>
            <w:tcBorders>
              <w:top w:val="nil"/>
              <w:left w:val="nil"/>
              <w:bottom w:val="single" w:sz="8" w:space="0" w:color="auto"/>
              <w:right w:val="single" w:sz="8" w:space="0" w:color="auto"/>
            </w:tcBorders>
            <w:vAlign w:val="center"/>
            <w:hideMark/>
          </w:tcPr>
          <w:p w14:paraId="498ECC1C" w14:textId="77777777" w:rsidR="00F47DE8" w:rsidRDefault="00F47DE8" w:rsidP="00330135">
            <w:pPr>
              <w:pStyle w:val="Tabletext"/>
              <w:jc w:val="center"/>
              <w:rPr>
                <w:lang w:val="en-US" w:eastAsia="en-GB"/>
              </w:rPr>
            </w:pPr>
            <w:r>
              <w:rPr>
                <w:lang w:val="en-US" w:eastAsia="zh-CN"/>
              </w:rPr>
              <w:t>dB</w:t>
            </w:r>
          </w:p>
        </w:tc>
      </w:tr>
      <w:tr w:rsidR="00F47DE8" w14:paraId="3573CC7F"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57BB640A" w14:textId="77777777" w:rsidR="00F47DE8" w:rsidRPr="002C67CB" w:rsidRDefault="00F47DE8" w:rsidP="00330135">
            <w:pPr>
              <w:pStyle w:val="Tabletext"/>
              <w:rPr>
                <w:lang w:eastAsia="en-GB"/>
              </w:rPr>
            </w:pPr>
            <w:r w:rsidRPr="002C67CB">
              <w:rPr>
                <w:lang w:eastAsia="zh-CN"/>
              </w:rPr>
              <w:t>Température de bruit du satellite</w:t>
            </w:r>
          </w:p>
        </w:tc>
        <w:tc>
          <w:tcPr>
            <w:tcW w:w="1560" w:type="dxa"/>
            <w:tcBorders>
              <w:top w:val="nil"/>
              <w:left w:val="nil"/>
              <w:bottom w:val="single" w:sz="8" w:space="0" w:color="auto"/>
              <w:right w:val="single" w:sz="8" w:space="0" w:color="auto"/>
            </w:tcBorders>
            <w:vAlign w:val="center"/>
            <w:hideMark/>
          </w:tcPr>
          <w:p w14:paraId="4AF9B9E9" w14:textId="77777777" w:rsidR="00F47DE8" w:rsidRDefault="00F47DE8" w:rsidP="00330135">
            <w:pPr>
              <w:pStyle w:val="Tabletext"/>
              <w:jc w:val="center"/>
              <w:rPr>
                <w:lang w:val="en-US" w:eastAsia="en-GB"/>
              </w:rPr>
            </w:pPr>
            <w:r>
              <w:rPr>
                <w:lang w:val="en-US" w:eastAsia="zh-CN"/>
              </w:rPr>
              <w:t>27,6</w:t>
            </w:r>
          </w:p>
        </w:tc>
        <w:tc>
          <w:tcPr>
            <w:tcW w:w="1559" w:type="dxa"/>
            <w:tcBorders>
              <w:top w:val="nil"/>
              <w:left w:val="nil"/>
              <w:bottom w:val="single" w:sz="8" w:space="0" w:color="auto"/>
              <w:right w:val="single" w:sz="8" w:space="0" w:color="auto"/>
            </w:tcBorders>
            <w:vAlign w:val="center"/>
            <w:hideMark/>
          </w:tcPr>
          <w:p w14:paraId="695DF729" w14:textId="77777777" w:rsidR="00F47DE8" w:rsidRDefault="00F47DE8" w:rsidP="00330135">
            <w:pPr>
              <w:pStyle w:val="Tabletext"/>
              <w:jc w:val="center"/>
              <w:rPr>
                <w:lang w:val="ru-RU" w:eastAsia="en-GB"/>
              </w:rPr>
            </w:pPr>
            <w:r>
              <w:rPr>
                <w:lang w:val="en-US" w:eastAsia="en-GB"/>
              </w:rPr>
              <w:t>29</w:t>
            </w:r>
          </w:p>
        </w:tc>
        <w:tc>
          <w:tcPr>
            <w:tcW w:w="1417" w:type="dxa"/>
            <w:tcBorders>
              <w:top w:val="nil"/>
              <w:left w:val="nil"/>
              <w:bottom w:val="single" w:sz="8" w:space="0" w:color="auto"/>
              <w:right w:val="single" w:sz="8" w:space="0" w:color="auto"/>
            </w:tcBorders>
            <w:vAlign w:val="center"/>
            <w:hideMark/>
          </w:tcPr>
          <w:p w14:paraId="54DFBFBA" w14:textId="77777777" w:rsidR="00F47DE8" w:rsidRDefault="00F47DE8" w:rsidP="00330135">
            <w:pPr>
              <w:pStyle w:val="Tabletext"/>
              <w:jc w:val="center"/>
              <w:rPr>
                <w:lang w:val="en-US" w:eastAsia="en-GB"/>
              </w:rPr>
            </w:pPr>
            <w:r>
              <w:rPr>
                <w:lang w:val="en-US"/>
              </w:rPr>
              <w:t>29,0</w:t>
            </w:r>
          </w:p>
        </w:tc>
        <w:tc>
          <w:tcPr>
            <w:tcW w:w="1524" w:type="dxa"/>
            <w:tcBorders>
              <w:top w:val="nil"/>
              <w:left w:val="nil"/>
              <w:bottom w:val="single" w:sz="8" w:space="0" w:color="auto"/>
              <w:right w:val="single" w:sz="8" w:space="0" w:color="auto"/>
            </w:tcBorders>
            <w:vAlign w:val="center"/>
            <w:hideMark/>
          </w:tcPr>
          <w:p w14:paraId="26CB28A0" w14:textId="2B1AE53A" w:rsidR="00F47DE8" w:rsidRDefault="00F47DE8" w:rsidP="00330135">
            <w:pPr>
              <w:pStyle w:val="Tabletext"/>
              <w:jc w:val="center"/>
              <w:rPr>
                <w:lang w:val="en-US" w:eastAsia="en-GB"/>
              </w:rPr>
            </w:pPr>
            <w:r>
              <w:rPr>
                <w:lang w:val="en-US" w:eastAsia="zh-CN"/>
              </w:rPr>
              <w:t>26,0</w:t>
            </w:r>
          </w:p>
        </w:tc>
        <w:tc>
          <w:tcPr>
            <w:tcW w:w="0" w:type="auto"/>
            <w:tcBorders>
              <w:top w:val="nil"/>
              <w:left w:val="nil"/>
              <w:bottom w:val="single" w:sz="8" w:space="0" w:color="auto"/>
              <w:right w:val="single" w:sz="8" w:space="0" w:color="auto"/>
            </w:tcBorders>
            <w:vAlign w:val="center"/>
            <w:hideMark/>
          </w:tcPr>
          <w:p w14:paraId="5AE244BC" w14:textId="77777777" w:rsidR="00F47DE8" w:rsidRDefault="00F47DE8" w:rsidP="00330135">
            <w:pPr>
              <w:pStyle w:val="Tabletext"/>
              <w:jc w:val="center"/>
              <w:rPr>
                <w:lang w:val="en-US" w:eastAsia="en-GB"/>
              </w:rPr>
            </w:pPr>
            <w:r>
              <w:rPr>
                <w:lang w:val="en-US" w:eastAsia="zh-CN"/>
              </w:rPr>
              <w:t>dBK</w:t>
            </w:r>
          </w:p>
        </w:tc>
      </w:tr>
      <w:tr w:rsidR="00F47DE8" w14:paraId="78D235BB"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678E2B4" w14:textId="77777777" w:rsidR="00F47DE8" w:rsidRPr="002C67CB" w:rsidRDefault="00F47DE8" w:rsidP="00330135">
            <w:pPr>
              <w:pStyle w:val="Tabletext"/>
              <w:rPr>
                <w:lang w:eastAsia="en-GB"/>
              </w:rPr>
            </w:pPr>
            <w:r w:rsidRPr="002C67CB">
              <w:rPr>
                <w:lang w:eastAsia="zh-CN"/>
              </w:rPr>
              <w:t>Seuil de protection (I/N)</w:t>
            </w:r>
          </w:p>
        </w:tc>
        <w:tc>
          <w:tcPr>
            <w:tcW w:w="1560" w:type="dxa"/>
            <w:tcBorders>
              <w:top w:val="nil"/>
              <w:left w:val="nil"/>
              <w:bottom w:val="single" w:sz="8" w:space="0" w:color="auto"/>
              <w:right w:val="single" w:sz="8" w:space="0" w:color="auto"/>
            </w:tcBorders>
            <w:vAlign w:val="center"/>
            <w:hideMark/>
          </w:tcPr>
          <w:p w14:paraId="569DE091" w14:textId="7CFB4E30" w:rsidR="00F47DE8" w:rsidRDefault="00B63179" w:rsidP="00330135">
            <w:pPr>
              <w:pStyle w:val="Tabletext"/>
              <w:jc w:val="center"/>
              <w:rPr>
                <w:lang w:val="en-US" w:eastAsia="en-GB"/>
              </w:rPr>
            </w:pPr>
            <w:r w:rsidRPr="00B63179">
              <w:rPr>
                <w:lang w:val="en-US" w:eastAsia="zh-CN"/>
              </w:rPr>
              <w:t>–</w:t>
            </w:r>
            <w:r w:rsidR="00F47DE8">
              <w:rPr>
                <w:lang w:val="en-US" w:eastAsia="zh-CN"/>
              </w:rPr>
              <w:t>12,2</w:t>
            </w:r>
          </w:p>
        </w:tc>
        <w:tc>
          <w:tcPr>
            <w:tcW w:w="1559" w:type="dxa"/>
            <w:tcBorders>
              <w:top w:val="nil"/>
              <w:left w:val="nil"/>
              <w:bottom w:val="single" w:sz="8" w:space="0" w:color="auto"/>
              <w:right w:val="single" w:sz="8" w:space="0" w:color="auto"/>
            </w:tcBorders>
            <w:vAlign w:val="center"/>
            <w:hideMark/>
          </w:tcPr>
          <w:p w14:paraId="01BCF7F7" w14:textId="5BCE587B" w:rsidR="00F47DE8" w:rsidRDefault="00B63179" w:rsidP="00330135">
            <w:pPr>
              <w:pStyle w:val="Tabletext"/>
              <w:jc w:val="center"/>
              <w:rPr>
                <w:lang w:val="en-US" w:eastAsia="en-GB"/>
              </w:rPr>
            </w:pPr>
            <w:r w:rsidRPr="00B63179">
              <w:rPr>
                <w:lang w:val="en-US" w:eastAsia="zh-CN"/>
              </w:rPr>
              <w:t>–</w:t>
            </w:r>
            <w:r w:rsidR="00F47DE8">
              <w:rPr>
                <w:lang w:val="en-US" w:eastAsia="en-GB"/>
              </w:rPr>
              <w:t>12,2</w:t>
            </w:r>
          </w:p>
        </w:tc>
        <w:tc>
          <w:tcPr>
            <w:tcW w:w="1417" w:type="dxa"/>
            <w:tcBorders>
              <w:top w:val="nil"/>
              <w:left w:val="nil"/>
              <w:bottom w:val="single" w:sz="8" w:space="0" w:color="auto"/>
              <w:right w:val="single" w:sz="8" w:space="0" w:color="auto"/>
            </w:tcBorders>
            <w:vAlign w:val="center"/>
            <w:hideMark/>
          </w:tcPr>
          <w:p w14:paraId="498177AD" w14:textId="2E0C67A5" w:rsidR="00F47DE8" w:rsidRDefault="00B63179" w:rsidP="00330135">
            <w:pPr>
              <w:pStyle w:val="Tabletext"/>
              <w:jc w:val="center"/>
              <w:rPr>
                <w:lang w:val="en-US" w:eastAsia="en-GB"/>
              </w:rPr>
            </w:pPr>
            <w:r w:rsidRPr="00B63179">
              <w:rPr>
                <w:lang w:val="en-US" w:eastAsia="zh-CN"/>
              </w:rPr>
              <w:t>–</w:t>
            </w:r>
            <w:r w:rsidR="00F47DE8">
              <w:rPr>
                <w:lang w:val="en-US"/>
              </w:rPr>
              <w:t>12,2</w:t>
            </w:r>
          </w:p>
        </w:tc>
        <w:tc>
          <w:tcPr>
            <w:tcW w:w="1524" w:type="dxa"/>
            <w:tcBorders>
              <w:top w:val="nil"/>
              <w:left w:val="nil"/>
              <w:bottom w:val="single" w:sz="8" w:space="0" w:color="auto"/>
              <w:right w:val="single" w:sz="8" w:space="0" w:color="auto"/>
            </w:tcBorders>
            <w:vAlign w:val="center"/>
            <w:hideMark/>
          </w:tcPr>
          <w:p w14:paraId="06D9037E" w14:textId="2FE1AC25" w:rsidR="00F47DE8" w:rsidRDefault="00B63179" w:rsidP="00330135">
            <w:pPr>
              <w:pStyle w:val="Tabletext"/>
              <w:jc w:val="center"/>
              <w:rPr>
                <w:lang w:val="en-US" w:eastAsia="en-GB"/>
              </w:rPr>
            </w:pPr>
            <w:r w:rsidRPr="00B63179">
              <w:rPr>
                <w:lang w:val="en-US" w:eastAsia="zh-CN"/>
              </w:rPr>
              <w:t>–</w:t>
            </w:r>
            <w:r w:rsidR="00F47DE8">
              <w:rPr>
                <w:lang w:val="en-US" w:eastAsia="en-GB"/>
              </w:rPr>
              <w:t>12,2</w:t>
            </w:r>
          </w:p>
        </w:tc>
        <w:tc>
          <w:tcPr>
            <w:tcW w:w="0" w:type="auto"/>
            <w:tcBorders>
              <w:top w:val="nil"/>
              <w:left w:val="nil"/>
              <w:bottom w:val="single" w:sz="8" w:space="0" w:color="auto"/>
              <w:right w:val="single" w:sz="8" w:space="0" w:color="auto"/>
            </w:tcBorders>
            <w:vAlign w:val="center"/>
            <w:hideMark/>
          </w:tcPr>
          <w:p w14:paraId="4E67A282" w14:textId="77777777" w:rsidR="00F47DE8" w:rsidRDefault="00F47DE8" w:rsidP="00330135">
            <w:pPr>
              <w:pStyle w:val="Tabletext"/>
              <w:jc w:val="center"/>
              <w:rPr>
                <w:lang w:val="en-US" w:eastAsia="en-GB"/>
              </w:rPr>
            </w:pPr>
            <w:r>
              <w:rPr>
                <w:lang w:val="en-US" w:eastAsia="zh-CN"/>
              </w:rPr>
              <w:t>dB</w:t>
            </w:r>
          </w:p>
        </w:tc>
      </w:tr>
      <w:tr w:rsidR="00F47DE8" w14:paraId="420DA9DD"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3644557" w14:textId="4CF09055" w:rsidR="00F47DE8" w:rsidRPr="002C67CB" w:rsidRDefault="00F47DE8" w:rsidP="00330135">
            <w:pPr>
              <w:pStyle w:val="Tabletext"/>
              <w:rPr>
                <w:lang w:eastAsia="en-GB"/>
              </w:rPr>
            </w:pPr>
            <w:r w:rsidRPr="002C67CB">
              <w:rPr>
                <w:lang w:eastAsia="zh-CN"/>
              </w:rPr>
              <w:t xml:space="preserve">Densité </w:t>
            </w:r>
            <w:r w:rsidR="00332324" w:rsidRPr="002C67CB">
              <w:rPr>
                <w:lang w:eastAsia="zh-CN"/>
              </w:rPr>
              <w:t xml:space="preserve">spectrale </w:t>
            </w:r>
            <w:r w:rsidRPr="002C67CB">
              <w:rPr>
                <w:lang w:eastAsia="zh-CN"/>
              </w:rPr>
              <w:t>de puissance brouilleuse acceptable</w:t>
            </w:r>
          </w:p>
        </w:tc>
        <w:tc>
          <w:tcPr>
            <w:tcW w:w="1560" w:type="dxa"/>
            <w:tcBorders>
              <w:top w:val="nil"/>
              <w:left w:val="nil"/>
              <w:bottom w:val="single" w:sz="8" w:space="0" w:color="auto"/>
              <w:right w:val="single" w:sz="8" w:space="0" w:color="auto"/>
            </w:tcBorders>
            <w:vAlign w:val="center"/>
            <w:hideMark/>
          </w:tcPr>
          <w:p w14:paraId="28C4DE91" w14:textId="66A40757" w:rsidR="00F47DE8" w:rsidRDefault="00B63179" w:rsidP="00330135">
            <w:pPr>
              <w:pStyle w:val="Tabletext"/>
              <w:jc w:val="center"/>
              <w:rPr>
                <w:lang w:val="en-US" w:eastAsia="en-GB"/>
              </w:rPr>
            </w:pPr>
            <w:r w:rsidRPr="00B63179">
              <w:rPr>
                <w:lang w:val="en-US" w:eastAsia="zh-CN"/>
              </w:rPr>
              <w:t>–</w:t>
            </w:r>
            <w:r w:rsidR="00F47DE8">
              <w:rPr>
                <w:lang w:val="en-US" w:eastAsia="zh-CN"/>
              </w:rPr>
              <w:t>183,2</w:t>
            </w:r>
          </w:p>
        </w:tc>
        <w:tc>
          <w:tcPr>
            <w:tcW w:w="1559" w:type="dxa"/>
            <w:tcBorders>
              <w:top w:val="nil"/>
              <w:left w:val="nil"/>
              <w:bottom w:val="single" w:sz="8" w:space="0" w:color="auto"/>
              <w:right w:val="single" w:sz="8" w:space="0" w:color="auto"/>
            </w:tcBorders>
            <w:vAlign w:val="center"/>
            <w:hideMark/>
          </w:tcPr>
          <w:p w14:paraId="239B30DA" w14:textId="15E5403C" w:rsidR="00F47DE8" w:rsidRDefault="00B63179" w:rsidP="00330135">
            <w:pPr>
              <w:pStyle w:val="Tabletext"/>
              <w:jc w:val="center"/>
              <w:rPr>
                <w:lang w:val="en-US" w:eastAsia="en-GB"/>
              </w:rPr>
            </w:pPr>
            <w:r w:rsidRPr="00B63179">
              <w:rPr>
                <w:lang w:val="en-US" w:eastAsia="zh-CN"/>
              </w:rPr>
              <w:t>–</w:t>
            </w:r>
            <w:r w:rsidR="00F47DE8">
              <w:rPr>
                <w:lang w:val="en-US" w:eastAsia="zh-CN"/>
              </w:rPr>
              <w:t>181,8</w:t>
            </w:r>
          </w:p>
        </w:tc>
        <w:tc>
          <w:tcPr>
            <w:tcW w:w="1417" w:type="dxa"/>
            <w:tcBorders>
              <w:top w:val="nil"/>
              <w:left w:val="nil"/>
              <w:bottom w:val="single" w:sz="8" w:space="0" w:color="auto"/>
              <w:right w:val="single" w:sz="8" w:space="0" w:color="auto"/>
            </w:tcBorders>
            <w:vAlign w:val="center"/>
            <w:hideMark/>
          </w:tcPr>
          <w:p w14:paraId="13ADDC50" w14:textId="34C70C31" w:rsidR="00F47DE8" w:rsidRDefault="00B63179" w:rsidP="00330135">
            <w:pPr>
              <w:pStyle w:val="Tabletext"/>
              <w:jc w:val="center"/>
              <w:rPr>
                <w:lang w:val="en-US" w:eastAsia="en-GB"/>
              </w:rPr>
            </w:pPr>
            <w:r w:rsidRPr="00B63179">
              <w:rPr>
                <w:lang w:val="en-US" w:eastAsia="zh-CN"/>
              </w:rPr>
              <w:t>–</w:t>
            </w:r>
            <w:r w:rsidR="00F47DE8">
              <w:rPr>
                <w:lang w:val="en-US"/>
              </w:rPr>
              <w:t>181,8</w:t>
            </w:r>
          </w:p>
        </w:tc>
        <w:tc>
          <w:tcPr>
            <w:tcW w:w="1524" w:type="dxa"/>
            <w:tcBorders>
              <w:top w:val="nil"/>
              <w:left w:val="nil"/>
              <w:bottom w:val="single" w:sz="8" w:space="0" w:color="auto"/>
              <w:right w:val="single" w:sz="8" w:space="0" w:color="auto"/>
            </w:tcBorders>
            <w:vAlign w:val="center"/>
            <w:hideMark/>
          </w:tcPr>
          <w:p w14:paraId="0FE9969F" w14:textId="4DFB4FFB" w:rsidR="00F47DE8" w:rsidRDefault="00B63179" w:rsidP="00330135">
            <w:pPr>
              <w:pStyle w:val="Tabletext"/>
              <w:jc w:val="center"/>
              <w:rPr>
                <w:lang w:val="en-US" w:eastAsia="en-GB"/>
              </w:rPr>
            </w:pPr>
            <w:r w:rsidRPr="00B63179">
              <w:rPr>
                <w:lang w:val="en-US" w:eastAsia="zh-CN"/>
              </w:rPr>
              <w:t>–</w:t>
            </w:r>
            <w:r w:rsidR="00F47DE8">
              <w:rPr>
                <w:lang w:val="en-US" w:eastAsia="en-GB"/>
              </w:rPr>
              <w:t>184,8</w:t>
            </w:r>
          </w:p>
        </w:tc>
        <w:tc>
          <w:tcPr>
            <w:tcW w:w="0" w:type="auto"/>
            <w:tcBorders>
              <w:top w:val="nil"/>
              <w:left w:val="nil"/>
              <w:bottom w:val="single" w:sz="8" w:space="0" w:color="auto"/>
              <w:right w:val="single" w:sz="8" w:space="0" w:color="auto"/>
            </w:tcBorders>
            <w:vAlign w:val="center"/>
            <w:hideMark/>
          </w:tcPr>
          <w:p w14:paraId="0F441606" w14:textId="77777777" w:rsidR="00F47DE8" w:rsidRDefault="00F47DE8" w:rsidP="00330135">
            <w:pPr>
              <w:pStyle w:val="Tabletext"/>
              <w:jc w:val="center"/>
              <w:rPr>
                <w:lang w:val="en-US" w:eastAsia="en-GB"/>
              </w:rPr>
            </w:pPr>
            <w:r>
              <w:rPr>
                <w:lang w:val="en-US" w:eastAsia="zh-CN"/>
              </w:rPr>
              <w:t>dBm/Hz</w:t>
            </w:r>
          </w:p>
        </w:tc>
      </w:tr>
      <w:tr w:rsidR="00F47DE8" w14:paraId="72BB9A80"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213A5A47" w14:textId="77777777" w:rsidR="00F47DE8" w:rsidRPr="002C67CB" w:rsidRDefault="00F47DE8" w:rsidP="00330135">
            <w:pPr>
              <w:pStyle w:val="Tabletext"/>
              <w:rPr>
                <w:lang w:eastAsia="en-GB"/>
              </w:rPr>
            </w:pPr>
            <w:r w:rsidRPr="002C67CB">
              <w:rPr>
                <w:lang w:eastAsia="zh-CN"/>
              </w:rPr>
              <w:t>Gain de crête de l'antenne du satellite</w:t>
            </w:r>
          </w:p>
        </w:tc>
        <w:tc>
          <w:tcPr>
            <w:tcW w:w="1560" w:type="dxa"/>
            <w:tcBorders>
              <w:top w:val="nil"/>
              <w:left w:val="nil"/>
              <w:bottom w:val="single" w:sz="8" w:space="0" w:color="auto"/>
              <w:right w:val="single" w:sz="8" w:space="0" w:color="auto"/>
            </w:tcBorders>
            <w:vAlign w:val="center"/>
            <w:hideMark/>
          </w:tcPr>
          <w:p w14:paraId="56A62B36" w14:textId="77777777" w:rsidR="00F47DE8" w:rsidRDefault="00F47DE8" w:rsidP="00330135">
            <w:pPr>
              <w:pStyle w:val="Tabletext"/>
              <w:jc w:val="center"/>
              <w:rPr>
                <w:lang w:val="en-US" w:eastAsia="en-GB"/>
              </w:rPr>
            </w:pPr>
            <w:r>
              <w:rPr>
                <w:lang w:val="en-US" w:eastAsia="zh-CN"/>
              </w:rPr>
              <w:t>50,6</w:t>
            </w:r>
          </w:p>
        </w:tc>
        <w:tc>
          <w:tcPr>
            <w:tcW w:w="1559" w:type="dxa"/>
            <w:tcBorders>
              <w:top w:val="nil"/>
              <w:left w:val="nil"/>
              <w:bottom w:val="single" w:sz="8" w:space="0" w:color="auto"/>
              <w:right w:val="single" w:sz="8" w:space="0" w:color="auto"/>
            </w:tcBorders>
            <w:vAlign w:val="center"/>
            <w:hideMark/>
          </w:tcPr>
          <w:p w14:paraId="3FD49327" w14:textId="77777777" w:rsidR="00F47DE8" w:rsidRDefault="00F47DE8" w:rsidP="00330135">
            <w:pPr>
              <w:pStyle w:val="Tabletext"/>
              <w:jc w:val="center"/>
              <w:rPr>
                <w:lang w:val="ru-RU" w:eastAsia="en-GB"/>
              </w:rPr>
            </w:pPr>
            <w:r>
              <w:rPr>
                <w:lang w:val="en-US" w:eastAsia="en-GB"/>
              </w:rPr>
              <w:t>23</w:t>
            </w:r>
          </w:p>
        </w:tc>
        <w:tc>
          <w:tcPr>
            <w:tcW w:w="1417" w:type="dxa"/>
            <w:tcBorders>
              <w:top w:val="nil"/>
              <w:left w:val="nil"/>
              <w:bottom w:val="single" w:sz="8" w:space="0" w:color="auto"/>
              <w:right w:val="single" w:sz="8" w:space="0" w:color="auto"/>
            </w:tcBorders>
            <w:vAlign w:val="center"/>
            <w:hideMark/>
          </w:tcPr>
          <w:p w14:paraId="591E2585" w14:textId="77777777" w:rsidR="00F47DE8" w:rsidRDefault="00F47DE8" w:rsidP="00330135">
            <w:pPr>
              <w:pStyle w:val="Tabletext"/>
              <w:jc w:val="center"/>
              <w:rPr>
                <w:lang w:val="en-US" w:eastAsia="en-GB"/>
              </w:rPr>
            </w:pPr>
            <w:r>
              <w:rPr>
                <w:lang w:val="en-US"/>
              </w:rPr>
              <w:t>44,8</w:t>
            </w:r>
          </w:p>
        </w:tc>
        <w:tc>
          <w:tcPr>
            <w:tcW w:w="1524" w:type="dxa"/>
            <w:tcBorders>
              <w:top w:val="nil"/>
              <w:left w:val="nil"/>
              <w:bottom w:val="single" w:sz="8" w:space="0" w:color="auto"/>
              <w:right w:val="single" w:sz="8" w:space="0" w:color="auto"/>
            </w:tcBorders>
            <w:vAlign w:val="center"/>
            <w:hideMark/>
          </w:tcPr>
          <w:p w14:paraId="74923DCC" w14:textId="59BC2402" w:rsidR="00F47DE8" w:rsidRDefault="00F47DE8" w:rsidP="00330135">
            <w:pPr>
              <w:pStyle w:val="Tabletext"/>
              <w:jc w:val="center"/>
              <w:rPr>
                <w:lang w:val="en-US" w:eastAsia="en-GB"/>
              </w:rPr>
            </w:pPr>
            <w:r>
              <w:rPr>
                <w:lang w:val="en-US" w:eastAsia="en-GB"/>
              </w:rPr>
              <w:t>30</w:t>
            </w:r>
          </w:p>
        </w:tc>
        <w:tc>
          <w:tcPr>
            <w:tcW w:w="0" w:type="auto"/>
            <w:tcBorders>
              <w:top w:val="nil"/>
              <w:left w:val="nil"/>
              <w:bottom w:val="single" w:sz="8" w:space="0" w:color="auto"/>
              <w:right w:val="single" w:sz="8" w:space="0" w:color="auto"/>
            </w:tcBorders>
            <w:vAlign w:val="center"/>
            <w:hideMark/>
          </w:tcPr>
          <w:p w14:paraId="2959BD30" w14:textId="77777777" w:rsidR="00F47DE8" w:rsidRDefault="00F47DE8" w:rsidP="00330135">
            <w:pPr>
              <w:pStyle w:val="Tabletext"/>
              <w:jc w:val="center"/>
              <w:rPr>
                <w:lang w:val="en-US" w:eastAsia="en-GB"/>
              </w:rPr>
            </w:pPr>
            <w:r>
              <w:rPr>
                <w:lang w:val="en-US" w:eastAsia="zh-CN"/>
              </w:rPr>
              <w:t>dBi</w:t>
            </w:r>
          </w:p>
        </w:tc>
      </w:tr>
      <w:tr w:rsidR="00F47DE8" w14:paraId="6634087E"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222305F4" w14:textId="77777777" w:rsidR="00F47DE8" w:rsidRPr="002C67CB" w:rsidRDefault="00F47DE8" w:rsidP="00330135">
            <w:pPr>
              <w:pStyle w:val="Tabletext"/>
              <w:rPr>
                <w:lang w:eastAsia="en-GB"/>
              </w:rPr>
            </w:pPr>
            <w:r w:rsidRPr="002C67CB">
              <w:rPr>
                <w:lang w:eastAsia="zh-CN"/>
              </w:rPr>
              <w:t>Gain d'antenne du satellite en direction de la station de base</w:t>
            </w:r>
          </w:p>
        </w:tc>
        <w:tc>
          <w:tcPr>
            <w:tcW w:w="1560" w:type="dxa"/>
            <w:tcBorders>
              <w:top w:val="nil"/>
              <w:left w:val="nil"/>
              <w:bottom w:val="single" w:sz="8" w:space="0" w:color="auto"/>
              <w:right w:val="single" w:sz="8" w:space="0" w:color="auto"/>
            </w:tcBorders>
            <w:vAlign w:val="center"/>
            <w:hideMark/>
          </w:tcPr>
          <w:p w14:paraId="34A83962" w14:textId="77777777" w:rsidR="00F47DE8" w:rsidRDefault="00F47DE8" w:rsidP="00330135">
            <w:pPr>
              <w:pStyle w:val="Tabletext"/>
              <w:jc w:val="center"/>
              <w:rPr>
                <w:lang w:val="en-US" w:eastAsia="en-GB"/>
              </w:rPr>
            </w:pPr>
            <w:r>
              <w:rPr>
                <w:lang w:val="en-US" w:eastAsia="zh-CN"/>
              </w:rPr>
              <w:t>43,6</w:t>
            </w:r>
          </w:p>
        </w:tc>
        <w:tc>
          <w:tcPr>
            <w:tcW w:w="1559" w:type="dxa"/>
            <w:tcBorders>
              <w:top w:val="nil"/>
              <w:left w:val="nil"/>
              <w:bottom w:val="single" w:sz="8" w:space="0" w:color="auto"/>
              <w:right w:val="single" w:sz="8" w:space="0" w:color="auto"/>
            </w:tcBorders>
            <w:vAlign w:val="center"/>
            <w:hideMark/>
          </w:tcPr>
          <w:p w14:paraId="34AE32FA" w14:textId="77777777" w:rsidR="00F47DE8" w:rsidRDefault="00F47DE8" w:rsidP="00330135">
            <w:pPr>
              <w:pStyle w:val="Tabletext"/>
              <w:jc w:val="center"/>
              <w:rPr>
                <w:lang w:val="ru-RU" w:eastAsia="en-GB"/>
              </w:rPr>
            </w:pPr>
            <w:r>
              <w:rPr>
                <w:lang w:val="en-US" w:eastAsia="en-GB"/>
              </w:rPr>
              <w:t>21</w:t>
            </w:r>
          </w:p>
        </w:tc>
        <w:tc>
          <w:tcPr>
            <w:tcW w:w="1417" w:type="dxa"/>
            <w:tcBorders>
              <w:top w:val="nil"/>
              <w:left w:val="nil"/>
              <w:bottom w:val="single" w:sz="8" w:space="0" w:color="auto"/>
              <w:right w:val="single" w:sz="8" w:space="0" w:color="auto"/>
            </w:tcBorders>
            <w:vAlign w:val="center"/>
            <w:hideMark/>
          </w:tcPr>
          <w:p w14:paraId="19E67A83" w14:textId="77777777" w:rsidR="00F47DE8" w:rsidRDefault="00F47DE8" w:rsidP="00330135">
            <w:pPr>
              <w:pStyle w:val="Tabletext"/>
              <w:jc w:val="center"/>
              <w:rPr>
                <w:lang w:val="en-US" w:eastAsia="en-GB"/>
              </w:rPr>
            </w:pPr>
            <w:r>
              <w:rPr>
                <w:lang w:val="en-US"/>
              </w:rPr>
              <w:t>42,8</w:t>
            </w:r>
          </w:p>
        </w:tc>
        <w:tc>
          <w:tcPr>
            <w:tcW w:w="1524" w:type="dxa"/>
            <w:tcBorders>
              <w:top w:val="nil"/>
              <w:left w:val="nil"/>
              <w:bottom w:val="single" w:sz="8" w:space="0" w:color="auto"/>
              <w:right w:val="single" w:sz="8" w:space="0" w:color="auto"/>
            </w:tcBorders>
            <w:vAlign w:val="center"/>
            <w:hideMark/>
          </w:tcPr>
          <w:p w14:paraId="39F6B753" w14:textId="21BE55FE" w:rsidR="00F47DE8" w:rsidRDefault="00F47DE8" w:rsidP="00330135">
            <w:pPr>
              <w:pStyle w:val="Tabletext"/>
              <w:jc w:val="center"/>
              <w:rPr>
                <w:lang w:val="en-US" w:eastAsia="en-GB"/>
              </w:rPr>
            </w:pPr>
            <w:r>
              <w:rPr>
                <w:lang w:val="en-US" w:eastAsia="en-GB"/>
              </w:rPr>
              <w:t>27</w:t>
            </w:r>
          </w:p>
        </w:tc>
        <w:tc>
          <w:tcPr>
            <w:tcW w:w="0" w:type="auto"/>
            <w:tcBorders>
              <w:top w:val="nil"/>
              <w:left w:val="nil"/>
              <w:bottom w:val="single" w:sz="8" w:space="0" w:color="auto"/>
              <w:right w:val="single" w:sz="8" w:space="0" w:color="auto"/>
            </w:tcBorders>
            <w:vAlign w:val="center"/>
            <w:hideMark/>
          </w:tcPr>
          <w:p w14:paraId="48E3CCC9" w14:textId="77777777" w:rsidR="00F47DE8" w:rsidRDefault="00F47DE8" w:rsidP="00330135">
            <w:pPr>
              <w:pStyle w:val="Tabletext"/>
              <w:jc w:val="center"/>
              <w:rPr>
                <w:lang w:val="en-US" w:eastAsia="en-GB"/>
              </w:rPr>
            </w:pPr>
            <w:r>
              <w:rPr>
                <w:lang w:val="en-US" w:eastAsia="zh-CN"/>
              </w:rPr>
              <w:t>dBi</w:t>
            </w:r>
          </w:p>
        </w:tc>
      </w:tr>
      <w:tr w:rsidR="00F47DE8" w14:paraId="178B5325" w14:textId="77777777" w:rsidTr="00330135">
        <w:trPr>
          <w:trHeight w:val="501"/>
          <w:jc w:val="center"/>
        </w:trPr>
        <w:tc>
          <w:tcPr>
            <w:tcW w:w="2825" w:type="dxa"/>
            <w:vMerge w:val="restart"/>
            <w:tcBorders>
              <w:top w:val="nil"/>
              <w:left w:val="single" w:sz="8" w:space="0" w:color="auto"/>
              <w:bottom w:val="single" w:sz="8" w:space="0" w:color="000000"/>
              <w:right w:val="single" w:sz="8" w:space="0" w:color="auto"/>
            </w:tcBorders>
            <w:vAlign w:val="center"/>
            <w:hideMark/>
          </w:tcPr>
          <w:p w14:paraId="7536C2EE" w14:textId="77777777" w:rsidR="00F47DE8" w:rsidRPr="002C67CB" w:rsidRDefault="00F47DE8" w:rsidP="00330135">
            <w:pPr>
              <w:pStyle w:val="Tabletext"/>
              <w:rPr>
                <w:lang w:eastAsia="en-GB"/>
              </w:rPr>
            </w:pPr>
            <w:r w:rsidRPr="002C67CB">
              <w:rPr>
                <w:lang w:eastAsia="zh-CN"/>
              </w:rPr>
              <w:t>Densité spectrale de la puissance d'émission sur la liaison montante (avec une perte dans le système d'alimentation)</w:t>
            </w:r>
          </w:p>
        </w:tc>
        <w:tc>
          <w:tcPr>
            <w:tcW w:w="1560" w:type="dxa"/>
            <w:tcBorders>
              <w:top w:val="nil"/>
              <w:left w:val="nil"/>
              <w:bottom w:val="single" w:sz="8" w:space="0" w:color="auto"/>
              <w:right w:val="single" w:sz="8" w:space="0" w:color="auto"/>
            </w:tcBorders>
            <w:vAlign w:val="center"/>
            <w:hideMark/>
          </w:tcPr>
          <w:p w14:paraId="50E119A6" w14:textId="36E93D88" w:rsidR="00F47DE8" w:rsidRDefault="00B63179" w:rsidP="00330135">
            <w:pPr>
              <w:pStyle w:val="Tabletext"/>
              <w:jc w:val="center"/>
              <w:rPr>
                <w:lang w:val="en-US" w:eastAsia="en-GB"/>
              </w:rPr>
            </w:pPr>
            <w:r w:rsidRPr="00B63179">
              <w:rPr>
                <w:lang w:val="en-US" w:eastAsia="zh-CN"/>
              </w:rPr>
              <w:t>–</w:t>
            </w:r>
            <w:r w:rsidR="00F47DE8">
              <w:rPr>
                <w:lang w:val="en-US" w:eastAsia="zh-CN"/>
              </w:rPr>
              <w:t>27</w:t>
            </w:r>
          </w:p>
        </w:tc>
        <w:tc>
          <w:tcPr>
            <w:tcW w:w="1559" w:type="dxa"/>
            <w:tcBorders>
              <w:top w:val="nil"/>
              <w:left w:val="nil"/>
              <w:bottom w:val="single" w:sz="8" w:space="0" w:color="auto"/>
              <w:right w:val="single" w:sz="8" w:space="0" w:color="auto"/>
            </w:tcBorders>
            <w:vAlign w:val="center"/>
            <w:hideMark/>
          </w:tcPr>
          <w:p w14:paraId="66A1D270" w14:textId="78413C11" w:rsidR="00F47DE8" w:rsidRDefault="00B63179" w:rsidP="00330135">
            <w:pPr>
              <w:pStyle w:val="Tabletext"/>
              <w:jc w:val="center"/>
              <w:rPr>
                <w:lang w:val="en-US" w:eastAsia="en-GB"/>
              </w:rPr>
            </w:pPr>
            <w:r w:rsidRPr="00B63179">
              <w:rPr>
                <w:lang w:val="en-US" w:eastAsia="zh-CN"/>
              </w:rPr>
              <w:t>–</w:t>
            </w:r>
            <w:r w:rsidR="00F47DE8">
              <w:rPr>
                <w:lang w:val="en-US" w:eastAsia="zh-CN"/>
              </w:rPr>
              <w:t>27</w:t>
            </w:r>
          </w:p>
        </w:tc>
        <w:tc>
          <w:tcPr>
            <w:tcW w:w="1417" w:type="dxa"/>
            <w:tcBorders>
              <w:top w:val="nil"/>
              <w:left w:val="nil"/>
              <w:bottom w:val="single" w:sz="8" w:space="0" w:color="auto"/>
              <w:right w:val="single" w:sz="8" w:space="0" w:color="auto"/>
            </w:tcBorders>
            <w:vAlign w:val="center"/>
            <w:hideMark/>
          </w:tcPr>
          <w:p w14:paraId="69130A6C" w14:textId="46507BFF" w:rsidR="00F47DE8" w:rsidRDefault="00B63179" w:rsidP="00330135">
            <w:pPr>
              <w:pStyle w:val="Tabletext"/>
              <w:jc w:val="center"/>
              <w:rPr>
                <w:lang w:val="en-US" w:eastAsia="en-GB"/>
              </w:rPr>
            </w:pPr>
            <w:r w:rsidRPr="00B63179">
              <w:rPr>
                <w:lang w:val="en-US" w:eastAsia="zh-CN"/>
              </w:rPr>
              <w:t>–</w:t>
            </w:r>
            <w:r w:rsidR="00F47DE8">
              <w:rPr>
                <w:lang w:val="en-US" w:eastAsia="zh-CN"/>
              </w:rPr>
              <w:t>27</w:t>
            </w:r>
          </w:p>
        </w:tc>
        <w:tc>
          <w:tcPr>
            <w:tcW w:w="1524" w:type="dxa"/>
            <w:tcBorders>
              <w:top w:val="nil"/>
              <w:left w:val="nil"/>
              <w:bottom w:val="single" w:sz="8" w:space="0" w:color="auto"/>
              <w:right w:val="single" w:sz="8" w:space="0" w:color="auto"/>
            </w:tcBorders>
            <w:vAlign w:val="center"/>
            <w:hideMark/>
          </w:tcPr>
          <w:p w14:paraId="1A83B51E" w14:textId="316C554F" w:rsidR="00F47DE8" w:rsidRDefault="00B63179" w:rsidP="00330135">
            <w:pPr>
              <w:pStyle w:val="Tabletext"/>
              <w:jc w:val="center"/>
              <w:rPr>
                <w:lang w:val="en-US" w:eastAsia="en-GB"/>
              </w:rPr>
            </w:pPr>
            <w:r w:rsidRPr="00B63179">
              <w:rPr>
                <w:lang w:val="en-US" w:eastAsia="zh-CN"/>
              </w:rPr>
              <w:t>–</w:t>
            </w:r>
            <w:r w:rsidR="00F47DE8">
              <w:rPr>
                <w:lang w:val="en-US" w:eastAsia="zh-CN"/>
              </w:rPr>
              <w:t>27</w:t>
            </w:r>
          </w:p>
        </w:tc>
        <w:tc>
          <w:tcPr>
            <w:tcW w:w="0" w:type="auto"/>
            <w:vMerge w:val="restart"/>
            <w:tcBorders>
              <w:top w:val="nil"/>
              <w:left w:val="single" w:sz="8" w:space="0" w:color="auto"/>
              <w:bottom w:val="single" w:sz="8" w:space="0" w:color="000000"/>
              <w:right w:val="single" w:sz="8" w:space="0" w:color="auto"/>
            </w:tcBorders>
            <w:vAlign w:val="center"/>
            <w:hideMark/>
          </w:tcPr>
          <w:p w14:paraId="49C7F83F" w14:textId="77777777" w:rsidR="00F47DE8" w:rsidRDefault="00F47DE8" w:rsidP="00330135">
            <w:pPr>
              <w:pStyle w:val="Tabletext"/>
              <w:jc w:val="center"/>
              <w:rPr>
                <w:lang w:val="en-US" w:eastAsia="en-GB"/>
              </w:rPr>
            </w:pPr>
            <w:r>
              <w:rPr>
                <w:lang w:val="en-US" w:eastAsia="zh-CN"/>
              </w:rPr>
              <w:t>dBm/Hz</w:t>
            </w:r>
          </w:p>
        </w:tc>
      </w:tr>
      <w:tr w:rsidR="00F47DE8" w14:paraId="761A2CA8" w14:textId="77777777" w:rsidTr="00330135">
        <w:trPr>
          <w:trHeight w:val="501"/>
          <w:jc w:val="center"/>
        </w:trPr>
        <w:tc>
          <w:tcPr>
            <w:tcW w:w="0" w:type="auto"/>
            <w:vMerge/>
            <w:tcBorders>
              <w:top w:val="nil"/>
              <w:left w:val="single" w:sz="8" w:space="0" w:color="auto"/>
              <w:bottom w:val="single" w:sz="8" w:space="0" w:color="000000"/>
              <w:right w:val="single" w:sz="8" w:space="0" w:color="auto"/>
            </w:tcBorders>
            <w:vAlign w:val="center"/>
            <w:hideMark/>
          </w:tcPr>
          <w:p w14:paraId="57016624" w14:textId="77777777" w:rsidR="00F47DE8" w:rsidRPr="002C67CB" w:rsidRDefault="00F47DE8" w:rsidP="00330135">
            <w:pPr>
              <w:pStyle w:val="Tabletext"/>
              <w:rPr>
                <w:lang w:eastAsia="en-GB"/>
              </w:rPr>
            </w:pPr>
          </w:p>
        </w:tc>
        <w:tc>
          <w:tcPr>
            <w:tcW w:w="1560" w:type="dxa"/>
            <w:tcBorders>
              <w:top w:val="nil"/>
              <w:left w:val="nil"/>
              <w:bottom w:val="single" w:sz="8" w:space="0" w:color="auto"/>
              <w:right w:val="single" w:sz="8" w:space="0" w:color="auto"/>
            </w:tcBorders>
            <w:vAlign w:val="center"/>
            <w:hideMark/>
          </w:tcPr>
          <w:p w14:paraId="6BB859A7" w14:textId="77777777" w:rsidR="00F47DE8" w:rsidRDefault="00F47DE8" w:rsidP="00330135">
            <w:pPr>
              <w:pStyle w:val="Tabletext"/>
              <w:jc w:val="center"/>
              <w:rPr>
                <w:lang w:val="en-US" w:eastAsia="en-GB"/>
              </w:rPr>
            </w:pPr>
            <w:r>
              <w:rPr>
                <w:lang w:val="en-US" w:eastAsia="zh-CN"/>
              </w:rPr>
              <w:t>(43 dBm/5MHz)</w:t>
            </w:r>
          </w:p>
        </w:tc>
        <w:tc>
          <w:tcPr>
            <w:tcW w:w="1559" w:type="dxa"/>
            <w:tcBorders>
              <w:top w:val="nil"/>
              <w:left w:val="nil"/>
              <w:bottom w:val="single" w:sz="8" w:space="0" w:color="auto"/>
              <w:right w:val="single" w:sz="8" w:space="0" w:color="auto"/>
            </w:tcBorders>
            <w:vAlign w:val="center"/>
            <w:hideMark/>
          </w:tcPr>
          <w:p w14:paraId="1A544F0F" w14:textId="77777777" w:rsidR="00F47DE8" w:rsidRDefault="00F47DE8" w:rsidP="00330135">
            <w:pPr>
              <w:pStyle w:val="Tabletext"/>
              <w:jc w:val="center"/>
              <w:rPr>
                <w:lang w:val="en-US" w:eastAsia="en-GB"/>
              </w:rPr>
            </w:pPr>
            <w:r>
              <w:rPr>
                <w:lang w:val="en-US" w:eastAsia="zh-CN"/>
              </w:rPr>
              <w:t>(43dBm/5MHz)</w:t>
            </w:r>
          </w:p>
        </w:tc>
        <w:tc>
          <w:tcPr>
            <w:tcW w:w="1417" w:type="dxa"/>
            <w:tcBorders>
              <w:top w:val="nil"/>
              <w:left w:val="nil"/>
              <w:bottom w:val="single" w:sz="8" w:space="0" w:color="auto"/>
              <w:right w:val="single" w:sz="8" w:space="0" w:color="auto"/>
            </w:tcBorders>
            <w:vAlign w:val="center"/>
            <w:hideMark/>
          </w:tcPr>
          <w:p w14:paraId="2F69C1CD" w14:textId="77777777" w:rsidR="00F47DE8" w:rsidRDefault="00F47DE8" w:rsidP="00330135">
            <w:pPr>
              <w:pStyle w:val="Tabletext"/>
              <w:jc w:val="center"/>
              <w:rPr>
                <w:lang w:val="en-US" w:eastAsia="en-GB"/>
              </w:rPr>
            </w:pPr>
            <w:r>
              <w:rPr>
                <w:lang w:val="en-US" w:eastAsia="zh-CN"/>
              </w:rPr>
              <w:t>(43dBm/5MHz)</w:t>
            </w:r>
          </w:p>
        </w:tc>
        <w:tc>
          <w:tcPr>
            <w:tcW w:w="1524" w:type="dxa"/>
            <w:tcBorders>
              <w:top w:val="nil"/>
              <w:left w:val="nil"/>
              <w:bottom w:val="single" w:sz="8" w:space="0" w:color="auto"/>
              <w:right w:val="single" w:sz="8" w:space="0" w:color="auto"/>
            </w:tcBorders>
            <w:vAlign w:val="center"/>
            <w:hideMark/>
          </w:tcPr>
          <w:p w14:paraId="073C96AA" w14:textId="7547F9B4" w:rsidR="00F47DE8" w:rsidRDefault="00F47DE8" w:rsidP="00330135">
            <w:pPr>
              <w:pStyle w:val="Tabletext"/>
              <w:jc w:val="center"/>
              <w:rPr>
                <w:lang w:val="en-US" w:eastAsia="en-GB"/>
              </w:rPr>
            </w:pPr>
            <w:r>
              <w:rPr>
                <w:lang w:val="en-US" w:eastAsia="zh-CN"/>
              </w:rPr>
              <w:t>(43dBm/5MHz)</w:t>
            </w:r>
          </w:p>
        </w:tc>
        <w:tc>
          <w:tcPr>
            <w:tcW w:w="0" w:type="auto"/>
            <w:vMerge/>
            <w:tcBorders>
              <w:top w:val="nil"/>
              <w:left w:val="single" w:sz="8" w:space="0" w:color="auto"/>
              <w:bottom w:val="single" w:sz="8" w:space="0" w:color="000000"/>
              <w:right w:val="single" w:sz="8" w:space="0" w:color="auto"/>
            </w:tcBorders>
            <w:vAlign w:val="center"/>
            <w:hideMark/>
          </w:tcPr>
          <w:p w14:paraId="3A6CAC49" w14:textId="77777777" w:rsidR="00F47DE8" w:rsidRDefault="00F47DE8" w:rsidP="00330135">
            <w:pPr>
              <w:pStyle w:val="Tabletext"/>
              <w:jc w:val="center"/>
              <w:rPr>
                <w:lang w:val="en-US" w:eastAsia="en-GB"/>
              </w:rPr>
            </w:pPr>
          </w:p>
        </w:tc>
      </w:tr>
      <w:tr w:rsidR="00F47DE8" w14:paraId="656AF784"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65301573" w14:textId="77777777" w:rsidR="00F47DE8" w:rsidRPr="002C67CB" w:rsidRDefault="00F47DE8" w:rsidP="00330135">
            <w:pPr>
              <w:pStyle w:val="Tabletext"/>
              <w:rPr>
                <w:lang w:eastAsia="en-GB"/>
              </w:rPr>
            </w:pPr>
            <w:r w:rsidRPr="002C67CB">
              <w:rPr>
                <w:lang w:eastAsia="zh-CN"/>
              </w:rPr>
              <w:t xml:space="preserve">Gain d'antenne de la station de base en direction du satellite </w:t>
            </w:r>
          </w:p>
        </w:tc>
        <w:tc>
          <w:tcPr>
            <w:tcW w:w="1560" w:type="dxa"/>
            <w:tcBorders>
              <w:top w:val="nil"/>
              <w:left w:val="nil"/>
              <w:bottom w:val="single" w:sz="8" w:space="0" w:color="auto"/>
              <w:right w:val="single" w:sz="8" w:space="0" w:color="auto"/>
            </w:tcBorders>
            <w:vAlign w:val="center"/>
            <w:hideMark/>
          </w:tcPr>
          <w:p w14:paraId="00B3D6B1" w14:textId="77777777" w:rsidR="00F47DE8" w:rsidRDefault="00F47DE8" w:rsidP="00330135">
            <w:pPr>
              <w:pStyle w:val="Tabletext"/>
              <w:jc w:val="center"/>
              <w:rPr>
                <w:lang w:val="en-US" w:eastAsia="en-GB"/>
              </w:rPr>
            </w:pPr>
            <w:r>
              <w:rPr>
                <w:lang w:val="en-US" w:eastAsia="zh-CN"/>
              </w:rPr>
              <w:t>11,7</w:t>
            </w:r>
          </w:p>
        </w:tc>
        <w:tc>
          <w:tcPr>
            <w:tcW w:w="1559" w:type="dxa"/>
            <w:tcBorders>
              <w:top w:val="nil"/>
              <w:left w:val="nil"/>
              <w:bottom w:val="single" w:sz="8" w:space="0" w:color="auto"/>
              <w:right w:val="single" w:sz="8" w:space="0" w:color="auto"/>
            </w:tcBorders>
            <w:vAlign w:val="center"/>
            <w:hideMark/>
          </w:tcPr>
          <w:p w14:paraId="0E3FE5B9" w14:textId="77777777" w:rsidR="00F47DE8" w:rsidRDefault="00F47DE8" w:rsidP="00330135">
            <w:pPr>
              <w:pStyle w:val="Tabletext"/>
              <w:jc w:val="center"/>
              <w:rPr>
                <w:lang w:val="en-US" w:eastAsia="en-GB"/>
              </w:rPr>
            </w:pPr>
            <w:r>
              <w:rPr>
                <w:lang w:val="en-US" w:eastAsia="zh-CN"/>
              </w:rPr>
              <w:t>0,5</w:t>
            </w:r>
          </w:p>
        </w:tc>
        <w:tc>
          <w:tcPr>
            <w:tcW w:w="1417" w:type="dxa"/>
            <w:tcBorders>
              <w:top w:val="nil"/>
              <w:left w:val="nil"/>
              <w:bottom w:val="single" w:sz="8" w:space="0" w:color="auto"/>
              <w:right w:val="single" w:sz="8" w:space="0" w:color="auto"/>
            </w:tcBorders>
            <w:vAlign w:val="center"/>
            <w:hideMark/>
          </w:tcPr>
          <w:p w14:paraId="445C9E22" w14:textId="77777777" w:rsidR="00F47DE8" w:rsidRDefault="00F47DE8" w:rsidP="00330135">
            <w:pPr>
              <w:pStyle w:val="Tabletext"/>
              <w:jc w:val="center"/>
              <w:rPr>
                <w:lang w:val="en-US" w:eastAsia="en-GB"/>
              </w:rPr>
            </w:pPr>
            <w:r>
              <w:rPr>
                <w:lang w:val="en-US"/>
              </w:rPr>
              <w:t>6,9</w:t>
            </w:r>
          </w:p>
        </w:tc>
        <w:tc>
          <w:tcPr>
            <w:tcW w:w="1524" w:type="dxa"/>
            <w:tcBorders>
              <w:top w:val="nil"/>
              <w:left w:val="nil"/>
              <w:bottom w:val="single" w:sz="8" w:space="0" w:color="auto"/>
              <w:right w:val="single" w:sz="8" w:space="0" w:color="auto"/>
            </w:tcBorders>
            <w:vAlign w:val="center"/>
            <w:hideMark/>
          </w:tcPr>
          <w:p w14:paraId="302B5EF9" w14:textId="654352A5" w:rsidR="00F47DE8" w:rsidRDefault="00F47DE8" w:rsidP="00330135">
            <w:pPr>
              <w:pStyle w:val="Tabletext"/>
              <w:jc w:val="center"/>
              <w:rPr>
                <w:lang w:val="en-US" w:eastAsia="en-GB"/>
              </w:rPr>
            </w:pPr>
            <w:r>
              <w:rPr>
                <w:lang w:val="en-US" w:eastAsia="zh-CN"/>
              </w:rPr>
              <w:t>2,6</w:t>
            </w:r>
          </w:p>
        </w:tc>
        <w:tc>
          <w:tcPr>
            <w:tcW w:w="0" w:type="auto"/>
            <w:tcBorders>
              <w:top w:val="nil"/>
              <w:left w:val="nil"/>
              <w:bottom w:val="single" w:sz="8" w:space="0" w:color="auto"/>
              <w:right w:val="single" w:sz="8" w:space="0" w:color="auto"/>
            </w:tcBorders>
            <w:vAlign w:val="center"/>
            <w:hideMark/>
          </w:tcPr>
          <w:p w14:paraId="0AE745BC" w14:textId="77777777" w:rsidR="00F47DE8" w:rsidRDefault="00F47DE8" w:rsidP="00330135">
            <w:pPr>
              <w:pStyle w:val="Tabletext"/>
              <w:jc w:val="center"/>
              <w:rPr>
                <w:lang w:val="en-US" w:eastAsia="en-GB"/>
              </w:rPr>
            </w:pPr>
            <w:r>
              <w:rPr>
                <w:lang w:val="en-US" w:eastAsia="zh-CN"/>
              </w:rPr>
              <w:t>dBi</w:t>
            </w:r>
          </w:p>
        </w:tc>
      </w:tr>
      <w:tr w:rsidR="00F47DE8" w:rsidRPr="005B1F49" w14:paraId="2885D2BB"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53A661F6" w14:textId="77777777" w:rsidR="00F47DE8" w:rsidRPr="002C67CB" w:rsidRDefault="00F47DE8" w:rsidP="00330135">
            <w:pPr>
              <w:pStyle w:val="Tabletext"/>
              <w:rPr>
                <w:lang w:eastAsia="en-GB"/>
              </w:rPr>
            </w:pPr>
            <w:r w:rsidRPr="002C67CB">
              <w:rPr>
                <w:lang w:eastAsia="en-GB"/>
              </w:rPr>
              <w:t>Densité spectrale de p.i.r.e. de la station de base brouilleuse</w:t>
            </w:r>
          </w:p>
        </w:tc>
        <w:tc>
          <w:tcPr>
            <w:tcW w:w="1560" w:type="dxa"/>
            <w:tcBorders>
              <w:top w:val="nil"/>
              <w:left w:val="nil"/>
              <w:bottom w:val="single" w:sz="8" w:space="0" w:color="auto"/>
              <w:right w:val="single" w:sz="8" w:space="0" w:color="auto"/>
            </w:tcBorders>
            <w:vAlign w:val="center"/>
            <w:hideMark/>
          </w:tcPr>
          <w:p w14:paraId="3109007F" w14:textId="35CCE54D" w:rsidR="00F47DE8" w:rsidRPr="005B1F49" w:rsidRDefault="00B63179" w:rsidP="00330135">
            <w:pPr>
              <w:pStyle w:val="Tabletext"/>
              <w:jc w:val="center"/>
              <w:rPr>
                <w:lang w:eastAsia="en-GB"/>
              </w:rPr>
            </w:pPr>
            <w:r w:rsidRPr="00B63179">
              <w:rPr>
                <w:lang w:val="en-US" w:eastAsia="zh-CN"/>
              </w:rPr>
              <w:t>–</w:t>
            </w:r>
            <w:r w:rsidR="00F47DE8" w:rsidRPr="005B1F49">
              <w:rPr>
                <w:lang w:eastAsia="en-GB"/>
              </w:rPr>
              <w:t>15</w:t>
            </w:r>
            <w:r w:rsidR="00F47DE8">
              <w:rPr>
                <w:lang w:eastAsia="en-GB"/>
              </w:rPr>
              <w:t>,</w:t>
            </w:r>
            <w:r w:rsidR="00F47DE8" w:rsidRPr="005B1F49">
              <w:rPr>
                <w:lang w:eastAsia="en-GB"/>
              </w:rPr>
              <w:t>3</w:t>
            </w:r>
          </w:p>
        </w:tc>
        <w:tc>
          <w:tcPr>
            <w:tcW w:w="1559" w:type="dxa"/>
            <w:tcBorders>
              <w:top w:val="nil"/>
              <w:left w:val="nil"/>
              <w:bottom w:val="single" w:sz="8" w:space="0" w:color="auto"/>
              <w:right w:val="single" w:sz="8" w:space="0" w:color="auto"/>
            </w:tcBorders>
            <w:vAlign w:val="center"/>
            <w:hideMark/>
          </w:tcPr>
          <w:p w14:paraId="4164D1B7" w14:textId="7103B1B6" w:rsidR="00F47DE8" w:rsidRPr="005B1F49" w:rsidRDefault="00B63179" w:rsidP="00330135">
            <w:pPr>
              <w:pStyle w:val="Tabletext"/>
              <w:jc w:val="center"/>
              <w:rPr>
                <w:lang w:eastAsia="en-GB"/>
              </w:rPr>
            </w:pPr>
            <w:r w:rsidRPr="00B63179">
              <w:rPr>
                <w:lang w:val="en-US" w:eastAsia="zh-CN"/>
              </w:rPr>
              <w:t>–</w:t>
            </w:r>
            <w:r w:rsidR="00F47DE8" w:rsidRPr="005B1F49">
              <w:rPr>
                <w:lang w:eastAsia="en-GB"/>
              </w:rPr>
              <w:t>26</w:t>
            </w:r>
            <w:r w:rsidR="00F47DE8">
              <w:rPr>
                <w:lang w:eastAsia="en-GB"/>
              </w:rPr>
              <w:t>,</w:t>
            </w:r>
            <w:r w:rsidR="00F47DE8" w:rsidRPr="005B1F49">
              <w:rPr>
                <w:lang w:eastAsia="en-GB"/>
              </w:rPr>
              <w:t>5</w:t>
            </w:r>
          </w:p>
        </w:tc>
        <w:tc>
          <w:tcPr>
            <w:tcW w:w="1417" w:type="dxa"/>
            <w:tcBorders>
              <w:top w:val="nil"/>
              <w:left w:val="nil"/>
              <w:bottom w:val="single" w:sz="8" w:space="0" w:color="auto"/>
              <w:right w:val="single" w:sz="8" w:space="0" w:color="auto"/>
            </w:tcBorders>
            <w:vAlign w:val="center"/>
            <w:hideMark/>
          </w:tcPr>
          <w:p w14:paraId="53CE418E" w14:textId="744B112A" w:rsidR="00F47DE8" w:rsidRPr="005B1F49" w:rsidRDefault="00B63179" w:rsidP="00330135">
            <w:pPr>
              <w:pStyle w:val="Tabletext"/>
              <w:jc w:val="center"/>
              <w:rPr>
                <w:lang w:eastAsia="en-GB"/>
              </w:rPr>
            </w:pPr>
            <w:r w:rsidRPr="00B63179">
              <w:rPr>
                <w:lang w:val="en-US" w:eastAsia="zh-CN"/>
              </w:rPr>
              <w:t>–</w:t>
            </w:r>
            <w:r w:rsidR="00F47DE8" w:rsidRPr="005B1F49">
              <w:rPr>
                <w:lang w:eastAsia="zh-CN"/>
              </w:rPr>
              <w:t>20</w:t>
            </w:r>
            <w:r w:rsidR="00F47DE8">
              <w:rPr>
                <w:lang w:eastAsia="zh-CN"/>
              </w:rPr>
              <w:t>,</w:t>
            </w:r>
            <w:r w:rsidR="00F47DE8" w:rsidRPr="005B1F49">
              <w:rPr>
                <w:lang w:eastAsia="zh-CN"/>
              </w:rPr>
              <w:t>1</w:t>
            </w:r>
          </w:p>
        </w:tc>
        <w:tc>
          <w:tcPr>
            <w:tcW w:w="1524" w:type="dxa"/>
            <w:tcBorders>
              <w:top w:val="nil"/>
              <w:left w:val="nil"/>
              <w:bottom w:val="single" w:sz="8" w:space="0" w:color="auto"/>
              <w:right w:val="single" w:sz="8" w:space="0" w:color="auto"/>
            </w:tcBorders>
            <w:vAlign w:val="center"/>
            <w:hideMark/>
          </w:tcPr>
          <w:p w14:paraId="2AB5C9E4" w14:textId="364A696D" w:rsidR="00F47DE8" w:rsidRPr="005B1F49" w:rsidRDefault="00B63179" w:rsidP="00330135">
            <w:pPr>
              <w:pStyle w:val="Tabletext"/>
              <w:jc w:val="center"/>
              <w:rPr>
                <w:lang w:eastAsia="en-GB"/>
              </w:rPr>
            </w:pPr>
            <w:r w:rsidRPr="00B63179">
              <w:rPr>
                <w:lang w:val="en-US" w:eastAsia="zh-CN"/>
              </w:rPr>
              <w:t>–</w:t>
            </w:r>
            <w:r w:rsidR="00F47DE8" w:rsidRPr="005B1F49">
              <w:rPr>
                <w:lang w:eastAsia="zh-CN"/>
              </w:rPr>
              <w:t>23</w:t>
            </w:r>
            <w:r w:rsidR="00F47DE8">
              <w:rPr>
                <w:lang w:eastAsia="zh-CN"/>
              </w:rPr>
              <w:t>,</w:t>
            </w:r>
            <w:r w:rsidR="00F47DE8" w:rsidRPr="005B1F49">
              <w:rPr>
                <w:lang w:eastAsia="zh-CN"/>
              </w:rPr>
              <w:t>4</w:t>
            </w:r>
          </w:p>
        </w:tc>
        <w:tc>
          <w:tcPr>
            <w:tcW w:w="0" w:type="auto"/>
            <w:tcBorders>
              <w:top w:val="nil"/>
              <w:left w:val="nil"/>
              <w:bottom w:val="single" w:sz="8" w:space="0" w:color="auto"/>
              <w:right w:val="single" w:sz="8" w:space="0" w:color="auto"/>
            </w:tcBorders>
            <w:vAlign w:val="center"/>
            <w:hideMark/>
          </w:tcPr>
          <w:p w14:paraId="1B0EF97C" w14:textId="77777777" w:rsidR="00F47DE8" w:rsidRPr="005B1F49" w:rsidRDefault="00F47DE8" w:rsidP="00330135">
            <w:pPr>
              <w:pStyle w:val="Tabletext"/>
              <w:jc w:val="center"/>
              <w:rPr>
                <w:lang w:eastAsia="en-GB"/>
              </w:rPr>
            </w:pPr>
            <w:r w:rsidRPr="005B1F49">
              <w:rPr>
                <w:lang w:eastAsia="zh-CN"/>
              </w:rPr>
              <w:t>dBm/Hz</w:t>
            </w:r>
          </w:p>
        </w:tc>
      </w:tr>
      <w:tr w:rsidR="00F47DE8" w:rsidRPr="005B1F49" w14:paraId="25B93CA3" w14:textId="77777777" w:rsidTr="00330135">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0F20AC1" w14:textId="77777777" w:rsidR="00F47DE8" w:rsidRPr="002C67CB" w:rsidRDefault="00F47DE8" w:rsidP="00330135">
            <w:pPr>
              <w:pStyle w:val="Tabletext"/>
              <w:rPr>
                <w:b/>
                <w:bCs/>
                <w:lang w:eastAsia="en-GB"/>
              </w:rPr>
            </w:pPr>
            <w:r w:rsidRPr="002C67CB">
              <w:rPr>
                <w:b/>
                <w:bCs/>
                <w:lang w:eastAsia="en-GB"/>
              </w:rPr>
              <w:t>Niveau de dépassement</w:t>
            </w:r>
          </w:p>
        </w:tc>
        <w:tc>
          <w:tcPr>
            <w:tcW w:w="1560" w:type="dxa"/>
            <w:tcBorders>
              <w:top w:val="nil"/>
              <w:left w:val="nil"/>
              <w:bottom w:val="single" w:sz="8" w:space="0" w:color="auto"/>
              <w:right w:val="single" w:sz="8" w:space="0" w:color="auto"/>
            </w:tcBorders>
            <w:vAlign w:val="center"/>
            <w:hideMark/>
          </w:tcPr>
          <w:p w14:paraId="50935824" w14:textId="77777777" w:rsidR="00F47DE8" w:rsidRPr="005B1F49" w:rsidRDefault="00F47DE8" w:rsidP="00330135">
            <w:pPr>
              <w:pStyle w:val="Tabletext"/>
              <w:jc w:val="center"/>
              <w:rPr>
                <w:b/>
                <w:bCs/>
                <w:lang w:eastAsia="en-GB"/>
              </w:rPr>
            </w:pPr>
            <w:r w:rsidRPr="005B1F49">
              <w:rPr>
                <w:b/>
                <w:bCs/>
                <w:lang w:eastAsia="en-GB"/>
              </w:rPr>
              <w:t>20</w:t>
            </w:r>
            <w:r>
              <w:rPr>
                <w:b/>
                <w:bCs/>
                <w:lang w:eastAsia="en-GB"/>
              </w:rPr>
              <w:t>,</w:t>
            </w:r>
            <w:r w:rsidRPr="005B1F49">
              <w:rPr>
                <w:b/>
                <w:bCs/>
                <w:lang w:eastAsia="en-GB"/>
              </w:rPr>
              <w:t>7</w:t>
            </w:r>
          </w:p>
        </w:tc>
        <w:tc>
          <w:tcPr>
            <w:tcW w:w="1559" w:type="dxa"/>
            <w:tcBorders>
              <w:top w:val="nil"/>
              <w:left w:val="nil"/>
              <w:bottom w:val="single" w:sz="8" w:space="0" w:color="auto"/>
              <w:right w:val="single" w:sz="8" w:space="0" w:color="auto"/>
            </w:tcBorders>
            <w:vAlign w:val="center"/>
            <w:hideMark/>
          </w:tcPr>
          <w:p w14:paraId="3FA9489A" w14:textId="77777777" w:rsidR="00F47DE8" w:rsidRPr="005B1F49" w:rsidRDefault="00F47DE8" w:rsidP="00330135">
            <w:pPr>
              <w:pStyle w:val="Tabletext"/>
              <w:jc w:val="center"/>
              <w:rPr>
                <w:b/>
                <w:lang w:eastAsia="en-GB"/>
              </w:rPr>
            </w:pPr>
            <w:r w:rsidRPr="005B1F49">
              <w:rPr>
                <w:b/>
                <w:lang w:eastAsia="zh-CN"/>
              </w:rPr>
              <w:t>10</w:t>
            </w:r>
            <w:r>
              <w:rPr>
                <w:b/>
                <w:lang w:eastAsia="zh-CN"/>
              </w:rPr>
              <w:t>,</w:t>
            </w:r>
            <w:r w:rsidRPr="005B1F49">
              <w:rPr>
                <w:b/>
                <w:lang w:eastAsia="zh-CN"/>
              </w:rPr>
              <w:t>2</w:t>
            </w:r>
          </w:p>
        </w:tc>
        <w:tc>
          <w:tcPr>
            <w:tcW w:w="1417" w:type="dxa"/>
            <w:tcBorders>
              <w:top w:val="nil"/>
              <w:left w:val="nil"/>
              <w:bottom w:val="single" w:sz="8" w:space="0" w:color="auto"/>
              <w:right w:val="single" w:sz="8" w:space="0" w:color="auto"/>
            </w:tcBorders>
            <w:vAlign w:val="center"/>
            <w:hideMark/>
          </w:tcPr>
          <w:p w14:paraId="5C530885" w14:textId="77777777" w:rsidR="00F47DE8" w:rsidRPr="005B1F49" w:rsidRDefault="00F47DE8" w:rsidP="00330135">
            <w:pPr>
              <w:pStyle w:val="Tabletext"/>
              <w:jc w:val="center"/>
              <w:rPr>
                <w:b/>
                <w:lang w:eastAsia="en-GB"/>
              </w:rPr>
            </w:pPr>
            <w:r w:rsidRPr="005B1F49">
              <w:rPr>
                <w:b/>
                <w:lang w:eastAsia="zh-CN"/>
              </w:rPr>
              <w:t>11</w:t>
            </w:r>
            <w:r>
              <w:rPr>
                <w:b/>
                <w:lang w:eastAsia="zh-CN"/>
              </w:rPr>
              <w:t>,</w:t>
            </w:r>
            <w:r w:rsidRPr="005B1F49">
              <w:rPr>
                <w:b/>
                <w:lang w:eastAsia="zh-CN"/>
              </w:rPr>
              <w:t>8</w:t>
            </w:r>
          </w:p>
        </w:tc>
        <w:tc>
          <w:tcPr>
            <w:tcW w:w="1524" w:type="dxa"/>
            <w:tcBorders>
              <w:top w:val="nil"/>
              <w:left w:val="nil"/>
              <w:bottom w:val="single" w:sz="8" w:space="0" w:color="auto"/>
              <w:right w:val="single" w:sz="8" w:space="0" w:color="auto"/>
            </w:tcBorders>
            <w:vAlign w:val="center"/>
            <w:hideMark/>
          </w:tcPr>
          <w:p w14:paraId="787AC894" w14:textId="6F4210BD" w:rsidR="00F47DE8" w:rsidRPr="005B1F49" w:rsidRDefault="00F47DE8" w:rsidP="00330135">
            <w:pPr>
              <w:pStyle w:val="Tabletext"/>
              <w:jc w:val="center"/>
              <w:rPr>
                <w:b/>
                <w:lang w:eastAsia="en-GB"/>
              </w:rPr>
            </w:pPr>
            <w:r w:rsidRPr="005B1F49">
              <w:rPr>
                <w:b/>
                <w:lang w:eastAsia="zh-CN"/>
              </w:rPr>
              <w:t>7</w:t>
            </w:r>
            <w:r>
              <w:rPr>
                <w:b/>
                <w:lang w:eastAsia="zh-CN"/>
              </w:rPr>
              <w:t>,</w:t>
            </w:r>
            <w:r w:rsidRPr="005B1F49">
              <w:rPr>
                <w:b/>
                <w:lang w:eastAsia="zh-CN"/>
              </w:rPr>
              <w:t>0</w:t>
            </w:r>
          </w:p>
        </w:tc>
        <w:tc>
          <w:tcPr>
            <w:tcW w:w="0" w:type="auto"/>
            <w:tcBorders>
              <w:top w:val="nil"/>
              <w:left w:val="nil"/>
              <w:bottom w:val="single" w:sz="8" w:space="0" w:color="auto"/>
              <w:right w:val="single" w:sz="8" w:space="0" w:color="auto"/>
            </w:tcBorders>
            <w:vAlign w:val="center"/>
            <w:hideMark/>
          </w:tcPr>
          <w:p w14:paraId="196DD60C" w14:textId="77777777" w:rsidR="00F47DE8" w:rsidRPr="005B1F49" w:rsidRDefault="00F47DE8" w:rsidP="00330135">
            <w:pPr>
              <w:pStyle w:val="Tabletext"/>
              <w:jc w:val="center"/>
              <w:rPr>
                <w:lang w:eastAsia="en-GB"/>
              </w:rPr>
            </w:pPr>
            <w:r w:rsidRPr="005B1F49">
              <w:rPr>
                <w:lang w:eastAsia="zh-CN"/>
              </w:rPr>
              <w:t>dB</w:t>
            </w:r>
          </w:p>
        </w:tc>
      </w:tr>
    </w:tbl>
    <w:p w14:paraId="4E580E7C" w14:textId="77777777" w:rsidR="00F47DE8" w:rsidRPr="005B1F49" w:rsidRDefault="00F47DE8" w:rsidP="00C10236">
      <w:pPr>
        <w:rPr>
          <w:szCs w:val="24"/>
        </w:rPr>
      </w:pPr>
    </w:p>
    <w:p w14:paraId="233079A6" w14:textId="77777777" w:rsidR="00F47DE8" w:rsidRPr="005B1F49" w:rsidRDefault="00F47DE8" w:rsidP="00C10236">
      <w:pPr>
        <w:rPr>
          <w:b/>
          <w:szCs w:val="24"/>
        </w:rPr>
      </w:pPr>
      <w:r w:rsidRPr="005B1F49">
        <w:rPr>
          <w:b/>
          <w:szCs w:val="24"/>
        </w:rPr>
        <w:br w:type="page"/>
      </w:r>
    </w:p>
    <w:p w14:paraId="15B79D8A" w14:textId="77777777" w:rsidR="00F47DE8" w:rsidRPr="005B1F49" w:rsidRDefault="00F47DE8" w:rsidP="00332324">
      <w:pPr>
        <w:pStyle w:val="AnnexNo"/>
      </w:pPr>
      <w:r w:rsidRPr="005B1F49">
        <w:lastRenderedPageBreak/>
        <w:t>Annex</w:t>
      </w:r>
      <w:r>
        <w:t>E</w:t>
      </w:r>
      <w:r w:rsidRPr="005B1F49">
        <w:t xml:space="preserve"> B</w:t>
      </w:r>
    </w:p>
    <w:p w14:paraId="40236E81" w14:textId="77777777" w:rsidR="00F47DE8" w:rsidRPr="004E41D2" w:rsidRDefault="00F47DE8" w:rsidP="00332324">
      <w:pPr>
        <w:pStyle w:val="Annextitle"/>
      </w:pPr>
      <w:r w:rsidRPr="005B1F49">
        <w:t>Me</w:t>
      </w:r>
      <w:r>
        <w:t>sures des brouillages causés à un satellite MEO opérationnel</w:t>
      </w:r>
    </w:p>
    <w:p w14:paraId="5409EFAC" w14:textId="07308AEC" w:rsidR="00F47DE8" w:rsidRPr="008305B2" w:rsidRDefault="00F47DE8" w:rsidP="00330135">
      <w:r w:rsidRPr="001615F9">
        <w:t xml:space="preserve">Les images ci-dessous montrent l'étendue géographique des brouillages </w:t>
      </w:r>
      <w:r>
        <w:t>mesurés qui ont été causés dans des liaisons descendantes de la composante de Terre depuis une zone de</w:t>
      </w:r>
      <w:r w:rsidRPr="001615F9">
        <w:t xml:space="preserve"> </w:t>
      </w:r>
      <w:r>
        <w:t>déploiement de systèmes IMT de Terre</w:t>
      </w:r>
      <w:r w:rsidRPr="001615F9">
        <w:t xml:space="preserve"> </w:t>
      </w:r>
      <w:r>
        <w:t>en Amérique du Nord</w:t>
      </w:r>
      <w:r w:rsidRPr="001615F9">
        <w:t xml:space="preserve"> (Région 2) </w:t>
      </w:r>
      <w:r>
        <w:t>dans la gamme de fréquences 1 990</w:t>
      </w:r>
      <w:r w:rsidR="00C10236">
        <w:noBreakHyphen/>
      </w:r>
      <w:r>
        <w:t>1 995 </w:t>
      </w:r>
      <w:r w:rsidRPr="001615F9">
        <w:t xml:space="preserve">MHz. </w:t>
      </w:r>
      <w:r w:rsidRPr="008305B2">
        <w:t xml:space="preserve">Ces mesures ont été </w:t>
      </w:r>
      <w:r>
        <w:t>enregistrées à l'aide d'un faisceau étroit</w:t>
      </w:r>
      <w:r w:rsidRPr="008305B2">
        <w:t xml:space="preserve"> de réception </w:t>
      </w:r>
      <w:r>
        <w:t>utilisé par un</w:t>
      </w:r>
      <w:r w:rsidRPr="008305B2">
        <w:t xml:space="preserve"> </w:t>
      </w:r>
      <w:r>
        <w:t>satellite des IMT</w:t>
      </w:r>
      <w:r w:rsidRPr="008305B2">
        <w:t xml:space="preserve"> </w:t>
      </w:r>
      <w:r>
        <w:t>opérationnel sur orbite terrestre moyenne</w:t>
      </w:r>
      <w:r w:rsidRPr="008305B2">
        <w:t xml:space="preserve"> (MEO). Les images figurant dans la présente Annexe </w:t>
      </w:r>
      <w:r>
        <w:t>se rapportent aux</w:t>
      </w:r>
      <w:r w:rsidRPr="008305B2">
        <w:t xml:space="preserve"> </w:t>
      </w:r>
      <w:r>
        <w:t>valeurs numériques de dépassement des brouillages qui sont indiquées</w:t>
      </w:r>
      <w:r w:rsidRPr="008305B2">
        <w:t xml:space="preserve"> </w:t>
      </w:r>
      <w:r>
        <w:t>dans le</w:t>
      </w:r>
      <w:r w:rsidRPr="008305B2">
        <w:t xml:space="preserve"> Tableau</w:t>
      </w:r>
      <w:r>
        <w:t> </w:t>
      </w:r>
      <w:r w:rsidRPr="008305B2">
        <w:t>4 du présent document.</w:t>
      </w:r>
    </w:p>
    <w:p w14:paraId="574EDB3E" w14:textId="54891CB8" w:rsidR="00F47DE8" w:rsidRPr="006E6327" w:rsidRDefault="00F47DE8" w:rsidP="00330135">
      <w:r w:rsidRPr="006E6327">
        <w:t xml:space="preserve">Les cercles indiquent la position du satellite au moment où chaque mesure a été enregistrée, tandis que la couleur des cercles </w:t>
      </w:r>
      <w:r>
        <w:t>correspond au</w:t>
      </w:r>
      <w:r w:rsidRPr="006E6327">
        <w:t xml:space="preserve"> niveau de dépassement </w:t>
      </w:r>
      <w:r>
        <w:t>des critères de protection du satellite en</w:t>
      </w:r>
      <w:r w:rsidRPr="006E6327">
        <w:t xml:space="preserve"> dB. Le triangle indique </w:t>
      </w:r>
      <w:r>
        <w:t>l'emplacement central</w:t>
      </w:r>
      <w:r w:rsidRPr="006E6327">
        <w:t xml:space="preserve"> du faisceau étroit </w:t>
      </w:r>
      <w:r>
        <w:t>depuis lequel</w:t>
      </w:r>
      <w:r w:rsidRPr="006E6327">
        <w:t xml:space="preserve"> les mesures des brouillages ont été enregistrées.</w:t>
      </w:r>
    </w:p>
    <w:p w14:paraId="692A3982" w14:textId="77777777" w:rsidR="00F47DE8" w:rsidRPr="00F61549" w:rsidRDefault="00F47DE8" w:rsidP="00330135">
      <w:r>
        <w:t>Le tracé</w:t>
      </w:r>
      <w:r w:rsidRPr="00F61549">
        <w:t xml:space="preserve"> </w:t>
      </w:r>
      <w:r>
        <w:t>dans la</w:t>
      </w:r>
      <w:r w:rsidRPr="00F61549">
        <w:t xml:space="preserve"> Figure B1 </w:t>
      </w:r>
      <w:r>
        <w:t>ci-dessous</w:t>
      </w:r>
      <w:r w:rsidRPr="00F61549">
        <w:t xml:space="preserve"> </w:t>
      </w:r>
      <w:r>
        <w:t>indique</w:t>
      </w:r>
      <w:r w:rsidRPr="00F61549">
        <w:t xml:space="preserve"> </w:t>
      </w:r>
      <w:r>
        <w:t>les mesures effectuées en</w:t>
      </w:r>
      <w:r w:rsidRPr="00F61549">
        <w:t xml:space="preserve"> Afrique de l'Ouest (Ré</w:t>
      </w:r>
      <w:r>
        <w:t>gion </w:t>
      </w:r>
      <w:r w:rsidRPr="00F61549">
        <w:t xml:space="preserve">1) </w:t>
      </w:r>
      <w:r>
        <w:t>concernant les brouillages causés par les émissions de liaison descendante d'une</w:t>
      </w:r>
      <w:r w:rsidRPr="00F61549">
        <w:t xml:space="preserve"> </w:t>
      </w:r>
      <w:r>
        <w:t>station de base IMT de Terre</w:t>
      </w:r>
      <w:r w:rsidRPr="00F61549">
        <w:t xml:space="preserve"> en Région 2.</w:t>
      </w:r>
    </w:p>
    <w:p w14:paraId="13ED3035" w14:textId="77777777" w:rsidR="00F47DE8" w:rsidRPr="00F61549" w:rsidRDefault="00F47DE8" w:rsidP="00832389"/>
    <w:p w14:paraId="0D5F1E06" w14:textId="77777777" w:rsidR="00F47DE8" w:rsidRPr="005E1C96" w:rsidRDefault="00F47DE8" w:rsidP="00332324">
      <w:pPr>
        <w:pStyle w:val="Tabletitle"/>
      </w:pPr>
      <w:r w:rsidRPr="005E1C96">
        <w:t>Figure B1: Mesures des brouillages caus</w:t>
      </w:r>
      <w:r>
        <w:t>é</w:t>
      </w:r>
      <w:r w:rsidRPr="005E1C96">
        <w:t xml:space="preserve">s à un satellite MEO des </w:t>
      </w:r>
      <w:r>
        <w:t>IMT</w:t>
      </w:r>
      <w:r w:rsidRPr="005E1C96">
        <w:t xml:space="preserve"> </w:t>
      </w:r>
      <w:r>
        <w:br/>
        <w:t>à l'aide d'un faisceau étroit au-dessus de l'Afrique de l'Ouest</w:t>
      </w:r>
    </w:p>
    <w:p w14:paraId="150F8B92" w14:textId="267BEC75" w:rsidR="00F47DE8" w:rsidRDefault="00F47DE8" w:rsidP="00832389">
      <w:r>
        <w:rPr>
          <w:noProof/>
          <w:lang w:eastAsia="zh-CN"/>
        </w:rPr>
        <w:drawing>
          <wp:inline distT="0" distB="0" distL="0" distR="0" wp14:anchorId="06653D91" wp14:editId="74F79294">
            <wp:extent cx="5726430" cy="3056890"/>
            <wp:effectExtent l="0" t="0" r="762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map&#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9941" t="48792" r="9717" b="4469"/>
                    <a:stretch>
                      <a:fillRect/>
                    </a:stretch>
                  </pic:blipFill>
                  <pic:spPr bwMode="auto">
                    <a:xfrm>
                      <a:off x="0" y="0"/>
                      <a:ext cx="5726430" cy="3056890"/>
                    </a:xfrm>
                    <a:prstGeom prst="rect">
                      <a:avLst/>
                    </a:prstGeom>
                    <a:noFill/>
                    <a:ln>
                      <a:noFill/>
                    </a:ln>
                  </pic:spPr>
                </pic:pic>
              </a:graphicData>
            </a:graphic>
          </wp:inline>
        </w:drawing>
      </w:r>
    </w:p>
    <w:p w14:paraId="106A2D25" w14:textId="77777777" w:rsidR="00F47DE8" w:rsidRPr="00076CD0" w:rsidRDefault="00F47DE8" w:rsidP="00330135">
      <w:pPr>
        <w:pStyle w:val="Tablelegend"/>
      </w:pPr>
      <w:r w:rsidRPr="00076CD0">
        <w:t>Mesures par analyseur de spectre/Position</w:t>
      </w:r>
    </w:p>
    <w:p w14:paraId="54529465" w14:textId="0DC7BF09" w:rsidR="00F47DE8" w:rsidRDefault="00F47DE8" w:rsidP="00330135">
      <w:pPr>
        <w:pStyle w:val="Tablelegend"/>
      </w:pPr>
      <w:r>
        <w:t>1 990 – 1 995</w:t>
      </w:r>
      <w:r w:rsidR="00C10236">
        <w:t> </w:t>
      </w:r>
      <w:r>
        <w:t>MHz, Heure: 07/05/2019 19:39:16 – 07/05/2019 21:40:16 UTC</w:t>
      </w:r>
    </w:p>
    <w:p w14:paraId="7F13CA1E" w14:textId="77777777" w:rsidR="00F47DE8" w:rsidRPr="00076CD0" w:rsidRDefault="00F47DE8" w:rsidP="00330135">
      <w:pPr>
        <w:pStyle w:val="Tablelegend"/>
      </w:pPr>
      <w:r>
        <w:t>Latitude (degrés)</w:t>
      </w:r>
      <w:r>
        <w:tab/>
      </w:r>
      <w:r>
        <w:tab/>
      </w:r>
      <w:r>
        <w:tab/>
        <w:t>Longitude (degrés)</w:t>
      </w:r>
      <w:r>
        <w:tab/>
      </w:r>
      <w:r>
        <w:tab/>
        <w:t>Niveau de dépassement (dB)</w:t>
      </w:r>
    </w:p>
    <w:p w14:paraId="353DE286" w14:textId="77777777" w:rsidR="00F47DE8" w:rsidRPr="00076CD0" w:rsidRDefault="00F47DE8" w:rsidP="00832389"/>
    <w:p w14:paraId="5710A9A5" w14:textId="42F878BD" w:rsidR="00F47DE8" w:rsidRPr="00076CD0" w:rsidRDefault="00F47DE8" w:rsidP="004310CB">
      <w:r>
        <w:t>Le tracé</w:t>
      </w:r>
      <w:r w:rsidRPr="00076CD0">
        <w:t xml:space="preserve"> dans la Figure B2 ci-dessous </w:t>
      </w:r>
      <w:r>
        <w:t>indique</w:t>
      </w:r>
      <w:r w:rsidRPr="00076CD0">
        <w:t xml:space="preserve"> les mesures effectuées en Papouasie-Nouvelle-Guinée (R</w:t>
      </w:r>
      <w:r>
        <w:t>é</w:t>
      </w:r>
      <w:r w:rsidRPr="00076CD0">
        <w:t xml:space="preserve">gion 3) </w:t>
      </w:r>
      <w:r>
        <w:t xml:space="preserve">concernant </w:t>
      </w:r>
      <w:r w:rsidRPr="004A6EED">
        <w:t xml:space="preserve">les brouillages causés par les émissions de liaison descendante </w:t>
      </w:r>
      <w:r>
        <w:t>d'une station de base IMT de Terre en</w:t>
      </w:r>
      <w:r w:rsidRPr="00076CD0">
        <w:t xml:space="preserve"> Région 2.</w:t>
      </w:r>
    </w:p>
    <w:p w14:paraId="354914A8" w14:textId="77777777" w:rsidR="00F47DE8" w:rsidRPr="00076CD0" w:rsidRDefault="00F47DE8" w:rsidP="00832389"/>
    <w:p w14:paraId="4F55693B" w14:textId="6196102D" w:rsidR="00F47DE8" w:rsidRPr="00A819B6" w:rsidRDefault="00F47DE8" w:rsidP="00332324">
      <w:pPr>
        <w:pStyle w:val="Tabletitle"/>
      </w:pPr>
      <w:r w:rsidRPr="00A819B6">
        <w:lastRenderedPageBreak/>
        <w:t>Figure B2: Mesures des brouillages causés à un satellite MEO des IMT</w:t>
      </w:r>
      <w:r w:rsidR="00332324">
        <w:br/>
      </w:r>
      <w:r w:rsidRPr="00A819B6">
        <w:t xml:space="preserve">à l'aide d'un faisceau étroit </w:t>
      </w:r>
      <w:r>
        <w:t>au-dessus de la</w:t>
      </w:r>
      <w:r w:rsidRPr="00A819B6">
        <w:t xml:space="preserve"> </w:t>
      </w:r>
      <w:r>
        <w:t>Papouasie-Nouvelle-Guinée</w:t>
      </w:r>
    </w:p>
    <w:p w14:paraId="1AB2E2F0" w14:textId="77777777" w:rsidR="00F47DE8" w:rsidRDefault="00F47DE8" w:rsidP="00832389">
      <w:r>
        <w:rPr>
          <w:noProof/>
          <w:lang w:eastAsia="zh-CN"/>
        </w:rPr>
        <w:drawing>
          <wp:inline distT="0" distB="0" distL="0" distR="0" wp14:anchorId="58BF2CBA" wp14:editId="3923CA3D">
            <wp:extent cx="5726430" cy="3056890"/>
            <wp:effectExtent l="0" t="0" r="762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lose up of a ma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9807" t="47620" r="9851" b="5640"/>
                    <a:stretch>
                      <a:fillRect/>
                    </a:stretch>
                  </pic:blipFill>
                  <pic:spPr bwMode="auto">
                    <a:xfrm>
                      <a:off x="0" y="0"/>
                      <a:ext cx="5726430" cy="3056890"/>
                    </a:xfrm>
                    <a:prstGeom prst="rect">
                      <a:avLst/>
                    </a:prstGeom>
                    <a:noFill/>
                    <a:ln>
                      <a:noFill/>
                    </a:ln>
                  </pic:spPr>
                </pic:pic>
              </a:graphicData>
            </a:graphic>
          </wp:inline>
        </w:drawing>
      </w:r>
    </w:p>
    <w:p w14:paraId="5D265F5B" w14:textId="77777777" w:rsidR="00F47DE8" w:rsidRPr="00076CD0" w:rsidRDefault="00F47DE8" w:rsidP="004310CB">
      <w:pPr>
        <w:pStyle w:val="Tablelegend"/>
      </w:pPr>
      <w:r w:rsidRPr="00076CD0">
        <w:t>Mesures par analyseur de spectre/Position</w:t>
      </w:r>
    </w:p>
    <w:p w14:paraId="24250D3D" w14:textId="04D63470" w:rsidR="00F47DE8" w:rsidRDefault="00F47DE8" w:rsidP="004310CB">
      <w:pPr>
        <w:pStyle w:val="Tablelegend"/>
      </w:pPr>
      <w:r>
        <w:t>1 990</w:t>
      </w:r>
      <w:r w:rsidR="00C10236">
        <w:noBreakHyphen/>
      </w:r>
      <w:r>
        <w:t>1 995</w:t>
      </w:r>
      <w:r w:rsidR="00C10236">
        <w:t> </w:t>
      </w:r>
      <w:r>
        <w:t>MHz, Heure: 15/05/2019 14:01:16 – 15/05/2019 14:41:16 UTC</w:t>
      </w:r>
    </w:p>
    <w:p w14:paraId="3C799535" w14:textId="77777777" w:rsidR="00F47DE8" w:rsidRPr="00A819B6" w:rsidRDefault="00F47DE8" w:rsidP="004310CB">
      <w:pPr>
        <w:pStyle w:val="Tablelegend"/>
      </w:pPr>
      <w:r>
        <w:t>Latitude (degrés)</w:t>
      </w:r>
      <w:r>
        <w:tab/>
      </w:r>
      <w:r>
        <w:tab/>
      </w:r>
      <w:r>
        <w:tab/>
        <w:t>Longitude (degrés)</w:t>
      </w:r>
      <w:r>
        <w:tab/>
      </w:r>
      <w:r>
        <w:tab/>
        <w:t>Niveau de dépassement (dB)</w:t>
      </w:r>
    </w:p>
    <w:p w14:paraId="1F5DE700" w14:textId="77777777" w:rsidR="00F47DE8" w:rsidRPr="00A819B6" w:rsidRDefault="00F47DE8" w:rsidP="00832389"/>
    <w:p w14:paraId="2AF84A5B" w14:textId="11DF347D" w:rsidR="00F47DE8" w:rsidRPr="004310CB" w:rsidRDefault="00F47DE8" w:rsidP="00C10236">
      <w:r w:rsidRPr="00B34A82">
        <w:t xml:space="preserve">Les tracés indiqués dans les deux figures ci-dessus </w:t>
      </w:r>
      <w:r>
        <w:t>démontrent</w:t>
      </w:r>
      <w:r w:rsidRPr="00B34A82">
        <w:t xml:space="preserve"> que l'exploitation des liaisons descendantes de la composante de Terre des IMT </w:t>
      </w:r>
      <w:r>
        <w:t>cause des brouillages importants aux liaisons montantes de la composante satellite des IMT, même lorsque les déploiements respectifs des composantes</w:t>
      </w:r>
      <w:r w:rsidRPr="00B34A82">
        <w:t xml:space="preserve"> de Terre et satellite </w:t>
      </w:r>
      <w:r>
        <w:t>s'effectuent à des milliers de kilomètres l'un de l'autre</w:t>
      </w:r>
      <w:r w:rsidRPr="00B34A82">
        <w:t xml:space="preserve">. </w:t>
      </w:r>
      <w:r>
        <w:t xml:space="preserve">Les résultats obtenus permettent de confirmer que les brouillages causés par l'exploitation des liaisons descendantes de la composante de Terre des IMT </w:t>
      </w:r>
      <w:r w:rsidRPr="00B34A82">
        <w:t xml:space="preserve">aux liaisons montantes de la composante satellite des IMT </w:t>
      </w:r>
      <w:r>
        <w:t>est un problème international qui a des incidences sur la compatibilité technique à l'échelle mondiale entre la composante de Terre et la composante satellite des IMT dans la bande 1 980</w:t>
      </w:r>
      <w:r w:rsidR="00C10236">
        <w:noBreakHyphen/>
      </w:r>
      <w:r>
        <w:t>2 010 </w:t>
      </w:r>
      <w:r w:rsidRPr="00B34A82">
        <w:t>MHz.</w:t>
      </w:r>
    </w:p>
    <w:p w14:paraId="12496113" w14:textId="77777777" w:rsidR="00F47DE8" w:rsidRPr="00B34A82" w:rsidRDefault="00F47DE8" w:rsidP="00C10236">
      <w:pPr>
        <w:rPr>
          <w:b/>
          <w:szCs w:val="24"/>
        </w:rPr>
      </w:pPr>
      <w:r w:rsidRPr="00B34A82">
        <w:rPr>
          <w:b/>
          <w:szCs w:val="24"/>
        </w:rPr>
        <w:br w:type="page"/>
      </w:r>
    </w:p>
    <w:p w14:paraId="241DCB7A" w14:textId="77777777" w:rsidR="00F47DE8" w:rsidRPr="003D0CDA" w:rsidRDefault="00F47DE8" w:rsidP="00332324">
      <w:pPr>
        <w:pStyle w:val="AnnexNo"/>
      </w:pPr>
      <w:r w:rsidRPr="003D0CDA">
        <w:lastRenderedPageBreak/>
        <w:t>AnnexE C</w:t>
      </w:r>
    </w:p>
    <w:p w14:paraId="2613DC4A" w14:textId="77777777" w:rsidR="00F47DE8" w:rsidRPr="003D0CDA" w:rsidRDefault="00F47DE8" w:rsidP="00332324">
      <w:pPr>
        <w:pStyle w:val="Annextitle"/>
      </w:pPr>
      <w:r w:rsidRPr="003D0CDA">
        <w:t>Détermination des valeurs de</w:t>
      </w:r>
      <w:r>
        <w:t>s</w:t>
      </w:r>
      <w:r w:rsidRPr="003D0CDA">
        <w:t xml:space="preserve"> paramètres </w:t>
      </w:r>
      <w:r>
        <w:t>du</w:t>
      </w:r>
      <w:r w:rsidRPr="003D0CDA">
        <w:t xml:space="preserve"> Tableau 7a de l'Appendice 7</w:t>
      </w:r>
    </w:p>
    <w:p w14:paraId="3361B82C" w14:textId="32F57F3E" w:rsidR="00F47DE8" w:rsidRPr="00F45A51" w:rsidRDefault="00F47DE8" w:rsidP="0088187B">
      <w:pPr>
        <w:spacing w:after="120"/>
      </w:pPr>
      <w:r>
        <w:t>Pour traiter le</w:t>
      </w:r>
      <w:r w:rsidRPr="00A1111B">
        <w:t xml:space="preserve"> </w:t>
      </w:r>
      <w:r w:rsidR="00B63179">
        <w:t>S</w:t>
      </w:r>
      <w:r>
        <w:t>cénario de brouillage</w:t>
      </w:r>
      <w:r w:rsidRPr="00A1111B">
        <w:t xml:space="preserve"> B1, il est proposé </w:t>
      </w:r>
      <w:r>
        <w:t xml:space="preserve">de procéder à des </w:t>
      </w:r>
      <w:r w:rsidRPr="00A1111B">
        <w:t>ajout</w:t>
      </w:r>
      <w:r>
        <w:t>s</w:t>
      </w:r>
      <w:r w:rsidRPr="00A1111B">
        <w:t xml:space="preserve"> dans l'Appendice 7 </w:t>
      </w:r>
      <w:r>
        <w:t>pour y faire figurer des</w:t>
      </w:r>
      <w:r w:rsidRPr="00A1111B">
        <w:t xml:space="preserve"> paramètres pertinents pour la modulation numérique </w:t>
      </w:r>
      <w:r>
        <w:t>qui sont nécessaires pour déterminer la distance de coordination dans le cas d'une station terrienne d'émission.</w:t>
      </w:r>
      <w:r w:rsidRPr="00A1111B">
        <w:t xml:space="preserve"> Les paramètres sont fondés sur les caractéristiques </w:t>
      </w:r>
      <w:r>
        <w:t>des stations de base IMT de réception</w:t>
      </w:r>
      <w:r w:rsidRPr="00A1111B">
        <w:t xml:space="preserve">, </w:t>
      </w:r>
      <w:r>
        <w:t>en conformité avec</w:t>
      </w:r>
      <w:r w:rsidRPr="00A1111B">
        <w:t xml:space="preserve"> </w:t>
      </w:r>
      <w:r>
        <w:t xml:space="preserve">le </w:t>
      </w:r>
      <w:r w:rsidRPr="00A1111B">
        <w:t>R</w:t>
      </w:r>
      <w:r>
        <w:t>ap</w:t>
      </w:r>
      <w:r w:rsidRPr="00A1111B">
        <w:t xml:space="preserve">port </w:t>
      </w:r>
      <w:r>
        <w:t xml:space="preserve">UIT-R M.2292. </w:t>
      </w:r>
      <w:r w:rsidRPr="00F45A51">
        <w:t xml:space="preserve">Ces </w:t>
      </w:r>
      <w:r>
        <w:t>ajouts</w:t>
      </w:r>
      <w:r w:rsidRPr="00F45A51">
        <w:t xml:space="preserve"> </w:t>
      </w:r>
      <w:r>
        <w:t>permettraient d'aider</w:t>
      </w:r>
      <w:r w:rsidRPr="00F45A51">
        <w:t xml:space="preserve"> les administrations à établir les distances de coordination nécessaires. </w:t>
      </w:r>
      <w:r>
        <w:t>Les observations figurant dans le Tableau ci-après décrivent les différents paramètres et présentent les détails des calculs</w:t>
      </w:r>
      <w:r w:rsidRPr="00F45A51">
        <w:t>.</w:t>
      </w:r>
    </w:p>
    <w:p w14:paraId="18EFF130" w14:textId="05358A13" w:rsidR="00F47DE8" w:rsidRPr="00096B1E" w:rsidRDefault="00F47DE8" w:rsidP="0088187B">
      <w:pPr>
        <w:pStyle w:val="Tabletitle"/>
      </w:pPr>
      <w:bookmarkStart w:id="6" w:name="_Toc451865291"/>
      <w:r w:rsidRPr="00096B1E">
        <w:t>Table</w:t>
      </w:r>
      <w:r>
        <w:t>au</w:t>
      </w:r>
      <w:r w:rsidRPr="00096B1E">
        <w:t xml:space="preserve"> C1: Paramètres nécessaires pour déterminer la </w:t>
      </w:r>
      <w:r w:rsidRPr="0088187B">
        <w:t>distance</w:t>
      </w:r>
      <w:r w:rsidRPr="00096B1E">
        <w:t xml:space="preserve"> de coordination dans le cas </w:t>
      </w:r>
      <w:r w:rsidR="00B86C07">
        <w:br/>
      </w:r>
      <w:r w:rsidRPr="00096B1E">
        <w:t>d'une station terrienne d'émission</w:t>
      </w:r>
    </w:p>
    <w:tbl>
      <w:tblPr>
        <w:tblW w:w="9337" w:type="dxa"/>
        <w:jc w:val="right"/>
        <w:tblLayout w:type="fixed"/>
        <w:tblCellMar>
          <w:left w:w="57" w:type="dxa"/>
          <w:right w:w="57" w:type="dxa"/>
        </w:tblCellMar>
        <w:tblLook w:val="04A0" w:firstRow="1" w:lastRow="0" w:firstColumn="1" w:lastColumn="0" w:noHBand="0" w:noVBand="1"/>
      </w:tblPr>
      <w:tblGrid>
        <w:gridCol w:w="1094"/>
        <w:gridCol w:w="1093"/>
        <w:gridCol w:w="703"/>
        <w:gridCol w:w="742"/>
        <w:gridCol w:w="5705"/>
      </w:tblGrid>
      <w:tr w:rsidR="00F47DE8" w:rsidRPr="002C67CB" w14:paraId="35309E6D" w14:textId="77777777" w:rsidTr="0088187B">
        <w:trPr>
          <w:tblHeader/>
          <w:jc w:val="right"/>
        </w:trPr>
        <w:tc>
          <w:tcPr>
            <w:tcW w:w="2187" w:type="dxa"/>
            <w:gridSpan w:val="2"/>
            <w:tcBorders>
              <w:top w:val="single" w:sz="6" w:space="0" w:color="auto"/>
              <w:left w:val="single" w:sz="6" w:space="0" w:color="auto"/>
              <w:bottom w:val="nil"/>
              <w:right w:val="single" w:sz="6" w:space="0" w:color="auto"/>
            </w:tcBorders>
            <w:vAlign w:val="center"/>
            <w:hideMark/>
          </w:tcPr>
          <w:p w14:paraId="4804870B" w14:textId="77777777" w:rsidR="00F47DE8" w:rsidRPr="002C67CB" w:rsidRDefault="00F47DE8" w:rsidP="004310CB">
            <w:pPr>
              <w:pStyle w:val="Tablehead"/>
            </w:pPr>
            <w:r w:rsidRPr="002C67CB">
              <w:t>Désignation du service de radiocommunication spatiale, émission</w:t>
            </w:r>
          </w:p>
        </w:tc>
        <w:tc>
          <w:tcPr>
            <w:tcW w:w="1445" w:type="dxa"/>
            <w:gridSpan w:val="2"/>
            <w:tcBorders>
              <w:top w:val="single" w:sz="6" w:space="0" w:color="auto"/>
              <w:left w:val="single" w:sz="6" w:space="0" w:color="auto"/>
              <w:bottom w:val="single" w:sz="6" w:space="0" w:color="auto"/>
              <w:right w:val="single" w:sz="6" w:space="0" w:color="auto"/>
            </w:tcBorders>
            <w:vAlign w:val="center"/>
            <w:hideMark/>
          </w:tcPr>
          <w:p w14:paraId="70BD8B35" w14:textId="77777777" w:rsidR="00F47DE8" w:rsidRPr="002C67CB" w:rsidRDefault="00F47DE8" w:rsidP="004310CB">
            <w:pPr>
              <w:pStyle w:val="Tablehead"/>
            </w:pPr>
            <w:r w:rsidRPr="002C67CB">
              <w:t>Mobile par satellite</w:t>
            </w:r>
          </w:p>
        </w:tc>
        <w:tc>
          <w:tcPr>
            <w:tcW w:w="5705" w:type="dxa"/>
            <w:tcBorders>
              <w:top w:val="single" w:sz="6" w:space="0" w:color="auto"/>
              <w:left w:val="single" w:sz="6" w:space="0" w:color="auto"/>
              <w:bottom w:val="single" w:sz="6" w:space="0" w:color="auto"/>
              <w:right w:val="single" w:sz="6" w:space="0" w:color="auto"/>
            </w:tcBorders>
            <w:vAlign w:val="center"/>
            <w:hideMark/>
          </w:tcPr>
          <w:p w14:paraId="329264C5" w14:textId="77777777" w:rsidR="00F47DE8" w:rsidRPr="002C67CB" w:rsidRDefault="00F47DE8" w:rsidP="004310CB">
            <w:pPr>
              <w:pStyle w:val="Tablehead"/>
            </w:pPr>
            <w:r w:rsidRPr="002C67CB">
              <w:t>Observations</w:t>
            </w:r>
          </w:p>
        </w:tc>
      </w:tr>
      <w:tr w:rsidR="00F47DE8" w14:paraId="465A0F49" w14:textId="77777777" w:rsidTr="0088187B">
        <w:trPr>
          <w:cantSplit/>
          <w:jc w:val="right"/>
        </w:trPr>
        <w:tc>
          <w:tcPr>
            <w:tcW w:w="2187" w:type="dxa"/>
            <w:gridSpan w:val="2"/>
            <w:tcBorders>
              <w:top w:val="single" w:sz="6" w:space="0" w:color="auto"/>
              <w:left w:val="single" w:sz="6" w:space="0" w:color="auto"/>
              <w:bottom w:val="nil"/>
              <w:right w:val="single" w:sz="6" w:space="0" w:color="auto"/>
            </w:tcBorders>
            <w:hideMark/>
          </w:tcPr>
          <w:p w14:paraId="253A92AB" w14:textId="77777777" w:rsidR="00F47DE8" w:rsidRPr="002C67CB" w:rsidRDefault="00F47DE8" w:rsidP="004310CB">
            <w:pPr>
              <w:pStyle w:val="Tabletext"/>
            </w:pPr>
            <w:r w:rsidRPr="002C67CB">
              <w:t>Bandes de fréquences (MHz)</w:t>
            </w:r>
          </w:p>
        </w:tc>
        <w:tc>
          <w:tcPr>
            <w:tcW w:w="1445" w:type="dxa"/>
            <w:gridSpan w:val="2"/>
            <w:tcBorders>
              <w:top w:val="single" w:sz="6" w:space="0" w:color="auto"/>
              <w:left w:val="single" w:sz="6" w:space="0" w:color="auto"/>
              <w:bottom w:val="single" w:sz="6" w:space="0" w:color="auto"/>
              <w:right w:val="single" w:sz="6" w:space="0" w:color="auto"/>
            </w:tcBorders>
            <w:hideMark/>
          </w:tcPr>
          <w:p w14:paraId="53196025" w14:textId="77777777" w:rsidR="00F47DE8" w:rsidRDefault="00F47DE8" w:rsidP="004310CB">
            <w:pPr>
              <w:pStyle w:val="Tabletext"/>
              <w:jc w:val="center"/>
              <w:rPr>
                <w:lang w:val="en-US"/>
              </w:rPr>
            </w:pPr>
            <w:r>
              <w:rPr>
                <w:lang w:val="en-US"/>
              </w:rPr>
              <w:t>1 980-2 025</w:t>
            </w:r>
          </w:p>
        </w:tc>
        <w:tc>
          <w:tcPr>
            <w:tcW w:w="5705" w:type="dxa"/>
            <w:tcBorders>
              <w:top w:val="single" w:sz="6" w:space="0" w:color="auto"/>
              <w:left w:val="single" w:sz="6" w:space="0" w:color="auto"/>
              <w:bottom w:val="single" w:sz="6" w:space="0" w:color="auto"/>
              <w:right w:val="single" w:sz="6" w:space="0" w:color="auto"/>
            </w:tcBorders>
            <w:hideMark/>
          </w:tcPr>
          <w:p w14:paraId="0F8A43DC" w14:textId="28DA6BDA" w:rsidR="00F47DE8" w:rsidRDefault="0088187B" w:rsidP="004310CB">
            <w:pPr>
              <w:pStyle w:val="Tabletext"/>
              <w:rPr>
                <w:lang w:val="en-US"/>
              </w:rPr>
            </w:pPr>
            <w:r w:rsidRPr="00B63179">
              <w:rPr>
                <w:lang w:val="en-US" w:eastAsia="zh-CN"/>
              </w:rPr>
              <w:t>–</w:t>
            </w:r>
          </w:p>
        </w:tc>
      </w:tr>
      <w:tr w:rsidR="00F47DE8" w14:paraId="4A980170" w14:textId="77777777" w:rsidTr="0088187B">
        <w:trPr>
          <w:cantSplit/>
          <w:jc w:val="right"/>
        </w:trPr>
        <w:tc>
          <w:tcPr>
            <w:tcW w:w="2187" w:type="dxa"/>
            <w:gridSpan w:val="2"/>
            <w:tcBorders>
              <w:top w:val="single" w:sz="6" w:space="0" w:color="auto"/>
              <w:left w:val="single" w:sz="6" w:space="0" w:color="auto"/>
              <w:bottom w:val="nil"/>
              <w:right w:val="single" w:sz="6" w:space="0" w:color="auto"/>
            </w:tcBorders>
            <w:hideMark/>
          </w:tcPr>
          <w:p w14:paraId="08093E7C" w14:textId="77777777" w:rsidR="00F47DE8" w:rsidRPr="002C67CB" w:rsidRDefault="00F47DE8" w:rsidP="004310CB">
            <w:pPr>
              <w:pStyle w:val="Tabletext"/>
            </w:pPr>
            <w:r w:rsidRPr="002C67CB">
              <w:t>Désignation du service de Terre, réception</w:t>
            </w:r>
          </w:p>
        </w:tc>
        <w:tc>
          <w:tcPr>
            <w:tcW w:w="1445" w:type="dxa"/>
            <w:gridSpan w:val="2"/>
            <w:tcBorders>
              <w:top w:val="single" w:sz="6" w:space="0" w:color="auto"/>
              <w:left w:val="single" w:sz="6" w:space="0" w:color="auto"/>
              <w:bottom w:val="single" w:sz="6" w:space="0" w:color="auto"/>
              <w:right w:val="single" w:sz="6" w:space="0" w:color="auto"/>
            </w:tcBorders>
            <w:hideMark/>
          </w:tcPr>
          <w:p w14:paraId="65AEE227" w14:textId="77777777" w:rsidR="00F47DE8" w:rsidRDefault="00F47DE8" w:rsidP="004310CB">
            <w:pPr>
              <w:pStyle w:val="Tabletext"/>
              <w:jc w:val="center"/>
              <w:rPr>
                <w:lang w:val="en-US"/>
              </w:rPr>
            </w:pPr>
            <w:r>
              <w:rPr>
                <w:lang w:val="en-US"/>
              </w:rPr>
              <w:t>Fixe, mobile</w:t>
            </w:r>
          </w:p>
        </w:tc>
        <w:tc>
          <w:tcPr>
            <w:tcW w:w="5705" w:type="dxa"/>
            <w:tcBorders>
              <w:top w:val="single" w:sz="6" w:space="0" w:color="auto"/>
              <w:left w:val="single" w:sz="6" w:space="0" w:color="auto"/>
              <w:bottom w:val="single" w:sz="6" w:space="0" w:color="auto"/>
              <w:right w:val="single" w:sz="6" w:space="0" w:color="auto"/>
            </w:tcBorders>
            <w:hideMark/>
          </w:tcPr>
          <w:p w14:paraId="0126DA79" w14:textId="6199AF91" w:rsidR="00F47DE8" w:rsidRDefault="0088187B" w:rsidP="004310CB">
            <w:pPr>
              <w:pStyle w:val="Tabletext"/>
              <w:rPr>
                <w:lang w:val="en-US"/>
              </w:rPr>
            </w:pPr>
            <w:r w:rsidRPr="00B63179">
              <w:rPr>
                <w:lang w:val="en-US" w:eastAsia="zh-CN"/>
              </w:rPr>
              <w:t>–</w:t>
            </w:r>
          </w:p>
        </w:tc>
      </w:tr>
      <w:tr w:rsidR="00F47DE8" w14:paraId="14A20513" w14:textId="77777777" w:rsidTr="0088187B">
        <w:trPr>
          <w:cantSplit/>
          <w:jc w:val="right"/>
        </w:trPr>
        <w:tc>
          <w:tcPr>
            <w:tcW w:w="2187" w:type="dxa"/>
            <w:gridSpan w:val="2"/>
            <w:tcBorders>
              <w:top w:val="single" w:sz="6" w:space="0" w:color="auto"/>
              <w:left w:val="single" w:sz="6" w:space="0" w:color="auto"/>
              <w:bottom w:val="nil"/>
              <w:right w:val="single" w:sz="6" w:space="0" w:color="auto"/>
            </w:tcBorders>
            <w:hideMark/>
          </w:tcPr>
          <w:p w14:paraId="447C0958" w14:textId="77777777" w:rsidR="00F47DE8" w:rsidRPr="002C67CB" w:rsidRDefault="00F47DE8" w:rsidP="004310CB">
            <w:pPr>
              <w:pStyle w:val="Tabletext"/>
            </w:pPr>
            <w:r w:rsidRPr="002C67CB">
              <w:t>Méthode à utiliser</w:t>
            </w:r>
          </w:p>
        </w:tc>
        <w:tc>
          <w:tcPr>
            <w:tcW w:w="1445" w:type="dxa"/>
            <w:gridSpan w:val="2"/>
            <w:tcBorders>
              <w:top w:val="single" w:sz="6" w:space="0" w:color="auto"/>
              <w:left w:val="single" w:sz="6" w:space="0" w:color="auto"/>
              <w:bottom w:val="single" w:sz="6" w:space="0" w:color="auto"/>
              <w:right w:val="single" w:sz="6" w:space="0" w:color="auto"/>
            </w:tcBorders>
            <w:hideMark/>
          </w:tcPr>
          <w:p w14:paraId="657F4A3C" w14:textId="77777777" w:rsidR="00F47DE8" w:rsidRDefault="00F47DE8" w:rsidP="004310CB">
            <w:pPr>
              <w:pStyle w:val="Tabletext"/>
              <w:jc w:val="center"/>
              <w:rPr>
                <w:lang w:val="en-US"/>
              </w:rPr>
            </w:pPr>
            <w:r>
              <w:rPr>
                <w:lang w:val="en-US"/>
              </w:rPr>
              <w:t>§ 1.4.6</w:t>
            </w:r>
          </w:p>
        </w:tc>
        <w:tc>
          <w:tcPr>
            <w:tcW w:w="5705" w:type="dxa"/>
            <w:tcBorders>
              <w:top w:val="single" w:sz="6" w:space="0" w:color="auto"/>
              <w:left w:val="single" w:sz="6" w:space="0" w:color="auto"/>
              <w:bottom w:val="single" w:sz="6" w:space="0" w:color="auto"/>
              <w:right w:val="single" w:sz="6" w:space="0" w:color="auto"/>
            </w:tcBorders>
            <w:hideMark/>
          </w:tcPr>
          <w:p w14:paraId="5F4FD4C2" w14:textId="43B36B89" w:rsidR="00F47DE8" w:rsidRDefault="0088187B" w:rsidP="004310CB">
            <w:pPr>
              <w:pStyle w:val="Tabletext"/>
              <w:rPr>
                <w:lang w:val="en-US"/>
              </w:rPr>
            </w:pPr>
            <w:r w:rsidRPr="00B63179">
              <w:rPr>
                <w:lang w:val="en-US" w:eastAsia="zh-CN"/>
              </w:rPr>
              <w:t>–</w:t>
            </w:r>
          </w:p>
        </w:tc>
      </w:tr>
      <w:tr w:rsidR="00F47DE8" w14:paraId="22775114" w14:textId="77777777" w:rsidTr="0088187B">
        <w:trPr>
          <w:cantSplit/>
          <w:jc w:val="right"/>
        </w:trPr>
        <w:tc>
          <w:tcPr>
            <w:tcW w:w="2187" w:type="dxa"/>
            <w:gridSpan w:val="2"/>
            <w:tcBorders>
              <w:top w:val="single" w:sz="6" w:space="0" w:color="auto"/>
              <w:left w:val="single" w:sz="6" w:space="0" w:color="auto"/>
              <w:bottom w:val="nil"/>
              <w:right w:val="single" w:sz="6" w:space="0" w:color="auto"/>
            </w:tcBorders>
            <w:hideMark/>
          </w:tcPr>
          <w:p w14:paraId="26A96147" w14:textId="77777777" w:rsidR="00F47DE8" w:rsidRPr="002C67CB" w:rsidRDefault="00F47DE8" w:rsidP="004310CB">
            <w:pPr>
              <w:pStyle w:val="Tabletext"/>
            </w:pPr>
            <w:r w:rsidRPr="002C67CB">
              <w:t xml:space="preserve">Modulation au niveau de la station de Terre </w:t>
            </w:r>
            <w:r w:rsidRPr="002C67CB">
              <w:rPr>
                <w:position w:val="4"/>
              </w:rPr>
              <w:t>1</w:t>
            </w:r>
          </w:p>
        </w:tc>
        <w:tc>
          <w:tcPr>
            <w:tcW w:w="703" w:type="dxa"/>
            <w:tcBorders>
              <w:top w:val="single" w:sz="6" w:space="0" w:color="auto"/>
              <w:left w:val="single" w:sz="6" w:space="0" w:color="auto"/>
              <w:bottom w:val="single" w:sz="6" w:space="0" w:color="auto"/>
              <w:right w:val="single" w:sz="6" w:space="0" w:color="auto"/>
            </w:tcBorders>
            <w:hideMark/>
          </w:tcPr>
          <w:p w14:paraId="4B059D2F" w14:textId="77777777" w:rsidR="00F47DE8" w:rsidRDefault="00F47DE8" w:rsidP="004310CB">
            <w:pPr>
              <w:pStyle w:val="Tabletext"/>
              <w:jc w:val="center"/>
              <w:rPr>
                <w:lang w:val="en-US"/>
              </w:rPr>
            </w:pPr>
            <w:r>
              <w:rPr>
                <w:lang w:val="en-US"/>
              </w:rPr>
              <w:t>A</w:t>
            </w:r>
          </w:p>
        </w:tc>
        <w:tc>
          <w:tcPr>
            <w:tcW w:w="742" w:type="dxa"/>
            <w:tcBorders>
              <w:top w:val="single" w:sz="6" w:space="0" w:color="auto"/>
              <w:left w:val="single" w:sz="6" w:space="0" w:color="auto"/>
              <w:bottom w:val="single" w:sz="6" w:space="0" w:color="auto"/>
              <w:right w:val="single" w:sz="6" w:space="0" w:color="auto"/>
            </w:tcBorders>
            <w:hideMark/>
          </w:tcPr>
          <w:p w14:paraId="316BFD5A" w14:textId="77777777" w:rsidR="00F47DE8" w:rsidRDefault="00F47DE8" w:rsidP="004310CB">
            <w:pPr>
              <w:pStyle w:val="Tabletext"/>
              <w:jc w:val="center"/>
              <w:rPr>
                <w:lang w:val="en-US"/>
              </w:rPr>
            </w:pPr>
            <w:r>
              <w:rPr>
                <w:lang w:val="en-US"/>
              </w:rPr>
              <w:t>N</w:t>
            </w:r>
          </w:p>
        </w:tc>
        <w:tc>
          <w:tcPr>
            <w:tcW w:w="5705" w:type="dxa"/>
            <w:tcBorders>
              <w:top w:val="single" w:sz="6" w:space="0" w:color="auto"/>
              <w:left w:val="single" w:sz="6" w:space="0" w:color="auto"/>
              <w:bottom w:val="single" w:sz="6" w:space="0" w:color="auto"/>
              <w:right w:val="single" w:sz="6" w:space="0" w:color="auto"/>
            </w:tcBorders>
            <w:hideMark/>
          </w:tcPr>
          <w:p w14:paraId="16E3210B" w14:textId="5E62E883" w:rsidR="00F47DE8" w:rsidRDefault="0088187B" w:rsidP="004310CB">
            <w:pPr>
              <w:pStyle w:val="Tabletext"/>
              <w:rPr>
                <w:lang w:val="en-US"/>
              </w:rPr>
            </w:pPr>
            <w:r w:rsidRPr="00B63179">
              <w:rPr>
                <w:lang w:val="en-US" w:eastAsia="zh-CN"/>
              </w:rPr>
              <w:t>–</w:t>
            </w:r>
          </w:p>
        </w:tc>
      </w:tr>
      <w:tr w:rsidR="00F47DE8" w:rsidRPr="00865F21" w14:paraId="3AC3BEF1" w14:textId="77777777" w:rsidTr="0088187B">
        <w:trPr>
          <w:cantSplit/>
          <w:jc w:val="right"/>
        </w:trPr>
        <w:tc>
          <w:tcPr>
            <w:tcW w:w="1094" w:type="dxa"/>
            <w:vMerge w:val="restart"/>
            <w:tcBorders>
              <w:top w:val="single" w:sz="6" w:space="0" w:color="auto"/>
              <w:left w:val="single" w:sz="6" w:space="0" w:color="auto"/>
              <w:bottom w:val="single" w:sz="6" w:space="0" w:color="auto"/>
              <w:right w:val="single" w:sz="6" w:space="0" w:color="auto"/>
            </w:tcBorders>
            <w:hideMark/>
          </w:tcPr>
          <w:p w14:paraId="566E3AF0" w14:textId="77777777" w:rsidR="00F47DE8" w:rsidRPr="002C67CB" w:rsidRDefault="00F47DE8" w:rsidP="004310CB">
            <w:pPr>
              <w:pStyle w:val="Tabletext"/>
            </w:pPr>
            <w:r w:rsidRPr="002C67CB">
              <w:t>Paramètres et critères de brouillage de la station terrienne</w:t>
            </w:r>
          </w:p>
        </w:tc>
        <w:tc>
          <w:tcPr>
            <w:tcW w:w="1093" w:type="dxa"/>
            <w:tcBorders>
              <w:top w:val="single" w:sz="6" w:space="0" w:color="auto"/>
              <w:left w:val="single" w:sz="6" w:space="0" w:color="auto"/>
              <w:bottom w:val="single" w:sz="6" w:space="0" w:color="auto"/>
              <w:right w:val="single" w:sz="6" w:space="0" w:color="auto"/>
            </w:tcBorders>
            <w:hideMark/>
          </w:tcPr>
          <w:p w14:paraId="5DD7FEC0" w14:textId="77777777" w:rsidR="00F47DE8" w:rsidRPr="002C67CB" w:rsidRDefault="00F47DE8" w:rsidP="004310CB">
            <w:pPr>
              <w:pStyle w:val="Tabletext"/>
            </w:pPr>
            <w:r w:rsidRPr="002C67CB">
              <w:rPr>
                <w:i/>
                <w:iCs/>
              </w:rPr>
              <w:t>p</w:t>
            </w:r>
            <w:r w:rsidRPr="002C67CB">
              <w:rPr>
                <w:position w:val="-4"/>
              </w:rPr>
              <w:t>0</w:t>
            </w:r>
            <w:r w:rsidRPr="002C67CB">
              <w:t xml:space="preserve"> (%)</w:t>
            </w:r>
          </w:p>
        </w:tc>
        <w:tc>
          <w:tcPr>
            <w:tcW w:w="703" w:type="dxa"/>
            <w:tcBorders>
              <w:top w:val="single" w:sz="6" w:space="0" w:color="auto"/>
              <w:left w:val="single" w:sz="6" w:space="0" w:color="auto"/>
              <w:bottom w:val="single" w:sz="6" w:space="0" w:color="auto"/>
              <w:right w:val="single" w:sz="6" w:space="0" w:color="auto"/>
            </w:tcBorders>
            <w:hideMark/>
          </w:tcPr>
          <w:p w14:paraId="4254E55D" w14:textId="77777777" w:rsidR="00F47DE8" w:rsidRDefault="00F47DE8" w:rsidP="004310CB">
            <w:pPr>
              <w:pStyle w:val="Tabletext"/>
              <w:jc w:val="center"/>
              <w:rPr>
                <w:lang w:val="en-US"/>
              </w:rPr>
            </w:pPr>
            <w:r>
              <w:rPr>
                <w:lang w:val="en-US"/>
              </w:rPr>
              <w:t>0,01</w:t>
            </w:r>
          </w:p>
        </w:tc>
        <w:tc>
          <w:tcPr>
            <w:tcW w:w="742" w:type="dxa"/>
            <w:tcBorders>
              <w:top w:val="single" w:sz="6" w:space="0" w:color="auto"/>
              <w:left w:val="single" w:sz="6" w:space="0" w:color="auto"/>
              <w:bottom w:val="single" w:sz="6" w:space="0" w:color="auto"/>
              <w:right w:val="single" w:sz="6" w:space="0" w:color="auto"/>
            </w:tcBorders>
            <w:hideMark/>
          </w:tcPr>
          <w:p w14:paraId="4DF003EA" w14:textId="77777777" w:rsidR="00F47DE8" w:rsidRDefault="00F47DE8" w:rsidP="004310CB">
            <w:pPr>
              <w:pStyle w:val="Tabletext"/>
              <w:jc w:val="center"/>
              <w:rPr>
                <w:lang w:val="en-US"/>
              </w:rPr>
            </w:pPr>
            <w:r>
              <w:rPr>
                <w:lang w:val="en-US" w:eastAsia="ru-RU"/>
              </w:rPr>
              <w:t>20</w:t>
            </w:r>
          </w:p>
        </w:tc>
        <w:tc>
          <w:tcPr>
            <w:tcW w:w="5705" w:type="dxa"/>
            <w:tcBorders>
              <w:top w:val="single" w:sz="6" w:space="0" w:color="auto"/>
              <w:left w:val="single" w:sz="6" w:space="0" w:color="auto"/>
              <w:bottom w:val="single" w:sz="6" w:space="0" w:color="auto"/>
              <w:right w:val="single" w:sz="6" w:space="0" w:color="auto"/>
            </w:tcBorders>
            <w:hideMark/>
          </w:tcPr>
          <w:p w14:paraId="0BD30DC4" w14:textId="77777777" w:rsidR="00F47DE8" w:rsidRPr="00865F21" w:rsidRDefault="00F47DE8" w:rsidP="004310CB">
            <w:pPr>
              <w:pStyle w:val="Tabletext"/>
            </w:pPr>
            <w:r w:rsidRPr="00865F21">
              <w:t>pourcentage de temps pendant lequel le brouillage provenant de toutes les sources peut dépasser la valeur de seuil</w:t>
            </w:r>
          </w:p>
        </w:tc>
      </w:tr>
      <w:tr w:rsidR="00F47DE8" w:rsidRPr="00865F21" w14:paraId="7A7EAE69" w14:textId="77777777" w:rsidTr="0088187B">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0280F9DF" w14:textId="77777777" w:rsidR="00F47DE8" w:rsidRPr="002C67CB" w:rsidRDefault="00F47DE8" w:rsidP="004310CB">
            <w:pPr>
              <w:pStyle w:val="Tabletext"/>
            </w:pPr>
          </w:p>
        </w:tc>
        <w:tc>
          <w:tcPr>
            <w:tcW w:w="1093" w:type="dxa"/>
            <w:tcBorders>
              <w:top w:val="single" w:sz="6" w:space="0" w:color="auto"/>
              <w:left w:val="single" w:sz="6" w:space="0" w:color="auto"/>
              <w:bottom w:val="single" w:sz="6" w:space="0" w:color="auto"/>
              <w:right w:val="single" w:sz="6" w:space="0" w:color="auto"/>
            </w:tcBorders>
            <w:hideMark/>
          </w:tcPr>
          <w:p w14:paraId="28FE9D14" w14:textId="77777777" w:rsidR="00F47DE8" w:rsidRPr="002C67CB" w:rsidRDefault="00F47DE8" w:rsidP="004310CB">
            <w:pPr>
              <w:pStyle w:val="Tabletext"/>
              <w:rPr>
                <w:i/>
                <w:iCs/>
              </w:rPr>
            </w:pPr>
            <w:r w:rsidRPr="002C67CB">
              <w:rPr>
                <w:i/>
                <w:iCs/>
              </w:rPr>
              <w:t>n</w:t>
            </w:r>
          </w:p>
        </w:tc>
        <w:tc>
          <w:tcPr>
            <w:tcW w:w="703" w:type="dxa"/>
            <w:tcBorders>
              <w:top w:val="single" w:sz="6" w:space="0" w:color="auto"/>
              <w:left w:val="single" w:sz="6" w:space="0" w:color="auto"/>
              <w:bottom w:val="single" w:sz="6" w:space="0" w:color="auto"/>
              <w:right w:val="single" w:sz="6" w:space="0" w:color="auto"/>
            </w:tcBorders>
            <w:hideMark/>
          </w:tcPr>
          <w:p w14:paraId="4ADCE388" w14:textId="77777777" w:rsidR="00F47DE8" w:rsidRDefault="00F47DE8" w:rsidP="004310CB">
            <w:pPr>
              <w:pStyle w:val="Tabletext"/>
              <w:jc w:val="center"/>
              <w:rPr>
                <w:lang w:val="en-US"/>
              </w:rPr>
            </w:pPr>
            <w:r>
              <w:rPr>
                <w:lang w:val="en-US"/>
              </w:rPr>
              <w:t>2</w:t>
            </w:r>
          </w:p>
        </w:tc>
        <w:tc>
          <w:tcPr>
            <w:tcW w:w="742" w:type="dxa"/>
            <w:tcBorders>
              <w:top w:val="single" w:sz="6" w:space="0" w:color="auto"/>
              <w:left w:val="single" w:sz="6" w:space="0" w:color="auto"/>
              <w:bottom w:val="single" w:sz="6" w:space="0" w:color="auto"/>
              <w:right w:val="single" w:sz="6" w:space="0" w:color="auto"/>
            </w:tcBorders>
            <w:hideMark/>
          </w:tcPr>
          <w:p w14:paraId="1711AC07" w14:textId="77777777" w:rsidR="00F47DE8" w:rsidRDefault="00F47DE8" w:rsidP="004310CB">
            <w:pPr>
              <w:pStyle w:val="Tabletext"/>
              <w:jc w:val="center"/>
              <w:rPr>
                <w:lang w:val="en-US"/>
              </w:rPr>
            </w:pPr>
            <w:r>
              <w:rPr>
                <w:lang w:val="en-US" w:eastAsia="ru-RU"/>
              </w:rPr>
              <w:t>1</w:t>
            </w:r>
          </w:p>
        </w:tc>
        <w:tc>
          <w:tcPr>
            <w:tcW w:w="5705" w:type="dxa"/>
            <w:tcBorders>
              <w:top w:val="single" w:sz="6" w:space="0" w:color="auto"/>
              <w:left w:val="single" w:sz="6" w:space="0" w:color="auto"/>
              <w:bottom w:val="single" w:sz="6" w:space="0" w:color="auto"/>
              <w:right w:val="single" w:sz="6" w:space="0" w:color="auto"/>
            </w:tcBorders>
            <w:hideMark/>
          </w:tcPr>
          <w:p w14:paraId="1C01574C" w14:textId="77777777" w:rsidR="00F47DE8" w:rsidRPr="00865F21" w:rsidRDefault="00F47DE8" w:rsidP="004310CB">
            <w:pPr>
              <w:pStyle w:val="Tabletext"/>
            </w:pPr>
            <w:r w:rsidRPr="00865F21">
              <w:t>nombre de sources de brouillage équivalentes, de niveau égal et de probabilité égale supposées être non corrélées pour de petits pourcentages de temps</w:t>
            </w:r>
          </w:p>
        </w:tc>
      </w:tr>
      <w:tr w:rsidR="00F47DE8" w:rsidRPr="00865F21" w14:paraId="17FA5C33" w14:textId="77777777" w:rsidTr="0088187B">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68F5EE00" w14:textId="77777777" w:rsidR="00F47DE8" w:rsidRPr="002C67CB" w:rsidRDefault="00F47DE8" w:rsidP="004310CB">
            <w:pPr>
              <w:pStyle w:val="Tabletext"/>
            </w:pPr>
          </w:p>
        </w:tc>
        <w:tc>
          <w:tcPr>
            <w:tcW w:w="1093" w:type="dxa"/>
            <w:tcBorders>
              <w:top w:val="single" w:sz="6" w:space="0" w:color="auto"/>
              <w:left w:val="single" w:sz="6" w:space="0" w:color="auto"/>
              <w:bottom w:val="single" w:sz="6" w:space="0" w:color="auto"/>
              <w:right w:val="single" w:sz="6" w:space="0" w:color="auto"/>
            </w:tcBorders>
            <w:hideMark/>
          </w:tcPr>
          <w:p w14:paraId="3DB85995" w14:textId="77777777" w:rsidR="00F47DE8" w:rsidRPr="002C67CB" w:rsidRDefault="00F47DE8" w:rsidP="004310CB">
            <w:pPr>
              <w:pStyle w:val="Tabletext"/>
              <w:rPr>
                <w:position w:val="3"/>
              </w:rPr>
            </w:pPr>
            <w:r w:rsidRPr="002C67CB">
              <w:rPr>
                <w:i/>
                <w:iCs/>
              </w:rPr>
              <w:t>p</w:t>
            </w:r>
            <w:r w:rsidRPr="002C67CB">
              <w:t xml:space="preserve"> (%)</w:t>
            </w:r>
          </w:p>
        </w:tc>
        <w:tc>
          <w:tcPr>
            <w:tcW w:w="703" w:type="dxa"/>
            <w:tcBorders>
              <w:top w:val="single" w:sz="6" w:space="0" w:color="auto"/>
              <w:left w:val="single" w:sz="6" w:space="0" w:color="auto"/>
              <w:bottom w:val="single" w:sz="6" w:space="0" w:color="auto"/>
              <w:right w:val="single" w:sz="6" w:space="0" w:color="auto"/>
            </w:tcBorders>
            <w:hideMark/>
          </w:tcPr>
          <w:p w14:paraId="64516BF7" w14:textId="77777777" w:rsidR="00F47DE8" w:rsidRDefault="00F47DE8" w:rsidP="004310CB">
            <w:pPr>
              <w:pStyle w:val="Tabletext"/>
              <w:jc w:val="center"/>
              <w:rPr>
                <w:lang w:val="en-US"/>
              </w:rPr>
            </w:pPr>
            <w:r>
              <w:rPr>
                <w:lang w:val="en-US"/>
              </w:rPr>
              <w:t>0,005</w:t>
            </w:r>
          </w:p>
        </w:tc>
        <w:tc>
          <w:tcPr>
            <w:tcW w:w="742" w:type="dxa"/>
            <w:tcBorders>
              <w:top w:val="single" w:sz="6" w:space="0" w:color="auto"/>
              <w:left w:val="single" w:sz="6" w:space="0" w:color="auto"/>
              <w:bottom w:val="single" w:sz="6" w:space="0" w:color="auto"/>
              <w:right w:val="single" w:sz="6" w:space="0" w:color="auto"/>
            </w:tcBorders>
            <w:hideMark/>
          </w:tcPr>
          <w:p w14:paraId="22A7BD79" w14:textId="77777777" w:rsidR="00F47DE8" w:rsidRDefault="00F47DE8" w:rsidP="004310CB">
            <w:pPr>
              <w:pStyle w:val="Tabletext"/>
              <w:jc w:val="center"/>
              <w:rPr>
                <w:lang w:val="en-US"/>
              </w:rPr>
            </w:pPr>
            <w:r>
              <w:rPr>
                <w:lang w:val="en-US" w:eastAsia="ru-RU"/>
              </w:rPr>
              <w:t>20</w:t>
            </w:r>
          </w:p>
        </w:tc>
        <w:tc>
          <w:tcPr>
            <w:tcW w:w="5705" w:type="dxa"/>
            <w:tcBorders>
              <w:top w:val="single" w:sz="6" w:space="0" w:color="auto"/>
              <w:left w:val="single" w:sz="6" w:space="0" w:color="auto"/>
              <w:bottom w:val="single" w:sz="6" w:space="0" w:color="auto"/>
              <w:right w:val="single" w:sz="6" w:space="0" w:color="auto"/>
            </w:tcBorders>
            <w:hideMark/>
          </w:tcPr>
          <w:p w14:paraId="181C7D29" w14:textId="77777777" w:rsidR="00F47DE8" w:rsidRPr="00865F21" w:rsidRDefault="00F47DE8" w:rsidP="004310CB">
            <w:pPr>
              <w:pStyle w:val="Tabletext"/>
            </w:pPr>
            <w:r w:rsidRPr="00865F21">
              <w:t>pourcentage de temps pendant lequel le brouillage provenant d'une source unique peut dépasser la valeur de la puissance de brouillage admissible</w:t>
            </w:r>
            <w:r>
              <w:t>;</w:t>
            </w:r>
            <w:r w:rsidRPr="00865F21">
              <w:t xml:space="preserve"> étant donné que les sources de brouillage ne devraient pas se présenter simultanément</w:t>
            </w:r>
            <w:r>
              <w:t>:</w:t>
            </w:r>
            <w:r w:rsidRPr="00865F21">
              <w:t xml:space="preserve"> </w:t>
            </w:r>
            <w:r w:rsidRPr="00865F21">
              <w:rPr>
                <w:i/>
              </w:rPr>
              <w:t>p</w:t>
            </w:r>
            <w:r w:rsidRPr="00865F21">
              <w:t> = </w:t>
            </w:r>
            <w:r w:rsidRPr="00865F21">
              <w:rPr>
                <w:i/>
              </w:rPr>
              <w:t>p</w:t>
            </w:r>
            <w:r w:rsidRPr="00865F21">
              <w:rPr>
                <w:i/>
                <w:vertAlign w:val="subscript"/>
              </w:rPr>
              <w:t>0</w:t>
            </w:r>
            <w:r w:rsidRPr="00865F21">
              <w:t>/</w:t>
            </w:r>
            <w:r w:rsidRPr="00865F21">
              <w:rPr>
                <w:i/>
              </w:rPr>
              <w:t>n</w:t>
            </w:r>
          </w:p>
        </w:tc>
      </w:tr>
      <w:tr w:rsidR="00F47DE8" w:rsidRPr="00865F21" w14:paraId="2D331197" w14:textId="77777777" w:rsidTr="0088187B">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7AAFBCE2" w14:textId="77777777" w:rsidR="00F47DE8" w:rsidRPr="002C67CB" w:rsidRDefault="00F47DE8" w:rsidP="004310CB">
            <w:pPr>
              <w:pStyle w:val="Tabletext"/>
            </w:pPr>
          </w:p>
        </w:tc>
        <w:tc>
          <w:tcPr>
            <w:tcW w:w="1093" w:type="dxa"/>
            <w:tcBorders>
              <w:top w:val="single" w:sz="6" w:space="0" w:color="auto"/>
              <w:left w:val="single" w:sz="6" w:space="0" w:color="auto"/>
              <w:bottom w:val="single" w:sz="6" w:space="0" w:color="auto"/>
              <w:right w:val="single" w:sz="6" w:space="0" w:color="auto"/>
            </w:tcBorders>
            <w:hideMark/>
          </w:tcPr>
          <w:p w14:paraId="42EE1852" w14:textId="77777777" w:rsidR="00F47DE8" w:rsidRPr="002C67CB" w:rsidRDefault="00F47DE8" w:rsidP="004310CB">
            <w:pPr>
              <w:pStyle w:val="Tabletext"/>
              <w:rPr>
                <w:position w:val="3"/>
              </w:rPr>
            </w:pPr>
            <w:r w:rsidRPr="002C67CB">
              <w:rPr>
                <w:i/>
                <w:iCs/>
              </w:rPr>
              <w:t>N</w:t>
            </w:r>
            <w:r w:rsidRPr="002C67CB">
              <w:rPr>
                <w:i/>
                <w:iCs/>
                <w:position w:val="-4"/>
              </w:rPr>
              <w:t>L</w:t>
            </w:r>
            <w:r w:rsidRPr="002C67CB">
              <w:t xml:space="preserve"> (dB)</w:t>
            </w:r>
          </w:p>
        </w:tc>
        <w:tc>
          <w:tcPr>
            <w:tcW w:w="703" w:type="dxa"/>
            <w:tcBorders>
              <w:top w:val="single" w:sz="6" w:space="0" w:color="auto"/>
              <w:left w:val="single" w:sz="6" w:space="0" w:color="auto"/>
              <w:bottom w:val="single" w:sz="6" w:space="0" w:color="auto"/>
              <w:right w:val="single" w:sz="6" w:space="0" w:color="auto"/>
            </w:tcBorders>
            <w:hideMark/>
          </w:tcPr>
          <w:p w14:paraId="4327E31F" w14:textId="77777777" w:rsidR="00F47DE8" w:rsidRPr="00736F76" w:rsidRDefault="00F47DE8" w:rsidP="004310CB">
            <w:pPr>
              <w:pStyle w:val="Tabletext"/>
              <w:jc w:val="center"/>
            </w:pPr>
            <w:r w:rsidRPr="00736F76">
              <w:t>0</w:t>
            </w:r>
          </w:p>
        </w:tc>
        <w:tc>
          <w:tcPr>
            <w:tcW w:w="742" w:type="dxa"/>
            <w:tcBorders>
              <w:top w:val="single" w:sz="6" w:space="0" w:color="auto"/>
              <w:left w:val="single" w:sz="6" w:space="0" w:color="auto"/>
              <w:bottom w:val="single" w:sz="6" w:space="0" w:color="auto"/>
              <w:right w:val="single" w:sz="6" w:space="0" w:color="auto"/>
            </w:tcBorders>
            <w:hideMark/>
          </w:tcPr>
          <w:p w14:paraId="6C40F43A" w14:textId="77777777" w:rsidR="00F47DE8" w:rsidRPr="00736F76" w:rsidRDefault="00F47DE8" w:rsidP="004310CB">
            <w:pPr>
              <w:pStyle w:val="Tabletext"/>
              <w:jc w:val="center"/>
            </w:pPr>
            <w:r w:rsidRPr="00736F76">
              <w:rPr>
                <w:lang w:eastAsia="ru-RU"/>
              </w:rPr>
              <w:t>0</w:t>
            </w:r>
          </w:p>
        </w:tc>
        <w:tc>
          <w:tcPr>
            <w:tcW w:w="5705" w:type="dxa"/>
            <w:tcBorders>
              <w:top w:val="single" w:sz="6" w:space="0" w:color="auto"/>
              <w:left w:val="single" w:sz="6" w:space="0" w:color="auto"/>
              <w:bottom w:val="single" w:sz="6" w:space="0" w:color="auto"/>
              <w:right w:val="single" w:sz="6" w:space="0" w:color="auto"/>
            </w:tcBorders>
            <w:hideMark/>
          </w:tcPr>
          <w:p w14:paraId="12E6385A" w14:textId="77777777" w:rsidR="00F47DE8" w:rsidRPr="00865F21" w:rsidRDefault="00F47DE8" w:rsidP="004310CB">
            <w:pPr>
              <w:pStyle w:val="Tabletext"/>
            </w:pPr>
            <w:r w:rsidRPr="00865F21">
              <w:t xml:space="preserve">Le facteur </w:t>
            </w:r>
            <w:r w:rsidRPr="00865F21">
              <w:rPr>
                <w:i/>
                <w:iCs/>
              </w:rPr>
              <w:t>NL</w:t>
            </w:r>
            <w:r w:rsidRPr="00865F21">
              <w:t xml:space="preserve"> correspond à la contribution de bruit de la liaison. Dans le cas d'un répéteur de satellite, il comprend le bruit sur la liaison montante, l'intermodulation, etc. En l'absence d'entrées dans le Tableau, on suppose que:</w:t>
            </w:r>
          </w:p>
          <w:p w14:paraId="250CA219" w14:textId="77777777" w:rsidR="00F47DE8" w:rsidRPr="00865F21" w:rsidRDefault="00F47DE8" w:rsidP="004310CB">
            <w:pPr>
              <w:pStyle w:val="Tabletext"/>
            </w:pPr>
            <w:r w:rsidRPr="00865F21">
              <w:tab/>
            </w:r>
            <w:r w:rsidRPr="00865F21">
              <w:rPr>
                <w:i/>
              </w:rPr>
              <w:t>N</w:t>
            </w:r>
            <w:r w:rsidRPr="00865F21">
              <w:rPr>
                <w:i/>
                <w:vertAlign w:val="subscript"/>
              </w:rPr>
              <w:t>L</w:t>
            </w:r>
            <w:r w:rsidRPr="00865F21">
              <w:t> = 1 dB  pour les liaisons fixes par satellite</w:t>
            </w:r>
          </w:p>
          <w:p w14:paraId="70B364E8" w14:textId="77777777" w:rsidR="00F47DE8" w:rsidRPr="00865F21" w:rsidRDefault="00F47DE8" w:rsidP="004310CB">
            <w:pPr>
              <w:pStyle w:val="Tabletext"/>
            </w:pPr>
            <w:r w:rsidRPr="00865F21">
              <w:tab/>
            </w:r>
            <w:r>
              <w:rPr>
                <w:lang w:val="en-US"/>
              </w:rPr>
              <w:t> </w:t>
            </w:r>
            <w:r>
              <w:rPr>
                <w:lang w:val="en-US"/>
              </w:rPr>
              <w:t> </w:t>
            </w:r>
            <w:r w:rsidRPr="00865F21">
              <w:t> = 0 dB  pour les liaisons de Terre</w:t>
            </w:r>
          </w:p>
        </w:tc>
      </w:tr>
      <w:tr w:rsidR="00F47DE8" w:rsidRPr="00D90835" w14:paraId="089EE1EF" w14:textId="77777777" w:rsidTr="0088187B">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1B36AAB2" w14:textId="77777777" w:rsidR="00F47DE8" w:rsidRPr="002C67CB" w:rsidRDefault="00F47DE8" w:rsidP="004310CB">
            <w:pPr>
              <w:pStyle w:val="Tabletext"/>
            </w:pPr>
          </w:p>
        </w:tc>
        <w:tc>
          <w:tcPr>
            <w:tcW w:w="1093" w:type="dxa"/>
            <w:tcBorders>
              <w:top w:val="single" w:sz="6" w:space="0" w:color="auto"/>
              <w:left w:val="single" w:sz="6" w:space="0" w:color="auto"/>
              <w:bottom w:val="single" w:sz="6" w:space="0" w:color="auto"/>
              <w:right w:val="single" w:sz="6" w:space="0" w:color="auto"/>
            </w:tcBorders>
            <w:hideMark/>
          </w:tcPr>
          <w:p w14:paraId="1B3F242A" w14:textId="77777777" w:rsidR="00F47DE8" w:rsidRPr="002C67CB" w:rsidRDefault="00F47DE8" w:rsidP="004310CB">
            <w:pPr>
              <w:pStyle w:val="Tabletext"/>
              <w:rPr>
                <w:position w:val="3"/>
              </w:rPr>
            </w:pPr>
            <w:r w:rsidRPr="002C67CB">
              <w:rPr>
                <w:i/>
                <w:iCs/>
              </w:rPr>
              <w:t>M</w:t>
            </w:r>
            <w:r w:rsidRPr="002C67CB">
              <w:rPr>
                <w:i/>
                <w:iCs/>
                <w:position w:val="-4"/>
              </w:rPr>
              <w:t>s</w:t>
            </w:r>
            <w:r w:rsidRPr="002C67CB">
              <w:t xml:space="preserve"> (dB)</w:t>
            </w:r>
          </w:p>
        </w:tc>
        <w:tc>
          <w:tcPr>
            <w:tcW w:w="703" w:type="dxa"/>
            <w:tcBorders>
              <w:top w:val="single" w:sz="6" w:space="0" w:color="auto"/>
              <w:left w:val="single" w:sz="6" w:space="0" w:color="auto"/>
              <w:bottom w:val="single" w:sz="6" w:space="0" w:color="auto"/>
              <w:right w:val="single" w:sz="6" w:space="0" w:color="auto"/>
            </w:tcBorders>
            <w:hideMark/>
          </w:tcPr>
          <w:p w14:paraId="605B2D42" w14:textId="2462E717" w:rsidR="00F47DE8" w:rsidRDefault="00F47DE8" w:rsidP="004310CB">
            <w:pPr>
              <w:pStyle w:val="Tabletext"/>
              <w:jc w:val="center"/>
              <w:rPr>
                <w:lang w:val="en-US"/>
              </w:rPr>
            </w:pPr>
            <w:r>
              <w:rPr>
                <w:lang w:val="en-US"/>
              </w:rPr>
              <w:t xml:space="preserve">26 </w:t>
            </w:r>
            <w:r w:rsidRPr="0088187B">
              <w:rPr>
                <w:position w:val="4"/>
                <w:vertAlign w:val="superscript"/>
                <w:lang w:val="en-US"/>
              </w:rPr>
              <w:t>2</w:t>
            </w:r>
          </w:p>
        </w:tc>
        <w:tc>
          <w:tcPr>
            <w:tcW w:w="742" w:type="dxa"/>
            <w:tcBorders>
              <w:top w:val="single" w:sz="6" w:space="0" w:color="auto"/>
              <w:left w:val="single" w:sz="6" w:space="0" w:color="auto"/>
              <w:bottom w:val="single" w:sz="6" w:space="0" w:color="auto"/>
              <w:right w:val="single" w:sz="6" w:space="0" w:color="auto"/>
            </w:tcBorders>
            <w:hideMark/>
          </w:tcPr>
          <w:p w14:paraId="24E41A30" w14:textId="77777777" w:rsidR="00F47DE8" w:rsidRDefault="00F47DE8" w:rsidP="004310CB">
            <w:pPr>
              <w:pStyle w:val="Tabletext"/>
              <w:jc w:val="center"/>
              <w:rPr>
                <w:lang w:val="en-US"/>
              </w:rPr>
            </w:pPr>
            <w:r>
              <w:rPr>
                <w:lang w:val="en-US" w:eastAsia="ru-RU"/>
              </w:rPr>
              <w:t>1</w:t>
            </w:r>
          </w:p>
        </w:tc>
        <w:tc>
          <w:tcPr>
            <w:tcW w:w="5705" w:type="dxa"/>
            <w:tcBorders>
              <w:top w:val="single" w:sz="6" w:space="0" w:color="auto"/>
              <w:left w:val="single" w:sz="6" w:space="0" w:color="auto"/>
              <w:bottom w:val="single" w:sz="6" w:space="0" w:color="auto"/>
              <w:right w:val="single" w:sz="6" w:space="0" w:color="auto"/>
            </w:tcBorders>
            <w:hideMark/>
          </w:tcPr>
          <w:p w14:paraId="5DCD7BC7" w14:textId="10DDB420" w:rsidR="00F47DE8" w:rsidRPr="00D90835" w:rsidRDefault="00F47DE8" w:rsidP="004310CB">
            <w:pPr>
              <w:pStyle w:val="Tabletext"/>
              <w:rPr>
                <w:highlight w:val="yellow"/>
              </w:rPr>
            </w:pPr>
            <w:r>
              <w:t>P</w:t>
            </w:r>
            <w:r w:rsidRPr="00D90835">
              <w:t>our un</w:t>
            </w:r>
            <w:r>
              <w:t xml:space="preserve">e </w:t>
            </w:r>
            <w:r w:rsidRPr="00D90835">
              <w:t>station de base IMT</w:t>
            </w:r>
            <w:r>
              <w:t xml:space="preserve"> dont le facteur de bruit NF</w:t>
            </w:r>
            <w:r w:rsidRPr="00D90835">
              <w:t xml:space="preserve"> </w:t>
            </w:r>
            <w:r>
              <w:t>est égal à</w:t>
            </w:r>
            <w:r w:rsidR="0088187B">
              <w:t> </w:t>
            </w:r>
            <w:r>
              <w:t>5 </w:t>
            </w:r>
            <w:r w:rsidRPr="00D90835">
              <w:t>dB</w:t>
            </w:r>
            <w:r>
              <w:t>.</w:t>
            </w:r>
            <w:r w:rsidRPr="00D90835">
              <w:t xml:space="preserve"> </w:t>
            </w:r>
            <w:r>
              <w:t xml:space="preserve">Alors </w:t>
            </w:r>
            <w:r w:rsidRPr="00D90835">
              <w:t>N</w:t>
            </w:r>
            <w:r w:rsidR="0088187B">
              <w:t xml:space="preserve"> </w:t>
            </w:r>
            <w:r w:rsidRPr="00D90835">
              <w:t>=</w:t>
            </w:r>
            <w:r w:rsidR="0088187B" w:rsidRPr="0088187B">
              <w:rPr>
                <w:lang w:val="fr-CH" w:eastAsia="zh-CN"/>
              </w:rPr>
              <w:t>–</w:t>
            </w:r>
            <w:r w:rsidRPr="00D90835">
              <w:t>204 dBW/Hz +</w:t>
            </w:r>
            <w:r w:rsidR="0088187B">
              <w:t xml:space="preserve"> </w:t>
            </w:r>
            <w:r w:rsidRPr="00D90835">
              <w:t>5dB</w:t>
            </w:r>
            <w:r w:rsidR="0088187B">
              <w:t xml:space="preserve"> </w:t>
            </w:r>
            <w:r w:rsidRPr="00D90835">
              <w:t>=</w:t>
            </w:r>
            <w:r w:rsidR="0088187B" w:rsidRPr="0088187B">
              <w:rPr>
                <w:lang w:val="fr-CH" w:eastAsia="zh-CN"/>
              </w:rPr>
              <w:t>–</w:t>
            </w:r>
            <w:r w:rsidRPr="00D90835">
              <w:t>199 dBW/Hz.</w:t>
            </w:r>
          </w:p>
          <w:p w14:paraId="2F12610D" w14:textId="6E08DD17" w:rsidR="00F47DE8" w:rsidRPr="00D90835" w:rsidRDefault="00F47DE8" w:rsidP="004310CB">
            <w:pPr>
              <w:pStyle w:val="Tabletext"/>
              <w:rPr>
                <w:highlight w:val="yellow"/>
              </w:rPr>
            </w:pPr>
            <w:r>
              <w:t xml:space="preserve">De ce fait, si l'on se base sur </w:t>
            </w:r>
            <w:r w:rsidRPr="00D90835">
              <w:t>I/N = –6 dB</w:t>
            </w:r>
            <w:r>
              <w:t>,</w:t>
            </w:r>
            <w:r w:rsidRPr="00D90835">
              <w:t xml:space="preserve"> I</w:t>
            </w:r>
            <w:r w:rsidR="0088187B">
              <w:t xml:space="preserve"> </w:t>
            </w:r>
            <w:r w:rsidRPr="00D90835">
              <w:t>=</w:t>
            </w:r>
            <w:r w:rsidR="0088187B">
              <w:t xml:space="preserve"> </w:t>
            </w:r>
            <w:r w:rsidR="0088187B" w:rsidRPr="0088187B">
              <w:rPr>
                <w:lang w:val="fr-CH" w:eastAsia="zh-CN"/>
              </w:rPr>
              <w:t>–</w:t>
            </w:r>
            <w:r w:rsidRPr="00D90835">
              <w:t>205 dBW/Hz ou 169</w:t>
            </w:r>
            <w:r w:rsidR="0088187B">
              <w:t> </w:t>
            </w:r>
            <w:r w:rsidRPr="00D90835">
              <w:t>dBW/4kHz</w:t>
            </w:r>
          </w:p>
          <w:p w14:paraId="6F220ECE" w14:textId="75F5B40A" w:rsidR="00F47DE8" w:rsidRPr="00D90835" w:rsidRDefault="00F47DE8" w:rsidP="004310CB">
            <w:pPr>
              <w:pStyle w:val="Tabletext"/>
            </w:pPr>
            <w:r>
              <w:t>Étant donné que</w:t>
            </w:r>
            <w:r w:rsidRPr="00D90835">
              <w:t xml:space="preserve"> </w:t>
            </w:r>
            <w:r w:rsidRPr="00D90835">
              <w:rPr>
                <w:i/>
              </w:rPr>
              <w:t>P</w:t>
            </w:r>
            <w:r w:rsidRPr="00D90835">
              <w:rPr>
                <w:i/>
                <w:vertAlign w:val="subscript"/>
              </w:rPr>
              <w:t>r</w:t>
            </w:r>
            <w:r w:rsidRPr="00D90835">
              <w:t>(</w:t>
            </w:r>
            <w:r w:rsidRPr="00D90835">
              <w:rPr>
                <w:i/>
              </w:rPr>
              <w:t>p</w:t>
            </w:r>
            <w:r w:rsidRPr="00D90835">
              <w:t xml:space="preserve">) = </w:t>
            </w:r>
            <w:r w:rsidR="0088187B" w:rsidRPr="0088187B">
              <w:rPr>
                <w:lang w:val="fr-CH" w:eastAsia="zh-CN"/>
              </w:rPr>
              <w:t>–</w:t>
            </w:r>
            <w:r w:rsidRPr="00D90835">
              <w:t>169 dBW/4kHz</w:t>
            </w:r>
            <w:r>
              <w:t>,</w:t>
            </w:r>
            <w:r w:rsidRPr="00D90835">
              <w:t xml:space="preserve"> </w:t>
            </w:r>
            <w:r>
              <w:t>alors</w:t>
            </w:r>
            <w:r w:rsidRPr="00D90835">
              <w:t xml:space="preserve"> </w:t>
            </w:r>
            <w:r w:rsidRPr="00D90835">
              <w:rPr>
                <w:i/>
              </w:rPr>
              <w:t>M</w:t>
            </w:r>
            <w:r w:rsidRPr="00D90835">
              <w:rPr>
                <w:i/>
                <w:vertAlign w:val="subscript"/>
              </w:rPr>
              <w:t>s</w:t>
            </w:r>
            <w:r w:rsidRPr="00D90835">
              <w:t xml:space="preserve"> = 1 dB</w:t>
            </w:r>
          </w:p>
        </w:tc>
      </w:tr>
      <w:tr w:rsidR="00F47DE8" w:rsidRPr="00E33DDE" w14:paraId="56F7AED6" w14:textId="77777777" w:rsidTr="0088187B">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524E5348" w14:textId="77777777" w:rsidR="00F47DE8" w:rsidRPr="002C67CB" w:rsidRDefault="00F47DE8" w:rsidP="004310CB">
            <w:pPr>
              <w:pStyle w:val="Tabletext"/>
            </w:pPr>
          </w:p>
        </w:tc>
        <w:tc>
          <w:tcPr>
            <w:tcW w:w="1093" w:type="dxa"/>
            <w:tcBorders>
              <w:top w:val="single" w:sz="6" w:space="0" w:color="auto"/>
              <w:left w:val="single" w:sz="6" w:space="0" w:color="auto"/>
              <w:bottom w:val="single" w:sz="6" w:space="0" w:color="auto"/>
              <w:right w:val="single" w:sz="6" w:space="0" w:color="auto"/>
            </w:tcBorders>
            <w:hideMark/>
          </w:tcPr>
          <w:p w14:paraId="21DDD99C" w14:textId="77777777" w:rsidR="00F47DE8" w:rsidRPr="002C67CB" w:rsidRDefault="00F47DE8" w:rsidP="004310CB">
            <w:pPr>
              <w:pStyle w:val="Tabletext"/>
              <w:rPr>
                <w:position w:val="3"/>
              </w:rPr>
            </w:pPr>
            <w:r w:rsidRPr="002C67CB">
              <w:rPr>
                <w:i/>
                <w:iCs/>
              </w:rPr>
              <w:t>W</w:t>
            </w:r>
            <w:r w:rsidRPr="002C67CB">
              <w:t xml:space="preserve"> (dB)</w:t>
            </w:r>
          </w:p>
        </w:tc>
        <w:tc>
          <w:tcPr>
            <w:tcW w:w="703" w:type="dxa"/>
            <w:tcBorders>
              <w:top w:val="single" w:sz="6" w:space="0" w:color="auto"/>
              <w:left w:val="single" w:sz="6" w:space="0" w:color="auto"/>
              <w:bottom w:val="single" w:sz="6" w:space="0" w:color="auto"/>
              <w:right w:val="single" w:sz="6" w:space="0" w:color="auto"/>
            </w:tcBorders>
            <w:hideMark/>
          </w:tcPr>
          <w:p w14:paraId="56F1F117" w14:textId="77777777" w:rsidR="00F47DE8" w:rsidRPr="00F10964" w:rsidRDefault="00F47DE8" w:rsidP="004310CB">
            <w:pPr>
              <w:pStyle w:val="Tabletext"/>
              <w:jc w:val="center"/>
            </w:pPr>
            <w:r w:rsidRPr="00F10964">
              <w:t>0</w:t>
            </w:r>
          </w:p>
        </w:tc>
        <w:tc>
          <w:tcPr>
            <w:tcW w:w="742" w:type="dxa"/>
            <w:tcBorders>
              <w:top w:val="single" w:sz="6" w:space="0" w:color="auto"/>
              <w:left w:val="single" w:sz="6" w:space="0" w:color="auto"/>
              <w:bottom w:val="single" w:sz="6" w:space="0" w:color="auto"/>
              <w:right w:val="single" w:sz="6" w:space="0" w:color="auto"/>
            </w:tcBorders>
            <w:hideMark/>
          </w:tcPr>
          <w:p w14:paraId="1ABADAC5" w14:textId="77777777" w:rsidR="00F47DE8" w:rsidRPr="00F10964" w:rsidRDefault="00F47DE8" w:rsidP="004310CB">
            <w:pPr>
              <w:pStyle w:val="Tabletext"/>
              <w:jc w:val="center"/>
            </w:pPr>
            <w:r w:rsidRPr="00F10964">
              <w:rPr>
                <w:lang w:eastAsia="ru-RU"/>
              </w:rPr>
              <w:t>0</w:t>
            </w:r>
          </w:p>
        </w:tc>
        <w:tc>
          <w:tcPr>
            <w:tcW w:w="5705" w:type="dxa"/>
            <w:tcBorders>
              <w:top w:val="single" w:sz="6" w:space="0" w:color="auto"/>
              <w:left w:val="single" w:sz="6" w:space="0" w:color="auto"/>
              <w:bottom w:val="single" w:sz="6" w:space="0" w:color="auto"/>
              <w:right w:val="single" w:sz="6" w:space="0" w:color="auto"/>
            </w:tcBorders>
            <w:hideMark/>
          </w:tcPr>
          <w:p w14:paraId="0D678220" w14:textId="77777777" w:rsidR="00F47DE8" w:rsidRPr="00E33DDE" w:rsidRDefault="00F47DE8" w:rsidP="004310CB">
            <w:pPr>
              <w:pStyle w:val="Tabletext"/>
            </w:pPr>
            <w:r w:rsidRPr="00E33DDE">
              <w:t xml:space="preserve">Lorsque le signal utile est numérique, </w:t>
            </w:r>
            <w:r w:rsidRPr="00E33DDE">
              <w:rPr>
                <w:i/>
                <w:iCs/>
              </w:rPr>
              <w:t>W</w:t>
            </w:r>
            <w:r w:rsidRPr="00E33DDE">
              <w:t xml:space="preserve"> est en principe égal ou inférieur à 0 dB, quelles que soient les caractéristiques du signal brouilleur.</w:t>
            </w:r>
          </w:p>
        </w:tc>
      </w:tr>
      <w:tr w:rsidR="00F47DE8" w:rsidRPr="00E33DDE" w14:paraId="74D0669F" w14:textId="77777777" w:rsidTr="0088187B">
        <w:trPr>
          <w:cantSplit/>
          <w:jc w:val="right"/>
        </w:trPr>
        <w:tc>
          <w:tcPr>
            <w:tcW w:w="1094" w:type="dxa"/>
            <w:vMerge w:val="restart"/>
            <w:tcBorders>
              <w:top w:val="single" w:sz="6" w:space="0" w:color="auto"/>
              <w:left w:val="single" w:sz="6" w:space="0" w:color="auto"/>
              <w:bottom w:val="single" w:sz="4" w:space="0" w:color="auto"/>
              <w:right w:val="single" w:sz="6" w:space="0" w:color="auto"/>
            </w:tcBorders>
            <w:hideMark/>
          </w:tcPr>
          <w:p w14:paraId="76FB1DD5" w14:textId="77777777" w:rsidR="00F47DE8" w:rsidRPr="002C67CB" w:rsidRDefault="00F47DE8" w:rsidP="004310CB">
            <w:pPr>
              <w:pStyle w:val="Tabletext"/>
            </w:pPr>
            <w:r w:rsidRPr="002C67CB">
              <w:t>Paramètres de la station terrienne</w:t>
            </w:r>
          </w:p>
        </w:tc>
        <w:tc>
          <w:tcPr>
            <w:tcW w:w="1093" w:type="dxa"/>
            <w:tcBorders>
              <w:top w:val="single" w:sz="6" w:space="0" w:color="auto"/>
              <w:left w:val="single" w:sz="6" w:space="0" w:color="auto"/>
              <w:bottom w:val="single" w:sz="6" w:space="0" w:color="auto"/>
              <w:right w:val="single" w:sz="6" w:space="0" w:color="auto"/>
            </w:tcBorders>
            <w:hideMark/>
          </w:tcPr>
          <w:p w14:paraId="1AB46945" w14:textId="6516A620" w:rsidR="00F47DE8" w:rsidRPr="002C67CB" w:rsidRDefault="00F47DE8" w:rsidP="004310CB">
            <w:pPr>
              <w:pStyle w:val="Tabletext"/>
              <w:rPr>
                <w:position w:val="3"/>
              </w:rPr>
            </w:pPr>
            <w:r w:rsidRPr="002C67CB">
              <w:rPr>
                <w:i/>
                <w:iCs/>
              </w:rPr>
              <w:t>G</w:t>
            </w:r>
            <w:r w:rsidRPr="002C67CB">
              <w:rPr>
                <w:i/>
                <w:iCs/>
                <w:position w:val="-4"/>
              </w:rPr>
              <w:t>x</w:t>
            </w:r>
            <w:r w:rsidRPr="002C67CB">
              <w:t xml:space="preserve"> (</w:t>
            </w:r>
            <w:proofErr w:type="spellStart"/>
            <w:r w:rsidRPr="002C67CB">
              <w:t>dBi</w:t>
            </w:r>
            <w:proofErr w:type="spellEnd"/>
            <w:r w:rsidRPr="002C67CB">
              <w:t xml:space="preserve">) </w:t>
            </w:r>
            <w:r w:rsidRPr="002C67CB">
              <w:rPr>
                <w:position w:val="4"/>
              </w:rPr>
              <w:t>3</w:t>
            </w:r>
          </w:p>
        </w:tc>
        <w:tc>
          <w:tcPr>
            <w:tcW w:w="703" w:type="dxa"/>
            <w:tcBorders>
              <w:top w:val="single" w:sz="6" w:space="0" w:color="auto"/>
              <w:left w:val="single" w:sz="6" w:space="0" w:color="auto"/>
              <w:bottom w:val="single" w:sz="6" w:space="0" w:color="auto"/>
              <w:right w:val="single" w:sz="6" w:space="0" w:color="auto"/>
            </w:tcBorders>
            <w:hideMark/>
          </w:tcPr>
          <w:p w14:paraId="16373D55" w14:textId="0148316E" w:rsidR="00F47DE8" w:rsidRDefault="00F47DE8" w:rsidP="004310CB">
            <w:pPr>
              <w:pStyle w:val="Tabletext"/>
              <w:jc w:val="center"/>
              <w:rPr>
                <w:lang w:val="en-US"/>
              </w:rPr>
            </w:pPr>
            <w:r>
              <w:rPr>
                <w:lang w:val="en-US"/>
              </w:rPr>
              <w:t xml:space="preserve">49 </w:t>
            </w:r>
            <w:r w:rsidRPr="0088187B">
              <w:rPr>
                <w:position w:val="4"/>
                <w:vertAlign w:val="superscript"/>
                <w:lang w:val="en-US"/>
              </w:rPr>
              <w:t>2</w:t>
            </w:r>
          </w:p>
        </w:tc>
        <w:tc>
          <w:tcPr>
            <w:tcW w:w="742" w:type="dxa"/>
            <w:tcBorders>
              <w:top w:val="single" w:sz="6" w:space="0" w:color="auto"/>
              <w:left w:val="single" w:sz="6" w:space="0" w:color="auto"/>
              <w:bottom w:val="single" w:sz="6" w:space="0" w:color="auto"/>
              <w:right w:val="single" w:sz="6" w:space="0" w:color="auto"/>
            </w:tcBorders>
            <w:hideMark/>
          </w:tcPr>
          <w:p w14:paraId="6038A15F" w14:textId="77777777" w:rsidR="00F47DE8" w:rsidRDefault="00F47DE8" w:rsidP="004310CB">
            <w:pPr>
              <w:pStyle w:val="Tabletext"/>
              <w:jc w:val="center"/>
              <w:rPr>
                <w:lang w:val="en-US"/>
              </w:rPr>
            </w:pPr>
            <w:r>
              <w:rPr>
                <w:lang w:val="en-US" w:eastAsia="ru-RU"/>
              </w:rPr>
              <w:t>16,1</w:t>
            </w:r>
          </w:p>
        </w:tc>
        <w:tc>
          <w:tcPr>
            <w:tcW w:w="5705" w:type="dxa"/>
            <w:tcBorders>
              <w:top w:val="single" w:sz="6" w:space="0" w:color="auto"/>
              <w:left w:val="single" w:sz="6" w:space="0" w:color="auto"/>
              <w:bottom w:val="single" w:sz="6" w:space="0" w:color="auto"/>
              <w:right w:val="single" w:sz="6" w:space="0" w:color="auto"/>
            </w:tcBorders>
            <w:hideMark/>
          </w:tcPr>
          <w:p w14:paraId="77939BE4" w14:textId="77777777" w:rsidR="00F47DE8" w:rsidRPr="00E33DDE" w:rsidRDefault="00F47DE8" w:rsidP="004310CB">
            <w:pPr>
              <w:pStyle w:val="Tabletext"/>
            </w:pPr>
            <w:r w:rsidRPr="00E33DDE">
              <w:t xml:space="preserve">Gain d'antenne de réception sans </w:t>
            </w:r>
            <w:r>
              <w:t>perte dans le système</w:t>
            </w:r>
            <w:r w:rsidRPr="00E33DDE">
              <w:t xml:space="preserve"> d'alimentation de la station de base IMT </w:t>
            </w:r>
            <w:r>
              <w:t>en</w:t>
            </w:r>
            <w:r w:rsidRPr="00E33DDE">
              <w:t xml:space="preserve"> direction </w:t>
            </w:r>
            <w:r>
              <w:t>de la station terrienne du SMS</w:t>
            </w:r>
            <w:r w:rsidRPr="00E33DDE">
              <w:t xml:space="preserve"> </w:t>
            </w:r>
          </w:p>
        </w:tc>
      </w:tr>
      <w:tr w:rsidR="00F47DE8" w:rsidRPr="00D90835" w14:paraId="6EDDCF40" w14:textId="77777777" w:rsidTr="0088187B">
        <w:trPr>
          <w:cantSplit/>
          <w:jc w:val="right"/>
        </w:trPr>
        <w:tc>
          <w:tcPr>
            <w:tcW w:w="1094" w:type="dxa"/>
            <w:vMerge/>
            <w:tcBorders>
              <w:top w:val="single" w:sz="6" w:space="0" w:color="auto"/>
              <w:left w:val="single" w:sz="6" w:space="0" w:color="auto"/>
              <w:bottom w:val="single" w:sz="4" w:space="0" w:color="auto"/>
              <w:right w:val="single" w:sz="6" w:space="0" w:color="auto"/>
            </w:tcBorders>
            <w:vAlign w:val="center"/>
            <w:hideMark/>
          </w:tcPr>
          <w:p w14:paraId="79FDD812" w14:textId="77777777" w:rsidR="00F47DE8" w:rsidRPr="002C67CB" w:rsidRDefault="00F47DE8" w:rsidP="004310CB">
            <w:pPr>
              <w:pStyle w:val="Tabletext"/>
            </w:pPr>
          </w:p>
        </w:tc>
        <w:tc>
          <w:tcPr>
            <w:tcW w:w="1093" w:type="dxa"/>
            <w:tcBorders>
              <w:top w:val="single" w:sz="6" w:space="0" w:color="auto"/>
              <w:left w:val="single" w:sz="6" w:space="0" w:color="auto"/>
              <w:bottom w:val="single" w:sz="4" w:space="0" w:color="auto"/>
              <w:right w:val="single" w:sz="6" w:space="0" w:color="auto"/>
            </w:tcBorders>
            <w:hideMark/>
          </w:tcPr>
          <w:p w14:paraId="1A57238D" w14:textId="77777777" w:rsidR="00F47DE8" w:rsidRPr="002C67CB" w:rsidRDefault="00F47DE8" w:rsidP="004310CB">
            <w:pPr>
              <w:pStyle w:val="Tabletext"/>
              <w:rPr>
                <w:position w:val="3"/>
              </w:rPr>
            </w:pPr>
            <w:r w:rsidRPr="002C67CB">
              <w:rPr>
                <w:i/>
                <w:iCs/>
              </w:rPr>
              <w:t>T</w:t>
            </w:r>
            <w:r w:rsidRPr="002C67CB">
              <w:rPr>
                <w:i/>
                <w:iCs/>
                <w:position w:val="-4"/>
              </w:rPr>
              <w:t>e</w:t>
            </w:r>
            <w:r w:rsidRPr="002C67CB">
              <w:rPr>
                <w:i/>
                <w:iCs/>
              </w:rPr>
              <w:t xml:space="preserve"> </w:t>
            </w:r>
            <w:r w:rsidRPr="002C67CB">
              <w:t>(K)</w:t>
            </w:r>
          </w:p>
        </w:tc>
        <w:tc>
          <w:tcPr>
            <w:tcW w:w="703" w:type="dxa"/>
            <w:tcBorders>
              <w:top w:val="single" w:sz="6" w:space="0" w:color="auto"/>
              <w:left w:val="single" w:sz="6" w:space="0" w:color="auto"/>
              <w:bottom w:val="single" w:sz="4" w:space="0" w:color="auto"/>
              <w:right w:val="single" w:sz="6" w:space="0" w:color="auto"/>
            </w:tcBorders>
            <w:hideMark/>
          </w:tcPr>
          <w:p w14:paraId="1BFB9930" w14:textId="45089981" w:rsidR="00F47DE8" w:rsidRDefault="00F47DE8" w:rsidP="004310CB">
            <w:pPr>
              <w:pStyle w:val="Tabletext"/>
              <w:jc w:val="center"/>
              <w:rPr>
                <w:lang w:val="en-US"/>
              </w:rPr>
            </w:pPr>
            <w:r>
              <w:rPr>
                <w:lang w:val="en-US"/>
              </w:rPr>
              <w:t xml:space="preserve">500 </w:t>
            </w:r>
            <w:r w:rsidRPr="0088187B">
              <w:rPr>
                <w:position w:val="4"/>
                <w:vertAlign w:val="superscript"/>
                <w:lang w:val="en-US"/>
              </w:rPr>
              <w:t>2</w:t>
            </w:r>
          </w:p>
        </w:tc>
        <w:tc>
          <w:tcPr>
            <w:tcW w:w="742" w:type="dxa"/>
            <w:tcBorders>
              <w:top w:val="single" w:sz="6" w:space="0" w:color="auto"/>
              <w:left w:val="single" w:sz="6" w:space="0" w:color="auto"/>
              <w:bottom w:val="single" w:sz="4" w:space="0" w:color="auto"/>
              <w:right w:val="single" w:sz="6" w:space="0" w:color="auto"/>
            </w:tcBorders>
            <w:hideMark/>
          </w:tcPr>
          <w:p w14:paraId="1E308C6C" w14:textId="77777777" w:rsidR="00F47DE8" w:rsidRDefault="00F47DE8" w:rsidP="004310CB">
            <w:pPr>
              <w:pStyle w:val="Tabletext"/>
              <w:jc w:val="center"/>
              <w:rPr>
                <w:lang w:val="en-US"/>
              </w:rPr>
            </w:pPr>
            <w:r>
              <w:rPr>
                <w:lang w:val="en-US" w:eastAsia="ru-RU"/>
              </w:rPr>
              <w:t>925</w:t>
            </w:r>
          </w:p>
        </w:tc>
        <w:tc>
          <w:tcPr>
            <w:tcW w:w="5705" w:type="dxa"/>
            <w:tcBorders>
              <w:top w:val="single" w:sz="6" w:space="0" w:color="auto"/>
              <w:left w:val="single" w:sz="6" w:space="0" w:color="auto"/>
              <w:bottom w:val="single" w:sz="4" w:space="0" w:color="auto"/>
              <w:right w:val="single" w:sz="6" w:space="0" w:color="auto"/>
            </w:tcBorders>
            <w:hideMark/>
          </w:tcPr>
          <w:p w14:paraId="4787D7BC" w14:textId="77777777" w:rsidR="00F47DE8" w:rsidRPr="00D90835" w:rsidRDefault="00F47DE8" w:rsidP="004310CB">
            <w:pPr>
              <w:pStyle w:val="Tabletext"/>
            </w:pPr>
            <w:r w:rsidRPr="00D90835">
              <w:t xml:space="preserve">Pour </w:t>
            </w:r>
            <w:r>
              <w:t xml:space="preserve">une station de base IMT dont le </w:t>
            </w:r>
            <w:r w:rsidRPr="00D90835">
              <w:t>facteur de bruit NF</w:t>
            </w:r>
            <w:r>
              <w:t xml:space="preserve"> est égal à 5 </w:t>
            </w:r>
            <w:r w:rsidRPr="00D90835">
              <w:t xml:space="preserve">dB et </w:t>
            </w:r>
            <w:r>
              <w:t>N est égal à</w:t>
            </w:r>
            <w:r w:rsidRPr="00D90835">
              <w:t xml:space="preserve"> -199 dBW/Hz </w:t>
            </w:r>
          </w:p>
          <w:p w14:paraId="416C3298" w14:textId="77777777" w:rsidR="00F47DE8" w:rsidRPr="00D90835" w:rsidRDefault="00F47DE8" w:rsidP="004310CB">
            <w:pPr>
              <w:pStyle w:val="Tabletext"/>
            </w:pPr>
            <w:r w:rsidRPr="00D90835">
              <w:rPr>
                <w:i/>
              </w:rPr>
              <w:t>T</w:t>
            </w:r>
            <w:r w:rsidRPr="00D90835">
              <w:rPr>
                <w:i/>
                <w:vertAlign w:val="subscript"/>
              </w:rPr>
              <w:t>e</w:t>
            </w:r>
            <w:r w:rsidRPr="00D90835">
              <w:t xml:space="preserve"> = 10^(</w:t>
            </w:r>
            <w:r w:rsidRPr="00D90835">
              <w:rPr>
                <w:i/>
              </w:rPr>
              <w:t>N</w:t>
            </w:r>
            <w:r w:rsidRPr="00D90835">
              <w:t>/10)/</w:t>
            </w:r>
            <w:r w:rsidRPr="00D90835">
              <w:rPr>
                <w:i/>
              </w:rPr>
              <w:t>k</w:t>
            </w:r>
            <w:r w:rsidRPr="00D90835">
              <w:t xml:space="preserve"> = 925 K</w:t>
            </w:r>
          </w:p>
        </w:tc>
      </w:tr>
      <w:tr w:rsidR="00F47DE8" w:rsidRPr="00D90835" w14:paraId="210EC41A" w14:textId="77777777" w:rsidTr="0088187B">
        <w:trPr>
          <w:cantSplit/>
          <w:jc w:val="right"/>
        </w:trPr>
        <w:tc>
          <w:tcPr>
            <w:tcW w:w="1094" w:type="dxa"/>
            <w:tcBorders>
              <w:top w:val="single" w:sz="4" w:space="0" w:color="auto"/>
              <w:left w:val="single" w:sz="4" w:space="0" w:color="auto"/>
              <w:bottom w:val="single" w:sz="4" w:space="0" w:color="auto"/>
              <w:right w:val="single" w:sz="4" w:space="0" w:color="auto"/>
            </w:tcBorders>
            <w:hideMark/>
          </w:tcPr>
          <w:p w14:paraId="4E64C8E1" w14:textId="77777777" w:rsidR="00F47DE8" w:rsidRPr="002C67CB" w:rsidRDefault="00F47DE8" w:rsidP="004310CB">
            <w:pPr>
              <w:pStyle w:val="Tabletext"/>
            </w:pPr>
            <w:r w:rsidRPr="002C67CB">
              <w:t>Largeur de bande de référence</w:t>
            </w:r>
          </w:p>
        </w:tc>
        <w:tc>
          <w:tcPr>
            <w:tcW w:w="1093" w:type="dxa"/>
            <w:tcBorders>
              <w:top w:val="single" w:sz="4" w:space="0" w:color="auto"/>
              <w:left w:val="single" w:sz="4" w:space="0" w:color="auto"/>
              <w:bottom w:val="single" w:sz="4" w:space="0" w:color="auto"/>
              <w:right w:val="single" w:sz="4" w:space="0" w:color="auto"/>
            </w:tcBorders>
            <w:hideMark/>
          </w:tcPr>
          <w:p w14:paraId="0B7B38AF" w14:textId="77777777" w:rsidR="00F47DE8" w:rsidRPr="002C67CB" w:rsidRDefault="00F47DE8" w:rsidP="004310CB">
            <w:pPr>
              <w:pStyle w:val="Tabletext"/>
              <w:rPr>
                <w:position w:val="3"/>
              </w:rPr>
            </w:pPr>
            <w:r w:rsidRPr="002C67CB">
              <w:rPr>
                <w:i/>
                <w:iCs/>
              </w:rPr>
              <w:t>B</w:t>
            </w:r>
            <w:r w:rsidRPr="002C67CB">
              <w:t xml:space="preserve"> (Hz)</w:t>
            </w:r>
          </w:p>
        </w:tc>
        <w:tc>
          <w:tcPr>
            <w:tcW w:w="703" w:type="dxa"/>
            <w:tcBorders>
              <w:top w:val="single" w:sz="4" w:space="0" w:color="auto"/>
              <w:left w:val="single" w:sz="4" w:space="0" w:color="auto"/>
              <w:bottom w:val="single" w:sz="4" w:space="0" w:color="auto"/>
              <w:right w:val="single" w:sz="4" w:space="0" w:color="auto"/>
            </w:tcBorders>
            <w:hideMark/>
          </w:tcPr>
          <w:p w14:paraId="113A35FE" w14:textId="2FF21FF2" w:rsidR="00F47DE8" w:rsidRPr="00D90835" w:rsidRDefault="00F47DE8" w:rsidP="004310CB">
            <w:pPr>
              <w:pStyle w:val="Tabletext"/>
              <w:jc w:val="center"/>
            </w:pPr>
            <w:r w:rsidRPr="00D90835">
              <w:t>4 × 10</w:t>
            </w:r>
            <w:r w:rsidRPr="0088187B">
              <w:rPr>
                <w:position w:val="4"/>
                <w:vertAlign w:val="superscript"/>
              </w:rPr>
              <w:t>3</w:t>
            </w:r>
          </w:p>
        </w:tc>
        <w:tc>
          <w:tcPr>
            <w:tcW w:w="742" w:type="dxa"/>
            <w:tcBorders>
              <w:top w:val="single" w:sz="4" w:space="0" w:color="auto"/>
              <w:left w:val="single" w:sz="4" w:space="0" w:color="auto"/>
              <w:bottom w:val="single" w:sz="4" w:space="0" w:color="auto"/>
              <w:right w:val="single" w:sz="4" w:space="0" w:color="auto"/>
            </w:tcBorders>
            <w:hideMark/>
          </w:tcPr>
          <w:p w14:paraId="01360F65" w14:textId="3E63AE47" w:rsidR="00F47DE8" w:rsidRPr="00D90835" w:rsidRDefault="0088187B" w:rsidP="004310CB">
            <w:pPr>
              <w:pStyle w:val="Tabletext"/>
              <w:jc w:val="center"/>
            </w:pPr>
            <w:r w:rsidRPr="00D90835">
              <w:t>4 × 10</w:t>
            </w:r>
            <w:r w:rsidRPr="0088187B">
              <w:rPr>
                <w:position w:val="4"/>
                <w:vertAlign w:val="superscript"/>
              </w:rPr>
              <w:t>3</w:t>
            </w:r>
          </w:p>
        </w:tc>
        <w:tc>
          <w:tcPr>
            <w:tcW w:w="5705" w:type="dxa"/>
            <w:tcBorders>
              <w:top w:val="single" w:sz="4" w:space="0" w:color="auto"/>
              <w:left w:val="single" w:sz="4" w:space="0" w:color="auto"/>
              <w:bottom w:val="single" w:sz="4" w:space="0" w:color="auto"/>
              <w:right w:val="single" w:sz="4" w:space="0" w:color="auto"/>
            </w:tcBorders>
            <w:vAlign w:val="center"/>
            <w:hideMark/>
          </w:tcPr>
          <w:p w14:paraId="11F93910" w14:textId="77777777" w:rsidR="00F47DE8" w:rsidRPr="00D90835" w:rsidRDefault="00F47DE8" w:rsidP="004310CB">
            <w:pPr>
              <w:pStyle w:val="Tabletext"/>
            </w:pPr>
            <w:r w:rsidRPr="00D90835">
              <w:t>-</w:t>
            </w:r>
          </w:p>
        </w:tc>
      </w:tr>
      <w:tr w:rsidR="00F47DE8" w:rsidRPr="00E33DDE" w14:paraId="7999718A" w14:textId="77777777" w:rsidTr="0088187B">
        <w:trPr>
          <w:cantSplit/>
          <w:jc w:val="right"/>
        </w:trPr>
        <w:tc>
          <w:tcPr>
            <w:tcW w:w="1094" w:type="dxa"/>
            <w:tcBorders>
              <w:top w:val="single" w:sz="4" w:space="0" w:color="auto"/>
              <w:left w:val="single" w:sz="6" w:space="0" w:color="auto"/>
              <w:bottom w:val="single" w:sz="6" w:space="0" w:color="auto"/>
              <w:right w:val="single" w:sz="6" w:space="0" w:color="auto"/>
            </w:tcBorders>
            <w:hideMark/>
          </w:tcPr>
          <w:p w14:paraId="4E85DBA5" w14:textId="77777777" w:rsidR="00F47DE8" w:rsidRPr="002C67CB" w:rsidRDefault="00F47DE8" w:rsidP="004310CB">
            <w:pPr>
              <w:pStyle w:val="Tabletext"/>
            </w:pPr>
            <w:r w:rsidRPr="002C67CB">
              <w:t>Puissance de brouillage admissible</w:t>
            </w:r>
          </w:p>
        </w:tc>
        <w:tc>
          <w:tcPr>
            <w:tcW w:w="1093" w:type="dxa"/>
            <w:tcBorders>
              <w:top w:val="single" w:sz="4" w:space="0" w:color="auto"/>
              <w:left w:val="single" w:sz="6" w:space="0" w:color="auto"/>
              <w:bottom w:val="single" w:sz="6" w:space="0" w:color="auto"/>
              <w:right w:val="single" w:sz="6" w:space="0" w:color="auto"/>
            </w:tcBorders>
            <w:hideMark/>
          </w:tcPr>
          <w:p w14:paraId="004821FF" w14:textId="77777777" w:rsidR="00F47DE8" w:rsidRPr="002C67CB" w:rsidRDefault="00F47DE8" w:rsidP="004310CB">
            <w:pPr>
              <w:pStyle w:val="Tabletext"/>
              <w:rPr>
                <w:position w:val="3"/>
              </w:rPr>
            </w:pPr>
            <w:r w:rsidRPr="002C67CB">
              <w:rPr>
                <w:i/>
                <w:iCs/>
              </w:rPr>
              <w:t>P</w:t>
            </w:r>
            <w:r w:rsidRPr="002C67CB">
              <w:rPr>
                <w:i/>
                <w:iCs/>
                <w:position w:val="-4"/>
              </w:rPr>
              <w:t>r</w:t>
            </w:r>
            <w:r w:rsidRPr="002C67CB">
              <w:t>(</w:t>
            </w:r>
            <w:r w:rsidRPr="002C67CB">
              <w:rPr>
                <w:i/>
                <w:iCs/>
              </w:rPr>
              <w:t>p</w:t>
            </w:r>
            <w:r w:rsidRPr="002C67CB">
              <w:t>) (dBW)</w:t>
            </w:r>
            <w:r w:rsidRPr="002C67CB">
              <w:br/>
              <w:t xml:space="preserve">en </w:t>
            </w:r>
            <w:r w:rsidRPr="002C67CB">
              <w:rPr>
                <w:i/>
                <w:iCs/>
              </w:rPr>
              <w:t>B</w:t>
            </w:r>
          </w:p>
        </w:tc>
        <w:tc>
          <w:tcPr>
            <w:tcW w:w="703" w:type="dxa"/>
            <w:tcBorders>
              <w:top w:val="single" w:sz="4" w:space="0" w:color="auto"/>
              <w:left w:val="single" w:sz="6" w:space="0" w:color="auto"/>
              <w:bottom w:val="single" w:sz="6" w:space="0" w:color="auto"/>
              <w:right w:val="single" w:sz="6" w:space="0" w:color="auto"/>
            </w:tcBorders>
            <w:hideMark/>
          </w:tcPr>
          <w:p w14:paraId="6A4CF5B9" w14:textId="77777777" w:rsidR="00F47DE8" w:rsidRPr="00D90835" w:rsidRDefault="00F47DE8" w:rsidP="004310CB">
            <w:pPr>
              <w:pStyle w:val="Tabletext"/>
              <w:jc w:val="center"/>
            </w:pPr>
            <w:r w:rsidRPr="00D90835">
              <w:t>−140</w:t>
            </w:r>
          </w:p>
        </w:tc>
        <w:tc>
          <w:tcPr>
            <w:tcW w:w="742" w:type="dxa"/>
            <w:tcBorders>
              <w:top w:val="single" w:sz="4" w:space="0" w:color="auto"/>
              <w:left w:val="single" w:sz="6" w:space="0" w:color="auto"/>
              <w:bottom w:val="single" w:sz="6" w:space="0" w:color="auto"/>
              <w:right w:val="single" w:sz="6" w:space="0" w:color="auto"/>
            </w:tcBorders>
            <w:hideMark/>
          </w:tcPr>
          <w:p w14:paraId="257B9BFE" w14:textId="53C18D5C" w:rsidR="00F47DE8" w:rsidRPr="00D90835" w:rsidRDefault="0088187B" w:rsidP="004310CB">
            <w:pPr>
              <w:pStyle w:val="Tabletext"/>
              <w:jc w:val="center"/>
            </w:pPr>
            <w:r>
              <w:rPr>
                <w:lang w:eastAsia="ru-RU"/>
              </w:rPr>
              <w:t>–</w:t>
            </w:r>
            <w:r w:rsidR="00F47DE8" w:rsidRPr="00D90835">
              <w:rPr>
                <w:lang w:eastAsia="ru-RU"/>
              </w:rPr>
              <w:t>169</w:t>
            </w:r>
          </w:p>
        </w:tc>
        <w:tc>
          <w:tcPr>
            <w:tcW w:w="5705" w:type="dxa"/>
            <w:tcBorders>
              <w:top w:val="single" w:sz="4" w:space="0" w:color="auto"/>
              <w:left w:val="single" w:sz="6" w:space="0" w:color="auto"/>
              <w:bottom w:val="single" w:sz="6" w:space="0" w:color="auto"/>
              <w:right w:val="single" w:sz="6" w:space="0" w:color="auto"/>
            </w:tcBorders>
            <w:hideMark/>
          </w:tcPr>
          <w:p w14:paraId="121C22B6" w14:textId="77777777" w:rsidR="00F47DE8" w:rsidRPr="00D90835" w:rsidRDefault="00F47DE8" w:rsidP="004310CB">
            <w:pPr>
              <w:pStyle w:val="Tabletext"/>
            </w:pPr>
            <w:r>
              <w:rPr>
                <w:noProof/>
                <w:position w:val="-12"/>
                <w:lang w:eastAsia="zh-CN"/>
              </w:rPr>
              <w:drawing>
                <wp:inline distT="0" distB="0" distL="0" distR="0" wp14:anchorId="2D126ADE" wp14:editId="369A7EEC">
                  <wp:extent cx="2790190"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190" cy="207010"/>
                          </a:xfrm>
                          <a:prstGeom prst="rect">
                            <a:avLst/>
                          </a:prstGeom>
                          <a:noFill/>
                          <a:ln>
                            <a:noFill/>
                          </a:ln>
                        </pic:spPr>
                      </pic:pic>
                    </a:graphicData>
                  </a:graphic>
                </wp:inline>
              </w:drawing>
            </w:r>
          </w:p>
          <w:p w14:paraId="5C6C65E0" w14:textId="7B4B2B07" w:rsidR="00F47DE8" w:rsidRPr="00E33DDE" w:rsidRDefault="00F47DE8" w:rsidP="004310CB">
            <w:pPr>
              <w:pStyle w:val="Tabletext"/>
            </w:pPr>
            <w:r w:rsidRPr="00D90835">
              <w:tab/>
            </w:r>
            <w:r w:rsidRPr="00E33DDE">
              <w:rPr>
                <w:i/>
              </w:rPr>
              <w:t>k</w:t>
            </w:r>
            <w:r w:rsidRPr="00E33DDE">
              <w:t>:</w:t>
            </w:r>
            <w:r w:rsidRPr="00E33DDE">
              <w:tab/>
              <w:t>constante de Boltzmann (1</w:t>
            </w:r>
            <w:r>
              <w:t>,</w:t>
            </w:r>
            <w:r w:rsidRPr="00E33DDE">
              <w:t>38 × 10</w:t>
            </w:r>
            <w:r w:rsidR="0088187B">
              <w:t xml:space="preserve"> </w:t>
            </w:r>
            <w:r w:rsidRPr="00E33DDE">
              <w:t>−</w:t>
            </w:r>
            <w:r w:rsidR="0088187B">
              <w:t xml:space="preserve"> </w:t>
            </w:r>
            <w:r w:rsidRPr="00E33DDE">
              <w:t>23 J/K)</w:t>
            </w:r>
          </w:p>
          <w:p w14:paraId="458D2056" w14:textId="77777777" w:rsidR="00F47DE8" w:rsidRPr="00E33DDE" w:rsidRDefault="00F47DE8" w:rsidP="004310CB">
            <w:pPr>
              <w:pStyle w:val="Tabletext"/>
            </w:pPr>
            <w:r w:rsidRPr="00E33DDE">
              <w:tab/>
            </w:r>
            <w:r w:rsidRPr="00E33DDE">
              <w:rPr>
                <w:i/>
              </w:rPr>
              <w:t>T</w:t>
            </w:r>
            <w:r w:rsidRPr="00E33DDE">
              <w:rPr>
                <w:i/>
                <w:vertAlign w:val="subscript"/>
              </w:rPr>
              <w:t>e</w:t>
            </w:r>
            <w:r w:rsidRPr="00E33DDE">
              <w:t>:</w:t>
            </w:r>
            <w:r w:rsidRPr="00E33DDE">
              <w:tab/>
              <w:t>température de bruit thermique du système de réception (K), mesurée aux bornes de l'antenne de réception</w:t>
            </w:r>
          </w:p>
          <w:p w14:paraId="521E548A" w14:textId="77777777" w:rsidR="00F47DE8" w:rsidRPr="00E33DDE" w:rsidRDefault="00F47DE8" w:rsidP="004310CB">
            <w:pPr>
              <w:pStyle w:val="Tabletext"/>
            </w:pPr>
            <w:r w:rsidRPr="00E33DDE">
              <w:tab/>
            </w:r>
            <w:r w:rsidRPr="00E33DDE">
              <w:rPr>
                <w:i/>
              </w:rPr>
              <w:t>N</w:t>
            </w:r>
            <w:r w:rsidRPr="00E33DDE">
              <w:rPr>
                <w:i/>
                <w:vertAlign w:val="subscript"/>
              </w:rPr>
              <w:t>L</w:t>
            </w:r>
            <w:r w:rsidRPr="00E33DDE">
              <w:t>:</w:t>
            </w:r>
            <w:r w:rsidRPr="00E33DDE">
              <w:tab/>
              <w:t>contribution de bruit de la liaison</w:t>
            </w:r>
          </w:p>
          <w:p w14:paraId="709E0F0B" w14:textId="77777777" w:rsidR="00F47DE8" w:rsidRPr="00E33DDE" w:rsidRDefault="00F47DE8" w:rsidP="004310CB">
            <w:pPr>
              <w:pStyle w:val="Tabletext"/>
            </w:pPr>
            <w:r w:rsidRPr="00E33DDE">
              <w:tab/>
            </w:r>
            <w:r w:rsidRPr="00E33DDE">
              <w:rPr>
                <w:i/>
              </w:rPr>
              <w:t>B</w:t>
            </w:r>
            <w:r w:rsidRPr="00E33DDE">
              <w:t>:</w:t>
            </w:r>
            <w:r w:rsidRPr="00E33DDE">
              <w:tab/>
              <w:t>largeur de bande de référence (Hz), c'est-à-dire la largeur de bande dans laquelle fonctionne la station de réception brouillée et sur laquelle il est possible d'établir une moyenne de la puissance de l'émission brouilleuse</w:t>
            </w:r>
          </w:p>
          <w:p w14:paraId="7AB3FBD3" w14:textId="77777777" w:rsidR="00F47DE8" w:rsidRPr="00E33DDE" w:rsidRDefault="00F47DE8" w:rsidP="004310CB">
            <w:pPr>
              <w:pStyle w:val="Tabletext"/>
            </w:pPr>
            <w:r w:rsidRPr="00E33DDE">
              <w:tab/>
            </w:r>
            <w:r w:rsidRPr="00E33DDE">
              <w:rPr>
                <w:i/>
              </w:rPr>
              <w:t>p</w:t>
            </w:r>
            <w:r w:rsidRPr="00E33DDE">
              <w:t>:</w:t>
            </w:r>
            <w:r w:rsidRPr="00E33DDE">
              <w:tab/>
              <w:t xml:space="preserve">pourcentage de temps pendant lequel le brouillage provenant d'une source unique peut dépasser la valeur de la puissance de brouillage admissible; étant donné que les sources de brouillage ne devraient pas se présenter simultanément: </w:t>
            </w:r>
            <w:r w:rsidRPr="00973460">
              <w:rPr>
                <w:i/>
                <w:iCs/>
              </w:rPr>
              <w:t xml:space="preserve">p </w:t>
            </w:r>
            <w:r w:rsidRPr="00973460">
              <w:t>=</w:t>
            </w:r>
            <w:r w:rsidRPr="00973460">
              <w:rPr>
                <w:i/>
                <w:iCs/>
              </w:rPr>
              <w:t xml:space="preserve"> p</w:t>
            </w:r>
            <w:r w:rsidRPr="00E33DDE">
              <w:t>0/</w:t>
            </w:r>
            <w:r w:rsidRPr="00973460">
              <w:rPr>
                <w:i/>
                <w:iCs/>
              </w:rPr>
              <w:t>n</w:t>
            </w:r>
          </w:p>
          <w:p w14:paraId="65D0BDF8" w14:textId="77777777" w:rsidR="00F47DE8" w:rsidRPr="00E33DDE" w:rsidRDefault="00F47DE8" w:rsidP="004310CB">
            <w:pPr>
              <w:pStyle w:val="Tabletext"/>
            </w:pPr>
            <w:r w:rsidRPr="00E33DDE">
              <w:tab/>
            </w:r>
            <w:r w:rsidRPr="00E33DDE">
              <w:rPr>
                <w:i/>
              </w:rPr>
              <w:t>p</w:t>
            </w:r>
            <w:r w:rsidRPr="00E33DDE">
              <w:rPr>
                <w:i/>
                <w:vertAlign w:val="subscript"/>
              </w:rPr>
              <w:t>0</w:t>
            </w:r>
            <w:r w:rsidRPr="00E33DDE">
              <w:t>:</w:t>
            </w:r>
            <w:r w:rsidRPr="00E33DDE">
              <w:tab/>
              <w:t>pourcentage de temps pendant lequel le brouillage provenant de toutes les sources peut dépasser la valeur de seuil</w:t>
            </w:r>
          </w:p>
          <w:p w14:paraId="1414B7BA" w14:textId="77777777" w:rsidR="00F47DE8" w:rsidRPr="00E33DDE" w:rsidRDefault="00F47DE8" w:rsidP="004310CB">
            <w:pPr>
              <w:pStyle w:val="Tabletext"/>
            </w:pPr>
            <w:r w:rsidRPr="00E33DDE">
              <w:tab/>
            </w:r>
            <w:r w:rsidRPr="00E33DDE">
              <w:rPr>
                <w:i/>
              </w:rPr>
              <w:t>n</w:t>
            </w:r>
            <w:r w:rsidRPr="00E33DDE">
              <w:t>:</w:t>
            </w:r>
            <w:r w:rsidRPr="00E33DDE">
              <w:tab/>
              <w:t>nombre de sources de brouillage équivalentes, de niveau égal et de probabilité égale supposées être non corrélées pour de petits pourcentages de temps</w:t>
            </w:r>
          </w:p>
          <w:p w14:paraId="79D90BDF" w14:textId="77777777" w:rsidR="00F47DE8" w:rsidRPr="00E33DDE" w:rsidRDefault="00F47DE8" w:rsidP="004310CB">
            <w:pPr>
              <w:pStyle w:val="Tabletext"/>
            </w:pPr>
            <w:r w:rsidRPr="00E33DDE">
              <w:tab/>
            </w:r>
            <w:r w:rsidRPr="00E33DDE">
              <w:rPr>
                <w:i/>
              </w:rPr>
              <w:t>M</w:t>
            </w:r>
            <w:r w:rsidRPr="00E33DDE">
              <w:rPr>
                <w:i/>
                <w:vertAlign w:val="subscript"/>
              </w:rPr>
              <w:t>s</w:t>
            </w:r>
            <w:r w:rsidRPr="00E33DDE">
              <w:t>:</w:t>
            </w:r>
            <w:r w:rsidRPr="00E33DDE">
              <w:tab/>
              <w:t>marge de fonctionnement de la liaison (dB)</w:t>
            </w:r>
          </w:p>
          <w:p w14:paraId="16A957C9" w14:textId="77777777" w:rsidR="00F47DE8" w:rsidRPr="00E33DDE" w:rsidRDefault="00F47DE8" w:rsidP="004310CB">
            <w:pPr>
              <w:pStyle w:val="Tabletext"/>
            </w:pPr>
            <w:r w:rsidRPr="00E33DDE">
              <w:tab/>
            </w:r>
            <w:r w:rsidRPr="00E33DDE">
              <w:rPr>
                <w:i/>
              </w:rPr>
              <w:t>W</w:t>
            </w:r>
            <w:r w:rsidRPr="00E33DDE">
              <w:t>:</w:t>
            </w:r>
            <w:r w:rsidRPr="00E33DDE">
              <w:tab/>
              <w:t>facteur d'équivalence de bruit thermique (dB) pour les émissions brouilleuses dans la largeur de bande de référence</w:t>
            </w:r>
            <w:r>
              <w:t>.</w:t>
            </w:r>
            <w:r w:rsidRPr="00E33DDE">
              <w:t xml:space="preserve"> Ce facteur est positif lorsque les émissions brouilleuses ne causent pas une dégradation plus importante que le bruit thermique</w:t>
            </w:r>
          </w:p>
        </w:tc>
      </w:tr>
    </w:tbl>
    <w:p w14:paraId="0EA5ABD4" w14:textId="77777777" w:rsidR="00F47DE8" w:rsidRDefault="00F47DE8" w:rsidP="00C10236">
      <w:pPr>
        <w:pStyle w:val="Tablelegend"/>
        <w:rPr>
          <w:lang w:val="fr-CH"/>
        </w:rPr>
      </w:pPr>
      <w:r>
        <w:rPr>
          <w:position w:val="6"/>
          <w:lang w:val="fr-CH"/>
        </w:rPr>
        <w:t>1</w:t>
      </w:r>
      <w:r>
        <w:rPr>
          <w:lang w:val="fr-CH"/>
        </w:rPr>
        <w:tab/>
        <w:t>A: modulation analogique; N: modulation numérique.</w:t>
      </w:r>
    </w:p>
    <w:p w14:paraId="04BD9EB0" w14:textId="342C58F9" w:rsidR="00F47DE8" w:rsidRDefault="00F47DE8" w:rsidP="00C10236">
      <w:pPr>
        <w:pStyle w:val="Tablelegend"/>
        <w:rPr>
          <w:lang w:val="fr-CH"/>
        </w:rPr>
      </w:pPr>
      <w:r w:rsidRPr="007E5DE3">
        <w:rPr>
          <w:position w:val="6"/>
        </w:rPr>
        <w:t>2</w:t>
      </w:r>
      <w:r w:rsidRPr="007E5DE3">
        <w:tab/>
        <w:t>On a utilisé les paramètres applicables à la station de Terre associée aux systèmes transhorizon. On peut aussi utiliser les paramètres des systèmes hertziens en visibilité directe associés à l</w:t>
      </w:r>
      <w:r>
        <w:t>a bande de fréquences 1 668,4</w:t>
      </w:r>
      <w:r w:rsidR="00C10236">
        <w:noBreakHyphen/>
      </w:r>
      <w:r>
        <w:t>1 675 </w:t>
      </w:r>
      <w:r w:rsidRPr="007E5DE3">
        <w:t>MHz pour déterminer un contour supplémentaire.     (</w:t>
      </w:r>
      <w:r>
        <w:rPr>
          <w:lang w:val="fr-CH"/>
        </w:rPr>
        <w:t>CMR</w:t>
      </w:r>
      <w:r>
        <w:rPr>
          <w:lang w:val="fr-CH"/>
        </w:rPr>
        <w:noBreakHyphen/>
        <w:t>03)</w:t>
      </w:r>
    </w:p>
    <w:p w14:paraId="797D8207" w14:textId="77777777" w:rsidR="00F47DE8" w:rsidRPr="007E5DE3" w:rsidRDefault="00F47DE8" w:rsidP="00C10236">
      <w:pPr>
        <w:pStyle w:val="Tablelegend"/>
      </w:pPr>
      <w:r w:rsidRPr="007E5DE3">
        <w:rPr>
          <w:position w:val="6"/>
        </w:rPr>
        <w:t>3</w:t>
      </w:r>
      <w:r w:rsidRPr="007E5DE3">
        <w:tab/>
        <w:t>Les pertes dans le système d'alimentat</w:t>
      </w:r>
      <w:bookmarkStart w:id="7" w:name="_GoBack"/>
      <w:bookmarkEnd w:id="7"/>
      <w:r w:rsidRPr="007E5DE3">
        <w:t>ion ne sont pas prises en compte.</w:t>
      </w:r>
      <w:bookmarkEnd w:id="6"/>
    </w:p>
    <w:p w14:paraId="564325FC" w14:textId="77777777" w:rsidR="00C10236" w:rsidRDefault="00C10236" w:rsidP="00C10236">
      <w:pPr>
        <w:pStyle w:val="Reasons"/>
      </w:pPr>
    </w:p>
    <w:p w14:paraId="1B26D8D7" w14:textId="6B5C5507" w:rsidR="00587A4E" w:rsidRDefault="00C10236" w:rsidP="00C10236">
      <w:pPr>
        <w:jc w:val="center"/>
      </w:pPr>
      <w:r>
        <w:t>______________</w:t>
      </w:r>
    </w:p>
    <w:sectPr w:rsidR="00587A4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7A559" w14:textId="77777777" w:rsidR="00F47DE8" w:rsidRDefault="00F47DE8">
      <w:r>
        <w:separator/>
      </w:r>
    </w:p>
  </w:endnote>
  <w:endnote w:type="continuationSeparator" w:id="0">
    <w:p w14:paraId="0D406AAF" w14:textId="77777777" w:rsidR="00F47DE8" w:rsidRDefault="00F4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0815" w14:textId="73300928" w:rsidR="00936D25" w:rsidRDefault="00936D25">
    <w:pPr>
      <w:rPr>
        <w:lang w:val="en-US"/>
      </w:rPr>
    </w:pPr>
    <w:r>
      <w:fldChar w:fldCharType="begin"/>
    </w:r>
    <w:r>
      <w:rPr>
        <w:lang w:val="en-US"/>
      </w:rPr>
      <w:instrText xml:space="preserve"> FILENAME \p  \* MERGEFORMAT </w:instrText>
    </w:r>
    <w:r>
      <w:fldChar w:fldCharType="separate"/>
    </w:r>
    <w:r w:rsidR="0070413C">
      <w:rPr>
        <w:noProof/>
        <w:lang w:val="en-US"/>
      </w:rPr>
      <w:t>P:\FRA\ITU-R\CONF-R\CMR19\000\077F.docx</w:t>
    </w:r>
    <w:r>
      <w:fldChar w:fldCharType="end"/>
    </w:r>
    <w:r>
      <w:rPr>
        <w:lang w:val="en-US"/>
      </w:rPr>
      <w:tab/>
    </w:r>
    <w:r>
      <w:fldChar w:fldCharType="begin"/>
    </w:r>
    <w:r>
      <w:instrText xml:space="preserve"> SAVEDATE \@ DD.MM.YY </w:instrText>
    </w:r>
    <w:r>
      <w:fldChar w:fldCharType="separate"/>
    </w:r>
    <w:r w:rsidR="0070413C">
      <w:rPr>
        <w:noProof/>
      </w:rPr>
      <w:t>24.10.19</w:t>
    </w:r>
    <w:r>
      <w:fldChar w:fldCharType="end"/>
    </w:r>
    <w:r>
      <w:rPr>
        <w:lang w:val="en-US"/>
      </w:rPr>
      <w:tab/>
    </w:r>
    <w:r>
      <w:fldChar w:fldCharType="begin"/>
    </w:r>
    <w:r>
      <w:instrText xml:space="preserve"> PRINTDATE \@ DD.MM.YY </w:instrText>
    </w:r>
    <w:r>
      <w:fldChar w:fldCharType="separate"/>
    </w:r>
    <w:r w:rsidR="0070413C">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87DA" w14:textId="61E2CC3F"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70413C">
      <w:rPr>
        <w:lang w:val="en-US"/>
      </w:rPr>
      <w:t>P:\FRA\ITU-R\CONF-R\CMR19\000\077F.docx</w:t>
    </w:r>
    <w:r>
      <w:fldChar w:fldCharType="end"/>
    </w:r>
    <w:r w:rsidR="00C10236" w:rsidRPr="00C41C5A">
      <w:rPr>
        <w:lang w:val="en-GB"/>
      </w:rPr>
      <w:t xml:space="preserve"> (462152)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F86A" w14:textId="45E525F3"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70413C">
      <w:rPr>
        <w:lang w:val="en-US"/>
      </w:rPr>
      <w:t>P:\FRA\ITU-R\CONF-R\CMR19\000\077F.docx</w:t>
    </w:r>
    <w:r>
      <w:fldChar w:fldCharType="end"/>
    </w:r>
    <w:r w:rsidR="00C10236" w:rsidRPr="00C41C5A">
      <w:rPr>
        <w:lang w:val="en-GB"/>
      </w:rPr>
      <w:t xml:space="preserve"> (462152)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D8BD" w14:textId="77777777" w:rsidR="00F47DE8" w:rsidRDefault="00F47DE8">
      <w:r>
        <w:rPr>
          <w:b/>
        </w:rPr>
        <w:t>_______________</w:t>
      </w:r>
    </w:p>
  </w:footnote>
  <w:footnote w:type="continuationSeparator" w:id="0">
    <w:p w14:paraId="145A1AD8" w14:textId="77777777" w:rsidR="00F47DE8" w:rsidRDefault="00F47DE8">
      <w:r>
        <w:continuationSeparator/>
      </w:r>
    </w:p>
  </w:footnote>
  <w:footnote w:id="1">
    <w:p w14:paraId="6003E705" w14:textId="77777777" w:rsidR="00F47DE8" w:rsidRPr="00735EA7" w:rsidRDefault="00F47DE8" w:rsidP="00C10236">
      <w:pPr>
        <w:pStyle w:val="FootnoteText"/>
      </w:pPr>
      <w:r>
        <w:rPr>
          <w:rStyle w:val="FootnoteReference"/>
        </w:rPr>
        <w:footnoteRef/>
      </w:r>
      <w:r w:rsidRPr="00735EA7">
        <w:t xml:space="preserve"> La disposition de fréquences «B1» est aussi connue </w:t>
      </w:r>
      <w:r>
        <w:t>comme étant la «</w:t>
      </w:r>
      <w:r w:rsidRPr="00735EA7">
        <w:t>Band</w:t>
      </w:r>
      <w:r>
        <w:t>e 1» du 3GPP</w:t>
      </w:r>
      <w:r w:rsidRPr="00735EA7">
        <w:t xml:space="preserve"> </w:t>
      </w:r>
      <w:r>
        <w:t xml:space="preserve">et est largement mise en œuvre. </w:t>
      </w:r>
      <w:r w:rsidRPr="00735EA7">
        <w:t xml:space="preserve">La combinaison des dispositions de fréquences «B1» et </w:t>
      </w:r>
      <w:r>
        <w:t>«B6»</w:t>
      </w:r>
      <w:r w:rsidRPr="00735EA7">
        <w:t xml:space="preserve"> </w:t>
      </w:r>
      <w:r>
        <w:t>de l'UIT</w:t>
      </w:r>
      <w:r w:rsidRPr="00735EA7">
        <w:t xml:space="preserve">-R </w:t>
      </w:r>
      <w:r>
        <w:t>est connue comme étant la</w:t>
      </w:r>
      <w:r w:rsidRPr="00735EA7">
        <w:t xml:space="preserve"> </w:t>
      </w:r>
      <w:r>
        <w:t>«Bande 65» du 3GPP</w:t>
      </w:r>
      <w:r w:rsidRPr="00735E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76CE"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027C93AF" w14:textId="218DB772" w:rsidR="004F1F8E" w:rsidRDefault="004F1F8E" w:rsidP="00587A4E">
    <w:pPr>
      <w:pStyle w:val="Header"/>
    </w:pPr>
    <w:r>
      <w:t>CMR1</w:t>
    </w:r>
    <w:r w:rsidR="00587A4E">
      <w:t>9</w:t>
    </w:r>
    <w:r>
      <w:t>/</w:t>
    </w:r>
    <w:r w:rsidR="00832389">
      <w:t>77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EB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4C2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7C19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9ED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6C6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B67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AA5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2C68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DC6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8EA3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E8"/>
    <w:rsid w:val="00016648"/>
    <w:rsid w:val="0003522F"/>
    <w:rsid w:val="00055592"/>
    <w:rsid w:val="00080E2C"/>
    <w:rsid w:val="000A4755"/>
    <w:rsid w:val="000B2E0C"/>
    <w:rsid w:val="000B3D0C"/>
    <w:rsid w:val="001167B9"/>
    <w:rsid w:val="001267A0"/>
    <w:rsid w:val="00134655"/>
    <w:rsid w:val="00160C64"/>
    <w:rsid w:val="0019352B"/>
    <w:rsid w:val="001960D0"/>
    <w:rsid w:val="00232FD2"/>
    <w:rsid w:val="002A4622"/>
    <w:rsid w:val="002B17E5"/>
    <w:rsid w:val="002C0EBF"/>
    <w:rsid w:val="002C5FCD"/>
    <w:rsid w:val="002C67CB"/>
    <w:rsid w:val="00315AFE"/>
    <w:rsid w:val="00330135"/>
    <w:rsid w:val="00332324"/>
    <w:rsid w:val="003606A6"/>
    <w:rsid w:val="0036650C"/>
    <w:rsid w:val="003A583E"/>
    <w:rsid w:val="003E112B"/>
    <w:rsid w:val="003E5E3D"/>
    <w:rsid w:val="00416F68"/>
    <w:rsid w:val="004310CB"/>
    <w:rsid w:val="00457428"/>
    <w:rsid w:val="00462A9B"/>
    <w:rsid w:val="00466211"/>
    <w:rsid w:val="004D01FC"/>
    <w:rsid w:val="004E28C3"/>
    <w:rsid w:val="004F1F8E"/>
    <w:rsid w:val="00551ED8"/>
    <w:rsid w:val="00584FF8"/>
    <w:rsid w:val="00586CF2"/>
    <w:rsid w:val="00587A4E"/>
    <w:rsid w:val="005C3768"/>
    <w:rsid w:val="005C6C3F"/>
    <w:rsid w:val="00613635"/>
    <w:rsid w:val="0062093D"/>
    <w:rsid w:val="00637ECF"/>
    <w:rsid w:val="00647B59"/>
    <w:rsid w:val="00654E39"/>
    <w:rsid w:val="00701BAE"/>
    <w:rsid w:val="0070413C"/>
    <w:rsid w:val="00730E95"/>
    <w:rsid w:val="00774362"/>
    <w:rsid w:val="007A04E8"/>
    <w:rsid w:val="00832389"/>
    <w:rsid w:val="0084553F"/>
    <w:rsid w:val="0088187B"/>
    <w:rsid w:val="008A3120"/>
    <w:rsid w:val="008C000E"/>
    <w:rsid w:val="008D41BE"/>
    <w:rsid w:val="008D58D3"/>
    <w:rsid w:val="00923064"/>
    <w:rsid w:val="00936D25"/>
    <w:rsid w:val="00941EA5"/>
    <w:rsid w:val="00966C16"/>
    <w:rsid w:val="009765A8"/>
    <w:rsid w:val="0098732F"/>
    <w:rsid w:val="009C7E7C"/>
    <w:rsid w:val="00A00473"/>
    <w:rsid w:val="00A03C9B"/>
    <w:rsid w:val="00A606C3"/>
    <w:rsid w:val="00A83B09"/>
    <w:rsid w:val="00A84541"/>
    <w:rsid w:val="00AA02EF"/>
    <w:rsid w:val="00AE36A0"/>
    <w:rsid w:val="00B00294"/>
    <w:rsid w:val="00B63179"/>
    <w:rsid w:val="00B64FD0"/>
    <w:rsid w:val="00B86C07"/>
    <w:rsid w:val="00BF26E7"/>
    <w:rsid w:val="00C01C69"/>
    <w:rsid w:val="00C10236"/>
    <w:rsid w:val="00C41C5A"/>
    <w:rsid w:val="00C814B9"/>
    <w:rsid w:val="00CD516F"/>
    <w:rsid w:val="00CE2C8D"/>
    <w:rsid w:val="00CE6A1C"/>
    <w:rsid w:val="00D119A7"/>
    <w:rsid w:val="00D25FBA"/>
    <w:rsid w:val="00D66EAC"/>
    <w:rsid w:val="00D730DF"/>
    <w:rsid w:val="00D772F0"/>
    <w:rsid w:val="00D77BDC"/>
    <w:rsid w:val="00D8241C"/>
    <w:rsid w:val="00DB4417"/>
    <w:rsid w:val="00DC402B"/>
    <w:rsid w:val="00DE0932"/>
    <w:rsid w:val="00E049F1"/>
    <w:rsid w:val="00E37A25"/>
    <w:rsid w:val="00E70A31"/>
    <w:rsid w:val="00E977A2"/>
    <w:rsid w:val="00EA3F38"/>
    <w:rsid w:val="00EA5AB6"/>
    <w:rsid w:val="00EC7615"/>
    <w:rsid w:val="00ED16AA"/>
    <w:rsid w:val="00EF662E"/>
    <w:rsid w:val="00F148F1"/>
    <w:rsid w:val="00F47DE8"/>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B45D"/>
  <w15:docId w15:val="{96302A42-6053-4D84-9E3D-7225F7BB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FC4ADC"/>
    <w:rPr>
      <w:position w:val="6"/>
      <w:sz w:val="18"/>
    </w:rPr>
  </w:style>
  <w:style w:type="paragraph" w:styleId="FootnoteText">
    <w:name w:val="footnote text"/>
    <w:basedOn w:val="Normal"/>
    <w:link w:val="FootnoteTextChar"/>
    <w:uiPriority w:val="99"/>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uiPriority w:val="39"/>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erChar">
    <w:name w:val="Footer Char"/>
    <w:basedOn w:val="DefaultParagraphFont"/>
    <w:link w:val="Footer"/>
    <w:rsid w:val="00F47DE8"/>
    <w:rPr>
      <w:rFonts w:ascii="Times New Roman" w:hAnsi="Times New Roman"/>
      <w:caps/>
      <w:noProof/>
      <w:sz w:val="16"/>
      <w:lang w:val="fr-FR" w:eastAsia="en-US"/>
    </w:rPr>
  </w:style>
  <w:style w:type="character" w:customStyle="1" w:styleId="FootnoteTextChar">
    <w:name w:val="Footnote Text Char"/>
    <w:basedOn w:val="DefaultParagraphFont"/>
    <w:link w:val="FootnoteText"/>
    <w:uiPriority w:val="99"/>
    <w:rsid w:val="00F47DE8"/>
    <w:rPr>
      <w:rFonts w:ascii="Times New Roman" w:hAnsi="Times New Roman"/>
      <w:sz w:val="24"/>
      <w:lang w:val="fr-FR" w:eastAsia="en-US"/>
    </w:rPr>
  </w:style>
  <w:style w:type="paragraph" w:customStyle="1" w:styleId="Tableref">
    <w:name w:val="Table_ref"/>
    <w:basedOn w:val="Normal"/>
    <w:next w:val="Normal"/>
    <w:rsid w:val="00F47DE8"/>
    <w:pPr>
      <w:keepNext/>
      <w:spacing w:before="560"/>
      <w:jc w:val="center"/>
    </w:pPr>
    <w:rPr>
      <w:sz w:val="20"/>
      <w:lang w:val="en-GB"/>
    </w:rPr>
  </w:style>
  <w:style w:type="paragraph" w:customStyle="1" w:styleId="Partref">
    <w:name w:val="Part_ref"/>
    <w:basedOn w:val="Annexref"/>
    <w:next w:val="Normal"/>
    <w:rsid w:val="00F47DE8"/>
    <w:rPr>
      <w:lang w:val="en-GB"/>
    </w:rPr>
  </w:style>
  <w:style w:type="paragraph" w:styleId="BalloonText">
    <w:name w:val="Balloon Text"/>
    <w:basedOn w:val="Normal"/>
    <w:link w:val="BalloonTextChar"/>
    <w:semiHidden/>
    <w:unhideWhenUsed/>
    <w:rsid w:val="00F47DE8"/>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F47DE8"/>
    <w:rPr>
      <w:rFonts w:ascii="Segoe UI" w:hAnsi="Segoe UI" w:cs="Segoe UI"/>
      <w:sz w:val="18"/>
      <w:szCs w:val="18"/>
      <w:lang w:val="en-GB" w:eastAsia="en-US"/>
    </w:rPr>
  </w:style>
  <w:style w:type="paragraph" w:styleId="PlainText">
    <w:name w:val="Plain Text"/>
    <w:basedOn w:val="Normal"/>
    <w:link w:val="PlainTextChar"/>
    <w:uiPriority w:val="99"/>
    <w:unhideWhenUsed/>
    <w:rsid w:val="00F47DE8"/>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F47DE8"/>
    <w:rPr>
      <w:rFonts w:ascii="Calibri" w:eastAsiaTheme="minorHAnsi" w:hAnsi="Calibri" w:cstheme="minorBid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trema\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2737-16A6-41E0-90D6-DD0EE46F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115</TotalTime>
  <Pages>1</Pages>
  <Words>2961</Words>
  <Characters>15491</Characters>
  <Application>Microsoft Office Word</Application>
  <DocSecurity>0</DocSecurity>
  <Lines>508</Lines>
  <Paragraphs>288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cp:lastModifiedBy>French1</cp:lastModifiedBy>
  <cp:revision>10</cp:revision>
  <cp:lastPrinted>2019-10-24T11:22:00Z</cp:lastPrinted>
  <dcterms:created xsi:type="dcterms:W3CDTF">2019-10-24T05:16:00Z</dcterms:created>
  <dcterms:modified xsi:type="dcterms:W3CDTF">2019-10-24T11:23:00Z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