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08D66142" w14:textId="77777777" w:rsidTr="00A81DBA">
        <w:trPr>
          <w:cantSplit/>
        </w:trPr>
        <w:tc>
          <w:tcPr>
            <w:tcW w:w="6911" w:type="dxa"/>
          </w:tcPr>
          <w:p w14:paraId="46003E23"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125CAFF1"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0C5D2952" wp14:editId="6D06E54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4C40103C" w14:textId="77777777" w:rsidTr="00A81DBA">
        <w:trPr>
          <w:cantSplit/>
        </w:trPr>
        <w:tc>
          <w:tcPr>
            <w:tcW w:w="6911" w:type="dxa"/>
            <w:tcBorders>
              <w:bottom w:val="single" w:sz="12" w:space="0" w:color="auto"/>
            </w:tcBorders>
          </w:tcPr>
          <w:p w14:paraId="235DD700"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620DF36A" w14:textId="77777777" w:rsidR="0090121B" w:rsidRPr="0002785D" w:rsidRDefault="0090121B" w:rsidP="0090121B">
            <w:pPr>
              <w:spacing w:before="0" w:line="240" w:lineRule="atLeast"/>
              <w:rPr>
                <w:rFonts w:ascii="Verdana" w:hAnsi="Verdana"/>
                <w:szCs w:val="24"/>
                <w:lang w:val="en-US"/>
              </w:rPr>
            </w:pPr>
          </w:p>
        </w:tc>
      </w:tr>
      <w:tr w:rsidR="0090121B" w:rsidRPr="0002785D" w14:paraId="7BABB736" w14:textId="77777777" w:rsidTr="0090121B">
        <w:trPr>
          <w:cantSplit/>
        </w:trPr>
        <w:tc>
          <w:tcPr>
            <w:tcW w:w="6911" w:type="dxa"/>
            <w:tcBorders>
              <w:top w:val="single" w:sz="12" w:space="0" w:color="auto"/>
            </w:tcBorders>
          </w:tcPr>
          <w:p w14:paraId="50BBA8C2"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4A4607F2" w14:textId="77777777" w:rsidR="0090121B" w:rsidRPr="0002785D" w:rsidRDefault="0090121B" w:rsidP="0090121B">
            <w:pPr>
              <w:spacing w:before="0" w:line="240" w:lineRule="atLeast"/>
              <w:rPr>
                <w:rFonts w:ascii="Verdana" w:hAnsi="Verdana"/>
                <w:sz w:val="20"/>
                <w:lang w:val="en-US"/>
              </w:rPr>
            </w:pPr>
          </w:p>
        </w:tc>
      </w:tr>
      <w:tr w:rsidR="0090121B" w:rsidRPr="0002785D" w14:paraId="7BFCA65F" w14:textId="77777777" w:rsidTr="0090121B">
        <w:trPr>
          <w:cantSplit/>
        </w:trPr>
        <w:tc>
          <w:tcPr>
            <w:tcW w:w="6911" w:type="dxa"/>
          </w:tcPr>
          <w:p w14:paraId="05A08CD4"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7B475E61"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77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5ECDBBEC" w14:textId="77777777" w:rsidTr="0090121B">
        <w:trPr>
          <w:cantSplit/>
        </w:trPr>
        <w:tc>
          <w:tcPr>
            <w:tcW w:w="6911" w:type="dxa"/>
          </w:tcPr>
          <w:p w14:paraId="26878386"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37CD6CA5"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325F84C6" w14:textId="77777777" w:rsidTr="0090121B">
        <w:trPr>
          <w:cantSplit/>
        </w:trPr>
        <w:tc>
          <w:tcPr>
            <w:tcW w:w="6911" w:type="dxa"/>
          </w:tcPr>
          <w:p w14:paraId="15AF3F9A"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7F27BBE0"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693CED3" w14:textId="77777777" w:rsidTr="00A81DBA">
        <w:trPr>
          <w:cantSplit/>
        </w:trPr>
        <w:tc>
          <w:tcPr>
            <w:tcW w:w="10031" w:type="dxa"/>
            <w:gridSpan w:val="2"/>
          </w:tcPr>
          <w:p w14:paraId="15757846" w14:textId="77777777" w:rsidR="000A5B9A" w:rsidRPr="007424E8" w:rsidRDefault="000A5B9A" w:rsidP="0045384C">
            <w:pPr>
              <w:spacing w:before="0"/>
              <w:rPr>
                <w:rFonts w:ascii="Verdana" w:hAnsi="Verdana"/>
                <w:b/>
                <w:sz w:val="18"/>
                <w:szCs w:val="22"/>
                <w:lang w:val="en-US"/>
              </w:rPr>
            </w:pPr>
          </w:p>
        </w:tc>
      </w:tr>
      <w:tr w:rsidR="000A5B9A" w:rsidRPr="0002785D" w14:paraId="60034064" w14:textId="77777777" w:rsidTr="00A81DBA">
        <w:trPr>
          <w:cantSplit/>
        </w:trPr>
        <w:tc>
          <w:tcPr>
            <w:tcW w:w="10031" w:type="dxa"/>
            <w:gridSpan w:val="2"/>
          </w:tcPr>
          <w:p w14:paraId="7F7253BC" w14:textId="77777777" w:rsidR="000A5B9A" w:rsidRPr="0086036C" w:rsidRDefault="000A5B9A" w:rsidP="000A5B9A">
            <w:pPr>
              <w:pStyle w:val="Source"/>
              <w:rPr>
                <w:lang w:val="es-ES"/>
              </w:rPr>
            </w:pPr>
            <w:bookmarkStart w:id="2" w:name="dsource" w:colFirst="0" w:colLast="0"/>
            <w:r w:rsidRPr="0086036C">
              <w:rPr>
                <w:lang w:val="es-ES"/>
              </w:rPr>
              <w:t>China (República Popular de)/Federación de Rusia/Papua Nueva Guinea</w:t>
            </w:r>
          </w:p>
        </w:tc>
      </w:tr>
      <w:tr w:rsidR="000A5B9A" w:rsidRPr="0002785D" w14:paraId="21732242" w14:textId="77777777" w:rsidTr="00A81DBA">
        <w:trPr>
          <w:cantSplit/>
        </w:trPr>
        <w:tc>
          <w:tcPr>
            <w:tcW w:w="10031" w:type="dxa"/>
            <w:gridSpan w:val="2"/>
          </w:tcPr>
          <w:p w14:paraId="77CA2826" w14:textId="77777777" w:rsidR="000A5B9A" w:rsidRPr="0086036C" w:rsidRDefault="000A5B9A" w:rsidP="000A5B9A">
            <w:pPr>
              <w:pStyle w:val="Title1"/>
              <w:rPr>
                <w:lang w:val="es-ES"/>
              </w:rPr>
            </w:pPr>
            <w:bookmarkStart w:id="3" w:name="dtitle1" w:colFirst="0" w:colLast="0"/>
            <w:bookmarkEnd w:id="2"/>
            <w:r w:rsidRPr="0086036C">
              <w:rPr>
                <w:lang w:val="es-ES"/>
              </w:rPr>
              <w:t>Propuestas para los trabajos de la Conferencia</w:t>
            </w:r>
          </w:p>
        </w:tc>
      </w:tr>
      <w:tr w:rsidR="000A5B9A" w:rsidRPr="0002785D" w14:paraId="6F7332D8" w14:textId="77777777" w:rsidTr="00A81DBA">
        <w:trPr>
          <w:cantSplit/>
        </w:trPr>
        <w:tc>
          <w:tcPr>
            <w:tcW w:w="10031" w:type="dxa"/>
            <w:gridSpan w:val="2"/>
          </w:tcPr>
          <w:p w14:paraId="58F5F98B" w14:textId="77777777" w:rsidR="000A5B9A" w:rsidRPr="0086036C" w:rsidRDefault="000A5B9A" w:rsidP="000A5B9A">
            <w:pPr>
              <w:pStyle w:val="Title2"/>
              <w:rPr>
                <w:lang w:val="es-ES"/>
              </w:rPr>
            </w:pPr>
            <w:bookmarkStart w:id="4" w:name="dtitle2" w:colFirst="0" w:colLast="0"/>
            <w:bookmarkEnd w:id="3"/>
          </w:p>
        </w:tc>
      </w:tr>
      <w:tr w:rsidR="000A5B9A" w14:paraId="0E6B68D8" w14:textId="77777777" w:rsidTr="00A81DBA">
        <w:trPr>
          <w:cantSplit/>
        </w:trPr>
        <w:tc>
          <w:tcPr>
            <w:tcW w:w="10031" w:type="dxa"/>
            <w:gridSpan w:val="2"/>
          </w:tcPr>
          <w:p w14:paraId="31727125" w14:textId="77777777" w:rsidR="000A5B9A" w:rsidRDefault="000A5B9A" w:rsidP="000A5B9A">
            <w:pPr>
              <w:pStyle w:val="Agendaitem"/>
            </w:pPr>
            <w:bookmarkStart w:id="5" w:name="dtitle3" w:colFirst="0" w:colLast="0"/>
            <w:bookmarkEnd w:id="4"/>
            <w:r w:rsidRPr="00AE658F">
              <w:t>Punto 9.1(9.1.1) del orden del día</w:t>
            </w:r>
          </w:p>
        </w:tc>
      </w:tr>
    </w:tbl>
    <w:bookmarkEnd w:id="5"/>
    <w:p w14:paraId="49A1D61F" w14:textId="77777777" w:rsidR="00A81DBA" w:rsidRPr="00E9771B" w:rsidRDefault="00A81DBA" w:rsidP="00A81DBA">
      <w:r w:rsidRPr="00E8457B">
        <w:t>9</w:t>
      </w:r>
      <w:r w:rsidRPr="00E8457B">
        <w:tab/>
        <w:t>examinar y aprobar el Informe del Director de la Oficina de Radiocomunicaciones, de conformidad con el Artículo 7 del Convenio:</w:t>
      </w:r>
    </w:p>
    <w:p w14:paraId="60A0512E" w14:textId="77777777" w:rsidR="00A81DBA" w:rsidRPr="00E9771B" w:rsidRDefault="00A81DBA" w:rsidP="00A81DBA">
      <w:r w:rsidRPr="00E8457B">
        <w:t>9.1</w:t>
      </w:r>
      <w:r w:rsidRPr="00E8457B">
        <w:tab/>
        <w:t>sobre las actividades del Sector de Radiocomunicaciones desde la CMR</w:t>
      </w:r>
      <w:r w:rsidRPr="00E8457B">
        <w:noBreakHyphen/>
        <w:t>15;</w:t>
      </w:r>
    </w:p>
    <w:p w14:paraId="01573D76" w14:textId="77777777" w:rsidR="00A81DBA" w:rsidRPr="00E9771B" w:rsidRDefault="00A81DBA" w:rsidP="00A81DBA">
      <w:r>
        <w:rPr>
          <w:rFonts w:cstheme="majorBidi"/>
          <w:color w:val="000000"/>
          <w:szCs w:val="24"/>
          <w:lang w:eastAsia="zh-CN"/>
        </w:rPr>
        <w:t>9.1 (</w:t>
      </w:r>
      <w:r>
        <w:rPr>
          <w:rFonts w:hint="eastAsia"/>
          <w:lang w:eastAsia="zh-CN"/>
        </w:rPr>
        <w:t>9.1.</w:t>
      </w:r>
      <w:r>
        <w:rPr>
          <w:lang w:eastAsia="zh-CN"/>
        </w:rPr>
        <w:t>1</w:t>
      </w:r>
      <w:r w:rsidRPr="00DC7B77">
        <w:rPr>
          <w:lang w:eastAsia="zh-CN"/>
        </w:rPr>
        <w:t>)</w:t>
      </w:r>
      <w:r w:rsidRPr="00294A8A">
        <w:tab/>
      </w:r>
      <w:hyperlink w:anchor="RES_212" w:history="1">
        <w:r w:rsidRPr="00D37A53">
          <w:t xml:space="preserve">Resolución </w:t>
        </w:r>
        <w:r w:rsidRPr="00D37A53">
          <w:rPr>
            <w:b/>
            <w:bCs/>
          </w:rPr>
          <w:t>212 (Rev.CMR-15)</w:t>
        </w:r>
      </w:hyperlink>
      <w:r w:rsidRPr="00294A8A">
        <w:t xml:space="preserve"> </w:t>
      </w:r>
      <w:r>
        <w:t>–</w:t>
      </w:r>
      <w:r w:rsidRPr="00294A8A">
        <w:t xml:space="preserve"> Introducción de las telecomunicaciones móviles internacionales (IMT) en las bandas de frecuencias 1 885-2 025 MHz y 2 110</w:t>
      </w:r>
      <w:r>
        <w:t>-</w:t>
      </w:r>
      <w:r w:rsidRPr="00294A8A">
        <w:t>2 200 MHz</w:t>
      </w:r>
    </w:p>
    <w:p w14:paraId="7BC975D1" w14:textId="3C6D6737" w:rsidR="0086036C" w:rsidRPr="0086036C" w:rsidRDefault="0086036C" w:rsidP="0086036C">
      <w:pPr>
        <w:pStyle w:val="Heading1"/>
        <w:rPr>
          <w:lang w:val="es-ES"/>
        </w:rPr>
      </w:pPr>
      <w:r w:rsidRPr="0086036C">
        <w:rPr>
          <w:lang w:val="es-ES"/>
        </w:rPr>
        <w:t>1</w:t>
      </w:r>
      <w:r w:rsidRPr="0086036C">
        <w:rPr>
          <w:lang w:val="es-ES"/>
        </w:rPr>
        <w:tab/>
        <w:t>Introduction</w:t>
      </w:r>
    </w:p>
    <w:p w14:paraId="7AB9D11A" w14:textId="517E0280" w:rsidR="0086036C" w:rsidRPr="0086036C" w:rsidRDefault="0086036C" w:rsidP="0086036C">
      <w:pPr>
        <w:rPr>
          <w:lang w:val="es-ES"/>
        </w:rPr>
      </w:pPr>
      <w:r w:rsidRPr="0086036C">
        <w:rPr>
          <w:lang w:val="es-ES"/>
        </w:rPr>
        <w:t>Los estudios del UIT-R llevados a cabo en virtud del tema 1.9.1 del punto 1.9 del orden del día han sido responsabilidad de los Grupos de Trabajo 4C y 5D. Aunque los dos grupos de trabajo no han conseguido finalizar el Informe UIT-R planificado, que incluye los estudios técnicos, antes de la CMR-19, los diferentes estudios dan una indicación clara y coherente de los casos de interferencia para cada uno de los escenarios considerados. El documento en el que han trabajado ambos grupos de trabajo consta actualmente de unas 430 páginas y resulta difícil para personas que no hayan estado implicadas directamente en los estudios citarlo con facilidad. Por este motivo, el presente documento ofrece un resumen de los principales resultados de los estudios de interferencia.</w:t>
      </w:r>
    </w:p>
    <w:p w14:paraId="4597CE27" w14:textId="14990177" w:rsidR="0086036C" w:rsidRPr="0086036C" w:rsidRDefault="0086036C" w:rsidP="0086036C">
      <w:pPr>
        <w:rPr>
          <w:lang w:val="es-ES"/>
        </w:rPr>
      </w:pPr>
      <w:r w:rsidRPr="0086036C">
        <w:rPr>
          <w:lang w:val="es-ES"/>
        </w:rPr>
        <w:t>Se han considerado cuatro escenarios de interferencia para este punto del orden del día y la figura siguiente muestra un ejemplo del despliegue de un sistema IMT terrenal y otro IMT de satélite en dos países diferentes, que no forzosamente tienen una frontera común.</w:t>
      </w:r>
    </w:p>
    <w:p w14:paraId="0ADD92FD" w14:textId="42EAB16C" w:rsidR="00363A65" w:rsidRPr="0086036C" w:rsidRDefault="0086036C" w:rsidP="00840AC3">
      <w:pPr>
        <w:keepNext/>
        <w:keepLines/>
        <w:rPr>
          <w:lang w:val="es-ES"/>
        </w:rPr>
      </w:pPr>
      <w:r>
        <w:rPr>
          <w:noProof/>
          <w:color w:val="4D4D4D"/>
          <w:szCs w:val="24"/>
          <w:lang w:val="es-ES" w:eastAsia="zh-CN"/>
        </w:rPr>
        <w:drawing>
          <wp:inline distT="0" distB="0" distL="0" distR="0" wp14:anchorId="40A546CA" wp14:editId="1F9982F5">
            <wp:extent cx="5726430" cy="185547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6430" cy="1855470"/>
                    </a:xfrm>
                    <a:prstGeom prst="rect">
                      <a:avLst/>
                    </a:prstGeom>
                    <a:noFill/>
                    <a:ln>
                      <a:noFill/>
                    </a:ln>
                  </pic:spPr>
                </pic:pic>
              </a:graphicData>
            </a:graphic>
          </wp:inline>
        </w:drawing>
      </w:r>
    </w:p>
    <w:p w14:paraId="2DEFF5ED" w14:textId="32D85C0A" w:rsidR="0086036C" w:rsidRPr="0086036C" w:rsidRDefault="0086036C" w:rsidP="00840AC3">
      <w:pPr>
        <w:pStyle w:val="Figurelegend"/>
      </w:pPr>
      <w:r w:rsidRPr="0086036C">
        <w:lastRenderedPageBreak/>
        <w:t>Leyenda</w:t>
      </w:r>
      <w:r w:rsidR="0054354F">
        <w:t>:</w:t>
      </w:r>
    </w:p>
    <w:p w14:paraId="69BA453C" w14:textId="77777777" w:rsidR="0086036C" w:rsidRPr="0086036C" w:rsidRDefault="0086036C" w:rsidP="00840AC3">
      <w:pPr>
        <w:pStyle w:val="Figurelegend"/>
      </w:pPr>
      <w:r w:rsidRPr="0086036C">
        <w:t>Escenarios de interferencia</w:t>
      </w:r>
    </w:p>
    <w:p w14:paraId="29FEFB38" w14:textId="78F083C9" w:rsidR="0086036C" w:rsidRPr="0086036C" w:rsidRDefault="0086036C" w:rsidP="00840AC3">
      <w:pPr>
        <w:pStyle w:val="Figurelegend"/>
      </w:pPr>
      <w:r w:rsidRPr="0086036C">
        <w:t>Escenario</w:t>
      </w:r>
      <w:r w:rsidRPr="0086036C">
        <w:tab/>
      </w:r>
      <w:r w:rsidRPr="0086036C">
        <w:tab/>
        <w:t>de</w:t>
      </w:r>
      <w:r w:rsidRPr="0086036C">
        <w:tab/>
      </w:r>
      <w:r>
        <w:tab/>
      </w:r>
      <w:r>
        <w:tab/>
      </w:r>
      <w:r>
        <w:tab/>
      </w:r>
      <w:r>
        <w:tab/>
      </w:r>
      <w:r w:rsidRPr="0086036C">
        <w:t>a</w:t>
      </w:r>
    </w:p>
    <w:p w14:paraId="35F866D1" w14:textId="3DFCBB78" w:rsidR="0086036C" w:rsidRPr="0086036C" w:rsidRDefault="0086036C" w:rsidP="00840AC3">
      <w:pPr>
        <w:pStyle w:val="Figurelegend"/>
        <w:rPr>
          <w:lang w:val="es-ES"/>
        </w:rPr>
      </w:pPr>
      <w:r w:rsidRPr="0086036C">
        <w:rPr>
          <w:lang w:val="es-ES"/>
        </w:rPr>
        <w:t>A1</w:t>
      </w:r>
      <w:r>
        <w:rPr>
          <w:lang w:val="es-ES"/>
        </w:rPr>
        <w:tab/>
      </w:r>
      <w:r w:rsidRPr="0086036C">
        <w:rPr>
          <w:lang w:val="es-ES"/>
        </w:rPr>
        <w:t>Estación base IMT terrenal</w:t>
      </w:r>
      <w:r>
        <w:rPr>
          <w:lang w:val="es-ES"/>
        </w:rPr>
        <w:tab/>
      </w:r>
      <w:r>
        <w:rPr>
          <w:lang w:val="es-ES"/>
        </w:rPr>
        <w:tab/>
      </w:r>
      <w:r w:rsidRPr="0086036C">
        <w:rPr>
          <w:lang w:val="es-ES"/>
        </w:rPr>
        <w:t>Estación espacial IMT de satélite</w:t>
      </w:r>
    </w:p>
    <w:p w14:paraId="158D20BE" w14:textId="53302B7C" w:rsidR="0086036C" w:rsidRPr="0086036C" w:rsidRDefault="0086036C" w:rsidP="00840AC3">
      <w:pPr>
        <w:pStyle w:val="Figurelegend"/>
        <w:rPr>
          <w:lang w:val="es-ES"/>
        </w:rPr>
      </w:pPr>
      <w:r>
        <w:rPr>
          <w:lang w:val="es-ES"/>
        </w:rPr>
        <w:tab/>
      </w:r>
      <w:r w:rsidRPr="0086036C">
        <w:rPr>
          <w:lang w:val="es-ES"/>
        </w:rPr>
        <w:t>o estación móvil</w:t>
      </w:r>
    </w:p>
    <w:p w14:paraId="622DD111" w14:textId="23B0B167" w:rsidR="0086036C" w:rsidRPr="0086036C" w:rsidRDefault="0086036C" w:rsidP="00840AC3">
      <w:pPr>
        <w:pStyle w:val="Figurelegend"/>
        <w:rPr>
          <w:lang w:val="es-ES"/>
        </w:rPr>
      </w:pPr>
      <w:r w:rsidRPr="0086036C">
        <w:rPr>
          <w:lang w:val="es-ES"/>
        </w:rPr>
        <w:t>A2</w:t>
      </w:r>
      <w:r>
        <w:rPr>
          <w:lang w:val="es-ES"/>
        </w:rPr>
        <w:tab/>
      </w:r>
      <w:r w:rsidRPr="0086036C">
        <w:rPr>
          <w:lang w:val="es-ES"/>
        </w:rPr>
        <w:t>Estación base IMT terrenal</w:t>
      </w:r>
      <w:r>
        <w:rPr>
          <w:lang w:val="es-ES"/>
        </w:rPr>
        <w:tab/>
      </w:r>
      <w:r>
        <w:rPr>
          <w:lang w:val="es-ES"/>
        </w:rPr>
        <w:tab/>
      </w:r>
      <w:r w:rsidRPr="0086036C">
        <w:rPr>
          <w:lang w:val="es-ES"/>
        </w:rPr>
        <w:t>ETM IMT de satélite</w:t>
      </w:r>
    </w:p>
    <w:p w14:paraId="12BA7449" w14:textId="4C9288D8" w:rsidR="0086036C" w:rsidRPr="0086036C" w:rsidRDefault="0086036C" w:rsidP="00840AC3">
      <w:pPr>
        <w:pStyle w:val="Figurelegend"/>
        <w:rPr>
          <w:lang w:val="es-ES"/>
        </w:rPr>
      </w:pPr>
      <w:r w:rsidRPr="0086036C">
        <w:rPr>
          <w:lang w:val="es-ES"/>
        </w:rPr>
        <w:t>B1</w:t>
      </w:r>
      <w:r>
        <w:rPr>
          <w:lang w:val="es-ES"/>
        </w:rPr>
        <w:tab/>
      </w:r>
      <w:r w:rsidRPr="0086036C">
        <w:rPr>
          <w:lang w:val="es-ES"/>
        </w:rPr>
        <w:t>ETM IMT de satélite</w:t>
      </w:r>
      <w:r>
        <w:rPr>
          <w:lang w:val="es-ES"/>
        </w:rPr>
        <w:tab/>
      </w:r>
      <w:r>
        <w:rPr>
          <w:lang w:val="es-ES"/>
        </w:rPr>
        <w:tab/>
      </w:r>
      <w:r>
        <w:rPr>
          <w:lang w:val="es-ES"/>
        </w:rPr>
        <w:tab/>
      </w:r>
      <w:r w:rsidRPr="0086036C">
        <w:rPr>
          <w:lang w:val="es-ES"/>
        </w:rPr>
        <w:t xml:space="preserve">Estación base o EU IMT terrenal </w:t>
      </w:r>
    </w:p>
    <w:p w14:paraId="160BD8B5" w14:textId="2C98AACD" w:rsidR="0086036C" w:rsidRPr="0086036C" w:rsidRDefault="0086036C" w:rsidP="00840AC3">
      <w:pPr>
        <w:pStyle w:val="Figurelegend"/>
        <w:rPr>
          <w:lang w:val="es-ES"/>
        </w:rPr>
      </w:pPr>
      <w:r w:rsidRPr="0086036C">
        <w:rPr>
          <w:lang w:val="es-ES"/>
        </w:rPr>
        <w:t>B2</w:t>
      </w:r>
      <w:r>
        <w:rPr>
          <w:lang w:val="es-ES"/>
        </w:rPr>
        <w:tab/>
      </w:r>
      <w:r w:rsidRPr="0086036C">
        <w:rPr>
          <w:lang w:val="es-ES"/>
        </w:rPr>
        <w:t>Estación espacial IMT de satélite</w:t>
      </w:r>
      <w:r>
        <w:rPr>
          <w:lang w:val="es-ES"/>
        </w:rPr>
        <w:tab/>
      </w:r>
      <w:r>
        <w:rPr>
          <w:lang w:val="es-ES"/>
        </w:rPr>
        <w:tab/>
      </w:r>
      <w:r w:rsidRPr="0086036C">
        <w:rPr>
          <w:lang w:val="es-ES"/>
        </w:rPr>
        <w:t>EU IMT terrenal</w:t>
      </w:r>
    </w:p>
    <w:p w14:paraId="5F855678" w14:textId="77777777" w:rsidR="0086036C" w:rsidRPr="0086036C" w:rsidRDefault="0086036C" w:rsidP="00840AC3">
      <w:pPr>
        <w:pStyle w:val="Figurelegend"/>
        <w:rPr>
          <w:lang w:val="es-ES"/>
        </w:rPr>
      </w:pPr>
      <w:r w:rsidRPr="0086036C">
        <w:rPr>
          <w:lang w:val="es-ES"/>
        </w:rPr>
        <w:t>País A, País B, Satélite del SMS</w:t>
      </w:r>
    </w:p>
    <w:p w14:paraId="195314B6" w14:textId="474A42CE" w:rsidR="0086036C" w:rsidRPr="0086036C" w:rsidRDefault="0086036C" w:rsidP="00840AC3">
      <w:pPr>
        <w:pStyle w:val="Figurelegend"/>
        <w:rPr>
          <w:lang w:val="es-ES"/>
        </w:rPr>
      </w:pPr>
      <w:r w:rsidRPr="0086036C">
        <w:rPr>
          <w:lang w:val="es-ES"/>
        </w:rPr>
        <w:t>Estación base;</w:t>
      </w:r>
      <w:r>
        <w:rPr>
          <w:lang w:val="es-ES"/>
        </w:rPr>
        <w:t xml:space="preserve"> </w:t>
      </w:r>
      <w:r w:rsidRPr="0086036C">
        <w:rPr>
          <w:lang w:val="es-ES"/>
        </w:rPr>
        <w:t>EU;</w:t>
      </w:r>
      <w:r>
        <w:rPr>
          <w:lang w:val="es-ES"/>
        </w:rPr>
        <w:t xml:space="preserve"> </w:t>
      </w:r>
      <w:r w:rsidRPr="0086036C">
        <w:rPr>
          <w:lang w:val="es-ES"/>
        </w:rPr>
        <w:t>ETM</w:t>
      </w:r>
    </w:p>
    <w:p w14:paraId="0AE5CA2C" w14:textId="77777777" w:rsidR="0086036C" w:rsidRPr="002C4A17" w:rsidRDefault="0086036C" w:rsidP="00974051">
      <w:pPr>
        <w:pStyle w:val="Tabletitle"/>
        <w:spacing w:before="240"/>
        <w:rPr>
          <w:lang w:val="es-ES"/>
        </w:rPr>
      </w:pPr>
      <w:r w:rsidRPr="002C4A17">
        <w:rPr>
          <w:lang w:val="es-ES"/>
        </w:rPr>
        <w:t xml:space="preserve">Cuadro 1: Escenarios </w:t>
      </w:r>
      <w:r w:rsidRPr="0086036C">
        <w:t>considerados</w:t>
      </w:r>
      <w:r w:rsidRPr="002C4A17">
        <w:rPr>
          <w:lang w:val="es-ES"/>
        </w:rPr>
        <w:t xml:space="preserve"> y casos de interferencia</w:t>
      </w:r>
    </w:p>
    <w:tbl>
      <w:tblPr>
        <w:tblStyle w:val="TableGrid"/>
        <w:tblW w:w="8217" w:type="dxa"/>
        <w:jc w:val="center"/>
        <w:tblInd w:w="0" w:type="dxa"/>
        <w:tblLook w:val="04A0" w:firstRow="1" w:lastRow="0" w:firstColumn="1" w:lastColumn="0" w:noHBand="0" w:noVBand="1"/>
      </w:tblPr>
      <w:tblGrid>
        <w:gridCol w:w="1230"/>
        <w:gridCol w:w="6987"/>
      </w:tblGrid>
      <w:tr w:rsidR="0086036C" w14:paraId="5DC5E0B6" w14:textId="77777777" w:rsidTr="0086036C">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14:paraId="38072298" w14:textId="77777777" w:rsidR="0086036C" w:rsidRDefault="0086036C" w:rsidP="0086036C">
            <w:pPr>
              <w:pStyle w:val="Tablehead"/>
            </w:pPr>
            <w:r>
              <w:t>Escenario</w:t>
            </w:r>
          </w:p>
        </w:tc>
        <w:tc>
          <w:tcPr>
            <w:tcW w:w="6987" w:type="dxa"/>
            <w:tcBorders>
              <w:top w:val="single" w:sz="4" w:space="0" w:color="auto"/>
              <w:left w:val="single" w:sz="4" w:space="0" w:color="auto"/>
              <w:bottom w:val="single" w:sz="4" w:space="0" w:color="auto"/>
              <w:right w:val="single" w:sz="4" w:space="0" w:color="auto"/>
            </w:tcBorders>
            <w:vAlign w:val="center"/>
            <w:hideMark/>
          </w:tcPr>
          <w:p w14:paraId="04C6E82E" w14:textId="77777777" w:rsidR="0086036C" w:rsidRDefault="0086036C" w:rsidP="0086036C">
            <w:pPr>
              <w:pStyle w:val="Tablehead"/>
            </w:pPr>
            <w:r>
              <w:t>Interferencia/Comentario</w:t>
            </w:r>
          </w:p>
        </w:tc>
      </w:tr>
      <w:tr w:rsidR="0086036C" w:rsidRPr="002C4A17" w14:paraId="60D64DF5" w14:textId="77777777" w:rsidTr="0086036C">
        <w:trPr>
          <w:trHeight w:val="443"/>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14:paraId="0B4A8235" w14:textId="77777777" w:rsidR="0086036C" w:rsidRPr="0086036C" w:rsidRDefault="0086036C" w:rsidP="0086036C">
            <w:pPr>
              <w:pStyle w:val="Tabletext"/>
              <w:jc w:val="center"/>
              <w:rPr>
                <w:b/>
                <w:bCs/>
              </w:rPr>
            </w:pPr>
            <w:r w:rsidRPr="0086036C">
              <w:rPr>
                <w:b/>
                <w:bCs/>
              </w:rPr>
              <w:t>A1</w:t>
            </w:r>
          </w:p>
        </w:tc>
        <w:tc>
          <w:tcPr>
            <w:tcW w:w="6987" w:type="dxa"/>
            <w:tcBorders>
              <w:top w:val="single" w:sz="4" w:space="0" w:color="auto"/>
              <w:left w:val="single" w:sz="4" w:space="0" w:color="auto"/>
              <w:bottom w:val="single" w:sz="4" w:space="0" w:color="auto"/>
              <w:right w:val="single" w:sz="4" w:space="0" w:color="auto"/>
            </w:tcBorders>
            <w:vAlign w:val="center"/>
            <w:hideMark/>
          </w:tcPr>
          <w:p w14:paraId="4471E7CC" w14:textId="044CFAE5" w:rsidR="0086036C" w:rsidRPr="002C4A17" w:rsidRDefault="0086036C" w:rsidP="0086036C">
            <w:pPr>
              <w:pStyle w:val="Tabletext"/>
              <w:rPr>
                <w:lang w:val="es-ES"/>
              </w:rPr>
            </w:pPr>
            <w:r w:rsidRPr="002C4A17">
              <w:rPr>
                <w:lang w:val="es-ES"/>
              </w:rPr>
              <w:t>Rebasamiento de hasta 52,2</w:t>
            </w:r>
            <w:r w:rsidR="00840AC3">
              <w:rPr>
                <w:lang w:val="es-ES"/>
              </w:rPr>
              <w:t> </w:t>
            </w:r>
            <w:r w:rsidRPr="002C4A17">
              <w:rPr>
                <w:lang w:val="es-ES"/>
              </w:rPr>
              <w:t>dB – no abordado actualmente en el RR</w:t>
            </w:r>
            <w:r>
              <w:rPr>
                <w:lang w:val="es-ES"/>
              </w:rPr>
              <w:t>.</w:t>
            </w:r>
          </w:p>
        </w:tc>
      </w:tr>
      <w:tr w:rsidR="0086036C" w:rsidRPr="002C4A17" w14:paraId="30CE2E04" w14:textId="77777777" w:rsidTr="0086036C">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14:paraId="18798979" w14:textId="77777777" w:rsidR="0086036C" w:rsidRPr="0086036C" w:rsidRDefault="0086036C" w:rsidP="0086036C">
            <w:pPr>
              <w:pStyle w:val="Tabletext"/>
              <w:jc w:val="center"/>
              <w:rPr>
                <w:b/>
                <w:bCs/>
              </w:rPr>
            </w:pPr>
            <w:r w:rsidRPr="0086036C">
              <w:rPr>
                <w:b/>
                <w:bCs/>
              </w:rPr>
              <w:t>A2</w:t>
            </w:r>
          </w:p>
        </w:tc>
        <w:tc>
          <w:tcPr>
            <w:tcW w:w="6987" w:type="dxa"/>
            <w:tcBorders>
              <w:top w:val="single" w:sz="4" w:space="0" w:color="auto"/>
              <w:left w:val="single" w:sz="4" w:space="0" w:color="auto"/>
              <w:bottom w:val="single" w:sz="4" w:space="0" w:color="auto"/>
              <w:right w:val="single" w:sz="4" w:space="0" w:color="auto"/>
            </w:tcBorders>
            <w:vAlign w:val="center"/>
            <w:hideMark/>
          </w:tcPr>
          <w:p w14:paraId="099B95CA" w14:textId="77777777" w:rsidR="0086036C" w:rsidRPr="002C4A17" w:rsidRDefault="0086036C" w:rsidP="0086036C">
            <w:pPr>
              <w:pStyle w:val="Tabletext"/>
              <w:rPr>
                <w:lang w:val="es-ES"/>
              </w:rPr>
            </w:pPr>
            <w:r>
              <w:rPr>
                <w:lang w:val="es-ES"/>
              </w:rPr>
              <w:t>Los problemas de interferencia</w:t>
            </w:r>
            <w:r w:rsidRPr="002C4A17">
              <w:rPr>
                <w:lang w:val="es-ES"/>
              </w:rPr>
              <w:t xml:space="preserve"> se pueden resolver mediante las disposiciones transfronterizas existentes en el RR</w:t>
            </w:r>
            <w:r>
              <w:rPr>
                <w:lang w:val="es-ES"/>
              </w:rPr>
              <w:t>.</w:t>
            </w:r>
          </w:p>
        </w:tc>
      </w:tr>
      <w:tr w:rsidR="0086036C" w:rsidRPr="002C4A17" w14:paraId="65EBE397" w14:textId="77777777" w:rsidTr="0086036C">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14:paraId="70C81BCD" w14:textId="77777777" w:rsidR="0086036C" w:rsidRPr="0086036C" w:rsidRDefault="0086036C" w:rsidP="0086036C">
            <w:pPr>
              <w:pStyle w:val="Tabletext"/>
              <w:jc w:val="center"/>
              <w:rPr>
                <w:b/>
                <w:bCs/>
              </w:rPr>
            </w:pPr>
            <w:r w:rsidRPr="0086036C">
              <w:rPr>
                <w:b/>
                <w:bCs/>
              </w:rPr>
              <w:t>B1</w:t>
            </w:r>
          </w:p>
        </w:tc>
        <w:tc>
          <w:tcPr>
            <w:tcW w:w="6987" w:type="dxa"/>
            <w:tcBorders>
              <w:top w:val="single" w:sz="4" w:space="0" w:color="auto"/>
              <w:left w:val="single" w:sz="4" w:space="0" w:color="auto"/>
              <w:bottom w:val="single" w:sz="4" w:space="0" w:color="auto"/>
              <w:right w:val="single" w:sz="4" w:space="0" w:color="auto"/>
            </w:tcBorders>
            <w:vAlign w:val="center"/>
            <w:hideMark/>
          </w:tcPr>
          <w:p w14:paraId="47DF8B32" w14:textId="00ED6DB2" w:rsidR="0086036C" w:rsidRPr="002C4A17" w:rsidRDefault="0086036C" w:rsidP="0086036C">
            <w:pPr>
              <w:pStyle w:val="Tabletext"/>
              <w:rPr>
                <w:lang w:val="es-ES"/>
              </w:rPr>
            </w:pPr>
            <w:r w:rsidRPr="002C4A17">
              <w:rPr>
                <w:lang w:val="es-ES"/>
              </w:rPr>
              <w:t xml:space="preserve">Los problemas de interferencia se pueden resolver mediante la coordinación transfronteriza actual con modificaciones en disposiciones </w:t>
            </w:r>
            <w:r>
              <w:rPr>
                <w:lang w:val="es-ES"/>
              </w:rPr>
              <w:t xml:space="preserve">del RR </w:t>
            </w:r>
            <w:r w:rsidRPr="002C4A17">
              <w:rPr>
                <w:lang w:val="es-ES"/>
              </w:rPr>
              <w:t>(</w:t>
            </w:r>
            <w:r>
              <w:rPr>
                <w:lang w:val="es-ES"/>
              </w:rPr>
              <w:t>véase el A</w:t>
            </w:r>
            <w:r w:rsidRPr="002C4A17">
              <w:rPr>
                <w:lang w:val="es-ES"/>
              </w:rPr>
              <w:t>nexo</w:t>
            </w:r>
            <w:r>
              <w:rPr>
                <w:lang w:val="es-ES"/>
              </w:rPr>
              <w:t> </w:t>
            </w:r>
            <w:r w:rsidRPr="002C4A17">
              <w:rPr>
                <w:lang w:val="es-ES"/>
              </w:rPr>
              <w:t>C)</w:t>
            </w:r>
            <w:r>
              <w:rPr>
                <w:lang w:val="es-ES"/>
              </w:rPr>
              <w:t>.</w:t>
            </w:r>
          </w:p>
        </w:tc>
      </w:tr>
      <w:tr w:rsidR="0086036C" w:rsidRPr="00DE0FE6" w14:paraId="7FA8D8AE" w14:textId="77777777" w:rsidTr="0086036C">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14:paraId="2586FD4F" w14:textId="77777777" w:rsidR="0086036C" w:rsidRPr="0086036C" w:rsidRDefault="0086036C" w:rsidP="0086036C">
            <w:pPr>
              <w:pStyle w:val="Tabletext"/>
              <w:jc w:val="center"/>
              <w:rPr>
                <w:b/>
                <w:bCs/>
              </w:rPr>
            </w:pPr>
            <w:r w:rsidRPr="0086036C">
              <w:rPr>
                <w:b/>
                <w:bCs/>
              </w:rPr>
              <w:t>B2</w:t>
            </w:r>
          </w:p>
        </w:tc>
        <w:tc>
          <w:tcPr>
            <w:tcW w:w="6987" w:type="dxa"/>
            <w:tcBorders>
              <w:top w:val="single" w:sz="4" w:space="0" w:color="auto"/>
              <w:left w:val="single" w:sz="4" w:space="0" w:color="auto"/>
              <w:bottom w:val="single" w:sz="4" w:space="0" w:color="auto"/>
              <w:right w:val="single" w:sz="4" w:space="0" w:color="auto"/>
            </w:tcBorders>
            <w:vAlign w:val="center"/>
            <w:hideMark/>
          </w:tcPr>
          <w:p w14:paraId="46B0974A" w14:textId="2F960415" w:rsidR="0086036C" w:rsidRPr="00DE0FE6" w:rsidRDefault="0086036C" w:rsidP="0086036C">
            <w:pPr>
              <w:pStyle w:val="Tabletext"/>
              <w:rPr>
                <w:lang w:val="es-ES"/>
              </w:rPr>
            </w:pPr>
            <w:r w:rsidRPr="00DE0FE6">
              <w:rPr>
                <w:lang w:val="es-ES"/>
              </w:rPr>
              <w:t>Los problemas de interferencia se pueden resolver incluyendo un nuevo umbral de coordinación para la dfp.</w:t>
            </w:r>
          </w:p>
        </w:tc>
      </w:tr>
    </w:tbl>
    <w:p w14:paraId="03B1D12B" w14:textId="32A9BAB7" w:rsidR="0086036C" w:rsidRPr="0086036C" w:rsidRDefault="0086036C" w:rsidP="0086036C">
      <w:pPr>
        <w:rPr>
          <w:lang w:val="es-ES"/>
        </w:rPr>
      </w:pPr>
      <w:r w:rsidRPr="00DE0FE6">
        <w:rPr>
          <w:lang w:val="es-ES"/>
        </w:rPr>
        <w:t>El Cuadro 1 resume los cuatro escenarios estudiados, los casos de int</w:t>
      </w:r>
      <w:r>
        <w:rPr>
          <w:lang w:val="es-ES"/>
        </w:rPr>
        <w:t>erferencia correspondientes y có</w:t>
      </w:r>
      <w:r w:rsidRPr="00DE0FE6">
        <w:rPr>
          <w:lang w:val="es-ES"/>
        </w:rPr>
        <w:t>mo se podr</w:t>
      </w:r>
      <w:r>
        <w:rPr>
          <w:lang w:val="es-ES"/>
        </w:rPr>
        <w:t xml:space="preserve">ía resolver el problema de interferencia (salvo para el escenario A1). El presente documento se centra en el escenario A1 (es decir, interferencia producida por estaciones base de las IMT terrenales en receptores de satélites IMT en la banda de frecuencias </w:t>
      </w:r>
      <w:r w:rsidRPr="00DE0FE6">
        <w:rPr>
          <w:lang w:val="es-ES"/>
        </w:rPr>
        <w:t>1 980-2 010</w:t>
      </w:r>
      <w:r w:rsidR="00840AC3">
        <w:rPr>
          <w:lang w:val="es-ES"/>
        </w:rPr>
        <w:t> </w:t>
      </w:r>
      <w:r w:rsidRPr="00DE0FE6">
        <w:rPr>
          <w:lang w:val="es-ES"/>
        </w:rPr>
        <w:t>MHz)</w:t>
      </w:r>
      <w:r>
        <w:rPr>
          <w:lang w:val="es-ES"/>
        </w:rPr>
        <w:t>, que constituye el escenario más desfavorable abordado en virtud de este punto del orden del día, puesto que niveles muy altos de interferencia impedirían el uso de la banda por el SMS.</w:t>
      </w:r>
    </w:p>
    <w:p w14:paraId="57B20475" w14:textId="0D34DADE" w:rsidR="0086036C" w:rsidRPr="0086036C" w:rsidRDefault="0086036C" w:rsidP="0086036C">
      <w:pPr>
        <w:pStyle w:val="Heading1"/>
        <w:rPr>
          <w:rFonts w:eastAsiaTheme="minorEastAsia"/>
        </w:rPr>
      </w:pPr>
      <w:r w:rsidRPr="0086036C">
        <w:rPr>
          <w:rFonts w:eastAsiaTheme="minorEastAsia"/>
        </w:rPr>
        <w:t>2</w:t>
      </w:r>
      <w:r w:rsidRPr="0086036C">
        <w:rPr>
          <w:rFonts w:eastAsiaTheme="minorEastAsia"/>
        </w:rPr>
        <w:tab/>
        <w:t>Los estudios técnicos muestran interferencias provenientes de las estaciones base del servicio móvil</w:t>
      </w:r>
    </w:p>
    <w:p w14:paraId="6925192F" w14:textId="1AE006E9" w:rsidR="0086036C" w:rsidRPr="0086036C" w:rsidRDefault="0086036C" w:rsidP="00974051">
      <w:pPr>
        <w:rPr>
          <w:lang w:val="es-ES"/>
        </w:rPr>
      </w:pPr>
      <w:r w:rsidRPr="00582C98">
        <w:rPr>
          <w:lang w:val="es-ES"/>
        </w:rPr>
        <w:t>Un sencillo análisis de la interferencia producida por una única estación base</w:t>
      </w:r>
      <w:r>
        <w:rPr>
          <w:lang w:val="es-ES"/>
        </w:rPr>
        <w:t xml:space="preserve"> IMT como el del Cuadro 2 muestra que la interferencia excederá el criterio de protección de la </w:t>
      </w:r>
      <w:r w:rsidRPr="00F66118">
        <w:rPr>
          <w:i/>
          <w:iCs/>
          <w:lang w:val="es-ES"/>
        </w:rPr>
        <w:t>I/N</w:t>
      </w:r>
      <w:r w:rsidRPr="00582C98">
        <w:rPr>
          <w:lang w:val="es-ES"/>
        </w:rPr>
        <w:t xml:space="preserve"> </w:t>
      </w:r>
      <w:r>
        <w:rPr>
          <w:lang w:val="es-ES"/>
        </w:rPr>
        <w:t>del SMS.</w:t>
      </w:r>
    </w:p>
    <w:p w14:paraId="4F4406F3" w14:textId="6C69D3DF" w:rsidR="0086036C" w:rsidRPr="0086036C" w:rsidRDefault="0086036C" w:rsidP="00974051">
      <w:pPr>
        <w:pStyle w:val="Tabletitle"/>
        <w:spacing w:before="240"/>
      </w:pPr>
      <w:r w:rsidRPr="0086036C">
        <w:t>Cuadro 2: Interferencia de una única estación base IMT en diferentes sistemas de satélites</w:t>
      </w:r>
    </w:p>
    <w:tbl>
      <w:tblPr>
        <w:tblStyle w:val="TableGrid"/>
        <w:tblW w:w="0" w:type="auto"/>
        <w:jc w:val="center"/>
        <w:tblInd w:w="0" w:type="dxa"/>
        <w:tblLook w:val="04A0" w:firstRow="1" w:lastRow="0" w:firstColumn="1" w:lastColumn="0" w:noHBand="0" w:noVBand="1"/>
      </w:tblPr>
      <w:tblGrid>
        <w:gridCol w:w="2405"/>
        <w:gridCol w:w="2103"/>
        <w:gridCol w:w="2254"/>
      </w:tblGrid>
      <w:tr w:rsidR="0086036C" w14:paraId="53F5BED0" w14:textId="77777777" w:rsidTr="00A81DBA">
        <w:trPr>
          <w:trHeight w:val="35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FCB812C" w14:textId="77777777" w:rsidR="0086036C" w:rsidRPr="00C77168" w:rsidRDefault="0086036C" w:rsidP="00974051">
            <w:pPr>
              <w:pStyle w:val="Tablehead"/>
              <w:rPr>
                <w:lang w:val="es-ES"/>
              </w:rPr>
            </w:pPr>
            <w:r>
              <w:rPr>
                <w:lang w:val="es-ES"/>
              </w:rPr>
              <w:t>Fuente interferente</w:t>
            </w:r>
          </w:p>
        </w:tc>
        <w:tc>
          <w:tcPr>
            <w:tcW w:w="2103" w:type="dxa"/>
            <w:tcBorders>
              <w:top w:val="single" w:sz="4" w:space="0" w:color="auto"/>
              <w:left w:val="single" w:sz="4" w:space="0" w:color="auto"/>
              <w:bottom w:val="single" w:sz="4" w:space="0" w:color="auto"/>
              <w:right w:val="single" w:sz="4" w:space="0" w:color="auto"/>
            </w:tcBorders>
            <w:vAlign w:val="center"/>
            <w:hideMark/>
          </w:tcPr>
          <w:p w14:paraId="3D278094" w14:textId="77777777" w:rsidR="0086036C" w:rsidRPr="00C77168" w:rsidRDefault="0086036C" w:rsidP="00974051">
            <w:pPr>
              <w:pStyle w:val="Tablehead"/>
              <w:rPr>
                <w:lang w:val="es-ES"/>
              </w:rPr>
            </w:pPr>
            <w:r w:rsidRPr="00C77168">
              <w:rPr>
                <w:lang w:val="es-ES"/>
              </w:rPr>
              <w:t>Tipo de satélite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F7C7087" w14:textId="77777777" w:rsidR="0086036C" w:rsidRPr="00C77168" w:rsidRDefault="0086036C" w:rsidP="00974051">
            <w:pPr>
              <w:pStyle w:val="Tablehead"/>
              <w:rPr>
                <w:lang w:val="es-ES"/>
              </w:rPr>
            </w:pPr>
            <w:r w:rsidRPr="00C77168">
              <w:rPr>
                <w:lang w:val="es-ES"/>
              </w:rPr>
              <w:t>Nivel de rebasamiento (dB)</w:t>
            </w:r>
          </w:p>
        </w:tc>
      </w:tr>
      <w:tr w:rsidR="0086036C" w14:paraId="328CD451" w14:textId="77777777" w:rsidTr="00A81DBA">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5A60E40" w14:textId="071C80A3" w:rsidR="0086036C" w:rsidRPr="00F60167" w:rsidRDefault="0086036C" w:rsidP="00974051">
            <w:pPr>
              <w:pStyle w:val="Tabletext"/>
              <w:jc w:val="center"/>
              <w:rPr>
                <w:lang w:val="es-ES"/>
              </w:rPr>
            </w:pPr>
            <w:r w:rsidRPr="00F60167">
              <w:rPr>
                <w:lang w:val="es-ES"/>
              </w:rPr>
              <w:t>Una estación base IMT</w:t>
            </w:r>
          </w:p>
        </w:tc>
        <w:tc>
          <w:tcPr>
            <w:tcW w:w="2103" w:type="dxa"/>
            <w:tcBorders>
              <w:top w:val="single" w:sz="4" w:space="0" w:color="auto"/>
              <w:left w:val="single" w:sz="4" w:space="0" w:color="auto"/>
              <w:bottom w:val="single" w:sz="4" w:space="0" w:color="auto"/>
              <w:right w:val="single" w:sz="4" w:space="0" w:color="auto"/>
            </w:tcBorders>
            <w:hideMark/>
          </w:tcPr>
          <w:p w14:paraId="1E7D7B2E" w14:textId="77777777" w:rsidR="0086036C" w:rsidRDefault="0086036C" w:rsidP="00974051">
            <w:pPr>
              <w:pStyle w:val="Tabletext"/>
              <w:jc w:val="center"/>
              <w:rPr>
                <w:highlight w:val="yellow"/>
              </w:rPr>
            </w:pPr>
            <w:r>
              <w:t>LEO</w:t>
            </w:r>
          </w:p>
        </w:tc>
        <w:tc>
          <w:tcPr>
            <w:tcW w:w="2254" w:type="dxa"/>
            <w:tcBorders>
              <w:top w:val="single" w:sz="4" w:space="0" w:color="auto"/>
              <w:left w:val="single" w:sz="4" w:space="0" w:color="auto"/>
              <w:bottom w:val="single" w:sz="4" w:space="0" w:color="auto"/>
              <w:right w:val="single" w:sz="4" w:space="0" w:color="auto"/>
            </w:tcBorders>
            <w:hideMark/>
          </w:tcPr>
          <w:p w14:paraId="4EEB4397" w14:textId="77777777" w:rsidR="0086036C" w:rsidRDefault="0086036C" w:rsidP="00974051">
            <w:pPr>
              <w:pStyle w:val="Tabletext"/>
              <w:jc w:val="center"/>
              <w:rPr>
                <w:lang w:val="ru-RU"/>
              </w:rPr>
            </w:pPr>
            <w:r>
              <w:t>10,2</w:t>
            </w:r>
          </w:p>
        </w:tc>
      </w:tr>
      <w:tr w:rsidR="0086036C" w14:paraId="34E79102" w14:textId="77777777" w:rsidTr="00A81D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A06CF" w14:textId="77777777" w:rsidR="0086036C" w:rsidRDefault="0086036C" w:rsidP="00974051">
            <w:pPr>
              <w:pStyle w:val="Tabletext"/>
              <w:jc w:val="center"/>
            </w:pPr>
          </w:p>
        </w:tc>
        <w:tc>
          <w:tcPr>
            <w:tcW w:w="2103" w:type="dxa"/>
            <w:tcBorders>
              <w:top w:val="single" w:sz="4" w:space="0" w:color="auto"/>
              <w:left w:val="single" w:sz="4" w:space="0" w:color="auto"/>
              <w:bottom w:val="single" w:sz="4" w:space="0" w:color="auto"/>
              <w:right w:val="single" w:sz="4" w:space="0" w:color="auto"/>
            </w:tcBorders>
            <w:hideMark/>
          </w:tcPr>
          <w:p w14:paraId="7EA415CD" w14:textId="77777777" w:rsidR="0086036C" w:rsidRDefault="0086036C" w:rsidP="00974051">
            <w:pPr>
              <w:pStyle w:val="Tabletext"/>
              <w:jc w:val="center"/>
            </w:pPr>
            <w:r>
              <w:t>MEO</w:t>
            </w:r>
          </w:p>
        </w:tc>
        <w:tc>
          <w:tcPr>
            <w:tcW w:w="2254" w:type="dxa"/>
            <w:tcBorders>
              <w:top w:val="single" w:sz="4" w:space="0" w:color="auto"/>
              <w:left w:val="single" w:sz="4" w:space="0" w:color="auto"/>
              <w:bottom w:val="single" w:sz="4" w:space="0" w:color="auto"/>
              <w:right w:val="single" w:sz="4" w:space="0" w:color="auto"/>
            </w:tcBorders>
            <w:hideMark/>
          </w:tcPr>
          <w:p w14:paraId="77E55B2C" w14:textId="77777777" w:rsidR="0086036C" w:rsidRDefault="0086036C" w:rsidP="00974051">
            <w:pPr>
              <w:pStyle w:val="Tabletext"/>
              <w:jc w:val="center"/>
            </w:pPr>
            <w:r>
              <w:t>7,0</w:t>
            </w:r>
          </w:p>
        </w:tc>
      </w:tr>
      <w:tr w:rsidR="0086036C" w14:paraId="5D0B67DD" w14:textId="77777777" w:rsidTr="00A81D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2D477" w14:textId="77777777" w:rsidR="0086036C" w:rsidRDefault="0086036C" w:rsidP="00974051">
            <w:pPr>
              <w:pStyle w:val="Tabletext"/>
              <w:jc w:val="center"/>
            </w:pPr>
          </w:p>
        </w:tc>
        <w:tc>
          <w:tcPr>
            <w:tcW w:w="2103" w:type="dxa"/>
            <w:tcBorders>
              <w:top w:val="single" w:sz="4" w:space="0" w:color="auto"/>
              <w:left w:val="single" w:sz="4" w:space="0" w:color="auto"/>
              <w:bottom w:val="single" w:sz="4" w:space="0" w:color="auto"/>
              <w:right w:val="single" w:sz="4" w:space="0" w:color="auto"/>
            </w:tcBorders>
            <w:hideMark/>
          </w:tcPr>
          <w:p w14:paraId="118DB1CD" w14:textId="77777777" w:rsidR="0086036C" w:rsidRDefault="0086036C" w:rsidP="00974051">
            <w:pPr>
              <w:pStyle w:val="Tabletext"/>
              <w:jc w:val="center"/>
              <w:rPr>
                <w:highlight w:val="yellow"/>
              </w:rPr>
            </w:pPr>
            <w:r>
              <w:t>HEO</w:t>
            </w:r>
          </w:p>
        </w:tc>
        <w:tc>
          <w:tcPr>
            <w:tcW w:w="2254" w:type="dxa"/>
            <w:tcBorders>
              <w:top w:val="single" w:sz="4" w:space="0" w:color="auto"/>
              <w:left w:val="single" w:sz="4" w:space="0" w:color="auto"/>
              <w:bottom w:val="single" w:sz="4" w:space="0" w:color="auto"/>
              <w:right w:val="single" w:sz="4" w:space="0" w:color="auto"/>
            </w:tcBorders>
            <w:hideMark/>
          </w:tcPr>
          <w:p w14:paraId="03EAAD6A" w14:textId="77777777" w:rsidR="0086036C" w:rsidRDefault="0086036C" w:rsidP="00974051">
            <w:pPr>
              <w:pStyle w:val="Tabletext"/>
              <w:jc w:val="center"/>
            </w:pPr>
            <w:r>
              <w:t>11,8</w:t>
            </w:r>
          </w:p>
        </w:tc>
      </w:tr>
      <w:tr w:rsidR="0086036C" w14:paraId="38216261" w14:textId="77777777" w:rsidTr="00A81D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C7782" w14:textId="77777777" w:rsidR="0086036C" w:rsidRDefault="0086036C" w:rsidP="00974051">
            <w:pPr>
              <w:pStyle w:val="Tabletext"/>
              <w:jc w:val="center"/>
            </w:pPr>
          </w:p>
        </w:tc>
        <w:tc>
          <w:tcPr>
            <w:tcW w:w="2103" w:type="dxa"/>
            <w:tcBorders>
              <w:top w:val="single" w:sz="4" w:space="0" w:color="auto"/>
              <w:left w:val="single" w:sz="4" w:space="0" w:color="auto"/>
              <w:bottom w:val="single" w:sz="4" w:space="0" w:color="auto"/>
              <w:right w:val="single" w:sz="4" w:space="0" w:color="auto"/>
            </w:tcBorders>
            <w:hideMark/>
          </w:tcPr>
          <w:p w14:paraId="22A1711F" w14:textId="77777777" w:rsidR="0086036C" w:rsidRDefault="0086036C" w:rsidP="00974051">
            <w:pPr>
              <w:pStyle w:val="Tabletext"/>
              <w:jc w:val="center"/>
            </w:pPr>
            <w:r>
              <w:t>GEO</w:t>
            </w:r>
          </w:p>
        </w:tc>
        <w:tc>
          <w:tcPr>
            <w:tcW w:w="2254" w:type="dxa"/>
            <w:tcBorders>
              <w:top w:val="single" w:sz="4" w:space="0" w:color="auto"/>
              <w:left w:val="single" w:sz="4" w:space="0" w:color="auto"/>
              <w:bottom w:val="single" w:sz="4" w:space="0" w:color="auto"/>
              <w:right w:val="single" w:sz="4" w:space="0" w:color="auto"/>
            </w:tcBorders>
            <w:hideMark/>
          </w:tcPr>
          <w:p w14:paraId="267D8343" w14:textId="77777777" w:rsidR="0086036C" w:rsidRDefault="0086036C" w:rsidP="00974051">
            <w:pPr>
              <w:pStyle w:val="Tabletext"/>
              <w:jc w:val="center"/>
            </w:pPr>
            <w:r>
              <w:t>20,7</w:t>
            </w:r>
          </w:p>
        </w:tc>
      </w:tr>
    </w:tbl>
    <w:p w14:paraId="5856502E" w14:textId="6B7F9D17" w:rsidR="0086036C" w:rsidRPr="0086036C" w:rsidRDefault="0086036C" w:rsidP="00974051">
      <w:pPr>
        <w:rPr>
          <w:lang w:val="es-ES"/>
        </w:rPr>
      </w:pPr>
      <w:r w:rsidRPr="00C77168">
        <w:rPr>
          <w:lang w:val="es-ES"/>
        </w:rPr>
        <w:t>El Anexo A presenta información detallada del cálculo de los resultados del Cuadro 2</w:t>
      </w:r>
      <w:r w:rsidRPr="0086036C">
        <w:rPr>
          <w:lang w:val="es-ES"/>
        </w:rPr>
        <w:t>.</w:t>
      </w:r>
    </w:p>
    <w:p w14:paraId="12691858" w14:textId="19BA7E2F" w:rsidR="0086036C" w:rsidRPr="00974051" w:rsidRDefault="0086036C" w:rsidP="00974051">
      <w:pPr>
        <w:rPr>
          <w:lang w:val="es-ES"/>
        </w:rPr>
      </w:pPr>
      <w:r>
        <w:rPr>
          <w:lang w:val="es-ES"/>
        </w:rPr>
        <w:t>Es evidente que</w:t>
      </w:r>
      <w:r w:rsidRPr="00F60167">
        <w:rPr>
          <w:lang w:val="es-ES"/>
        </w:rPr>
        <w:t xml:space="preserve"> la interferencia </w:t>
      </w:r>
      <w:r>
        <w:rPr>
          <w:lang w:val="es-ES"/>
        </w:rPr>
        <w:t>combinada</w:t>
      </w:r>
      <w:r w:rsidRPr="00F60167">
        <w:rPr>
          <w:lang w:val="es-ES"/>
        </w:rPr>
        <w:t xml:space="preserve"> por otras estaciones base IMT rebasará </w:t>
      </w:r>
      <w:r>
        <w:rPr>
          <w:lang w:val="es-ES"/>
        </w:rPr>
        <w:t xml:space="preserve">con mucho </w:t>
      </w:r>
      <w:r w:rsidRPr="00F60167">
        <w:rPr>
          <w:lang w:val="es-ES"/>
        </w:rPr>
        <w:t xml:space="preserve">el criterio de protección. </w:t>
      </w:r>
      <w:r w:rsidRPr="00C77168">
        <w:rPr>
          <w:lang w:val="es-ES"/>
        </w:rPr>
        <w:t>El Cuadro 3 resume los resultados d</w:t>
      </w:r>
      <w:r>
        <w:rPr>
          <w:lang w:val="es-ES"/>
        </w:rPr>
        <w:t>e los análisis de interferencia</w:t>
      </w:r>
      <w:r w:rsidRPr="00C77168">
        <w:rPr>
          <w:lang w:val="es-ES"/>
        </w:rPr>
        <w:t xml:space="preserve"> llevados a cabo </w:t>
      </w:r>
      <w:r>
        <w:rPr>
          <w:lang w:val="es-ES"/>
        </w:rPr>
        <w:t>en los estudi</w:t>
      </w:r>
      <w:r w:rsidRPr="00C77168">
        <w:rPr>
          <w:lang w:val="es-ES"/>
        </w:rPr>
        <w:t>os en virtud de este punto del orden del d</w:t>
      </w:r>
      <w:r>
        <w:rPr>
          <w:lang w:val="es-ES"/>
        </w:rPr>
        <w:t>ía, en los que se han utilizado los parámetros e hipótesis incluidas en la Recomendación UIT-R M.2101y en el Informe</w:t>
      </w:r>
      <w:r w:rsidRPr="00C77168">
        <w:rPr>
          <w:lang w:val="es-ES"/>
        </w:rPr>
        <w:t xml:space="preserve"> M.2292.</w:t>
      </w:r>
    </w:p>
    <w:p w14:paraId="64D7B405" w14:textId="62322845" w:rsidR="0086036C" w:rsidRPr="00C77168" w:rsidRDefault="0086036C" w:rsidP="00974051">
      <w:pPr>
        <w:pStyle w:val="Tabletitle"/>
        <w:spacing w:before="240"/>
        <w:rPr>
          <w:rFonts w:ascii="Times New Roman" w:hAnsi="Times New Roman"/>
          <w:b w:val="0"/>
          <w:szCs w:val="24"/>
          <w:lang w:val="es-ES"/>
        </w:rPr>
      </w:pPr>
      <w:r w:rsidRPr="00974051">
        <w:lastRenderedPageBreak/>
        <w:t>Cuadro 3: Interferencia combinada de estaciones base IMT sobre diferentes sistemas de satélite</w:t>
      </w:r>
    </w:p>
    <w:tbl>
      <w:tblPr>
        <w:tblStyle w:val="TableGrid"/>
        <w:tblW w:w="0" w:type="auto"/>
        <w:jc w:val="center"/>
        <w:tblInd w:w="0" w:type="dxa"/>
        <w:tblLook w:val="04A0" w:firstRow="1" w:lastRow="0" w:firstColumn="1" w:lastColumn="0" w:noHBand="0" w:noVBand="1"/>
      </w:tblPr>
      <w:tblGrid>
        <w:gridCol w:w="2689"/>
        <w:gridCol w:w="1819"/>
        <w:gridCol w:w="2254"/>
      </w:tblGrid>
      <w:tr w:rsidR="0086036C" w14:paraId="093905CD" w14:textId="77777777" w:rsidTr="00A81DBA">
        <w:trPr>
          <w:jc w:val="center"/>
        </w:trPr>
        <w:tc>
          <w:tcPr>
            <w:tcW w:w="2689" w:type="dxa"/>
            <w:tcBorders>
              <w:top w:val="single" w:sz="4" w:space="0" w:color="auto"/>
              <w:left w:val="single" w:sz="4" w:space="0" w:color="auto"/>
              <w:bottom w:val="single" w:sz="4" w:space="0" w:color="auto"/>
              <w:right w:val="single" w:sz="4" w:space="0" w:color="auto"/>
            </w:tcBorders>
            <w:hideMark/>
          </w:tcPr>
          <w:p w14:paraId="42220BAB" w14:textId="77777777" w:rsidR="0086036C" w:rsidRPr="007424AD" w:rsidRDefault="0086036C" w:rsidP="00974051">
            <w:pPr>
              <w:pStyle w:val="Tablehead"/>
              <w:rPr>
                <w:lang w:val="es-ES"/>
              </w:rPr>
            </w:pPr>
            <w:r w:rsidRPr="007424AD">
              <w:rPr>
                <w:lang w:val="es-ES"/>
              </w:rPr>
              <w:t>Fuente interferente</w:t>
            </w:r>
          </w:p>
        </w:tc>
        <w:tc>
          <w:tcPr>
            <w:tcW w:w="1819" w:type="dxa"/>
            <w:tcBorders>
              <w:top w:val="single" w:sz="4" w:space="0" w:color="auto"/>
              <w:left w:val="single" w:sz="4" w:space="0" w:color="auto"/>
              <w:bottom w:val="single" w:sz="4" w:space="0" w:color="auto"/>
              <w:right w:val="single" w:sz="4" w:space="0" w:color="auto"/>
            </w:tcBorders>
            <w:hideMark/>
          </w:tcPr>
          <w:p w14:paraId="2F266F85" w14:textId="77777777" w:rsidR="0086036C" w:rsidRPr="007424AD" w:rsidRDefault="0086036C" w:rsidP="00974051">
            <w:pPr>
              <w:pStyle w:val="Tablehead"/>
              <w:rPr>
                <w:lang w:val="es-ES"/>
              </w:rPr>
            </w:pPr>
            <w:r w:rsidRPr="007424AD">
              <w:rPr>
                <w:lang w:val="es-ES"/>
              </w:rPr>
              <w:t xml:space="preserve">Tipo de satélite </w:t>
            </w:r>
          </w:p>
        </w:tc>
        <w:tc>
          <w:tcPr>
            <w:tcW w:w="2254" w:type="dxa"/>
            <w:tcBorders>
              <w:top w:val="single" w:sz="4" w:space="0" w:color="auto"/>
              <w:left w:val="single" w:sz="4" w:space="0" w:color="auto"/>
              <w:bottom w:val="single" w:sz="4" w:space="0" w:color="auto"/>
              <w:right w:val="single" w:sz="4" w:space="0" w:color="auto"/>
            </w:tcBorders>
            <w:hideMark/>
          </w:tcPr>
          <w:p w14:paraId="70911755" w14:textId="77777777" w:rsidR="0086036C" w:rsidRPr="007424AD" w:rsidRDefault="0086036C" w:rsidP="00974051">
            <w:pPr>
              <w:pStyle w:val="Tablehead"/>
              <w:rPr>
                <w:lang w:val="es-ES"/>
              </w:rPr>
            </w:pPr>
            <w:r w:rsidRPr="007424AD">
              <w:rPr>
                <w:lang w:val="es-ES"/>
              </w:rPr>
              <w:t>Nivel de rebasamiento (dB)</w:t>
            </w:r>
          </w:p>
        </w:tc>
      </w:tr>
      <w:tr w:rsidR="0086036C" w14:paraId="57C634C0" w14:textId="77777777" w:rsidTr="00A81DBA">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BA04EEE" w14:textId="393FC9C4" w:rsidR="0086036C" w:rsidRPr="007424AD" w:rsidRDefault="0086036C" w:rsidP="00974051">
            <w:pPr>
              <w:pStyle w:val="Tabletext"/>
              <w:jc w:val="center"/>
              <w:rPr>
                <w:lang w:val="es-ES"/>
              </w:rPr>
            </w:pPr>
            <w:r w:rsidRPr="007424AD">
              <w:rPr>
                <w:lang w:val="es-ES"/>
              </w:rPr>
              <w:t>Múltiples estaciones base IMT</w:t>
            </w:r>
          </w:p>
        </w:tc>
        <w:tc>
          <w:tcPr>
            <w:tcW w:w="1819" w:type="dxa"/>
            <w:tcBorders>
              <w:top w:val="single" w:sz="4" w:space="0" w:color="auto"/>
              <w:left w:val="single" w:sz="4" w:space="0" w:color="auto"/>
              <w:bottom w:val="single" w:sz="4" w:space="0" w:color="auto"/>
              <w:right w:val="single" w:sz="4" w:space="0" w:color="auto"/>
            </w:tcBorders>
            <w:hideMark/>
          </w:tcPr>
          <w:p w14:paraId="0000E8EA" w14:textId="77777777" w:rsidR="0086036C" w:rsidRPr="007424AD" w:rsidRDefault="0086036C" w:rsidP="00974051">
            <w:pPr>
              <w:pStyle w:val="Tabletext"/>
              <w:jc w:val="center"/>
              <w:rPr>
                <w:lang w:val="es-ES"/>
              </w:rPr>
            </w:pPr>
            <w:r w:rsidRPr="007424AD">
              <w:rPr>
                <w:lang w:val="es-ES"/>
              </w:rPr>
              <w:t>LEO</w:t>
            </w:r>
          </w:p>
        </w:tc>
        <w:tc>
          <w:tcPr>
            <w:tcW w:w="2254" w:type="dxa"/>
            <w:tcBorders>
              <w:top w:val="single" w:sz="4" w:space="0" w:color="auto"/>
              <w:left w:val="single" w:sz="4" w:space="0" w:color="auto"/>
              <w:bottom w:val="single" w:sz="4" w:space="0" w:color="auto"/>
              <w:right w:val="single" w:sz="4" w:space="0" w:color="auto"/>
            </w:tcBorders>
            <w:hideMark/>
          </w:tcPr>
          <w:p w14:paraId="3DF41494" w14:textId="77777777" w:rsidR="0086036C" w:rsidRPr="007424AD" w:rsidRDefault="0086036C" w:rsidP="00974051">
            <w:pPr>
              <w:pStyle w:val="Tabletext"/>
              <w:jc w:val="center"/>
              <w:rPr>
                <w:lang w:val="es-ES"/>
              </w:rPr>
            </w:pPr>
            <w:r w:rsidRPr="007424AD">
              <w:rPr>
                <w:lang w:val="es-ES"/>
              </w:rPr>
              <w:t>39,5</w:t>
            </w:r>
          </w:p>
        </w:tc>
      </w:tr>
      <w:tr w:rsidR="0086036C" w14:paraId="53BC7301" w14:textId="77777777" w:rsidTr="00A81D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2A036" w14:textId="77777777" w:rsidR="0086036C" w:rsidRDefault="0086036C" w:rsidP="00974051">
            <w:pPr>
              <w:pStyle w:val="Tabletext"/>
              <w:jc w:val="center"/>
            </w:pPr>
          </w:p>
        </w:tc>
        <w:tc>
          <w:tcPr>
            <w:tcW w:w="1819" w:type="dxa"/>
            <w:tcBorders>
              <w:top w:val="single" w:sz="4" w:space="0" w:color="auto"/>
              <w:left w:val="single" w:sz="4" w:space="0" w:color="auto"/>
              <w:bottom w:val="single" w:sz="4" w:space="0" w:color="auto"/>
              <w:right w:val="single" w:sz="4" w:space="0" w:color="auto"/>
            </w:tcBorders>
            <w:hideMark/>
          </w:tcPr>
          <w:p w14:paraId="36291820" w14:textId="77777777" w:rsidR="0086036C" w:rsidRDefault="0086036C" w:rsidP="00974051">
            <w:pPr>
              <w:pStyle w:val="Tabletext"/>
              <w:jc w:val="center"/>
            </w:pPr>
            <w:r>
              <w:t>MEO</w:t>
            </w:r>
          </w:p>
        </w:tc>
        <w:tc>
          <w:tcPr>
            <w:tcW w:w="2254" w:type="dxa"/>
            <w:tcBorders>
              <w:top w:val="single" w:sz="4" w:space="0" w:color="auto"/>
              <w:left w:val="single" w:sz="4" w:space="0" w:color="auto"/>
              <w:bottom w:val="single" w:sz="4" w:space="0" w:color="auto"/>
              <w:right w:val="single" w:sz="4" w:space="0" w:color="auto"/>
            </w:tcBorders>
            <w:hideMark/>
          </w:tcPr>
          <w:p w14:paraId="618F5BAA" w14:textId="77777777" w:rsidR="0086036C" w:rsidRDefault="0086036C" w:rsidP="00974051">
            <w:pPr>
              <w:pStyle w:val="Tabletext"/>
              <w:jc w:val="center"/>
            </w:pPr>
            <w:r>
              <w:t>37,2</w:t>
            </w:r>
          </w:p>
        </w:tc>
      </w:tr>
      <w:tr w:rsidR="0086036C" w14:paraId="6C049A6A" w14:textId="77777777" w:rsidTr="00A81D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4DCEE" w14:textId="77777777" w:rsidR="0086036C" w:rsidRDefault="0086036C" w:rsidP="00974051">
            <w:pPr>
              <w:pStyle w:val="Tabletext"/>
              <w:jc w:val="center"/>
            </w:pPr>
          </w:p>
        </w:tc>
        <w:tc>
          <w:tcPr>
            <w:tcW w:w="1819" w:type="dxa"/>
            <w:tcBorders>
              <w:top w:val="single" w:sz="4" w:space="0" w:color="auto"/>
              <w:left w:val="single" w:sz="4" w:space="0" w:color="auto"/>
              <w:bottom w:val="single" w:sz="4" w:space="0" w:color="auto"/>
              <w:right w:val="single" w:sz="4" w:space="0" w:color="auto"/>
            </w:tcBorders>
            <w:hideMark/>
          </w:tcPr>
          <w:p w14:paraId="0CEC8210" w14:textId="77777777" w:rsidR="0086036C" w:rsidRDefault="0086036C" w:rsidP="00974051">
            <w:pPr>
              <w:pStyle w:val="Tabletext"/>
              <w:jc w:val="center"/>
            </w:pPr>
            <w:r>
              <w:t>HEO</w:t>
            </w:r>
          </w:p>
        </w:tc>
        <w:tc>
          <w:tcPr>
            <w:tcW w:w="2254" w:type="dxa"/>
            <w:tcBorders>
              <w:top w:val="single" w:sz="4" w:space="0" w:color="auto"/>
              <w:left w:val="single" w:sz="4" w:space="0" w:color="auto"/>
              <w:bottom w:val="single" w:sz="4" w:space="0" w:color="auto"/>
              <w:right w:val="single" w:sz="4" w:space="0" w:color="auto"/>
            </w:tcBorders>
            <w:hideMark/>
          </w:tcPr>
          <w:p w14:paraId="68464CFE" w14:textId="77777777" w:rsidR="0086036C" w:rsidRDefault="0086036C" w:rsidP="00974051">
            <w:pPr>
              <w:pStyle w:val="Tabletext"/>
              <w:jc w:val="center"/>
            </w:pPr>
            <w:r>
              <w:t>48,0</w:t>
            </w:r>
          </w:p>
        </w:tc>
      </w:tr>
      <w:tr w:rsidR="0086036C" w14:paraId="1EA5DE44" w14:textId="77777777" w:rsidTr="00A81D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4D52A" w14:textId="77777777" w:rsidR="0086036C" w:rsidRDefault="0086036C" w:rsidP="00974051">
            <w:pPr>
              <w:pStyle w:val="Tabletext"/>
              <w:jc w:val="center"/>
            </w:pPr>
          </w:p>
        </w:tc>
        <w:tc>
          <w:tcPr>
            <w:tcW w:w="1819" w:type="dxa"/>
            <w:tcBorders>
              <w:top w:val="single" w:sz="4" w:space="0" w:color="auto"/>
              <w:left w:val="single" w:sz="4" w:space="0" w:color="auto"/>
              <w:bottom w:val="single" w:sz="4" w:space="0" w:color="auto"/>
              <w:right w:val="single" w:sz="4" w:space="0" w:color="auto"/>
            </w:tcBorders>
            <w:hideMark/>
          </w:tcPr>
          <w:p w14:paraId="59925B16" w14:textId="77777777" w:rsidR="0086036C" w:rsidRDefault="0086036C" w:rsidP="00974051">
            <w:pPr>
              <w:pStyle w:val="Tabletext"/>
              <w:jc w:val="center"/>
            </w:pPr>
            <w:r>
              <w:t>GEO</w:t>
            </w:r>
          </w:p>
        </w:tc>
        <w:tc>
          <w:tcPr>
            <w:tcW w:w="2254" w:type="dxa"/>
            <w:tcBorders>
              <w:top w:val="single" w:sz="4" w:space="0" w:color="auto"/>
              <w:left w:val="single" w:sz="4" w:space="0" w:color="auto"/>
              <w:bottom w:val="single" w:sz="4" w:space="0" w:color="auto"/>
              <w:right w:val="single" w:sz="4" w:space="0" w:color="auto"/>
            </w:tcBorders>
            <w:hideMark/>
          </w:tcPr>
          <w:p w14:paraId="5EBD48FC" w14:textId="77777777" w:rsidR="0086036C" w:rsidRDefault="0086036C" w:rsidP="00974051">
            <w:pPr>
              <w:pStyle w:val="Tabletext"/>
              <w:jc w:val="center"/>
            </w:pPr>
            <w:r>
              <w:t>52,2</w:t>
            </w:r>
          </w:p>
        </w:tc>
      </w:tr>
    </w:tbl>
    <w:p w14:paraId="7FE4F24D" w14:textId="3D5B146E" w:rsidR="0086036C" w:rsidRPr="00D54048" w:rsidRDefault="0086036C" w:rsidP="00974051">
      <w:pPr>
        <w:rPr>
          <w:lang w:val="es-ES"/>
        </w:rPr>
      </w:pPr>
      <w:r>
        <w:rPr>
          <w:lang w:val="es-ES"/>
        </w:rPr>
        <w:t>N</w:t>
      </w:r>
      <w:r w:rsidRPr="0016445A">
        <w:rPr>
          <w:lang w:val="es-ES"/>
        </w:rPr>
        <w:t>o se han identificado</w:t>
      </w:r>
      <w:r>
        <w:rPr>
          <w:lang w:val="es-ES"/>
        </w:rPr>
        <w:t xml:space="preserve"> </w:t>
      </w:r>
      <w:r w:rsidRPr="0016445A">
        <w:rPr>
          <w:lang w:val="es-ES"/>
        </w:rPr>
        <w:t>medidas de reducción efectivas que puedan eliminar la interferencia mediante coordinación</w:t>
      </w:r>
      <w:r w:rsidRPr="00D54048">
        <w:rPr>
          <w:lang w:val="es-ES"/>
        </w:rPr>
        <w:t xml:space="preserve"> </w:t>
      </w:r>
      <w:r>
        <w:rPr>
          <w:lang w:val="es-ES"/>
        </w:rPr>
        <w:t>c</w:t>
      </w:r>
      <w:r w:rsidRPr="0016445A">
        <w:rPr>
          <w:lang w:val="es-ES"/>
        </w:rPr>
        <w:t xml:space="preserve">uando se </w:t>
      </w:r>
      <w:r>
        <w:rPr>
          <w:lang w:val="es-ES"/>
        </w:rPr>
        <w:t>excede</w:t>
      </w:r>
      <w:r w:rsidRPr="0016445A">
        <w:rPr>
          <w:lang w:val="es-ES"/>
        </w:rPr>
        <w:t xml:space="preserve"> el criterio de protección de los sistemas del SMS </w:t>
      </w:r>
      <w:r>
        <w:rPr>
          <w:lang w:val="es-ES"/>
        </w:rPr>
        <w:t>por</w:t>
      </w:r>
      <w:r w:rsidRPr="0016445A">
        <w:rPr>
          <w:lang w:val="es-ES"/>
        </w:rPr>
        <w:t xml:space="preserve"> un margen tan elevado.</w:t>
      </w:r>
      <w:r>
        <w:rPr>
          <w:lang w:val="es-ES"/>
        </w:rPr>
        <w:t xml:space="preserve"> </w:t>
      </w:r>
      <w:r w:rsidRPr="0016445A">
        <w:rPr>
          <w:lang w:val="es-ES"/>
        </w:rPr>
        <w:t xml:space="preserve">Se puede producir una interferencia excesiva </w:t>
      </w:r>
      <w:r>
        <w:rPr>
          <w:lang w:val="es-ES"/>
        </w:rPr>
        <w:t>si</w:t>
      </w:r>
      <w:r w:rsidRPr="0016445A">
        <w:rPr>
          <w:lang w:val="es-ES"/>
        </w:rPr>
        <w:t xml:space="preserve"> los país</w:t>
      </w:r>
      <w:r>
        <w:rPr>
          <w:lang w:val="es-ES"/>
        </w:rPr>
        <w:t xml:space="preserve">es que utilizan las </w:t>
      </w:r>
      <w:proofErr w:type="gramStart"/>
      <w:r>
        <w:rPr>
          <w:lang w:val="es-ES"/>
        </w:rPr>
        <w:t xml:space="preserve">componentes </w:t>
      </w:r>
      <w:r w:rsidRPr="0016445A">
        <w:rPr>
          <w:lang w:val="es-ES"/>
        </w:rPr>
        <w:t>terrenal</w:t>
      </w:r>
      <w:proofErr w:type="gramEnd"/>
      <w:r w:rsidRPr="0016445A">
        <w:rPr>
          <w:lang w:val="es-ES"/>
        </w:rPr>
        <w:t xml:space="preserve"> y de sat</w:t>
      </w:r>
      <w:r>
        <w:rPr>
          <w:lang w:val="es-ES"/>
        </w:rPr>
        <w:t>élite comparten una frontera común y también cuando están separados por miles de kilómetros.</w:t>
      </w:r>
    </w:p>
    <w:p w14:paraId="168C9808" w14:textId="184BDF11" w:rsidR="0086036C" w:rsidRPr="0016445A" w:rsidRDefault="0086036C" w:rsidP="00974051">
      <w:pPr>
        <w:rPr>
          <w:lang w:val="es-ES"/>
        </w:rPr>
      </w:pPr>
      <w:r w:rsidRPr="0016445A">
        <w:rPr>
          <w:lang w:val="es-ES"/>
        </w:rPr>
        <w:t xml:space="preserve">La interferencia producida por </w:t>
      </w:r>
      <w:r>
        <w:rPr>
          <w:lang w:val="es-ES"/>
        </w:rPr>
        <w:t>lo</w:t>
      </w:r>
      <w:r w:rsidRPr="0016445A">
        <w:rPr>
          <w:lang w:val="es-ES"/>
        </w:rPr>
        <w:t>s EU combina</w:t>
      </w:r>
      <w:r>
        <w:rPr>
          <w:lang w:val="es-ES"/>
        </w:rPr>
        <w:t>dos en el SMS (p</w:t>
      </w:r>
      <w:r w:rsidR="00840AC3">
        <w:rPr>
          <w:lang w:val="es-ES"/>
        </w:rPr>
        <w:t>.</w:t>
      </w:r>
      <w:r>
        <w:rPr>
          <w:lang w:val="es-ES"/>
        </w:rPr>
        <w:t>i</w:t>
      </w:r>
      <w:r w:rsidR="00840AC3">
        <w:rPr>
          <w:lang w:val="es-ES"/>
        </w:rPr>
        <w:t>.</w:t>
      </w:r>
      <w:r>
        <w:rPr>
          <w:lang w:val="es-ES"/>
        </w:rPr>
        <w:t>r</w:t>
      </w:r>
      <w:r w:rsidR="00840AC3">
        <w:rPr>
          <w:lang w:val="es-ES"/>
        </w:rPr>
        <w:t>.</w:t>
      </w:r>
      <w:r>
        <w:rPr>
          <w:lang w:val="es-ES"/>
        </w:rPr>
        <w:t>e</w:t>
      </w:r>
      <w:r w:rsidR="00840AC3">
        <w:rPr>
          <w:lang w:val="es-ES"/>
        </w:rPr>
        <w:t>.</w:t>
      </w:r>
      <w:r>
        <w:rPr>
          <w:lang w:val="es-ES"/>
        </w:rPr>
        <w:t xml:space="preserve"> máxima de lo</w:t>
      </w:r>
      <w:r w:rsidRPr="0016445A">
        <w:rPr>
          <w:lang w:val="es-ES"/>
        </w:rPr>
        <w:t xml:space="preserve">s </w:t>
      </w:r>
      <w:r>
        <w:rPr>
          <w:lang w:val="es-ES"/>
        </w:rPr>
        <w:t>EU de</w:t>
      </w:r>
      <w:r w:rsidRPr="0016445A">
        <w:rPr>
          <w:lang w:val="es-ES"/>
        </w:rPr>
        <w:t xml:space="preserve"> 20</w:t>
      </w:r>
      <w:r w:rsidR="0054354F">
        <w:rPr>
          <w:lang w:val="es-ES"/>
        </w:rPr>
        <w:t> </w:t>
      </w:r>
      <w:r w:rsidRPr="0016445A">
        <w:rPr>
          <w:lang w:val="es-ES"/>
        </w:rPr>
        <w:t>dBm/5</w:t>
      </w:r>
      <w:r w:rsidR="0054354F">
        <w:rPr>
          <w:lang w:val="es-ES"/>
        </w:rPr>
        <w:t> </w:t>
      </w:r>
      <w:r w:rsidRPr="0016445A">
        <w:rPr>
          <w:lang w:val="es-ES"/>
        </w:rPr>
        <w:t xml:space="preserve">MHz) </w:t>
      </w:r>
      <w:r>
        <w:rPr>
          <w:lang w:val="es-ES"/>
        </w:rPr>
        <w:t>resulta inofensiva.</w:t>
      </w:r>
    </w:p>
    <w:p w14:paraId="2AB12A99" w14:textId="251CE621" w:rsidR="0086036C" w:rsidRPr="00974051" w:rsidRDefault="0086036C" w:rsidP="00974051">
      <w:pPr>
        <w:pStyle w:val="Heading1"/>
        <w:rPr>
          <w:rFonts w:eastAsiaTheme="minorEastAsia"/>
        </w:rPr>
      </w:pPr>
      <w:r w:rsidRPr="00974051">
        <w:rPr>
          <w:rFonts w:eastAsiaTheme="minorEastAsia"/>
        </w:rPr>
        <w:t>3</w:t>
      </w:r>
      <w:r w:rsidRPr="00974051">
        <w:rPr>
          <w:rFonts w:eastAsiaTheme="minorEastAsia"/>
        </w:rPr>
        <w:tab/>
        <w:t>La interferencia producida por estaciones base IMT es real – como se demuestra en casos de interferencia concretos</w:t>
      </w:r>
    </w:p>
    <w:p w14:paraId="6A472DFF" w14:textId="162C5F04" w:rsidR="0086036C" w:rsidRPr="0086036C" w:rsidRDefault="0086036C" w:rsidP="00974051">
      <w:pPr>
        <w:rPr>
          <w:lang w:val="es-ES"/>
        </w:rPr>
      </w:pPr>
      <w:r w:rsidRPr="0016445A">
        <w:rPr>
          <w:lang w:val="es-ES"/>
        </w:rPr>
        <w:t>Un operador del SMS ha llevado a cabo mediciones de interferencia utilizando un satélite MEO en órbita</w:t>
      </w:r>
      <w:r>
        <w:rPr>
          <w:lang w:val="es-ES"/>
        </w:rPr>
        <w:t xml:space="preserve"> que funciona en las bandas de frecuencias de 2</w:t>
      </w:r>
      <w:r w:rsidR="00840AC3">
        <w:rPr>
          <w:lang w:val="es-ES"/>
        </w:rPr>
        <w:t> </w:t>
      </w:r>
      <w:r>
        <w:rPr>
          <w:lang w:val="es-ES"/>
        </w:rPr>
        <w:t>GHz del SMS. El Cuadro 4 muestra un resumen de los niveles de interferencia medidos.</w:t>
      </w:r>
    </w:p>
    <w:p w14:paraId="23D0ABDB" w14:textId="31B9481F" w:rsidR="0086036C" w:rsidRPr="00E55288" w:rsidRDefault="0086036C" w:rsidP="00974051">
      <w:pPr>
        <w:pStyle w:val="Tabletitle"/>
        <w:spacing w:before="240"/>
        <w:rPr>
          <w:rFonts w:ascii="Times New Roman" w:hAnsi="Times New Roman"/>
          <w:b w:val="0"/>
          <w:szCs w:val="24"/>
          <w:lang w:val="es-ES"/>
        </w:rPr>
      </w:pPr>
      <w:r w:rsidRPr="00974051">
        <w:t>Cuadro 4: Niveles de interferencia medidos por un satélite MEO en órbita</w:t>
      </w:r>
    </w:p>
    <w:tbl>
      <w:tblPr>
        <w:tblStyle w:val="TableGrid"/>
        <w:tblW w:w="0" w:type="auto"/>
        <w:jc w:val="center"/>
        <w:tblInd w:w="0" w:type="dxa"/>
        <w:tblLook w:val="04A0" w:firstRow="1" w:lastRow="0" w:firstColumn="1" w:lastColumn="0" w:noHBand="0" w:noVBand="1"/>
      </w:tblPr>
      <w:tblGrid>
        <w:gridCol w:w="2334"/>
        <w:gridCol w:w="2628"/>
        <w:gridCol w:w="2693"/>
      </w:tblGrid>
      <w:tr w:rsidR="0086036C" w14:paraId="2A49E12E" w14:textId="77777777" w:rsidTr="00A81DBA">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75DA77C" w14:textId="77777777" w:rsidR="0086036C" w:rsidRPr="00E55288" w:rsidRDefault="0086036C" w:rsidP="00974051">
            <w:pPr>
              <w:pStyle w:val="Tablehead"/>
              <w:rPr>
                <w:lang w:val="es-ES"/>
              </w:rPr>
            </w:pPr>
            <w:r w:rsidRPr="00E55288">
              <w:rPr>
                <w:lang w:val="es-ES"/>
              </w:rPr>
              <w:t>Ubicación del haz</w:t>
            </w:r>
          </w:p>
        </w:tc>
        <w:tc>
          <w:tcPr>
            <w:tcW w:w="2628" w:type="dxa"/>
            <w:tcBorders>
              <w:top w:val="single" w:sz="4" w:space="0" w:color="auto"/>
              <w:left w:val="single" w:sz="4" w:space="0" w:color="auto"/>
              <w:bottom w:val="single" w:sz="4" w:space="0" w:color="auto"/>
              <w:right w:val="single" w:sz="4" w:space="0" w:color="auto"/>
            </w:tcBorders>
            <w:vAlign w:val="center"/>
            <w:hideMark/>
          </w:tcPr>
          <w:p w14:paraId="7EEEF8FD" w14:textId="77777777" w:rsidR="0086036C" w:rsidRPr="00E55288" w:rsidRDefault="0086036C" w:rsidP="00974051">
            <w:pPr>
              <w:pStyle w:val="Tablehead"/>
              <w:rPr>
                <w:lang w:val="es-ES"/>
              </w:rPr>
            </w:pPr>
            <w:r w:rsidRPr="00E55288">
              <w:rPr>
                <w:lang w:val="es-ES"/>
              </w:rPr>
              <w:t>Distancia al despliegue de las IMT (km)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D303E9" w14:textId="77777777" w:rsidR="0086036C" w:rsidRDefault="0086036C" w:rsidP="00974051">
            <w:pPr>
              <w:pStyle w:val="Tablehead"/>
            </w:pPr>
            <w:r>
              <w:rPr>
                <w:lang w:val="es-ES"/>
              </w:rPr>
              <w:t>Nivel de rebasamiento</w:t>
            </w:r>
            <w:r>
              <w:t xml:space="preserve"> (dB)</w:t>
            </w:r>
          </w:p>
        </w:tc>
      </w:tr>
      <w:tr w:rsidR="0086036C" w14:paraId="233232EC" w14:textId="77777777" w:rsidTr="00A81DBA">
        <w:trPr>
          <w:jc w:val="center"/>
        </w:trPr>
        <w:tc>
          <w:tcPr>
            <w:tcW w:w="2334" w:type="dxa"/>
            <w:tcBorders>
              <w:top w:val="single" w:sz="4" w:space="0" w:color="auto"/>
              <w:left w:val="single" w:sz="4" w:space="0" w:color="auto"/>
              <w:bottom w:val="single" w:sz="4" w:space="0" w:color="auto"/>
              <w:right w:val="single" w:sz="4" w:space="0" w:color="auto"/>
            </w:tcBorders>
            <w:hideMark/>
          </w:tcPr>
          <w:p w14:paraId="6F506BE3" w14:textId="77777777" w:rsidR="0086036C" w:rsidRPr="00E55288" w:rsidRDefault="0086036C" w:rsidP="00974051">
            <w:pPr>
              <w:pStyle w:val="Tabletext"/>
              <w:jc w:val="center"/>
              <w:rPr>
                <w:lang w:val="es-ES"/>
              </w:rPr>
            </w:pPr>
            <w:r w:rsidRPr="00E55288">
              <w:rPr>
                <w:lang w:val="es-ES"/>
              </w:rPr>
              <w:t>México</w:t>
            </w:r>
          </w:p>
        </w:tc>
        <w:tc>
          <w:tcPr>
            <w:tcW w:w="2628" w:type="dxa"/>
            <w:tcBorders>
              <w:top w:val="single" w:sz="4" w:space="0" w:color="auto"/>
              <w:left w:val="single" w:sz="4" w:space="0" w:color="auto"/>
              <w:bottom w:val="single" w:sz="4" w:space="0" w:color="auto"/>
              <w:right w:val="single" w:sz="4" w:space="0" w:color="auto"/>
            </w:tcBorders>
            <w:hideMark/>
          </w:tcPr>
          <w:p w14:paraId="7B47DCEC" w14:textId="61326DFE" w:rsidR="0086036C" w:rsidRDefault="0086036C" w:rsidP="00974051">
            <w:pPr>
              <w:pStyle w:val="Tabletext"/>
              <w:jc w:val="center"/>
            </w:pPr>
            <w:r>
              <w:t>200</w:t>
            </w:r>
            <w:r w:rsidR="00974051">
              <w:t> </w:t>
            </w:r>
            <w:r>
              <w:t>km</w:t>
            </w:r>
          </w:p>
        </w:tc>
        <w:tc>
          <w:tcPr>
            <w:tcW w:w="2693" w:type="dxa"/>
            <w:tcBorders>
              <w:top w:val="single" w:sz="4" w:space="0" w:color="auto"/>
              <w:left w:val="single" w:sz="4" w:space="0" w:color="auto"/>
              <w:bottom w:val="single" w:sz="4" w:space="0" w:color="auto"/>
              <w:right w:val="single" w:sz="4" w:space="0" w:color="auto"/>
            </w:tcBorders>
            <w:hideMark/>
          </w:tcPr>
          <w:p w14:paraId="0EF33483" w14:textId="77777777" w:rsidR="0086036C" w:rsidRDefault="0086036C" w:rsidP="00974051">
            <w:pPr>
              <w:pStyle w:val="Tabletext"/>
              <w:jc w:val="center"/>
            </w:pPr>
            <w:r>
              <w:t>36,0</w:t>
            </w:r>
          </w:p>
        </w:tc>
      </w:tr>
      <w:tr w:rsidR="0086036C" w14:paraId="3465C052" w14:textId="77777777" w:rsidTr="00A81DBA">
        <w:trPr>
          <w:jc w:val="center"/>
        </w:trPr>
        <w:tc>
          <w:tcPr>
            <w:tcW w:w="2334" w:type="dxa"/>
            <w:tcBorders>
              <w:top w:val="single" w:sz="4" w:space="0" w:color="auto"/>
              <w:left w:val="single" w:sz="4" w:space="0" w:color="auto"/>
              <w:bottom w:val="single" w:sz="4" w:space="0" w:color="auto"/>
              <w:right w:val="single" w:sz="4" w:space="0" w:color="auto"/>
            </w:tcBorders>
            <w:hideMark/>
          </w:tcPr>
          <w:p w14:paraId="57D85D74" w14:textId="77777777" w:rsidR="0086036C" w:rsidRPr="00E55288" w:rsidRDefault="0086036C" w:rsidP="00974051">
            <w:pPr>
              <w:pStyle w:val="Tabletext"/>
              <w:jc w:val="center"/>
              <w:rPr>
                <w:lang w:val="es-ES"/>
              </w:rPr>
            </w:pPr>
            <w:r w:rsidRPr="00E55288">
              <w:rPr>
                <w:lang w:val="es-ES"/>
              </w:rPr>
              <w:t>África Occidental</w:t>
            </w:r>
          </w:p>
        </w:tc>
        <w:tc>
          <w:tcPr>
            <w:tcW w:w="2628" w:type="dxa"/>
            <w:tcBorders>
              <w:top w:val="single" w:sz="4" w:space="0" w:color="auto"/>
              <w:left w:val="single" w:sz="4" w:space="0" w:color="auto"/>
              <w:bottom w:val="single" w:sz="4" w:space="0" w:color="auto"/>
              <w:right w:val="single" w:sz="4" w:space="0" w:color="auto"/>
            </w:tcBorders>
            <w:hideMark/>
          </w:tcPr>
          <w:p w14:paraId="2285FD30" w14:textId="54C1BCE1" w:rsidR="0086036C" w:rsidRDefault="0086036C" w:rsidP="00974051">
            <w:pPr>
              <w:pStyle w:val="Tabletext"/>
              <w:jc w:val="center"/>
            </w:pPr>
            <w:r>
              <w:t>6</w:t>
            </w:r>
            <w:r w:rsidR="00974051">
              <w:t> </w:t>
            </w:r>
            <w:r>
              <w:t>000</w:t>
            </w:r>
            <w:r w:rsidR="00974051">
              <w:t> </w:t>
            </w:r>
            <w:r>
              <w:t>km</w:t>
            </w:r>
          </w:p>
        </w:tc>
        <w:tc>
          <w:tcPr>
            <w:tcW w:w="2693" w:type="dxa"/>
            <w:tcBorders>
              <w:top w:val="single" w:sz="4" w:space="0" w:color="auto"/>
              <w:left w:val="single" w:sz="4" w:space="0" w:color="auto"/>
              <w:bottom w:val="single" w:sz="4" w:space="0" w:color="auto"/>
              <w:right w:val="single" w:sz="4" w:space="0" w:color="auto"/>
            </w:tcBorders>
            <w:hideMark/>
          </w:tcPr>
          <w:p w14:paraId="094EF04F" w14:textId="77777777" w:rsidR="0086036C" w:rsidRDefault="0086036C" w:rsidP="00974051">
            <w:pPr>
              <w:pStyle w:val="Tabletext"/>
              <w:jc w:val="center"/>
            </w:pPr>
            <w:r>
              <w:t>20,7</w:t>
            </w:r>
          </w:p>
        </w:tc>
      </w:tr>
      <w:tr w:rsidR="0086036C" w14:paraId="08EE64B3" w14:textId="77777777" w:rsidTr="00A81DBA">
        <w:trPr>
          <w:jc w:val="center"/>
        </w:trPr>
        <w:tc>
          <w:tcPr>
            <w:tcW w:w="2334" w:type="dxa"/>
            <w:tcBorders>
              <w:top w:val="single" w:sz="4" w:space="0" w:color="auto"/>
              <w:left w:val="single" w:sz="4" w:space="0" w:color="auto"/>
              <w:bottom w:val="single" w:sz="4" w:space="0" w:color="auto"/>
              <w:right w:val="single" w:sz="4" w:space="0" w:color="auto"/>
            </w:tcBorders>
            <w:hideMark/>
          </w:tcPr>
          <w:p w14:paraId="3E8FD76A" w14:textId="77777777" w:rsidR="0086036C" w:rsidRPr="00E55288" w:rsidRDefault="0086036C" w:rsidP="00974051">
            <w:pPr>
              <w:pStyle w:val="Tabletext"/>
              <w:jc w:val="center"/>
              <w:rPr>
                <w:lang w:val="es-ES"/>
              </w:rPr>
            </w:pPr>
            <w:r w:rsidRPr="00E55288">
              <w:rPr>
                <w:lang w:val="es-ES"/>
              </w:rPr>
              <w:t>Reino Unido</w:t>
            </w:r>
          </w:p>
        </w:tc>
        <w:tc>
          <w:tcPr>
            <w:tcW w:w="2628" w:type="dxa"/>
            <w:tcBorders>
              <w:top w:val="single" w:sz="4" w:space="0" w:color="auto"/>
              <w:left w:val="single" w:sz="4" w:space="0" w:color="auto"/>
              <w:bottom w:val="single" w:sz="4" w:space="0" w:color="auto"/>
              <w:right w:val="single" w:sz="4" w:space="0" w:color="auto"/>
            </w:tcBorders>
            <w:hideMark/>
          </w:tcPr>
          <w:p w14:paraId="2F47DE3E" w14:textId="79A4F12A" w:rsidR="0086036C" w:rsidRDefault="0086036C" w:rsidP="00974051">
            <w:pPr>
              <w:pStyle w:val="Tabletext"/>
              <w:jc w:val="center"/>
            </w:pPr>
            <w:r>
              <w:t>5</w:t>
            </w:r>
            <w:r w:rsidR="00974051">
              <w:t> </w:t>
            </w:r>
            <w:r>
              <w:t>000</w:t>
            </w:r>
            <w:r w:rsidR="00974051">
              <w:t> </w:t>
            </w:r>
            <w:r>
              <w:t>km</w:t>
            </w:r>
          </w:p>
        </w:tc>
        <w:tc>
          <w:tcPr>
            <w:tcW w:w="2693" w:type="dxa"/>
            <w:tcBorders>
              <w:top w:val="single" w:sz="4" w:space="0" w:color="auto"/>
              <w:left w:val="single" w:sz="4" w:space="0" w:color="auto"/>
              <w:bottom w:val="single" w:sz="4" w:space="0" w:color="auto"/>
              <w:right w:val="single" w:sz="4" w:space="0" w:color="auto"/>
            </w:tcBorders>
            <w:hideMark/>
          </w:tcPr>
          <w:p w14:paraId="7325B71A" w14:textId="77777777" w:rsidR="0086036C" w:rsidRDefault="0086036C" w:rsidP="00974051">
            <w:pPr>
              <w:pStyle w:val="Tabletext"/>
              <w:jc w:val="center"/>
            </w:pPr>
            <w:r>
              <w:t>23,6</w:t>
            </w:r>
          </w:p>
        </w:tc>
      </w:tr>
      <w:tr w:rsidR="0086036C" w14:paraId="34CDBE6D" w14:textId="77777777" w:rsidTr="00A81DBA">
        <w:trPr>
          <w:jc w:val="center"/>
        </w:trPr>
        <w:tc>
          <w:tcPr>
            <w:tcW w:w="2334" w:type="dxa"/>
            <w:tcBorders>
              <w:top w:val="single" w:sz="4" w:space="0" w:color="auto"/>
              <w:left w:val="single" w:sz="4" w:space="0" w:color="auto"/>
              <w:bottom w:val="single" w:sz="4" w:space="0" w:color="auto"/>
              <w:right w:val="single" w:sz="4" w:space="0" w:color="auto"/>
            </w:tcBorders>
            <w:hideMark/>
          </w:tcPr>
          <w:p w14:paraId="3C99CB12" w14:textId="77777777" w:rsidR="0086036C" w:rsidRPr="00E55288" w:rsidRDefault="0086036C" w:rsidP="00974051">
            <w:pPr>
              <w:pStyle w:val="Tabletext"/>
              <w:jc w:val="center"/>
              <w:rPr>
                <w:lang w:val="es-ES"/>
              </w:rPr>
            </w:pPr>
            <w:r w:rsidRPr="00E55288">
              <w:rPr>
                <w:lang w:val="es-ES"/>
              </w:rPr>
              <w:t>Papua Nueva Guinea</w:t>
            </w:r>
          </w:p>
        </w:tc>
        <w:tc>
          <w:tcPr>
            <w:tcW w:w="2628" w:type="dxa"/>
            <w:tcBorders>
              <w:top w:val="single" w:sz="4" w:space="0" w:color="auto"/>
              <w:left w:val="single" w:sz="4" w:space="0" w:color="auto"/>
              <w:bottom w:val="single" w:sz="4" w:space="0" w:color="auto"/>
              <w:right w:val="single" w:sz="4" w:space="0" w:color="auto"/>
            </w:tcBorders>
            <w:hideMark/>
          </w:tcPr>
          <w:p w14:paraId="7310332C" w14:textId="682684B4" w:rsidR="0086036C" w:rsidRDefault="0086036C" w:rsidP="00974051">
            <w:pPr>
              <w:pStyle w:val="Tabletext"/>
              <w:jc w:val="center"/>
            </w:pPr>
            <w:r>
              <w:t>10</w:t>
            </w:r>
            <w:r w:rsidR="00974051">
              <w:t> </w:t>
            </w:r>
            <w:r>
              <w:t>000</w:t>
            </w:r>
            <w:r w:rsidR="00974051">
              <w:t> </w:t>
            </w:r>
            <w:r>
              <w:t>km</w:t>
            </w:r>
          </w:p>
        </w:tc>
        <w:tc>
          <w:tcPr>
            <w:tcW w:w="2693" w:type="dxa"/>
            <w:tcBorders>
              <w:top w:val="single" w:sz="4" w:space="0" w:color="auto"/>
              <w:left w:val="single" w:sz="4" w:space="0" w:color="auto"/>
              <w:bottom w:val="single" w:sz="4" w:space="0" w:color="auto"/>
              <w:right w:val="single" w:sz="4" w:space="0" w:color="auto"/>
            </w:tcBorders>
            <w:hideMark/>
          </w:tcPr>
          <w:p w14:paraId="4F8823AF" w14:textId="77777777" w:rsidR="0086036C" w:rsidRDefault="0086036C" w:rsidP="00974051">
            <w:pPr>
              <w:pStyle w:val="Tabletext"/>
              <w:jc w:val="center"/>
            </w:pPr>
            <w:r>
              <w:t>26,7</w:t>
            </w:r>
          </w:p>
        </w:tc>
      </w:tr>
    </w:tbl>
    <w:p w14:paraId="64EC8D98" w14:textId="499D8895" w:rsidR="0086036C" w:rsidRPr="007424AD" w:rsidRDefault="0086036C" w:rsidP="00974051">
      <w:pPr>
        <w:rPr>
          <w:lang w:val="es-ES"/>
        </w:rPr>
      </w:pPr>
      <w:r w:rsidRPr="007424AD">
        <w:rPr>
          <w:lang w:val="es-ES"/>
        </w:rPr>
        <w:t>Como indica el Cuadro</w:t>
      </w:r>
      <w:r w:rsidR="00840AC3">
        <w:rPr>
          <w:lang w:val="es-ES"/>
        </w:rPr>
        <w:t> </w:t>
      </w:r>
      <w:r w:rsidRPr="007424AD">
        <w:rPr>
          <w:lang w:val="es-ES"/>
        </w:rPr>
        <w:t>4, la interferencia combinada proveniente del despliegue real de la componente terrenal de las IMT supera el criterio de protección de interferencia en varios órdenes de magnitud para los haces puntuale</w:t>
      </w:r>
      <w:r>
        <w:rPr>
          <w:lang w:val="es-ES"/>
        </w:rPr>
        <w:t>s elegidos, que en conjunto cubre</w:t>
      </w:r>
      <w:r w:rsidRPr="007424AD">
        <w:rPr>
          <w:lang w:val="es-ES"/>
        </w:rPr>
        <w:t>n gran parte de la superficie de la Tierra. El Anexo B proporciona información adicional sobre mediciones del espectro.</w:t>
      </w:r>
    </w:p>
    <w:p w14:paraId="56809A32" w14:textId="5AC005E7" w:rsidR="0086036C" w:rsidRPr="007424AD" w:rsidRDefault="0086036C" w:rsidP="00974051">
      <w:pPr>
        <w:rPr>
          <w:lang w:val="es-ES"/>
        </w:rPr>
      </w:pPr>
      <w:r w:rsidRPr="007424AD">
        <w:rPr>
          <w:lang w:val="es-ES"/>
        </w:rPr>
        <w:t xml:space="preserve">En un caso diferente, se ha </w:t>
      </w:r>
      <w:r>
        <w:rPr>
          <w:lang w:val="es-ES"/>
        </w:rPr>
        <w:t>informado</w:t>
      </w:r>
      <w:r w:rsidRPr="007424AD">
        <w:rPr>
          <w:lang w:val="es-ES"/>
        </w:rPr>
        <w:t xml:space="preserve"> a la BR de la UIT </w:t>
      </w:r>
      <w:r>
        <w:rPr>
          <w:lang w:val="es-ES"/>
        </w:rPr>
        <w:t xml:space="preserve">de </w:t>
      </w:r>
      <w:r w:rsidRPr="007424AD">
        <w:rPr>
          <w:lang w:val="es-ES"/>
        </w:rPr>
        <w:t xml:space="preserve">una interferencia a </w:t>
      </w:r>
      <w:r>
        <w:rPr>
          <w:lang w:val="es-ES"/>
        </w:rPr>
        <w:t xml:space="preserve">un </w:t>
      </w:r>
      <w:r w:rsidRPr="007424AD">
        <w:rPr>
          <w:lang w:val="es-ES"/>
        </w:rPr>
        <w:t>satélite</w:t>
      </w:r>
      <w:r>
        <w:rPr>
          <w:lang w:val="es-ES"/>
        </w:rPr>
        <w:t xml:space="preserve"> del SMS del R</w:t>
      </w:r>
      <w:r w:rsidRPr="007424AD">
        <w:rPr>
          <w:lang w:val="es-ES"/>
        </w:rPr>
        <w:t xml:space="preserve">eino Unido </w:t>
      </w:r>
      <w:r>
        <w:rPr>
          <w:lang w:val="es-ES"/>
        </w:rPr>
        <w:t xml:space="preserve">notificado, </w:t>
      </w:r>
      <w:r w:rsidRPr="007424AD">
        <w:rPr>
          <w:lang w:val="es-ES"/>
        </w:rPr>
        <w:t>que funciona en la banda de frecuencias 1 980-2 010</w:t>
      </w:r>
      <w:r w:rsidR="00840AC3">
        <w:rPr>
          <w:lang w:val="es-ES"/>
        </w:rPr>
        <w:t> </w:t>
      </w:r>
      <w:r w:rsidRPr="007424AD">
        <w:rPr>
          <w:lang w:val="es-ES"/>
        </w:rPr>
        <w:t>MHz</w:t>
      </w:r>
      <w:r>
        <w:rPr>
          <w:lang w:val="es-ES"/>
        </w:rPr>
        <w:t>,</w:t>
      </w:r>
      <w:r w:rsidRPr="007424AD">
        <w:rPr>
          <w:lang w:val="es-ES"/>
        </w:rPr>
        <w:t xml:space="preserve"> </w:t>
      </w:r>
      <w:r>
        <w:rPr>
          <w:lang w:val="es-ES"/>
        </w:rPr>
        <w:t>de conformidad con los procedimientos del Artículo</w:t>
      </w:r>
      <w:r w:rsidR="00840AC3">
        <w:rPr>
          <w:lang w:val="es-ES"/>
        </w:rPr>
        <w:t> </w:t>
      </w:r>
      <w:r>
        <w:rPr>
          <w:lang w:val="es-ES"/>
        </w:rPr>
        <w:t>15 del RR.</w:t>
      </w:r>
    </w:p>
    <w:p w14:paraId="3C7BD3E2" w14:textId="49E99C5D" w:rsidR="0086036C" w:rsidRPr="00974051" w:rsidRDefault="0086036C" w:rsidP="00974051">
      <w:pPr>
        <w:pStyle w:val="Heading1"/>
        <w:rPr>
          <w:rFonts w:eastAsiaTheme="minorEastAsia"/>
        </w:rPr>
      </w:pPr>
      <w:r w:rsidRPr="00974051">
        <w:rPr>
          <w:rFonts w:eastAsiaTheme="minorEastAsia"/>
        </w:rPr>
        <w:t>4</w:t>
      </w:r>
      <w:r w:rsidRPr="00974051">
        <w:rPr>
          <w:rFonts w:eastAsiaTheme="minorEastAsia"/>
        </w:rPr>
        <w:tab/>
        <w:t>Posibles medidas para garantizar la coexistencia entre las estaciones base de las IMT y los satélites de las IMT</w:t>
      </w:r>
    </w:p>
    <w:p w14:paraId="410AE170" w14:textId="7353267F" w:rsidR="0086036C" w:rsidRPr="00754DE5" w:rsidRDefault="0086036C" w:rsidP="00974051">
      <w:pPr>
        <w:rPr>
          <w:szCs w:val="24"/>
          <w:lang w:val="es-ES"/>
        </w:rPr>
      </w:pPr>
      <w:r w:rsidRPr="00754DE5">
        <w:rPr>
          <w:szCs w:val="24"/>
          <w:lang w:val="es-ES"/>
        </w:rPr>
        <w:t>Una medida para garantizar la coexistencia entre las estaci</w:t>
      </w:r>
      <w:r>
        <w:rPr>
          <w:szCs w:val="24"/>
          <w:lang w:val="es-ES"/>
        </w:rPr>
        <w:t>ones base</w:t>
      </w:r>
      <w:r w:rsidRPr="00754DE5">
        <w:rPr>
          <w:szCs w:val="24"/>
          <w:lang w:val="es-ES"/>
        </w:rPr>
        <w:t xml:space="preserve"> IMT y los sat</w:t>
      </w:r>
      <w:r>
        <w:rPr>
          <w:szCs w:val="24"/>
          <w:lang w:val="es-ES"/>
        </w:rPr>
        <w:t xml:space="preserve">élites IMT consiste en fijar un límite para </w:t>
      </w:r>
      <w:r w:rsidRPr="00974051">
        <w:t>la p.i.r.e. en las estaciones base del servicio móvil que funcionan en la banda de frecuencias 1 980-2 010</w:t>
      </w:r>
      <w:r w:rsidR="00974051">
        <w:t> </w:t>
      </w:r>
      <w:r w:rsidRPr="00974051">
        <w:t>MHz. Una medida alternativa de funconamiento (en lugar del límite de la p.i.r.e. anterior) que ga</w:t>
      </w:r>
      <w:r w:rsidRPr="00754DE5">
        <w:rPr>
          <w:szCs w:val="24"/>
          <w:lang w:val="es-ES"/>
        </w:rPr>
        <w:t>rantiza la coexistencia sería utilizar una disposición de frecuencias que utilice la banda 1 980-2 010</w:t>
      </w:r>
      <w:r w:rsidR="00974051">
        <w:rPr>
          <w:szCs w:val="24"/>
          <w:lang w:val="es-ES"/>
        </w:rPr>
        <w:t> </w:t>
      </w:r>
      <w:r w:rsidRPr="00754DE5">
        <w:rPr>
          <w:szCs w:val="24"/>
          <w:lang w:val="es-ES"/>
        </w:rPr>
        <w:t xml:space="preserve">MHz </w:t>
      </w:r>
      <w:r>
        <w:rPr>
          <w:szCs w:val="24"/>
          <w:lang w:val="es-ES"/>
        </w:rPr>
        <w:t>para la transmisión de los EU y la banda</w:t>
      </w:r>
      <w:r w:rsidRPr="00754DE5">
        <w:rPr>
          <w:szCs w:val="24"/>
          <w:lang w:val="es-ES"/>
        </w:rPr>
        <w:t xml:space="preserve"> 2 170-2 200</w:t>
      </w:r>
      <w:r w:rsidR="00974051">
        <w:rPr>
          <w:szCs w:val="24"/>
          <w:lang w:val="es-ES"/>
        </w:rPr>
        <w:t> </w:t>
      </w:r>
      <w:r w:rsidRPr="00754DE5">
        <w:rPr>
          <w:szCs w:val="24"/>
          <w:lang w:val="es-ES"/>
        </w:rPr>
        <w:t xml:space="preserve">MHz </w:t>
      </w:r>
      <w:r>
        <w:rPr>
          <w:szCs w:val="24"/>
          <w:lang w:val="es-ES"/>
        </w:rPr>
        <w:t>para las transmisiones de la estación base.</w:t>
      </w:r>
    </w:p>
    <w:p w14:paraId="59774E71" w14:textId="587A8923" w:rsidR="0086036C" w:rsidRPr="00754DE5" w:rsidRDefault="0086036C" w:rsidP="0086036C">
      <w:pPr>
        <w:jc w:val="both"/>
        <w:rPr>
          <w:szCs w:val="24"/>
          <w:lang w:val="es-ES"/>
        </w:rPr>
      </w:pPr>
      <w:r w:rsidRPr="00754DE5">
        <w:rPr>
          <w:szCs w:val="24"/>
          <w:lang w:val="es-ES"/>
        </w:rPr>
        <w:lastRenderedPageBreak/>
        <w:t>La Recomendación UIT-R M.1036-5 incluye vari</w:t>
      </w:r>
      <w:r>
        <w:rPr>
          <w:szCs w:val="24"/>
          <w:lang w:val="es-ES"/>
        </w:rPr>
        <w:t xml:space="preserve">as disposiciones de frecuencias recomendadas, entre ellas la </w:t>
      </w:r>
      <w:r w:rsidR="00974051">
        <w:rPr>
          <w:szCs w:val="24"/>
          <w:lang w:val="es-ES"/>
        </w:rPr>
        <w:t>«</w:t>
      </w:r>
      <w:r w:rsidRPr="00754DE5">
        <w:rPr>
          <w:szCs w:val="24"/>
          <w:lang w:val="es-ES"/>
        </w:rPr>
        <w:t>B6</w:t>
      </w:r>
      <w:r w:rsidR="00974051">
        <w:rPr>
          <w:szCs w:val="24"/>
          <w:lang w:val="es-ES"/>
        </w:rPr>
        <w:t>»</w:t>
      </w:r>
      <w:r w:rsidRPr="00754DE5">
        <w:rPr>
          <w:szCs w:val="24"/>
          <w:lang w:val="es-ES"/>
        </w:rPr>
        <w:t xml:space="preserve"> </w:t>
      </w:r>
      <w:r>
        <w:rPr>
          <w:szCs w:val="24"/>
          <w:lang w:val="es-ES"/>
        </w:rPr>
        <w:t>y</w:t>
      </w:r>
      <w:r w:rsidRPr="00754DE5">
        <w:rPr>
          <w:szCs w:val="24"/>
          <w:lang w:val="es-ES"/>
        </w:rPr>
        <w:t xml:space="preserve"> </w:t>
      </w:r>
      <w:r>
        <w:rPr>
          <w:szCs w:val="24"/>
          <w:lang w:val="es-ES"/>
        </w:rPr>
        <w:t xml:space="preserve">la </w:t>
      </w:r>
      <w:r w:rsidR="00974051">
        <w:rPr>
          <w:szCs w:val="24"/>
          <w:lang w:val="es-ES"/>
        </w:rPr>
        <w:t>«</w:t>
      </w:r>
      <w:r w:rsidRPr="00754DE5">
        <w:rPr>
          <w:szCs w:val="24"/>
          <w:lang w:val="es-ES"/>
        </w:rPr>
        <w:t>B7</w:t>
      </w:r>
      <w:r w:rsidR="00974051">
        <w:rPr>
          <w:szCs w:val="24"/>
          <w:lang w:val="es-ES"/>
        </w:rPr>
        <w:t>»</w:t>
      </w:r>
      <w:r w:rsidRPr="00754DE5">
        <w:rPr>
          <w:szCs w:val="24"/>
          <w:lang w:val="es-ES"/>
        </w:rPr>
        <w:t xml:space="preserve">. La disposición </w:t>
      </w:r>
      <w:r w:rsidR="00974051">
        <w:rPr>
          <w:szCs w:val="24"/>
          <w:lang w:val="es-ES"/>
        </w:rPr>
        <w:t>«</w:t>
      </w:r>
      <w:r w:rsidRPr="00754DE5">
        <w:rPr>
          <w:szCs w:val="24"/>
          <w:lang w:val="es-ES"/>
        </w:rPr>
        <w:t>B6</w:t>
      </w:r>
      <w:r w:rsidR="00974051">
        <w:rPr>
          <w:szCs w:val="24"/>
          <w:lang w:val="es-ES"/>
        </w:rPr>
        <w:t>»</w:t>
      </w:r>
      <w:r w:rsidRPr="00754DE5">
        <w:rPr>
          <w:szCs w:val="24"/>
          <w:lang w:val="es-ES"/>
        </w:rPr>
        <w:t xml:space="preserve"> sería una disposición complementaria natural</w:t>
      </w:r>
      <w:r>
        <w:rPr>
          <w:szCs w:val="24"/>
          <w:lang w:val="es-ES"/>
        </w:rPr>
        <w:t xml:space="preserve"> para aquellas administraciones</w:t>
      </w:r>
      <w:r w:rsidRPr="00754DE5">
        <w:rPr>
          <w:szCs w:val="24"/>
          <w:lang w:val="es-ES"/>
        </w:rPr>
        <w:t xml:space="preserve"> que ya</w:t>
      </w:r>
      <w:r>
        <w:rPr>
          <w:szCs w:val="24"/>
          <w:lang w:val="es-ES"/>
        </w:rPr>
        <w:t xml:space="preserve"> </w:t>
      </w:r>
      <w:r w:rsidRPr="00754DE5">
        <w:rPr>
          <w:szCs w:val="24"/>
          <w:lang w:val="es-ES"/>
        </w:rPr>
        <w:t>han implantado las IMT en las bandas 1 920-1 980</w:t>
      </w:r>
      <w:r w:rsidR="00974051">
        <w:rPr>
          <w:szCs w:val="24"/>
          <w:lang w:val="es-ES"/>
        </w:rPr>
        <w:t> </w:t>
      </w:r>
      <w:r w:rsidRPr="00754DE5">
        <w:rPr>
          <w:szCs w:val="24"/>
          <w:lang w:val="es-ES"/>
        </w:rPr>
        <w:t xml:space="preserve">MHz </w:t>
      </w:r>
      <w:r>
        <w:rPr>
          <w:szCs w:val="24"/>
          <w:lang w:val="es-ES"/>
        </w:rPr>
        <w:t>y</w:t>
      </w:r>
      <w:r w:rsidRPr="00754DE5">
        <w:rPr>
          <w:szCs w:val="24"/>
          <w:lang w:val="es-ES"/>
        </w:rPr>
        <w:t xml:space="preserve"> 2 110-2 170</w:t>
      </w:r>
      <w:r w:rsidR="00974051">
        <w:rPr>
          <w:szCs w:val="24"/>
          <w:lang w:val="es-ES"/>
        </w:rPr>
        <w:t> </w:t>
      </w:r>
      <w:r w:rsidRPr="00754DE5">
        <w:rPr>
          <w:szCs w:val="24"/>
          <w:lang w:val="es-ES"/>
        </w:rPr>
        <w:t xml:space="preserve">MHz </w:t>
      </w:r>
      <w:r>
        <w:rPr>
          <w:szCs w:val="24"/>
          <w:lang w:val="es-ES"/>
        </w:rPr>
        <w:t>con la disposición de frecuencias</w:t>
      </w:r>
      <w:r w:rsidRPr="00754DE5">
        <w:rPr>
          <w:szCs w:val="24"/>
          <w:lang w:val="es-ES"/>
        </w:rPr>
        <w:t xml:space="preserve"> </w:t>
      </w:r>
      <w:r w:rsidR="00974051">
        <w:rPr>
          <w:szCs w:val="24"/>
          <w:lang w:val="es-ES"/>
        </w:rPr>
        <w:t>«</w:t>
      </w:r>
      <w:r w:rsidRPr="00754DE5">
        <w:rPr>
          <w:szCs w:val="24"/>
          <w:lang w:val="es-ES"/>
        </w:rPr>
        <w:t>B1</w:t>
      </w:r>
      <w:r w:rsidR="00974051">
        <w:rPr>
          <w:szCs w:val="24"/>
          <w:lang w:val="es-ES"/>
        </w:rPr>
        <w:t>»</w:t>
      </w:r>
      <w:r>
        <w:rPr>
          <w:rStyle w:val="FootnoteReference"/>
          <w:szCs w:val="24"/>
        </w:rPr>
        <w:footnoteReference w:id="1"/>
      </w:r>
      <w:r w:rsidRPr="00754DE5">
        <w:rPr>
          <w:szCs w:val="24"/>
          <w:lang w:val="es-ES"/>
        </w:rPr>
        <w:t>.</w:t>
      </w:r>
    </w:p>
    <w:p w14:paraId="6817E9CC" w14:textId="6FEBF381" w:rsidR="0086036C" w:rsidRDefault="0086036C" w:rsidP="00974051">
      <w:pPr>
        <w:pStyle w:val="Heading1"/>
      </w:pPr>
      <w:r>
        <w:t>5</w:t>
      </w:r>
      <w:r>
        <w:tab/>
        <w:t>Conclusión</w:t>
      </w:r>
    </w:p>
    <w:p w14:paraId="2758CCC9" w14:textId="44515F26" w:rsidR="0086036C" w:rsidRPr="00AE5059" w:rsidRDefault="0086036C" w:rsidP="00974051">
      <w:pPr>
        <w:rPr>
          <w:lang w:val="es-ES"/>
        </w:rPr>
      </w:pPr>
      <w:r>
        <w:rPr>
          <w:lang w:val="es-ES"/>
        </w:rPr>
        <w:t>Los estudios del UIT</w:t>
      </w:r>
      <w:r w:rsidRPr="00AE5059">
        <w:rPr>
          <w:lang w:val="es-ES"/>
        </w:rPr>
        <w:t>-R han demostrado que los satélites de las IMT reciben niveles muy elevados de interferencia cuando la banda de frecuencias 1 980-2 010</w:t>
      </w:r>
      <w:r w:rsidR="00840AC3">
        <w:rPr>
          <w:lang w:val="es-ES"/>
        </w:rPr>
        <w:t> </w:t>
      </w:r>
      <w:r w:rsidRPr="00AE5059">
        <w:rPr>
          <w:lang w:val="es-ES"/>
        </w:rPr>
        <w:t xml:space="preserve">MHz </w:t>
      </w:r>
      <w:r>
        <w:rPr>
          <w:lang w:val="es-ES"/>
        </w:rPr>
        <w:t>es utilizada por transmisores de las estaciones base de las IMT terrenales</w:t>
      </w:r>
      <w:r w:rsidRPr="00AE5059">
        <w:rPr>
          <w:lang w:val="es-ES"/>
        </w:rPr>
        <w:t>. El muy elevado nivel de interferencia plantea un problema existencial para los receptores de satélite en la banda 1 980-2 010</w:t>
      </w:r>
      <w:r w:rsidR="00974051">
        <w:rPr>
          <w:lang w:val="es-ES"/>
        </w:rPr>
        <w:t> </w:t>
      </w:r>
      <w:r w:rsidRPr="00AE5059">
        <w:rPr>
          <w:lang w:val="es-ES"/>
        </w:rPr>
        <w:t xml:space="preserve">MHz </w:t>
      </w:r>
      <w:r>
        <w:rPr>
          <w:lang w:val="es-ES"/>
        </w:rPr>
        <w:t>cuando esta banda es utilizada por las IMT terrenales y de satélite en diferentes países.</w:t>
      </w:r>
    </w:p>
    <w:p w14:paraId="14B4F265" w14:textId="239BD0A4" w:rsidR="0086036C" w:rsidRPr="00AE5059" w:rsidRDefault="0086036C" w:rsidP="00974051">
      <w:pPr>
        <w:rPr>
          <w:lang w:val="es-ES"/>
        </w:rPr>
      </w:pPr>
      <w:r w:rsidRPr="00AE5059">
        <w:rPr>
          <w:lang w:val="es-ES"/>
        </w:rPr>
        <w:t>Los estudios teóricos se han validado con mediciones reales de interferencias que mostraron que actualmente se producen niveles de interferencia perjudiciales en amplios segmentos de la banda  1 980-2 010</w:t>
      </w:r>
      <w:r w:rsidR="00840AC3">
        <w:rPr>
          <w:lang w:val="es-ES"/>
        </w:rPr>
        <w:t> </w:t>
      </w:r>
      <w:r w:rsidRPr="00AE5059">
        <w:rPr>
          <w:lang w:val="es-ES"/>
        </w:rPr>
        <w:t>MHz. Por consiguiente, son necesarias enmiendas al Reglamento de Radiocomunicaciones para la banda 1 980-2 010</w:t>
      </w:r>
      <w:r w:rsidR="00840AC3">
        <w:rPr>
          <w:lang w:val="es-ES"/>
        </w:rPr>
        <w:t> </w:t>
      </w:r>
      <w:r w:rsidRPr="00AE5059">
        <w:rPr>
          <w:lang w:val="es-ES"/>
        </w:rPr>
        <w:t xml:space="preserve">MHz </w:t>
      </w:r>
      <w:r>
        <w:rPr>
          <w:lang w:val="es-ES"/>
        </w:rPr>
        <w:t>a fin de evitar que esta banda resulte imposible de utilizar por el SMS</w:t>
      </w:r>
      <w:r w:rsidRPr="00AE5059">
        <w:rPr>
          <w:lang w:val="es-ES"/>
        </w:rPr>
        <w:t>.</w:t>
      </w:r>
    </w:p>
    <w:p w14:paraId="7CC3C915" w14:textId="2B6B091E" w:rsidR="0086036C" w:rsidRPr="00FC2CDB" w:rsidRDefault="0086036C" w:rsidP="00974051">
      <w:pPr>
        <w:rPr>
          <w:lang w:val="es-ES"/>
        </w:rPr>
      </w:pPr>
      <w:r w:rsidRPr="00AE5059">
        <w:rPr>
          <w:lang w:val="es-ES"/>
        </w:rPr>
        <w:t xml:space="preserve">La introducción que se propone de límites de potencia para las estaciones base de las IMT terrenales o, como </w:t>
      </w:r>
      <w:r>
        <w:rPr>
          <w:lang w:val="es-ES"/>
        </w:rPr>
        <w:t>alternativa</w:t>
      </w:r>
      <w:r w:rsidRPr="00AE5059">
        <w:rPr>
          <w:lang w:val="es-ES"/>
        </w:rPr>
        <w:t>, una medida operacional que limite el uso de la banda de frecuencias 1 980-2 010</w:t>
      </w:r>
      <w:r w:rsidR="00974051">
        <w:rPr>
          <w:lang w:val="es-ES"/>
        </w:rPr>
        <w:t> </w:t>
      </w:r>
      <w:r w:rsidRPr="00AE5059">
        <w:rPr>
          <w:lang w:val="es-ES"/>
        </w:rPr>
        <w:t xml:space="preserve">MHz </w:t>
      </w:r>
      <w:r>
        <w:rPr>
          <w:lang w:val="es-ES"/>
        </w:rPr>
        <w:t xml:space="preserve">por la componente terrenal de las IMT a las transmisiones de los equipos de usuario hacia las estaciones base, proporcionaría una protección adecuada a los satélites IMT y garantizaría también la coexistencia de las operaciones de las IMT terrenales y de satélite. </w:t>
      </w:r>
      <w:r w:rsidRPr="00FC2CDB">
        <w:rPr>
          <w:lang w:val="es-ES"/>
        </w:rPr>
        <w:t xml:space="preserve">Las soluciones propuestas también permitirían a las administraciones desplegar la componente terrenal de las IMT si así lo desean, </w:t>
      </w:r>
      <w:r>
        <w:rPr>
          <w:lang w:val="es-ES"/>
        </w:rPr>
        <w:t>de una manera compatible con el funcionamiento del SMS y coherente con la categoría primaria de ambos servicios</w:t>
      </w:r>
      <w:r w:rsidRPr="00FC2CDB">
        <w:rPr>
          <w:lang w:val="es-ES"/>
        </w:rPr>
        <w:t>.</w:t>
      </w:r>
    </w:p>
    <w:p w14:paraId="07FF596F" w14:textId="77777777" w:rsidR="00974051" w:rsidRDefault="00974051" w:rsidP="0086036C">
      <w:pPr>
        <w:rPr>
          <w:szCs w:val="24"/>
          <w:lang w:val="es-ES"/>
        </w:rPr>
      </w:pPr>
    </w:p>
    <w:p w14:paraId="3930F589" w14:textId="6605CFBC" w:rsidR="0086036C" w:rsidRPr="00FC2CDB" w:rsidRDefault="0086036C" w:rsidP="0086036C">
      <w:pPr>
        <w:rPr>
          <w:szCs w:val="24"/>
          <w:lang w:val="es-ES"/>
        </w:rPr>
      </w:pPr>
      <w:r w:rsidRPr="00FC2CDB">
        <w:rPr>
          <w:szCs w:val="24"/>
          <w:lang w:val="es-ES"/>
        </w:rPr>
        <w:br w:type="page"/>
      </w:r>
    </w:p>
    <w:p w14:paraId="0B2902DD" w14:textId="77777777" w:rsidR="0086036C" w:rsidRPr="00974051" w:rsidRDefault="0086036C" w:rsidP="00974051">
      <w:pPr>
        <w:pStyle w:val="AnnexNo"/>
      </w:pPr>
      <w:r w:rsidRPr="00974051">
        <w:lastRenderedPageBreak/>
        <w:t>AnexO A</w:t>
      </w:r>
    </w:p>
    <w:p w14:paraId="3F5F91FB" w14:textId="77777777" w:rsidR="0086036C" w:rsidRPr="00974051" w:rsidRDefault="0086036C" w:rsidP="00974051">
      <w:pPr>
        <w:pStyle w:val="Annextitle"/>
      </w:pPr>
      <w:r w:rsidRPr="00974051">
        <w:t>Cálculo de interferencia proveniente de una única estación base IMT en un satélite del SMS</w:t>
      </w:r>
    </w:p>
    <w:p w14:paraId="50701EC7" w14:textId="61E77B07" w:rsidR="0086036C" w:rsidRPr="001A3919" w:rsidRDefault="0086036C" w:rsidP="00974051">
      <w:pPr>
        <w:rPr>
          <w:lang w:val="es-ES"/>
        </w:rPr>
      </w:pPr>
      <w:r w:rsidRPr="00172F74">
        <w:rPr>
          <w:lang w:val="es-ES"/>
        </w:rPr>
        <w:t xml:space="preserve">El Cuadro A1 muestra los detalles del cálculo de la interferencia </w:t>
      </w:r>
      <w:r>
        <w:rPr>
          <w:lang w:val="es-ES"/>
        </w:rPr>
        <w:t>producida por</w:t>
      </w:r>
      <w:r w:rsidRPr="00172F74">
        <w:rPr>
          <w:lang w:val="es-ES"/>
        </w:rPr>
        <w:t xml:space="preserve"> una única estación base en un satélite del SMS, con la condici</w:t>
      </w:r>
      <w:r>
        <w:rPr>
          <w:lang w:val="es-ES"/>
        </w:rPr>
        <w:t>ón de que la estación base IMT y la zona de servicio del SMS se encuentran en países diferentes.</w:t>
      </w:r>
    </w:p>
    <w:p w14:paraId="785994E7" w14:textId="77777777" w:rsidR="0086036C" w:rsidRPr="00974051" w:rsidRDefault="0086036C" w:rsidP="00974051">
      <w:pPr>
        <w:pStyle w:val="Tabletitle"/>
        <w:spacing w:before="240"/>
      </w:pPr>
      <w:r w:rsidRPr="00974051">
        <w:t>Cuadro A1: Interferencia de una única estación base IMT en diferentes sistemas de satélites</w:t>
      </w:r>
    </w:p>
    <w:tbl>
      <w:tblPr>
        <w:tblW w:w="0" w:type="auto"/>
        <w:jc w:val="center"/>
        <w:tblCellMar>
          <w:left w:w="28" w:type="dxa"/>
          <w:right w:w="28" w:type="dxa"/>
        </w:tblCellMar>
        <w:tblLook w:val="04A0" w:firstRow="1" w:lastRow="0" w:firstColumn="1" w:lastColumn="0" w:noHBand="0" w:noVBand="1"/>
      </w:tblPr>
      <w:tblGrid>
        <w:gridCol w:w="2739"/>
        <w:gridCol w:w="1548"/>
        <w:gridCol w:w="1548"/>
        <w:gridCol w:w="1413"/>
        <w:gridCol w:w="1514"/>
        <w:gridCol w:w="857"/>
      </w:tblGrid>
      <w:tr w:rsidR="0086036C" w14:paraId="020BE956" w14:textId="77777777" w:rsidTr="00A81DBA">
        <w:trPr>
          <w:trHeight w:val="501"/>
          <w:jc w:val="center"/>
        </w:trPr>
        <w:tc>
          <w:tcPr>
            <w:tcW w:w="2825" w:type="dxa"/>
            <w:tcBorders>
              <w:top w:val="single" w:sz="8" w:space="0" w:color="auto"/>
              <w:left w:val="single" w:sz="8" w:space="0" w:color="auto"/>
              <w:bottom w:val="single" w:sz="8" w:space="0" w:color="auto"/>
              <w:right w:val="single" w:sz="8" w:space="0" w:color="auto"/>
            </w:tcBorders>
            <w:vAlign w:val="center"/>
            <w:hideMark/>
          </w:tcPr>
          <w:p w14:paraId="1FB24F3E" w14:textId="77777777" w:rsidR="0086036C" w:rsidRDefault="0086036C" w:rsidP="00974051">
            <w:pPr>
              <w:pStyle w:val="Tablehead"/>
              <w:rPr>
                <w:lang w:val="en-US" w:eastAsia="en-GB"/>
              </w:rPr>
            </w:pPr>
            <w:r>
              <w:rPr>
                <w:lang w:val="en-US" w:eastAsia="en-GB"/>
              </w:rPr>
              <w:t>Parámetro</w:t>
            </w:r>
          </w:p>
        </w:tc>
        <w:tc>
          <w:tcPr>
            <w:tcW w:w="1560" w:type="dxa"/>
            <w:tcBorders>
              <w:top w:val="single" w:sz="8" w:space="0" w:color="auto"/>
              <w:left w:val="nil"/>
              <w:bottom w:val="single" w:sz="8" w:space="0" w:color="auto"/>
              <w:right w:val="single" w:sz="8" w:space="0" w:color="auto"/>
            </w:tcBorders>
            <w:vAlign w:val="center"/>
            <w:hideMark/>
          </w:tcPr>
          <w:p w14:paraId="1696B19A" w14:textId="77777777" w:rsidR="0086036C" w:rsidRDefault="0086036C" w:rsidP="00974051">
            <w:pPr>
              <w:pStyle w:val="Tablehead"/>
              <w:rPr>
                <w:lang w:val="en-US" w:eastAsia="en-GB"/>
              </w:rPr>
            </w:pPr>
            <w:r>
              <w:rPr>
                <w:lang w:val="en-US" w:eastAsia="en-GB"/>
              </w:rPr>
              <w:t>EB a GEO</w:t>
            </w:r>
          </w:p>
        </w:tc>
        <w:tc>
          <w:tcPr>
            <w:tcW w:w="1559" w:type="dxa"/>
            <w:tcBorders>
              <w:top w:val="single" w:sz="8" w:space="0" w:color="auto"/>
              <w:left w:val="nil"/>
              <w:bottom w:val="single" w:sz="8" w:space="0" w:color="auto"/>
              <w:right w:val="single" w:sz="8" w:space="0" w:color="auto"/>
            </w:tcBorders>
            <w:vAlign w:val="center"/>
            <w:hideMark/>
          </w:tcPr>
          <w:p w14:paraId="2E281DA3" w14:textId="77777777" w:rsidR="0086036C" w:rsidRDefault="0086036C" w:rsidP="00974051">
            <w:pPr>
              <w:pStyle w:val="Tablehead"/>
              <w:rPr>
                <w:lang w:val="en-US" w:eastAsia="en-GB"/>
              </w:rPr>
            </w:pPr>
            <w:r>
              <w:rPr>
                <w:lang w:val="en-US" w:eastAsia="en-GB"/>
              </w:rPr>
              <w:t>EB a LEO</w:t>
            </w:r>
          </w:p>
        </w:tc>
        <w:tc>
          <w:tcPr>
            <w:tcW w:w="1417" w:type="dxa"/>
            <w:tcBorders>
              <w:top w:val="single" w:sz="8" w:space="0" w:color="auto"/>
              <w:left w:val="nil"/>
              <w:bottom w:val="single" w:sz="8" w:space="0" w:color="auto"/>
              <w:right w:val="single" w:sz="8" w:space="0" w:color="auto"/>
            </w:tcBorders>
            <w:vAlign w:val="center"/>
            <w:hideMark/>
          </w:tcPr>
          <w:p w14:paraId="5405D500" w14:textId="77777777" w:rsidR="0086036C" w:rsidRDefault="0086036C" w:rsidP="00974051">
            <w:pPr>
              <w:pStyle w:val="Tablehead"/>
              <w:rPr>
                <w:lang w:val="en-US" w:eastAsia="en-GB"/>
              </w:rPr>
            </w:pPr>
            <w:r>
              <w:rPr>
                <w:lang w:val="en-US" w:eastAsia="en-GB"/>
              </w:rPr>
              <w:t>EB a HEO</w:t>
            </w:r>
          </w:p>
        </w:tc>
        <w:tc>
          <w:tcPr>
            <w:tcW w:w="1524" w:type="dxa"/>
            <w:tcBorders>
              <w:top w:val="single" w:sz="8" w:space="0" w:color="auto"/>
              <w:left w:val="nil"/>
              <w:bottom w:val="single" w:sz="8" w:space="0" w:color="auto"/>
              <w:right w:val="single" w:sz="8" w:space="0" w:color="auto"/>
            </w:tcBorders>
            <w:vAlign w:val="center"/>
            <w:hideMark/>
          </w:tcPr>
          <w:p w14:paraId="7EC93238" w14:textId="77777777" w:rsidR="0086036C" w:rsidRDefault="0086036C" w:rsidP="00974051">
            <w:pPr>
              <w:pStyle w:val="Tablehead"/>
              <w:rPr>
                <w:highlight w:val="yellow"/>
                <w:lang w:val="en-US" w:eastAsia="en-GB"/>
              </w:rPr>
            </w:pPr>
            <w:r>
              <w:rPr>
                <w:lang w:val="en-US" w:eastAsia="en-GB"/>
              </w:rPr>
              <w:t>EB a MEO</w:t>
            </w:r>
          </w:p>
        </w:tc>
        <w:tc>
          <w:tcPr>
            <w:tcW w:w="0" w:type="auto"/>
            <w:tcBorders>
              <w:top w:val="single" w:sz="8" w:space="0" w:color="auto"/>
              <w:left w:val="nil"/>
              <w:bottom w:val="single" w:sz="8" w:space="0" w:color="auto"/>
              <w:right w:val="single" w:sz="8" w:space="0" w:color="auto"/>
            </w:tcBorders>
            <w:vAlign w:val="center"/>
            <w:hideMark/>
          </w:tcPr>
          <w:p w14:paraId="07988AA7" w14:textId="77777777" w:rsidR="0086036C" w:rsidRDefault="0086036C" w:rsidP="00974051">
            <w:pPr>
              <w:pStyle w:val="Tablehead"/>
              <w:rPr>
                <w:lang w:val="en-US" w:eastAsia="en-GB"/>
              </w:rPr>
            </w:pPr>
            <w:r>
              <w:rPr>
                <w:lang w:val="en-US" w:eastAsia="en-GB"/>
              </w:rPr>
              <w:t>Unidades</w:t>
            </w:r>
          </w:p>
        </w:tc>
      </w:tr>
      <w:tr w:rsidR="0086036C" w14:paraId="3E4E2065"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1E03325B" w14:textId="77777777" w:rsidR="0086036C" w:rsidRDefault="0086036C" w:rsidP="00974051">
            <w:pPr>
              <w:pStyle w:val="Tabletext"/>
              <w:rPr>
                <w:lang w:val="en-US" w:eastAsia="en-GB"/>
              </w:rPr>
            </w:pPr>
            <w:r>
              <w:rPr>
                <w:lang w:val="en-US" w:eastAsia="zh-CN"/>
              </w:rPr>
              <w:t>Frecuencia central</w:t>
            </w:r>
          </w:p>
        </w:tc>
        <w:tc>
          <w:tcPr>
            <w:tcW w:w="1560" w:type="dxa"/>
            <w:tcBorders>
              <w:top w:val="nil"/>
              <w:left w:val="nil"/>
              <w:bottom w:val="single" w:sz="8" w:space="0" w:color="auto"/>
              <w:right w:val="single" w:sz="8" w:space="0" w:color="auto"/>
            </w:tcBorders>
            <w:vAlign w:val="center"/>
            <w:hideMark/>
          </w:tcPr>
          <w:p w14:paraId="7BAF83AE" w14:textId="77777777" w:rsidR="0086036C" w:rsidRDefault="0086036C" w:rsidP="00974051">
            <w:pPr>
              <w:pStyle w:val="Tabletext"/>
              <w:jc w:val="center"/>
              <w:rPr>
                <w:lang w:val="en-US" w:eastAsia="en-GB"/>
              </w:rPr>
            </w:pPr>
            <w:r>
              <w:rPr>
                <w:lang w:val="en-US" w:eastAsia="zh-CN"/>
              </w:rPr>
              <w:t>1 995</w:t>
            </w:r>
          </w:p>
        </w:tc>
        <w:tc>
          <w:tcPr>
            <w:tcW w:w="1559" w:type="dxa"/>
            <w:tcBorders>
              <w:top w:val="nil"/>
              <w:left w:val="nil"/>
              <w:bottom w:val="single" w:sz="8" w:space="0" w:color="auto"/>
              <w:right w:val="single" w:sz="8" w:space="0" w:color="auto"/>
            </w:tcBorders>
            <w:vAlign w:val="center"/>
            <w:hideMark/>
          </w:tcPr>
          <w:p w14:paraId="175BAB04" w14:textId="77777777" w:rsidR="0086036C" w:rsidRDefault="0086036C" w:rsidP="00974051">
            <w:pPr>
              <w:pStyle w:val="Tabletext"/>
              <w:jc w:val="center"/>
              <w:rPr>
                <w:lang w:val="en-US" w:eastAsia="en-GB"/>
              </w:rPr>
            </w:pPr>
            <w:r>
              <w:rPr>
                <w:lang w:val="en-US" w:eastAsia="en-GB"/>
              </w:rPr>
              <w:t>1 995</w:t>
            </w:r>
          </w:p>
        </w:tc>
        <w:tc>
          <w:tcPr>
            <w:tcW w:w="1417" w:type="dxa"/>
            <w:tcBorders>
              <w:top w:val="nil"/>
              <w:left w:val="nil"/>
              <w:bottom w:val="single" w:sz="8" w:space="0" w:color="auto"/>
              <w:right w:val="single" w:sz="8" w:space="0" w:color="auto"/>
            </w:tcBorders>
            <w:vAlign w:val="center"/>
            <w:hideMark/>
          </w:tcPr>
          <w:p w14:paraId="32BC7539" w14:textId="36E3E649" w:rsidR="0086036C" w:rsidRDefault="0086036C" w:rsidP="00974051">
            <w:pPr>
              <w:pStyle w:val="Tabletext"/>
              <w:jc w:val="center"/>
              <w:rPr>
                <w:lang w:val="en-US" w:eastAsia="en-GB"/>
              </w:rPr>
            </w:pPr>
            <w:r>
              <w:rPr>
                <w:lang w:val="en-US"/>
              </w:rPr>
              <w:t>1</w:t>
            </w:r>
            <w:r w:rsidR="00974051">
              <w:rPr>
                <w:lang w:val="en-US"/>
              </w:rPr>
              <w:t> </w:t>
            </w:r>
            <w:r>
              <w:rPr>
                <w:lang w:val="en-US"/>
              </w:rPr>
              <w:t>995</w:t>
            </w:r>
          </w:p>
        </w:tc>
        <w:tc>
          <w:tcPr>
            <w:tcW w:w="1524" w:type="dxa"/>
            <w:tcBorders>
              <w:top w:val="nil"/>
              <w:left w:val="nil"/>
              <w:bottom w:val="single" w:sz="8" w:space="0" w:color="auto"/>
              <w:right w:val="single" w:sz="8" w:space="0" w:color="auto"/>
            </w:tcBorders>
            <w:vAlign w:val="center"/>
            <w:hideMark/>
          </w:tcPr>
          <w:p w14:paraId="02E9CB1A" w14:textId="1FA92457" w:rsidR="0086036C" w:rsidRDefault="0086036C" w:rsidP="00974051">
            <w:pPr>
              <w:pStyle w:val="Tabletext"/>
              <w:jc w:val="center"/>
              <w:rPr>
                <w:lang w:val="en-US" w:eastAsia="en-GB"/>
              </w:rPr>
            </w:pPr>
            <w:r>
              <w:rPr>
                <w:lang w:val="en-US" w:eastAsia="zh-CN"/>
              </w:rPr>
              <w:t>1</w:t>
            </w:r>
            <w:r w:rsidR="00974051">
              <w:rPr>
                <w:lang w:val="en-US" w:eastAsia="zh-CN"/>
              </w:rPr>
              <w:t> </w:t>
            </w:r>
            <w:r>
              <w:rPr>
                <w:lang w:val="en-US" w:eastAsia="zh-CN"/>
              </w:rPr>
              <w:t>995</w:t>
            </w:r>
          </w:p>
        </w:tc>
        <w:tc>
          <w:tcPr>
            <w:tcW w:w="0" w:type="auto"/>
            <w:tcBorders>
              <w:top w:val="nil"/>
              <w:left w:val="nil"/>
              <w:bottom w:val="single" w:sz="8" w:space="0" w:color="auto"/>
              <w:right w:val="single" w:sz="8" w:space="0" w:color="auto"/>
            </w:tcBorders>
            <w:vAlign w:val="center"/>
            <w:hideMark/>
          </w:tcPr>
          <w:p w14:paraId="5E214B2F" w14:textId="77777777" w:rsidR="0086036C" w:rsidRDefault="0086036C" w:rsidP="00974051">
            <w:pPr>
              <w:pStyle w:val="Tabletext"/>
              <w:jc w:val="center"/>
              <w:rPr>
                <w:lang w:val="en-US" w:eastAsia="en-GB"/>
              </w:rPr>
            </w:pPr>
            <w:r>
              <w:rPr>
                <w:lang w:val="en-US" w:eastAsia="zh-CN"/>
              </w:rPr>
              <w:t>MHz</w:t>
            </w:r>
          </w:p>
        </w:tc>
      </w:tr>
      <w:tr w:rsidR="0086036C" w14:paraId="547005A2"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563D96C3" w14:textId="77777777" w:rsidR="0086036C" w:rsidRPr="00960AA7" w:rsidRDefault="0086036C" w:rsidP="00974051">
            <w:pPr>
              <w:pStyle w:val="Tabletext"/>
              <w:rPr>
                <w:lang w:val="es-ES" w:eastAsia="en-GB"/>
              </w:rPr>
            </w:pPr>
            <w:r w:rsidRPr="00960AA7">
              <w:rPr>
                <w:lang w:val="es-ES" w:eastAsia="zh-CN"/>
              </w:rPr>
              <w:t>Distanc</w:t>
            </w:r>
            <w:r>
              <w:rPr>
                <w:lang w:val="es-ES" w:eastAsia="zh-CN"/>
              </w:rPr>
              <w:t>ia entre el satélite y</w:t>
            </w:r>
            <w:r w:rsidRPr="00960AA7">
              <w:rPr>
                <w:lang w:val="es-ES" w:eastAsia="zh-CN"/>
              </w:rPr>
              <w:t xml:space="preserve"> la EB</w:t>
            </w:r>
          </w:p>
        </w:tc>
        <w:tc>
          <w:tcPr>
            <w:tcW w:w="1560" w:type="dxa"/>
            <w:tcBorders>
              <w:top w:val="nil"/>
              <w:left w:val="nil"/>
              <w:bottom w:val="single" w:sz="8" w:space="0" w:color="auto"/>
              <w:right w:val="single" w:sz="8" w:space="0" w:color="auto"/>
            </w:tcBorders>
            <w:vAlign w:val="center"/>
            <w:hideMark/>
          </w:tcPr>
          <w:p w14:paraId="13CD890A" w14:textId="77777777" w:rsidR="0086036C" w:rsidRDefault="0086036C" w:rsidP="00974051">
            <w:pPr>
              <w:pStyle w:val="Tabletext"/>
              <w:jc w:val="center"/>
              <w:rPr>
                <w:lang w:val="en-US" w:eastAsia="en-GB"/>
              </w:rPr>
            </w:pPr>
            <w:r>
              <w:rPr>
                <w:lang w:val="en-US" w:eastAsia="zh-CN"/>
              </w:rPr>
              <w:t>41 402</w:t>
            </w:r>
          </w:p>
        </w:tc>
        <w:tc>
          <w:tcPr>
            <w:tcW w:w="1559" w:type="dxa"/>
            <w:tcBorders>
              <w:top w:val="nil"/>
              <w:left w:val="nil"/>
              <w:bottom w:val="single" w:sz="8" w:space="0" w:color="auto"/>
              <w:right w:val="single" w:sz="8" w:space="0" w:color="auto"/>
            </w:tcBorders>
            <w:vAlign w:val="center"/>
            <w:hideMark/>
          </w:tcPr>
          <w:p w14:paraId="4F0F0213" w14:textId="77777777" w:rsidR="0086036C" w:rsidRDefault="0086036C" w:rsidP="00974051">
            <w:pPr>
              <w:pStyle w:val="Tabletext"/>
              <w:jc w:val="center"/>
              <w:rPr>
                <w:lang w:val="en-US" w:eastAsia="en-GB"/>
              </w:rPr>
            </w:pPr>
            <w:r>
              <w:rPr>
                <w:lang w:val="en-US" w:eastAsia="en-GB"/>
              </w:rPr>
              <w:t>2 430</w:t>
            </w:r>
          </w:p>
        </w:tc>
        <w:tc>
          <w:tcPr>
            <w:tcW w:w="1417" w:type="dxa"/>
            <w:tcBorders>
              <w:top w:val="nil"/>
              <w:left w:val="nil"/>
              <w:bottom w:val="single" w:sz="8" w:space="0" w:color="auto"/>
              <w:right w:val="single" w:sz="8" w:space="0" w:color="auto"/>
            </w:tcBorders>
            <w:vAlign w:val="center"/>
            <w:hideMark/>
          </w:tcPr>
          <w:p w14:paraId="0DCF6AA6" w14:textId="376C6712" w:rsidR="0086036C" w:rsidRDefault="0086036C" w:rsidP="00974051">
            <w:pPr>
              <w:pStyle w:val="Tabletext"/>
              <w:jc w:val="center"/>
              <w:rPr>
                <w:lang w:val="en-US" w:eastAsia="en-GB"/>
              </w:rPr>
            </w:pPr>
            <w:r>
              <w:rPr>
                <w:lang w:val="en-US"/>
              </w:rPr>
              <w:t>51</w:t>
            </w:r>
            <w:r w:rsidR="00974051">
              <w:rPr>
                <w:lang w:val="en-US"/>
              </w:rPr>
              <w:t> </w:t>
            </w:r>
            <w:r>
              <w:rPr>
                <w:lang w:val="en-US"/>
              </w:rPr>
              <w:t>500</w:t>
            </w:r>
          </w:p>
        </w:tc>
        <w:tc>
          <w:tcPr>
            <w:tcW w:w="1524" w:type="dxa"/>
            <w:tcBorders>
              <w:top w:val="nil"/>
              <w:left w:val="nil"/>
              <w:bottom w:val="single" w:sz="8" w:space="0" w:color="auto"/>
              <w:right w:val="single" w:sz="8" w:space="0" w:color="auto"/>
            </w:tcBorders>
            <w:vAlign w:val="center"/>
            <w:hideMark/>
          </w:tcPr>
          <w:p w14:paraId="693B0A50" w14:textId="54BADC7A" w:rsidR="0086036C" w:rsidRDefault="0086036C" w:rsidP="00974051">
            <w:pPr>
              <w:pStyle w:val="Tabletext"/>
              <w:jc w:val="center"/>
              <w:rPr>
                <w:lang w:val="en-US" w:eastAsia="en-GB"/>
              </w:rPr>
            </w:pPr>
            <w:r>
              <w:rPr>
                <w:lang w:val="en-US" w:eastAsia="zh-CN"/>
              </w:rPr>
              <w:t>13</w:t>
            </w:r>
            <w:r w:rsidR="00974051">
              <w:rPr>
                <w:lang w:val="en-US" w:eastAsia="zh-CN"/>
              </w:rPr>
              <w:t> </w:t>
            </w:r>
            <w:r>
              <w:rPr>
                <w:lang w:val="en-US" w:eastAsia="zh-CN"/>
              </w:rPr>
              <w:t>912</w:t>
            </w:r>
          </w:p>
        </w:tc>
        <w:tc>
          <w:tcPr>
            <w:tcW w:w="0" w:type="auto"/>
            <w:tcBorders>
              <w:top w:val="nil"/>
              <w:left w:val="nil"/>
              <w:bottom w:val="single" w:sz="8" w:space="0" w:color="auto"/>
              <w:right w:val="single" w:sz="8" w:space="0" w:color="auto"/>
            </w:tcBorders>
            <w:vAlign w:val="center"/>
            <w:hideMark/>
          </w:tcPr>
          <w:p w14:paraId="19079F1E" w14:textId="77777777" w:rsidR="0086036C" w:rsidRDefault="0086036C" w:rsidP="00974051">
            <w:pPr>
              <w:pStyle w:val="Tabletext"/>
              <w:jc w:val="center"/>
              <w:rPr>
                <w:lang w:val="en-US" w:eastAsia="en-GB"/>
              </w:rPr>
            </w:pPr>
            <w:r>
              <w:rPr>
                <w:lang w:val="en-US" w:eastAsia="zh-CN"/>
              </w:rPr>
              <w:t>km</w:t>
            </w:r>
          </w:p>
        </w:tc>
      </w:tr>
      <w:tr w:rsidR="0086036C" w14:paraId="04218299"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6894F97B" w14:textId="77777777" w:rsidR="0086036C" w:rsidRPr="00960AA7" w:rsidRDefault="0086036C" w:rsidP="00974051">
            <w:pPr>
              <w:pStyle w:val="Tabletext"/>
              <w:rPr>
                <w:lang w:val="es-ES" w:eastAsia="en-GB"/>
              </w:rPr>
            </w:pPr>
            <w:r w:rsidRPr="00960AA7">
              <w:rPr>
                <w:lang w:val="es-ES" w:eastAsia="zh-CN"/>
              </w:rPr>
              <w:t>Ángulo de elevación (</w:t>
            </w:r>
            <w:r>
              <w:rPr>
                <w:lang w:val="es-ES" w:eastAsia="zh-CN"/>
              </w:rPr>
              <w:t>desde la EB al satélite</w:t>
            </w:r>
            <w:r w:rsidRPr="00960AA7">
              <w:rPr>
                <w:lang w:val="es-ES" w:eastAsia="zh-CN"/>
              </w:rPr>
              <w:t>)</w:t>
            </w:r>
          </w:p>
        </w:tc>
        <w:tc>
          <w:tcPr>
            <w:tcW w:w="1560" w:type="dxa"/>
            <w:tcBorders>
              <w:top w:val="nil"/>
              <w:left w:val="nil"/>
              <w:bottom w:val="single" w:sz="8" w:space="0" w:color="auto"/>
              <w:right w:val="single" w:sz="8" w:space="0" w:color="auto"/>
            </w:tcBorders>
            <w:vAlign w:val="center"/>
            <w:hideMark/>
          </w:tcPr>
          <w:p w14:paraId="3633D786" w14:textId="77777777" w:rsidR="0086036C" w:rsidRDefault="0086036C" w:rsidP="00974051">
            <w:pPr>
              <w:pStyle w:val="Tabletext"/>
              <w:jc w:val="center"/>
              <w:rPr>
                <w:lang w:val="en-US" w:eastAsia="en-GB"/>
              </w:rPr>
            </w:pPr>
            <w:r>
              <w:rPr>
                <w:lang w:val="en-US" w:eastAsia="zh-CN"/>
              </w:rPr>
              <w:t>2,5</w:t>
            </w:r>
          </w:p>
        </w:tc>
        <w:tc>
          <w:tcPr>
            <w:tcW w:w="1559" w:type="dxa"/>
            <w:tcBorders>
              <w:top w:val="nil"/>
              <w:left w:val="nil"/>
              <w:bottom w:val="single" w:sz="8" w:space="0" w:color="auto"/>
              <w:right w:val="single" w:sz="8" w:space="0" w:color="auto"/>
            </w:tcBorders>
            <w:vAlign w:val="center"/>
            <w:hideMark/>
          </w:tcPr>
          <w:p w14:paraId="7DE00279" w14:textId="77777777" w:rsidR="0086036C" w:rsidRDefault="0086036C" w:rsidP="00974051">
            <w:pPr>
              <w:pStyle w:val="Tabletext"/>
              <w:jc w:val="center"/>
              <w:rPr>
                <w:lang w:val="en-US" w:eastAsia="en-GB"/>
              </w:rPr>
            </w:pPr>
            <w:r>
              <w:rPr>
                <w:lang w:val="en-US" w:eastAsia="en-GB"/>
              </w:rPr>
              <w:t>30</w:t>
            </w:r>
          </w:p>
        </w:tc>
        <w:tc>
          <w:tcPr>
            <w:tcW w:w="1417" w:type="dxa"/>
            <w:tcBorders>
              <w:top w:val="nil"/>
              <w:left w:val="nil"/>
              <w:bottom w:val="single" w:sz="8" w:space="0" w:color="auto"/>
              <w:right w:val="single" w:sz="8" w:space="0" w:color="auto"/>
            </w:tcBorders>
            <w:vAlign w:val="center"/>
            <w:hideMark/>
          </w:tcPr>
          <w:p w14:paraId="15CBD126" w14:textId="77777777" w:rsidR="0086036C" w:rsidRDefault="0086036C" w:rsidP="00974051">
            <w:pPr>
              <w:pStyle w:val="Tabletext"/>
              <w:jc w:val="center"/>
              <w:rPr>
                <w:lang w:val="en-US" w:eastAsia="en-GB"/>
              </w:rPr>
            </w:pPr>
            <w:r>
              <w:rPr>
                <w:lang w:val="en-US"/>
              </w:rPr>
              <w:t>5</w:t>
            </w:r>
          </w:p>
        </w:tc>
        <w:tc>
          <w:tcPr>
            <w:tcW w:w="1524" w:type="dxa"/>
            <w:tcBorders>
              <w:top w:val="nil"/>
              <w:left w:val="nil"/>
              <w:bottom w:val="single" w:sz="8" w:space="0" w:color="auto"/>
              <w:right w:val="single" w:sz="8" w:space="0" w:color="auto"/>
            </w:tcBorders>
            <w:vAlign w:val="center"/>
            <w:hideMark/>
          </w:tcPr>
          <w:p w14:paraId="47235594" w14:textId="3D22E74B" w:rsidR="0086036C" w:rsidRDefault="0086036C" w:rsidP="00974051">
            <w:pPr>
              <w:pStyle w:val="Tabletext"/>
              <w:jc w:val="center"/>
              <w:rPr>
                <w:lang w:val="en-US" w:eastAsia="en-GB"/>
              </w:rPr>
            </w:pPr>
            <w:r>
              <w:rPr>
                <w:lang w:val="en-US" w:eastAsia="zh-CN"/>
              </w:rPr>
              <w:t>15</w:t>
            </w:r>
          </w:p>
        </w:tc>
        <w:tc>
          <w:tcPr>
            <w:tcW w:w="0" w:type="auto"/>
            <w:tcBorders>
              <w:top w:val="nil"/>
              <w:left w:val="nil"/>
              <w:bottom w:val="single" w:sz="8" w:space="0" w:color="auto"/>
              <w:right w:val="single" w:sz="8" w:space="0" w:color="auto"/>
            </w:tcBorders>
            <w:vAlign w:val="center"/>
            <w:hideMark/>
          </w:tcPr>
          <w:p w14:paraId="3196E024" w14:textId="77777777" w:rsidR="0086036C" w:rsidRDefault="0086036C" w:rsidP="00974051">
            <w:pPr>
              <w:pStyle w:val="Tabletext"/>
              <w:jc w:val="center"/>
              <w:rPr>
                <w:lang w:val="en-US" w:eastAsia="en-GB"/>
              </w:rPr>
            </w:pPr>
            <w:r>
              <w:rPr>
                <w:lang w:val="en-US" w:eastAsia="zh-CN"/>
              </w:rPr>
              <w:t>grados</w:t>
            </w:r>
          </w:p>
        </w:tc>
      </w:tr>
      <w:tr w:rsidR="0086036C" w14:paraId="541766C0"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149BDFEE" w14:textId="77777777" w:rsidR="0086036C" w:rsidRPr="00960AA7" w:rsidRDefault="0086036C" w:rsidP="00974051">
            <w:pPr>
              <w:pStyle w:val="Tabletext"/>
              <w:rPr>
                <w:lang w:val="es-ES" w:eastAsia="en-GB"/>
              </w:rPr>
            </w:pPr>
            <w:r w:rsidRPr="00960AA7">
              <w:rPr>
                <w:lang w:val="es-ES" w:eastAsia="zh-CN"/>
              </w:rPr>
              <w:t>Pérdidas en el espacio libre</w:t>
            </w:r>
          </w:p>
        </w:tc>
        <w:tc>
          <w:tcPr>
            <w:tcW w:w="1560" w:type="dxa"/>
            <w:tcBorders>
              <w:top w:val="nil"/>
              <w:left w:val="nil"/>
              <w:bottom w:val="single" w:sz="8" w:space="0" w:color="auto"/>
              <w:right w:val="single" w:sz="8" w:space="0" w:color="auto"/>
            </w:tcBorders>
            <w:vAlign w:val="center"/>
            <w:hideMark/>
          </w:tcPr>
          <w:p w14:paraId="3AEA77B7" w14:textId="77777777" w:rsidR="0086036C" w:rsidRDefault="0086036C" w:rsidP="00974051">
            <w:pPr>
              <w:pStyle w:val="Tabletext"/>
              <w:jc w:val="center"/>
              <w:rPr>
                <w:lang w:val="en-US" w:eastAsia="en-GB"/>
              </w:rPr>
            </w:pPr>
            <w:r>
              <w:rPr>
                <w:lang w:val="en-US" w:eastAsia="zh-CN"/>
              </w:rPr>
              <w:t>190,8</w:t>
            </w:r>
          </w:p>
        </w:tc>
        <w:tc>
          <w:tcPr>
            <w:tcW w:w="1559" w:type="dxa"/>
            <w:tcBorders>
              <w:top w:val="nil"/>
              <w:left w:val="nil"/>
              <w:bottom w:val="single" w:sz="8" w:space="0" w:color="auto"/>
              <w:right w:val="single" w:sz="8" w:space="0" w:color="auto"/>
            </w:tcBorders>
            <w:vAlign w:val="center"/>
            <w:hideMark/>
          </w:tcPr>
          <w:p w14:paraId="4FFF818B" w14:textId="77777777" w:rsidR="0086036C" w:rsidRDefault="0086036C" w:rsidP="00974051">
            <w:pPr>
              <w:pStyle w:val="Tabletext"/>
              <w:jc w:val="center"/>
              <w:rPr>
                <w:lang w:val="en-US" w:eastAsia="en-GB"/>
              </w:rPr>
            </w:pPr>
            <w:r>
              <w:rPr>
                <w:lang w:val="en-US" w:eastAsia="en-GB"/>
              </w:rPr>
              <w:t>166,1</w:t>
            </w:r>
          </w:p>
        </w:tc>
        <w:tc>
          <w:tcPr>
            <w:tcW w:w="1417" w:type="dxa"/>
            <w:tcBorders>
              <w:top w:val="nil"/>
              <w:left w:val="nil"/>
              <w:bottom w:val="single" w:sz="8" w:space="0" w:color="auto"/>
              <w:right w:val="single" w:sz="8" w:space="0" w:color="auto"/>
            </w:tcBorders>
            <w:vAlign w:val="center"/>
            <w:hideMark/>
          </w:tcPr>
          <w:p w14:paraId="18199813" w14:textId="77777777" w:rsidR="0086036C" w:rsidRDefault="0086036C" w:rsidP="00974051">
            <w:pPr>
              <w:pStyle w:val="Tabletext"/>
              <w:jc w:val="center"/>
              <w:rPr>
                <w:lang w:val="en-US" w:eastAsia="en-GB"/>
              </w:rPr>
            </w:pPr>
            <w:r>
              <w:rPr>
                <w:lang w:val="en-US"/>
              </w:rPr>
              <w:t>192,7</w:t>
            </w:r>
          </w:p>
        </w:tc>
        <w:tc>
          <w:tcPr>
            <w:tcW w:w="1524" w:type="dxa"/>
            <w:tcBorders>
              <w:top w:val="nil"/>
              <w:left w:val="nil"/>
              <w:bottom w:val="single" w:sz="8" w:space="0" w:color="auto"/>
              <w:right w:val="single" w:sz="8" w:space="0" w:color="auto"/>
            </w:tcBorders>
            <w:vAlign w:val="center"/>
            <w:hideMark/>
          </w:tcPr>
          <w:p w14:paraId="28EBDDEE" w14:textId="7F0FEC94" w:rsidR="0086036C" w:rsidRDefault="0086036C" w:rsidP="00974051">
            <w:pPr>
              <w:pStyle w:val="Tabletext"/>
              <w:jc w:val="center"/>
              <w:rPr>
                <w:lang w:val="en-US" w:eastAsia="en-GB"/>
              </w:rPr>
            </w:pPr>
            <w:r>
              <w:rPr>
                <w:lang w:val="en-US" w:eastAsia="zh-CN"/>
              </w:rPr>
              <w:t>181,3</w:t>
            </w:r>
          </w:p>
        </w:tc>
        <w:tc>
          <w:tcPr>
            <w:tcW w:w="0" w:type="auto"/>
            <w:tcBorders>
              <w:top w:val="nil"/>
              <w:left w:val="nil"/>
              <w:bottom w:val="single" w:sz="8" w:space="0" w:color="auto"/>
              <w:right w:val="single" w:sz="8" w:space="0" w:color="auto"/>
            </w:tcBorders>
            <w:vAlign w:val="center"/>
            <w:hideMark/>
          </w:tcPr>
          <w:p w14:paraId="7BADC2CF" w14:textId="77777777" w:rsidR="0086036C" w:rsidRDefault="0086036C" w:rsidP="00974051">
            <w:pPr>
              <w:pStyle w:val="Tabletext"/>
              <w:jc w:val="center"/>
              <w:rPr>
                <w:lang w:val="en-US" w:eastAsia="en-GB"/>
              </w:rPr>
            </w:pPr>
            <w:r>
              <w:rPr>
                <w:lang w:val="en-US" w:eastAsia="zh-CN"/>
              </w:rPr>
              <w:t>dB</w:t>
            </w:r>
          </w:p>
        </w:tc>
      </w:tr>
      <w:tr w:rsidR="0086036C" w14:paraId="31B2AE77"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20CDAECA" w14:textId="77777777" w:rsidR="0086036C" w:rsidRPr="00960AA7" w:rsidRDefault="0086036C" w:rsidP="00974051">
            <w:pPr>
              <w:pStyle w:val="Tabletext"/>
              <w:rPr>
                <w:lang w:val="es-ES" w:eastAsia="en-GB"/>
              </w:rPr>
            </w:pPr>
            <w:r w:rsidRPr="00960AA7">
              <w:rPr>
                <w:lang w:val="es-ES" w:eastAsia="zh-CN"/>
              </w:rPr>
              <w:t>Temperatura de ruido del satélite</w:t>
            </w:r>
          </w:p>
        </w:tc>
        <w:tc>
          <w:tcPr>
            <w:tcW w:w="1560" w:type="dxa"/>
            <w:tcBorders>
              <w:top w:val="nil"/>
              <w:left w:val="nil"/>
              <w:bottom w:val="single" w:sz="8" w:space="0" w:color="auto"/>
              <w:right w:val="single" w:sz="8" w:space="0" w:color="auto"/>
            </w:tcBorders>
            <w:vAlign w:val="center"/>
            <w:hideMark/>
          </w:tcPr>
          <w:p w14:paraId="0DB74976" w14:textId="77777777" w:rsidR="0086036C" w:rsidRDefault="0086036C" w:rsidP="00974051">
            <w:pPr>
              <w:pStyle w:val="Tabletext"/>
              <w:jc w:val="center"/>
              <w:rPr>
                <w:lang w:val="en-US" w:eastAsia="en-GB"/>
              </w:rPr>
            </w:pPr>
            <w:r>
              <w:rPr>
                <w:lang w:val="en-US" w:eastAsia="zh-CN"/>
              </w:rPr>
              <w:t>27,6</w:t>
            </w:r>
          </w:p>
        </w:tc>
        <w:tc>
          <w:tcPr>
            <w:tcW w:w="1559" w:type="dxa"/>
            <w:tcBorders>
              <w:top w:val="nil"/>
              <w:left w:val="nil"/>
              <w:bottom w:val="single" w:sz="8" w:space="0" w:color="auto"/>
              <w:right w:val="single" w:sz="8" w:space="0" w:color="auto"/>
            </w:tcBorders>
            <w:vAlign w:val="center"/>
            <w:hideMark/>
          </w:tcPr>
          <w:p w14:paraId="4B89F1AF" w14:textId="77777777" w:rsidR="0086036C" w:rsidRDefault="0086036C" w:rsidP="00974051">
            <w:pPr>
              <w:pStyle w:val="Tabletext"/>
              <w:jc w:val="center"/>
              <w:rPr>
                <w:lang w:val="ru-RU" w:eastAsia="en-GB"/>
              </w:rPr>
            </w:pPr>
            <w:r>
              <w:rPr>
                <w:lang w:val="en-US" w:eastAsia="en-GB"/>
              </w:rPr>
              <w:t>29</w:t>
            </w:r>
          </w:p>
        </w:tc>
        <w:tc>
          <w:tcPr>
            <w:tcW w:w="1417" w:type="dxa"/>
            <w:tcBorders>
              <w:top w:val="nil"/>
              <w:left w:val="nil"/>
              <w:bottom w:val="single" w:sz="8" w:space="0" w:color="auto"/>
              <w:right w:val="single" w:sz="8" w:space="0" w:color="auto"/>
            </w:tcBorders>
            <w:vAlign w:val="center"/>
            <w:hideMark/>
          </w:tcPr>
          <w:p w14:paraId="06099ACC" w14:textId="77777777" w:rsidR="0086036C" w:rsidRDefault="0086036C" w:rsidP="00974051">
            <w:pPr>
              <w:pStyle w:val="Tabletext"/>
              <w:jc w:val="center"/>
              <w:rPr>
                <w:lang w:val="en-US" w:eastAsia="en-GB"/>
              </w:rPr>
            </w:pPr>
            <w:r>
              <w:rPr>
                <w:lang w:val="en-US"/>
              </w:rPr>
              <w:t>29,0</w:t>
            </w:r>
          </w:p>
        </w:tc>
        <w:tc>
          <w:tcPr>
            <w:tcW w:w="1524" w:type="dxa"/>
            <w:tcBorders>
              <w:top w:val="nil"/>
              <w:left w:val="nil"/>
              <w:bottom w:val="single" w:sz="8" w:space="0" w:color="auto"/>
              <w:right w:val="single" w:sz="8" w:space="0" w:color="auto"/>
            </w:tcBorders>
            <w:vAlign w:val="center"/>
            <w:hideMark/>
          </w:tcPr>
          <w:p w14:paraId="39843DE1" w14:textId="20F3DCC8" w:rsidR="0086036C" w:rsidRDefault="0086036C" w:rsidP="00974051">
            <w:pPr>
              <w:pStyle w:val="Tabletext"/>
              <w:jc w:val="center"/>
              <w:rPr>
                <w:lang w:val="en-US" w:eastAsia="en-GB"/>
              </w:rPr>
            </w:pPr>
            <w:r>
              <w:rPr>
                <w:lang w:val="en-US" w:eastAsia="zh-CN"/>
              </w:rPr>
              <w:t>26,0</w:t>
            </w:r>
          </w:p>
        </w:tc>
        <w:tc>
          <w:tcPr>
            <w:tcW w:w="0" w:type="auto"/>
            <w:tcBorders>
              <w:top w:val="nil"/>
              <w:left w:val="nil"/>
              <w:bottom w:val="single" w:sz="8" w:space="0" w:color="auto"/>
              <w:right w:val="single" w:sz="8" w:space="0" w:color="auto"/>
            </w:tcBorders>
            <w:vAlign w:val="center"/>
            <w:hideMark/>
          </w:tcPr>
          <w:p w14:paraId="2146BC4E" w14:textId="77777777" w:rsidR="0086036C" w:rsidRDefault="0086036C" w:rsidP="00974051">
            <w:pPr>
              <w:pStyle w:val="Tabletext"/>
              <w:jc w:val="center"/>
              <w:rPr>
                <w:lang w:val="en-US" w:eastAsia="en-GB"/>
              </w:rPr>
            </w:pPr>
            <w:r>
              <w:rPr>
                <w:lang w:val="en-US" w:eastAsia="zh-CN"/>
              </w:rPr>
              <w:t>dBK</w:t>
            </w:r>
          </w:p>
        </w:tc>
      </w:tr>
      <w:tr w:rsidR="0086036C" w14:paraId="02BFB7DC"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2EDBD290" w14:textId="77777777" w:rsidR="0086036C" w:rsidRPr="00960AA7" w:rsidRDefault="0086036C" w:rsidP="00974051">
            <w:pPr>
              <w:pStyle w:val="Tabletext"/>
              <w:rPr>
                <w:lang w:val="es-ES" w:eastAsia="en-GB"/>
              </w:rPr>
            </w:pPr>
            <w:r w:rsidRPr="00960AA7">
              <w:rPr>
                <w:lang w:val="es-ES" w:eastAsia="zh-CN"/>
              </w:rPr>
              <w:t>Umbral de protección (I/N)</w:t>
            </w:r>
          </w:p>
        </w:tc>
        <w:tc>
          <w:tcPr>
            <w:tcW w:w="1560" w:type="dxa"/>
            <w:tcBorders>
              <w:top w:val="nil"/>
              <w:left w:val="nil"/>
              <w:bottom w:val="single" w:sz="8" w:space="0" w:color="auto"/>
              <w:right w:val="single" w:sz="8" w:space="0" w:color="auto"/>
            </w:tcBorders>
            <w:vAlign w:val="center"/>
            <w:hideMark/>
          </w:tcPr>
          <w:p w14:paraId="4229B528" w14:textId="6BC8FD5C" w:rsidR="0086036C" w:rsidRDefault="00974051" w:rsidP="00974051">
            <w:pPr>
              <w:pStyle w:val="Tabletext"/>
              <w:jc w:val="center"/>
              <w:rPr>
                <w:lang w:val="en-US" w:eastAsia="en-GB"/>
              </w:rPr>
            </w:pPr>
            <w:r w:rsidRPr="00974051">
              <w:rPr>
                <w:lang w:val="en-US" w:eastAsia="zh-CN"/>
              </w:rPr>
              <w:t>–</w:t>
            </w:r>
            <w:r w:rsidR="0086036C">
              <w:rPr>
                <w:lang w:val="en-US" w:eastAsia="zh-CN"/>
              </w:rPr>
              <w:t>12,2</w:t>
            </w:r>
          </w:p>
        </w:tc>
        <w:tc>
          <w:tcPr>
            <w:tcW w:w="1559" w:type="dxa"/>
            <w:tcBorders>
              <w:top w:val="nil"/>
              <w:left w:val="nil"/>
              <w:bottom w:val="single" w:sz="8" w:space="0" w:color="auto"/>
              <w:right w:val="single" w:sz="8" w:space="0" w:color="auto"/>
            </w:tcBorders>
            <w:vAlign w:val="center"/>
            <w:hideMark/>
          </w:tcPr>
          <w:p w14:paraId="55178703" w14:textId="3605AD12" w:rsidR="0086036C" w:rsidRDefault="00974051" w:rsidP="00974051">
            <w:pPr>
              <w:pStyle w:val="Tabletext"/>
              <w:jc w:val="center"/>
              <w:rPr>
                <w:lang w:val="en-US" w:eastAsia="en-GB"/>
              </w:rPr>
            </w:pPr>
            <w:r w:rsidRPr="00974051">
              <w:rPr>
                <w:lang w:val="en-US" w:eastAsia="zh-CN"/>
              </w:rPr>
              <w:t>–</w:t>
            </w:r>
            <w:r w:rsidR="0086036C">
              <w:rPr>
                <w:lang w:val="en-US" w:eastAsia="en-GB"/>
              </w:rPr>
              <w:t>12</w:t>
            </w:r>
            <w:r w:rsidR="00840AC3">
              <w:rPr>
                <w:lang w:val="en-US" w:eastAsia="en-GB"/>
              </w:rPr>
              <w:t>,</w:t>
            </w:r>
            <w:r w:rsidR="0086036C">
              <w:rPr>
                <w:lang w:val="en-US" w:eastAsia="en-GB"/>
              </w:rPr>
              <w:t>2</w:t>
            </w:r>
          </w:p>
        </w:tc>
        <w:tc>
          <w:tcPr>
            <w:tcW w:w="1417" w:type="dxa"/>
            <w:tcBorders>
              <w:top w:val="nil"/>
              <w:left w:val="nil"/>
              <w:bottom w:val="single" w:sz="8" w:space="0" w:color="auto"/>
              <w:right w:val="single" w:sz="8" w:space="0" w:color="auto"/>
            </w:tcBorders>
            <w:vAlign w:val="center"/>
            <w:hideMark/>
          </w:tcPr>
          <w:p w14:paraId="02A362DF" w14:textId="25EC806F" w:rsidR="0086036C" w:rsidRDefault="00974051" w:rsidP="00974051">
            <w:pPr>
              <w:pStyle w:val="Tabletext"/>
              <w:jc w:val="center"/>
              <w:rPr>
                <w:lang w:val="en-US" w:eastAsia="en-GB"/>
              </w:rPr>
            </w:pPr>
            <w:r w:rsidRPr="00974051">
              <w:rPr>
                <w:lang w:val="en-US" w:eastAsia="zh-CN"/>
              </w:rPr>
              <w:t>–</w:t>
            </w:r>
            <w:r w:rsidR="0086036C">
              <w:rPr>
                <w:lang w:val="en-US"/>
              </w:rPr>
              <w:t>12</w:t>
            </w:r>
            <w:r w:rsidR="00840AC3">
              <w:rPr>
                <w:lang w:val="en-US"/>
              </w:rPr>
              <w:t>,</w:t>
            </w:r>
            <w:r w:rsidR="0086036C">
              <w:rPr>
                <w:lang w:val="en-US"/>
              </w:rPr>
              <w:t>2</w:t>
            </w:r>
          </w:p>
        </w:tc>
        <w:tc>
          <w:tcPr>
            <w:tcW w:w="1524" w:type="dxa"/>
            <w:tcBorders>
              <w:top w:val="nil"/>
              <w:left w:val="nil"/>
              <w:bottom w:val="single" w:sz="8" w:space="0" w:color="auto"/>
              <w:right w:val="single" w:sz="8" w:space="0" w:color="auto"/>
            </w:tcBorders>
            <w:vAlign w:val="center"/>
            <w:hideMark/>
          </w:tcPr>
          <w:p w14:paraId="5114C440" w14:textId="696FB1AC" w:rsidR="0086036C" w:rsidRDefault="00974051" w:rsidP="00974051">
            <w:pPr>
              <w:pStyle w:val="Tabletext"/>
              <w:jc w:val="center"/>
              <w:rPr>
                <w:lang w:val="en-US" w:eastAsia="en-GB"/>
              </w:rPr>
            </w:pPr>
            <w:r w:rsidRPr="00974051">
              <w:rPr>
                <w:lang w:val="en-US" w:eastAsia="zh-CN"/>
              </w:rPr>
              <w:t>–</w:t>
            </w:r>
            <w:r w:rsidR="0086036C">
              <w:rPr>
                <w:lang w:val="en-US" w:eastAsia="en-GB"/>
              </w:rPr>
              <w:t>12</w:t>
            </w:r>
            <w:r w:rsidR="00840AC3">
              <w:rPr>
                <w:lang w:val="en-US" w:eastAsia="en-GB"/>
              </w:rPr>
              <w:t>,</w:t>
            </w:r>
            <w:r w:rsidR="0086036C">
              <w:rPr>
                <w:lang w:val="en-US" w:eastAsia="en-GB"/>
              </w:rPr>
              <w:t>2</w:t>
            </w:r>
          </w:p>
        </w:tc>
        <w:tc>
          <w:tcPr>
            <w:tcW w:w="0" w:type="auto"/>
            <w:tcBorders>
              <w:top w:val="nil"/>
              <w:left w:val="nil"/>
              <w:bottom w:val="single" w:sz="8" w:space="0" w:color="auto"/>
              <w:right w:val="single" w:sz="8" w:space="0" w:color="auto"/>
            </w:tcBorders>
            <w:vAlign w:val="center"/>
            <w:hideMark/>
          </w:tcPr>
          <w:p w14:paraId="24B9B0C8" w14:textId="77777777" w:rsidR="0086036C" w:rsidRDefault="0086036C" w:rsidP="00974051">
            <w:pPr>
              <w:pStyle w:val="Tabletext"/>
              <w:jc w:val="center"/>
              <w:rPr>
                <w:lang w:val="en-US" w:eastAsia="en-GB"/>
              </w:rPr>
            </w:pPr>
            <w:r>
              <w:rPr>
                <w:lang w:val="en-US" w:eastAsia="zh-CN"/>
              </w:rPr>
              <w:t>dB</w:t>
            </w:r>
          </w:p>
        </w:tc>
      </w:tr>
      <w:tr w:rsidR="0086036C" w14:paraId="2AACFE3B"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0FFD262D" w14:textId="77777777" w:rsidR="0086036C" w:rsidRPr="001A3919" w:rsidRDefault="0086036C" w:rsidP="00974051">
            <w:pPr>
              <w:pStyle w:val="Tabletext"/>
              <w:rPr>
                <w:lang w:val="es-ES" w:eastAsia="en-GB"/>
              </w:rPr>
            </w:pPr>
            <w:r w:rsidRPr="001A3919">
              <w:rPr>
                <w:lang w:val="es-ES" w:eastAsia="zh-CN"/>
              </w:rPr>
              <w:t>Densidad espectral de potencia de interferencia admisible</w:t>
            </w:r>
          </w:p>
        </w:tc>
        <w:tc>
          <w:tcPr>
            <w:tcW w:w="1560" w:type="dxa"/>
            <w:tcBorders>
              <w:top w:val="nil"/>
              <w:left w:val="nil"/>
              <w:bottom w:val="single" w:sz="8" w:space="0" w:color="auto"/>
              <w:right w:val="single" w:sz="8" w:space="0" w:color="auto"/>
            </w:tcBorders>
            <w:vAlign w:val="center"/>
            <w:hideMark/>
          </w:tcPr>
          <w:p w14:paraId="7DAE491D" w14:textId="585CD0A5" w:rsidR="0086036C" w:rsidRDefault="00974051" w:rsidP="00974051">
            <w:pPr>
              <w:pStyle w:val="Tabletext"/>
              <w:jc w:val="center"/>
              <w:rPr>
                <w:lang w:val="en-US" w:eastAsia="en-GB"/>
              </w:rPr>
            </w:pPr>
            <w:r w:rsidRPr="00974051">
              <w:rPr>
                <w:lang w:val="en-US" w:eastAsia="zh-CN"/>
              </w:rPr>
              <w:t>–</w:t>
            </w:r>
            <w:r w:rsidR="0086036C">
              <w:rPr>
                <w:lang w:val="en-US" w:eastAsia="zh-CN"/>
              </w:rPr>
              <w:t>183</w:t>
            </w:r>
            <w:r w:rsidR="00840AC3">
              <w:rPr>
                <w:lang w:val="en-US" w:eastAsia="zh-CN"/>
              </w:rPr>
              <w:t>,</w:t>
            </w:r>
            <w:r w:rsidR="0086036C">
              <w:rPr>
                <w:lang w:val="en-US" w:eastAsia="zh-CN"/>
              </w:rPr>
              <w:t>2</w:t>
            </w:r>
          </w:p>
        </w:tc>
        <w:tc>
          <w:tcPr>
            <w:tcW w:w="1559" w:type="dxa"/>
            <w:tcBorders>
              <w:top w:val="nil"/>
              <w:left w:val="nil"/>
              <w:bottom w:val="single" w:sz="8" w:space="0" w:color="auto"/>
              <w:right w:val="single" w:sz="8" w:space="0" w:color="auto"/>
            </w:tcBorders>
            <w:vAlign w:val="center"/>
            <w:hideMark/>
          </w:tcPr>
          <w:p w14:paraId="2237DA4B" w14:textId="2DFCB35B" w:rsidR="0086036C" w:rsidRDefault="00974051" w:rsidP="00974051">
            <w:pPr>
              <w:pStyle w:val="Tabletext"/>
              <w:jc w:val="center"/>
              <w:rPr>
                <w:lang w:val="en-US" w:eastAsia="en-GB"/>
              </w:rPr>
            </w:pPr>
            <w:r w:rsidRPr="00974051">
              <w:rPr>
                <w:lang w:val="en-US" w:eastAsia="zh-CN"/>
              </w:rPr>
              <w:t>–</w:t>
            </w:r>
            <w:r w:rsidR="0086036C">
              <w:rPr>
                <w:lang w:val="en-US" w:eastAsia="zh-CN"/>
              </w:rPr>
              <w:t>181,8</w:t>
            </w:r>
          </w:p>
        </w:tc>
        <w:tc>
          <w:tcPr>
            <w:tcW w:w="1417" w:type="dxa"/>
            <w:tcBorders>
              <w:top w:val="nil"/>
              <w:left w:val="nil"/>
              <w:bottom w:val="single" w:sz="8" w:space="0" w:color="auto"/>
              <w:right w:val="single" w:sz="8" w:space="0" w:color="auto"/>
            </w:tcBorders>
            <w:vAlign w:val="center"/>
            <w:hideMark/>
          </w:tcPr>
          <w:p w14:paraId="53BE335B" w14:textId="4B42BCE4" w:rsidR="0086036C" w:rsidRDefault="00974051" w:rsidP="00974051">
            <w:pPr>
              <w:pStyle w:val="Tabletext"/>
              <w:jc w:val="center"/>
              <w:rPr>
                <w:lang w:val="en-US" w:eastAsia="en-GB"/>
              </w:rPr>
            </w:pPr>
            <w:r w:rsidRPr="00974051">
              <w:rPr>
                <w:lang w:val="en-US" w:eastAsia="zh-CN"/>
              </w:rPr>
              <w:t>–</w:t>
            </w:r>
            <w:r w:rsidR="0086036C">
              <w:rPr>
                <w:lang w:val="en-US"/>
              </w:rPr>
              <w:t>181,8</w:t>
            </w:r>
          </w:p>
        </w:tc>
        <w:tc>
          <w:tcPr>
            <w:tcW w:w="1524" w:type="dxa"/>
            <w:tcBorders>
              <w:top w:val="nil"/>
              <w:left w:val="nil"/>
              <w:bottom w:val="single" w:sz="8" w:space="0" w:color="auto"/>
              <w:right w:val="single" w:sz="8" w:space="0" w:color="auto"/>
            </w:tcBorders>
            <w:vAlign w:val="center"/>
            <w:hideMark/>
          </w:tcPr>
          <w:p w14:paraId="42C5082B" w14:textId="1301CC32" w:rsidR="0086036C" w:rsidRDefault="00974051" w:rsidP="00974051">
            <w:pPr>
              <w:pStyle w:val="Tabletext"/>
              <w:jc w:val="center"/>
              <w:rPr>
                <w:lang w:val="en-US" w:eastAsia="en-GB"/>
              </w:rPr>
            </w:pPr>
            <w:r w:rsidRPr="00974051">
              <w:rPr>
                <w:lang w:val="en-US" w:eastAsia="zh-CN"/>
              </w:rPr>
              <w:t>–</w:t>
            </w:r>
            <w:r w:rsidR="0086036C">
              <w:rPr>
                <w:lang w:val="en-US" w:eastAsia="en-GB"/>
              </w:rPr>
              <w:t>184,8</w:t>
            </w:r>
          </w:p>
        </w:tc>
        <w:tc>
          <w:tcPr>
            <w:tcW w:w="0" w:type="auto"/>
            <w:tcBorders>
              <w:top w:val="nil"/>
              <w:left w:val="nil"/>
              <w:bottom w:val="single" w:sz="8" w:space="0" w:color="auto"/>
              <w:right w:val="single" w:sz="8" w:space="0" w:color="auto"/>
            </w:tcBorders>
            <w:vAlign w:val="center"/>
            <w:hideMark/>
          </w:tcPr>
          <w:p w14:paraId="1BD738DC" w14:textId="77777777" w:rsidR="0086036C" w:rsidRDefault="0086036C" w:rsidP="00974051">
            <w:pPr>
              <w:pStyle w:val="Tabletext"/>
              <w:jc w:val="center"/>
              <w:rPr>
                <w:lang w:val="en-US" w:eastAsia="en-GB"/>
              </w:rPr>
            </w:pPr>
            <w:r>
              <w:rPr>
                <w:lang w:val="en-US" w:eastAsia="zh-CN"/>
              </w:rPr>
              <w:t>dBm/Hz</w:t>
            </w:r>
          </w:p>
        </w:tc>
      </w:tr>
      <w:tr w:rsidR="0086036C" w14:paraId="0BF732F4"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49A1DAA6" w14:textId="77777777" w:rsidR="0086036C" w:rsidRPr="00960AA7" w:rsidRDefault="0086036C" w:rsidP="00974051">
            <w:pPr>
              <w:pStyle w:val="Tabletext"/>
              <w:rPr>
                <w:lang w:val="es-ES" w:eastAsia="en-GB"/>
              </w:rPr>
            </w:pPr>
            <w:r w:rsidRPr="00960AA7">
              <w:rPr>
                <w:lang w:val="es-ES" w:eastAsia="zh-CN"/>
              </w:rPr>
              <w:t xml:space="preserve">Ganancia máxima de la </w:t>
            </w:r>
            <w:r>
              <w:rPr>
                <w:lang w:val="es-ES" w:eastAsia="zh-CN"/>
              </w:rPr>
              <w:t>ante</w:t>
            </w:r>
            <w:r w:rsidRPr="00960AA7">
              <w:rPr>
                <w:lang w:val="es-ES" w:eastAsia="zh-CN"/>
              </w:rPr>
              <w:t>na del satélite</w:t>
            </w:r>
          </w:p>
        </w:tc>
        <w:tc>
          <w:tcPr>
            <w:tcW w:w="1560" w:type="dxa"/>
            <w:tcBorders>
              <w:top w:val="nil"/>
              <w:left w:val="nil"/>
              <w:bottom w:val="single" w:sz="8" w:space="0" w:color="auto"/>
              <w:right w:val="single" w:sz="8" w:space="0" w:color="auto"/>
            </w:tcBorders>
            <w:vAlign w:val="center"/>
            <w:hideMark/>
          </w:tcPr>
          <w:p w14:paraId="614DFB81" w14:textId="77777777" w:rsidR="0086036C" w:rsidRDefault="0086036C" w:rsidP="00974051">
            <w:pPr>
              <w:pStyle w:val="Tabletext"/>
              <w:jc w:val="center"/>
              <w:rPr>
                <w:lang w:val="en-US" w:eastAsia="en-GB"/>
              </w:rPr>
            </w:pPr>
            <w:r>
              <w:rPr>
                <w:lang w:val="en-US" w:eastAsia="zh-CN"/>
              </w:rPr>
              <w:t>50,6</w:t>
            </w:r>
          </w:p>
        </w:tc>
        <w:tc>
          <w:tcPr>
            <w:tcW w:w="1559" w:type="dxa"/>
            <w:tcBorders>
              <w:top w:val="nil"/>
              <w:left w:val="nil"/>
              <w:bottom w:val="single" w:sz="8" w:space="0" w:color="auto"/>
              <w:right w:val="single" w:sz="8" w:space="0" w:color="auto"/>
            </w:tcBorders>
            <w:vAlign w:val="center"/>
            <w:hideMark/>
          </w:tcPr>
          <w:p w14:paraId="07B65E9B" w14:textId="77777777" w:rsidR="0086036C" w:rsidRDefault="0086036C" w:rsidP="00974051">
            <w:pPr>
              <w:pStyle w:val="Tabletext"/>
              <w:jc w:val="center"/>
              <w:rPr>
                <w:lang w:val="ru-RU" w:eastAsia="en-GB"/>
              </w:rPr>
            </w:pPr>
            <w:r>
              <w:rPr>
                <w:lang w:val="en-US" w:eastAsia="en-GB"/>
              </w:rPr>
              <w:t>23</w:t>
            </w:r>
          </w:p>
        </w:tc>
        <w:tc>
          <w:tcPr>
            <w:tcW w:w="1417" w:type="dxa"/>
            <w:tcBorders>
              <w:top w:val="nil"/>
              <w:left w:val="nil"/>
              <w:bottom w:val="single" w:sz="8" w:space="0" w:color="auto"/>
              <w:right w:val="single" w:sz="8" w:space="0" w:color="auto"/>
            </w:tcBorders>
            <w:vAlign w:val="center"/>
            <w:hideMark/>
          </w:tcPr>
          <w:p w14:paraId="7A581282" w14:textId="77777777" w:rsidR="0086036C" w:rsidRDefault="0086036C" w:rsidP="00974051">
            <w:pPr>
              <w:pStyle w:val="Tabletext"/>
              <w:jc w:val="center"/>
              <w:rPr>
                <w:lang w:val="en-US" w:eastAsia="en-GB"/>
              </w:rPr>
            </w:pPr>
            <w:r>
              <w:rPr>
                <w:lang w:val="en-US"/>
              </w:rPr>
              <w:t>44,8</w:t>
            </w:r>
          </w:p>
        </w:tc>
        <w:tc>
          <w:tcPr>
            <w:tcW w:w="1524" w:type="dxa"/>
            <w:tcBorders>
              <w:top w:val="nil"/>
              <w:left w:val="nil"/>
              <w:bottom w:val="single" w:sz="8" w:space="0" w:color="auto"/>
              <w:right w:val="single" w:sz="8" w:space="0" w:color="auto"/>
            </w:tcBorders>
            <w:vAlign w:val="center"/>
            <w:hideMark/>
          </w:tcPr>
          <w:p w14:paraId="1FCAF9E4" w14:textId="2AF1D3A6" w:rsidR="0086036C" w:rsidRDefault="0086036C" w:rsidP="00974051">
            <w:pPr>
              <w:pStyle w:val="Tabletext"/>
              <w:jc w:val="center"/>
              <w:rPr>
                <w:lang w:val="en-US" w:eastAsia="en-GB"/>
              </w:rPr>
            </w:pPr>
            <w:r>
              <w:rPr>
                <w:lang w:val="en-US" w:eastAsia="en-GB"/>
              </w:rPr>
              <w:t>30</w:t>
            </w:r>
          </w:p>
        </w:tc>
        <w:tc>
          <w:tcPr>
            <w:tcW w:w="0" w:type="auto"/>
            <w:tcBorders>
              <w:top w:val="nil"/>
              <w:left w:val="nil"/>
              <w:bottom w:val="single" w:sz="8" w:space="0" w:color="auto"/>
              <w:right w:val="single" w:sz="8" w:space="0" w:color="auto"/>
            </w:tcBorders>
            <w:vAlign w:val="center"/>
            <w:hideMark/>
          </w:tcPr>
          <w:p w14:paraId="48E172A0" w14:textId="77777777" w:rsidR="0086036C" w:rsidRDefault="0086036C" w:rsidP="00974051">
            <w:pPr>
              <w:pStyle w:val="Tabletext"/>
              <w:jc w:val="center"/>
              <w:rPr>
                <w:lang w:val="en-US" w:eastAsia="en-GB"/>
              </w:rPr>
            </w:pPr>
            <w:r>
              <w:rPr>
                <w:lang w:val="en-US" w:eastAsia="zh-CN"/>
              </w:rPr>
              <w:t>dBi</w:t>
            </w:r>
          </w:p>
        </w:tc>
      </w:tr>
      <w:tr w:rsidR="0086036C" w14:paraId="036CC9F1"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256A716A" w14:textId="77777777" w:rsidR="0086036C" w:rsidRPr="00960AA7" w:rsidRDefault="0086036C" w:rsidP="00974051">
            <w:pPr>
              <w:pStyle w:val="Tabletext"/>
              <w:rPr>
                <w:lang w:val="es-ES" w:eastAsia="en-GB"/>
              </w:rPr>
            </w:pPr>
            <w:r w:rsidRPr="00960AA7">
              <w:rPr>
                <w:lang w:val="es-ES" w:eastAsia="zh-CN"/>
              </w:rPr>
              <w:t>Ganancia</w:t>
            </w:r>
            <w:r>
              <w:rPr>
                <w:lang w:val="es-ES" w:eastAsia="zh-CN"/>
              </w:rPr>
              <w:t xml:space="preserve"> </w:t>
            </w:r>
            <w:r w:rsidRPr="00960AA7">
              <w:rPr>
                <w:lang w:val="es-ES" w:eastAsia="zh-CN"/>
              </w:rPr>
              <w:t xml:space="preserve">de la </w:t>
            </w:r>
            <w:r>
              <w:rPr>
                <w:lang w:val="es-ES" w:eastAsia="zh-CN"/>
              </w:rPr>
              <w:t>ante</w:t>
            </w:r>
            <w:r w:rsidRPr="00960AA7">
              <w:rPr>
                <w:lang w:val="es-ES" w:eastAsia="zh-CN"/>
              </w:rPr>
              <w:t>na del satélite en la dirección de la EB</w:t>
            </w:r>
          </w:p>
        </w:tc>
        <w:tc>
          <w:tcPr>
            <w:tcW w:w="1560" w:type="dxa"/>
            <w:tcBorders>
              <w:top w:val="nil"/>
              <w:left w:val="nil"/>
              <w:bottom w:val="single" w:sz="8" w:space="0" w:color="auto"/>
              <w:right w:val="single" w:sz="8" w:space="0" w:color="auto"/>
            </w:tcBorders>
            <w:vAlign w:val="center"/>
            <w:hideMark/>
          </w:tcPr>
          <w:p w14:paraId="7F8DC0E0" w14:textId="77777777" w:rsidR="0086036C" w:rsidRDefault="0086036C" w:rsidP="00974051">
            <w:pPr>
              <w:pStyle w:val="Tabletext"/>
              <w:jc w:val="center"/>
              <w:rPr>
                <w:lang w:val="en-US" w:eastAsia="en-GB"/>
              </w:rPr>
            </w:pPr>
            <w:r>
              <w:rPr>
                <w:lang w:val="en-US" w:eastAsia="zh-CN"/>
              </w:rPr>
              <w:t>43,6</w:t>
            </w:r>
          </w:p>
        </w:tc>
        <w:tc>
          <w:tcPr>
            <w:tcW w:w="1559" w:type="dxa"/>
            <w:tcBorders>
              <w:top w:val="nil"/>
              <w:left w:val="nil"/>
              <w:bottom w:val="single" w:sz="8" w:space="0" w:color="auto"/>
              <w:right w:val="single" w:sz="8" w:space="0" w:color="auto"/>
            </w:tcBorders>
            <w:vAlign w:val="center"/>
            <w:hideMark/>
          </w:tcPr>
          <w:p w14:paraId="7C2D5B9D" w14:textId="77777777" w:rsidR="0086036C" w:rsidRDefault="0086036C" w:rsidP="00974051">
            <w:pPr>
              <w:pStyle w:val="Tabletext"/>
              <w:jc w:val="center"/>
              <w:rPr>
                <w:lang w:val="ru-RU" w:eastAsia="en-GB"/>
              </w:rPr>
            </w:pPr>
            <w:r>
              <w:rPr>
                <w:lang w:val="en-US" w:eastAsia="en-GB"/>
              </w:rPr>
              <w:t>21</w:t>
            </w:r>
          </w:p>
        </w:tc>
        <w:tc>
          <w:tcPr>
            <w:tcW w:w="1417" w:type="dxa"/>
            <w:tcBorders>
              <w:top w:val="nil"/>
              <w:left w:val="nil"/>
              <w:bottom w:val="single" w:sz="8" w:space="0" w:color="auto"/>
              <w:right w:val="single" w:sz="8" w:space="0" w:color="auto"/>
            </w:tcBorders>
            <w:vAlign w:val="center"/>
            <w:hideMark/>
          </w:tcPr>
          <w:p w14:paraId="73209B2E" w14:textId="77777777" w:rsidR="0086036C" w:rsidRDefault="0086036C" w:rsidP="00974051">
            <w:pPr>
              <w:pStyle w:val="Tabletext"/>
              <w:jc w:val="center"/>
              <w:rPr>
                <w:lang w:val="en-US" w:eastAsia="en-GB"/>
              </w:rPr>
            </w:pPr>
            <w:r>
              <w:rPr>
                <w:lang w:val="en-US"/>
              </w:rPr>
              <w:t>42,8</w:t>
            </w:r>
          </w:p>
        </w:tc>
        <w:tc>
          <w:tcPr>
            <w:tcW w:w="1524" w:type="dxa"/>
            <w:tcBorders>
              <w:top w:val="nil"/>
              <w:left w:val="nil"/>
              <w:bottom w:val="single" w:sz="8" w:space="0" w:color="auto"/>
              <w:right w:val="single" w:sz="8" w:space="0" w:color="auto"/>
            </w:tcBorders>
            <w:vAlign w:val="center"/>
            <w:hideMark/>
          </w:tcPr>
          <w:p w14:paraId="44EE2B5F" w14:textId="1A51596E" w:rsidR="0086036C" w:rsidRDefault="0086036C" w:rsidP="00974051">
            <w:pPr>
              <w:pStyle w:val="Tabletext"/>
              <w:jc w:val="center"/>
              <w:rPr>
                <w:lang w:val="en-US" w:eastAsia="en-GB"/>
              </w:rPr>
            </w:pPr>
            <w:r>
              <w:rPr>
                <w:lang w:val="en-US" w:eastAsia="en-GB"/>
              </w:rPr>
              <w:t>27</w:t>
            </w:r>
          </w:p>
        </w:tc>
        <w:tc>
          <w:tcPr>
            <w:tcW w:w="0" w:type="auto"/>
            <w:tcBorders>
              <w:top w:val="nil"/>
              <w:left w:val="nil"/>
              <w:bottom w:val="single" w:sz="8" w:space="0" w:color="auto"/>
              <w:right w:val="single" w:sz="8" w:space="0" w:color="auto"/>
            </w:tcBorders>
            <w:vAlign w:val="center"/>
            <w:hideMark/>
          </w:tcPr>
          <w:p w14:paraId="0002B881" w14:textId="77777777" w:rsidR="0086036C" w:rsidRDefault="0086036C" w:rsidP="00974051">
            <w:pPr>
              <w:pStyle w:val="Tabletext"/>
              <w:jc w:val="center"/>
              <w:rPr>
                <w:lang w:val="en-US" w:eastAsia="en-GB"/>
              </w:rPr>
            </w:pPr>
            <w:r>
              <w:rPr>
                <w:lang w:val="en-US" w:eastAsia="zh-CN"/>
              </w:rPr>
              <w:t>dBi</w:t>
            </w:r>
          </w:p>
        </w:tc>
      </w:tr>
      <w:tr w:rsidR="0086036C" w14:paraId="2D7809F4" w14:textId="77777777" w:rsidTr="00A81DBA">
        <w:trPr>
          <w:trHeight w:val="501"/>
          <w:jc w:val="center"/>
        </w:trPr>
        <w:tc>
          <w:tcPr>
            <w:tcW w:w="2825" w:type="dxa"/>
            <w:vMerge w:val="restart"/>
            <w:tcBorders>
              <w:top w:val="nil"/>
              <w:left w:val="single" w:sz="8" w:space="0" w:color="auto"/>
              <w:bottom w:val="single" w:sz="8" w:space="0" w:color="000000"/>
              <w:right w:val="single" w:sz="8" w:space="0" w:color="auto"/>
            </w:tcBorders>
            <w:vAlign w:val="center"/>
            <w:hideMark/>
          </w:tcPr>
          <w:p w14:paraId="7F8BC1F2" w14:textId="77777777" w:rsidR="0086036C" w:rsidRPr="00960AA7" w:rsidRDefault="0086036C" w:rsidP="00974051">
            <w:pPr>
              <w:pStyle w:val="Tabletext"/>
              <w:rPr>
                <w:lang w:val="es-ES" w:eastAsia="en-GB"/>
              </w:rPr>
            </w:pPr>
            <w:r w:rsidRPr="00960AA7">
              <w:rPr>
                <w:lang w:val="es-ES" w:eastAsia="zh-CN"/>
              </w:rPr>
              <w:t>Densidad espectral de potencia de transmisión del enlace ascendente (</w:t>
            </w:r>
            <w:r>
              <w:rPr>
                <w:lang w:val="es-ES" w:eastAsia="zh-CN"/>
              </w:rPr>
              <w:t>incluidas las</w:t>
            </w:r>
            <w:r w:rsidRPr="00960AA7">
              <w:rPr>
                <w:lang w:val="es-ES" w:eastAsia="zh-CN"/>
              </w:rPr>
              <w:t xml:space="preserve"> pérdidas del alimentador)</w:t>
            </w:r>
          </w:p>
        </w:tc>
        <w:tc>
          <w:tcPr>
            <w:tcW w:w="1560" w:type="dxa"/>
            <w:tcBorders>
              <w:top w:val="nil"/>
              <w:left w:val="nil"/>
              <w:bottom w:val="single" w:sz="8" w:space="0" w:color="auto"/>
              <w:right w:val="single" w:sz="8" w:space="0" w:color="auto"/>
            </w:tcBorders>
            <w:vAlign w:val="center"/>
            <w:hideMark/>
          </w:tcPr>
          <w:p w14:paraId="2F9C4CB6" w14:textId="734E2DFC" w:rsidR="0086036C" w:rsidRDefault="00974051" w:rsidP="00974051">
            <w:pPr>
              <w:pStyle w:val="Tabletext"/>
              <w:jc w:val="center"/>
              <w:rPr>
                <w:lang w:val="en-US" w:eastAsia="en-GB"/>
              </w:rPr>
            </w:pPr>
            <w:r w:rsidRPr="00974051">
              <w:rPr>
                <w:lang w:val="en-US" w:eastAsia="zh-CN"/>
              </w:rPr>
              <w:t>–</w:t>
            </w:r>
            <w:r w:rsidR="0086036C">
              <w:rPr>
                <w:lang w:val="en-US" w:eastAsia="zh-CN"/>
              </w:rPr>
              <w:t>27</w:t>
            </w:r>
          </w:p>
        </w:tc>
        <w:tc>
          <w:tcPr>
            <w:tcW w:w="1559" w:type="dxa"/>
            <w:tcBorders>
              <w:top w:val="nil"/>
              <w:left w:val="nil"/>
              <w:bottom w:val="single" w:sz="8" w:space="0" w:color="auto"/>
              <w:right w:val="single" w:sz="8" w:space="0" w:color="auto"/>
            </w:tcBorders>
            <w:vAlign w:val="center"/>
            <w:hideMark/>
          </w:tcPr>
          <w:p w14:paraId="1A379CF0" w14:textId="569CF54A" w:rsidR="0086036C" w:rsidRDefault="00974051" w:rsidP="00974051">
            <w:pPr>
              <w:pStyle w:val="Tabletext"/>
              <w:jc w:val="center"/>
              <w:rPr>
                <w:lang w:val="en-US" w:eastAsia="en-GB"/>
              </w:rPr>
            </w:pPr>
            <w:r w:rsidRPr="00974051">
              <w:rPr>
                <w:lang w:val="en-US" w:eastAsia="zh-CN"/>
              </w:rPr>
              <w:t>–</w:t>
            </w:r>
            <w:r w:rsidR="0086036C">
              <w:rPr>
                <w:lang w:val="en-US" w:eastAsia="zh-CN"/>
              </w:rPr>
              <w:t>27</w:t>
            </w:r>
          </w:p>
        </w:tc>
        <w:tc>
          <w:tcPr>
            <w:tcW w:w="1417" w:type="dxa"/>
            <w:tcBorders>
              <w:top w:val="nil"/>
              <w:left w:val="nil"/>
              <w:bottom w:val="single" w:sz="8" w:space="0" w:color="auto"/>
              <w:right w:val="single" w:sz="8" w:space="0" w:color="auto"/>
            </w:tcBorders>
            <w:vAlign w:val="center"/>
            <w:hideMark/>
          </w:tcPr>
          <w:p w14:paraId="628C6D37" w14:textId="156C28A6" w:rsidR="0086036C" w:rsidRDefault="00974051" w:rsidP="00974051">
            <w:pPr>
              <w:pStyle w:val="Tabletext"/>
              <w:jc w:val="center"/>
              <w:rPr>
                <w:lang w:val="en-US" w:eastAsia="en-GB"/>
              </w:rPr>
            </w:pPr>
            <w:r w:rsidRPr="00974051">
              <w:rPr>
                <w:lang w:val="en-US" w:eastAsia="zh-CN"/>
              </w:rPr>
              <w:t>–</w:t>
            </w:r>
            <w:r w:rsidR="0086036C">
              <w:rPr>
                <w:lang w:val="en-US" w:eastAsia="zh-CN"/>
              </w:rPr>
              <w:t>27</w:t>
            </w:r>
          </w:p>
        </w:tc>
        <w:tc>
          <w:tcPr>
            <w:tcW w:w="1524" w:type="dxa"/>
            <w:tcBorders>
              <w:top w:val="nil"/>
              <w:left w:val="nil"/>
              <w:bottom w:val="single" w:sz="8" w:space="0" w:color="auto"/>
              <w:right w:val="single" w:sz="8" w:space="0" w:color="auto"/>
            </w:tcBorders>
            <w:vAlign w:val="center"/>
            <w:hideMark/>
          </w:tcPr>
          <w:p w14:paraId="4046C281" w14:textId="486213B6" w:rsidR="0086036C" w:rsidRDefault="00974051" w:rsidP="00974051">
            <w:pPr>
              <w:pStyle w:val="Tabletext"/>
              <w:jc w:val="center"/>
              <w:rPr>
                <w:lang w:val="en-US" w:eastAsia="en-GB"/>
              </w:rPr>
            </w:pPr>
            <w:r w:rsidRPr="00974051">
              <w:rPr>
                <w:lang w:val="en-US" w:eastAsia="zh-CN"/>
              </w:rPr>
              <w:t>–</w:t>
            </w:r>
            <w:r w:rsidR="0086036C">
              <w:rPr>
                <w:lang w:val="en-US" w:eastAsia="zh-CN"/>
              </w:rPr>
              <w:t>27</w:t>
            </w:r>
          </w:p>
        </w:tc>
        <w:tc>
          <w:tcPr>
            <w:tcW w:w="0" w:type="auto"/>
            <w:vMerge w:val="restart"/>
            <w:tcBorders>
              <w:top w:val="nil"/>
              <w:left w:val="single" w:sz="8" w:space="0" w:color="auto"/>
              <w:bottom w:val="single" w:sz="8" w:space="0" w:color="000000"/>
              <w:right w:val="single" w:sz="8" w:space="0" w:color="auto"/>
            </w:tcBorders>
            <w:vAlign w:val="center"/>
            <w:hideMark/>
          </w:tcPr>
          <w:p w14:paraId="75A09B70" w14:textId="77777777" w:rsidR="0086036C" w:rsidRDefault="0086036C" w:rsidP="00974051">
            <w:pPr>
              <w:pStyle w:val="Tabletext"/>
              <w:jc w:val="center"/>
              <w:rPr>
                <w:lang w:val="en-US" w:eastAsia="en-GB"/>
              </w:rPr>
            </w:pPr>
            <w:r>
              <w:rPr>
                <w:lang w:val="en-US" w:eastAsia="zh-CN"/>
              </w:rPr>
              <w:t>dBm/Hz</w:t>
            </w:r>
          </w:p>
        </w:tc>
      </w:tr>
      <w:tr w:rsidR="0086036C" w14:paraId="68676F58" w14:textId="77777777" w:rsidTr="00A81DBA">
        <w:trPr>
          <w:trHeight w:val="501"/>
          <w:jc w:val="center"/>
        </w:trPr>
        <w:tc>
          <w:tcPr>
            <w:tcW w:w="0" w:type="auto"/>
            <w:vMerge/>
            <w:tcBorders>
              <w:top w:val="nil"/>
              <w:left w:val="single" w:sz="8" w:space="0" w:color="auto"/>
              <w:bottom w:val="single" w:sz="8" w:space="0" w:color="000000"/>
              <w:right w:val="single" w:sz="8" w:space="0" w:color="auto"/>
            </w:tcBorders>
            <w:vAlign w:val="center"/>
            <w:hideMark/>
          </w:tcPr>
          <w:p w14:paraId="7122AFA0" w14:textId="77777777" w:rsidR="0086036C" w:rsidRDefault="0086036C" w:rsidP="00974051">
            <w:pPr>
              <w:pStyle w:val="Tabletext"/>
              <w:rPr>
                <w:lang w:val="en-US" w:eastAsia="en-GB"/>
              </w:rPr>
            </w:pPr>
          </w:p>
        </w:tc>
        <w:tc>
          <w:tcPr>
            <w:tcW w:w="1560" w:type="dxa"/>
            <w:tcBorders>
              <w:top w:val="nil"/>
              <w:left w:val="nil"/>
              <w:bottom w:val="single" w:sz="8" w:space="0" w:color="auto"/>
              <w:right w:val="single" w:sz="8" w:space="0" w:color="auto"/>
            </w:tcBorders>
            <w:vAlign w:val="center"/>
            <w:hideMark/>
          </w:tcPr>
          <w:p w14:paraId="5AB89318" w14:textId="7CFFFAF5" w:rsidR="0086036C" w:rsidRDefault="0086036C" w:rsidP="00974051">
            <w:pPr>
              <w:pStyle w:val="Tabletext"/>
              <w:jc w:val="center"/>
              <w:rPr>
                <w:lang w:val="en-US" w:eastAsia="en-GB"/>
              </w:rPr>
            </w:pPr>
            <w:r>
              <w:rPr>
                <w:lang w:val="en-US" w:eastAsia="zh-CN"/>
              </w:rPr>
              <w:t>(43dBm/5MHz)</w:t>
            </w:r>
          </w:p>
        </w:tc>
        <w:tc>
          <w:tcPr>
            <w:tcW w:w="1559" w:type="dxa"/>
            <w:tcBorders>
              <w:top w:val="nil"/>
              <w:left w:val="nil"/>
              <w:bottom w:val="single" w:sz="8" w:space="0" w:color="auto"/>
              <w:right w:val="single" w:sz="8" w:space="0" w:color="auto"/>
            </w:tcBorders>
            <w:vAlign w:val="center"/>
            <w:hideMark/>
          </w:tcPr>
          <w:p w14:paraId="75EFF73A" w14:textId="77777777" w:rsidR="0086036C" w:rsidRDefault="0086036C" w:rsidP="00974051">
            <w:pPr>
              <w:pStyle w:val="Tabletext"/>
              <w:jc w:val="center"/>
              <w:rPr>
                <w:lang w:val="en-US" w:eastAsia="en-GB"/>
              </w:rPr>
            </w:pPr>
            <w:r>
              <w:rPr>
                <w:lang w:val="en-US" w:eastAsia="zh-CN"/>
              </w:rPr>
              <w:t>(43dBm/5MHz)</w:t>
            </w:r>
          </w:p>
        </w:tc>
        <w:tc>
          <w:tcPr>
            <w:tcW w:w="1417" w:type="dxa"/>
            <w:tcBorders>
              <w:top w:val="nil"/>
              <w:left w:val="nil"/>
              <w:bottom w:val="single" w:sz="8" w:space="0" w:color="auto"/>
              <w:right w:val="single" w:sz="8" w:space="0" w:color="auto"/>
            </w:tcBorders>
            <w:vAlign w:val="center"/>
            <w:hideMark/>
          </w:tcPr>
          <w:p w14:paraId="11EC6169" w14:textId="77777777" w:rsidR="0086036C" w:rsidRDefault="0086036C" w:rsidP="00974051">
            <w:pPr>
              <w:pStyle w:val="Tabletext"/>
              <w:jc w:val="center"/>
              <w:rPr>
                <w:lang w:val="en-US" w:eastAsia="en-GB"/>
              </w:rPr>
            </w:pPr>
            <w:r>
              <w:rPr>
                <w:lang w:val="en-US" w:eastAsia="zh-CN"/>
              </w:rPr>
              <w:t>(43dBm/5MHz)</w:t>
            </w:r>
          </w:p>
        </w:tc>
        <w:tc>
          <w:tcPr>
            <w:tcW w:w="1524" w:type="dxa"/>
            <w:tcBorders>
              <w:top w:val="nil"/>
              <w:left w:val="nil"/>
              <w:bottom w:val="single" w:sz="8" w:space="0" w:color="auto"/>
              <w:right w:val="single" w:sz="8" w:space="0" w:color="auto"/>
            </w:tcBorders>
            <w:vAlign w:val="center"/>
            <w:hideMark/>
          </w:tcPr>
          <w:p w14:paraId="3461BE01" w14:textId="69B8892F" w:rsidR="0086036C" w:rsidRDefault="0086036C" w:rsidP="00974051">
            <w:pPr>
              <w:pStyle w:val="Tabletext"/>
              <w:jc w:val="center"/>
              <w:rPr>
                <w:lang w:val="en-US" w:eastAsia="en-GB"/>
              </w:rPr>
            </w:pPr>
            <w:r>
              <w:rPr>
                <w:lang w:val="en-US" w:eastAsia="zh-CN"/>
              </w:rPr>
              <w:t>(43dBm/5MHz)</w:t>
            </w:r>
          </w:p>
        </w:tc>
        <w:tc>
          <w:tcPr>
            <w:tcW w:w="0" w:type="auto"/>
            <w:vMerge/>
            <w:tcBorders>
              <w:top w:val="nil"/>
              <w:left w:val="single" w:sz="8" w:space="0" w:color="auto"/>
              <w:bottom w:val="single" w:sz="8" w:space="0" w:color="000000"/>
              <w:right w:val="single" w:sz="8" w:space="0" w:color="auto"/>
            </w:tcBorders>
            <w:vAlign w:val="center"/>
            <w:hideMark/>
          </w:tcPr>
          <w:p w14:paraId="24C3036F" w14:textId="77777777" w:rsidR="0086036C" w:rsidRDefault="0086036C" w:rsidP="00974051">
            <w:pPr>
              <w:pStyle w:val="Tabletext"/>
              <w:jc w:val="center"/>
              <w:rPr>
                <w:lang w:val="en-US" w:eastAsia="en-GB"/>
              </w:rPr>
            </w:pPr>
          </w:p>
        </w:tc>
      </w:tr>
      <w:tr w:rsidR="0086036C" w14:paraId="0F2CF504"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632781BF" w14:textId="77777777" w:rsidR="0086036C" w:rsidRPr="00960AA7" w:rsidRDefault="0086036C" w:rsidP="00974051">
            <w:pPr>
              <w:pStyle w:val="Tabletext"/>
              <w:rPr>
                <w:lang w:val="es-ES" w:eastAsia="en-GB"/>
              </w:rPr>
            </w:pPr>
            <w:r w:rsidRPr="00960AA7">
              <w:rPr>
                <w:lang w:val="es-ES" w:eastAsia="zh-CN"/>
              </w:rPr>
              <w:t>Ganancia de la antena de la EB en la dirección del sat</w:t>
            </w:r>
            <w:r>
              <w:rPr>
                <w:lang w:val="es-ES" w:eastAsia="zh-CN"/>
              </w:rPr>
              <w:t>élite</w:t>
            </w:r>
            <w:r w:rsidRPr="00960AA7">
              <w:rPr>
                <w:lang w:val="es-ES" w:eastAsia="zh-CN"/>
              </w:rPr>
              <w:t xml:space="preserve"> </w:t>
            </w:r>
          </w:p>
        </w:tc>
        <w:tc>
          <w:tcPr>
            <w:tcW w:w="1560" w:type="dxa"/>
            <w:tcBorders>
              <w:top w:val="nil"/>
              <w:left w:val="nil"/>
              <w:bottom w:val="single" w:sz="8" w:space="0" w:color="auto"/>
              <w:right w:val="single" w:sz="8" w:space="0" w:color="auto"/>
            </w:tcBorders>
            <w:vAlign w:val="center"/>
            <w:hideMark/>
          </w:tcPr>
          <w:p w14:paraId="7DA9631C" w14:textId="77777777" w:rsidR="0086036C" w:rsidRDefault="0086036C" w:rsidP="00974051">
            <w:pPr>
              <w:pStyle w:val="Tabletext"/>
              <w:jc w:val="center"/>
              <w:rPr>
                <w:lang w:val="en-US" w:eastAsia="en-GB"/>
              </w:rPr>
            </w:pPr>
            <w:r>
              <w:rPr>
                <w:lang w:val="en-US" w:eastAsia="zh-CN"/>
              </w:rPr>
              <w:t>11,7</w:t>
            </w:r>
          </w:p>
        </w:tc>
        <w:tc>
          <w:tcPr>
            <w:tcW w:w="1559" w:type="dxa"/>
            <w:tcBorders>
              <w:top w:val="nil"/>
              <w:left w:val="nil"/>
              <w:bottom w:val="single" w:sz="8" w:space="0" w:color="auto"/>
              <w:right w:val="single" w:sz="8" w:space="0" w:color="auto"/>
            </w:tcBorders>
            <w:vAlign w:val="center"/>
            <w:hideMark/>
          </w:tcPr>
          <w:p w14:paraId="664C2A7F" w14:textId="77777777" w:rsidR="0086036C" w:rsidRDefault="0086036C" w:rsidP="00974051">
            <w:pPr>
              <w:pStyle w:val="Tabletext"/>
              <w:jc w:val="center"/>
              <w:rPr>
                <w:lang w:val="en-US" w:eastAsia="en-GB"/>
              </w:rPr>
            </w:pPr>
            <w:r>
              <w:rPr>
                <w:lang w:val="en-US" w:eastAsia="zh-CN"/>
              </w:rPr>
              <w:t>0,5</w:t>
            </w:r>
          </w:p>
        </w:tc>
        <w:tc>
          <w:tcPr>
            <w:tcW w:w="1417" w:type="dxa"/>
            <w:tcBorders>
              <w:top w:val="nil"/>
              <w:left w:val="nil"/>
              <w:bottom w:val="single" w:sz="8" w:space="0" w:color="auto"/>
              <w:right w:val="single" w:sz="8" w:space="0" w:color="auto"/>
            </w:tcBorders>
            <w:vAlign w:val="center"/>
            <w:hideMark/>
          </w:tcPr>
          <w:p w14:paraId="130737C3" w14:textId="77777777" w:rsidR="0086036C" w:rsidRDefault="0086036C" w:rsidP="00974051">
            <w:pPr>
              <w:pStyle w:val="Tabletext"/>
              <w:jc w:val="center"/>
              <w:rPr>
                <w:lang w:val="en-US" w:eastAsia="en-GB"/>
              </w:rPr>
            </w:pPr>
            <w:r>
              <w:rPr>
                <w:lang w:val="en-US"/>
              </w:rPr>
              <w:t>6,9</w:t>
            </w:r>
          </w:p>
        </w:tc>
        <w:tc>
          <w:tcPr>
            <w:tcW w:w="1524" w:type="dxa"/>
            <w:tcBorders>
              <w:top w:val="nil"/>
              <w:left w:val="nil"/>
              <w:bottom w:val="single" w:sz="8" w:space="0" w:color="auto"/>
              <w:right w:val="single" w:sz="8" w:space="0" w:color="auto"/>
            </w:tcBorders>
            <w:vAlign w:val="center"/>
            <w:hideMark/>
          </w:tcPr>
          <w:p w14:paraId="16F2DD5A" w14:textId="6773C470" w:rsidR="0086036C" w:rsidRDefault="0086036C" w:rsidP="00974051">
            <w:pPr>
              <w:pStyle w:val="Tabletext"/>
              <w:jc w:val="center"/>
              <w:rPr>
                <w:lang w:val="en-US" w:eastAsia="en-GB"/>
              </w:rPr>
            </w:pPr>
            <w:r>
              <w:rPr>
                <w:lang w:val="en-US" w:eastAsia="zh-CN"/>
              </w:rPr>
              <w:t>2,6</w:t>
            </w:r>
          </w:p>
        </w:tc>
        <w:tc>
          <w:tcPr>
            <w:tcW w:w="0" w:type="auto"/>
            <w:tcBorders>
              <w:top w:val="nil"/>
              <w:left w:val="nil"/>
              <w:bottom w:val="single" w:sz="8" w:space="0" w:color="auto"/>
              <w:right w:val="single" w:sz="8" w:space="0" w:color="auto"/>
            </w:tcBorders>
            <w:vAlign w:val="center"/>
            <w:hideMark/>
          </w:tcPr>
          <w:p w14:paraId="7E22914B" w14:textId="77777777" w:rsidR="0086036C" w:rsidRDefault="0086036C" w:rsidP="00974051">
            <w:pPr>
              <w:pStyle w:val="Tabletext"/>
              <w:jc w:val="center"/>
              <w:rPr>
                <w:lang w:val="en-US" w:eastAsia="en-GB"/>
              </w:rPr>
            </w:pPr>
            <w:r>
              <w:rPr>
                <w:lang w:val="en-US" w:eastAsia="zh-CN"/>
              </w:rPr>
              <w:t>dBi</w:t>
            </w:r>
          </w:p>
        </w:tc>
      </w:tr>
      <w:tr w:rsidR="0086036C" w14:paraId="711B23FF"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4AC05D37" w14:textId="6A5E4EB6" w:rsidR="0086036C" w:rsidRPr="00480293" w:rsidRDefault="0086036C" w:rsidP="00974051">
            <w:pPr>
              <w:pStyle w:val="Tabletext"/>
              <w:rPr>
                <w:lang w:val="es-ES" w:eastAsia="en-GB"/>
              </w:rPr>
            </w:pPr>
            <w:r w:rsidRPr="00480293">
              <w:rPr>
                <w:lang w:val="es-ES" w:eastAsia="en-GB"/>
              </w:rPr>
              <w:t xml:space="preserve">Densidad espectral de </w:t>
            </w:r>
            <w:r w:rsidR="00840AC3">
              <w:rPr>
                <w:lang w:val="es-ES" w:eastAsia="en-GB"/>
              </w:rPr>
              <w:t>p.i.r.e.</w:t>
            </w:r>
            <w:r w:rsidRPr="00480293">
              <w:rPr>
                <w:lang w:val="es-ES" w:eastAsia="en-GB"/>
              </w:rPr>
              <w:t xml:space="preserve"> de interferencia de la EB</w:t>
            </w:r>
          </w:p>
        </w:tc>
        <w:tc>
          <w:tcPr>
            <w:tcW w:w="1560" w:type="dxa"/>
            <w:tcBorders>
              <w:top w:val="nil"/>
              <w:left w:val="nil"/>
              <w:bottom w:val="single" w:sz="8" w:space="0" w:color="auto"/>
              <w:right w:val="single" w:sz="8" w:space="0" w:color="auto"/>
            </w:tcBorders>
            <w:vAlign w:val="center"/>
            <w:hideMark/>
          </w:tcPr>
          <w:p w14:paraId="50C4DAC0" w14:textId="0F43CF17" w:rsidR="0086036C" w:rsidRDefault="00974051" w:rsidP="00974051">
            <w:pPr>
              <w:pStyle w:val="Tabletext"/>
              <w:jc w:val="center"/>
              <w:rPr>
                <w:lang w:val="en-US" w:eastAsia="en-GB"/>
              </w:rPr>
            </w:pPr>
            <w:r w:rsidRPr="00974051">
              <w:rPr>
                <w:lang w:val="en-US" w:eastAsia="zh-CN"/>
              </w:rPr>
              <w:t>–</w:t>
            </w:r>
            <w:r w:rsidR="0086036C">
              <w:rPr>
                <w:lang w:val="en-US" w:eastAsia="en-GB"/>
              </w:rPr>
              <w:t>15,3</w:t>
            </w:r>
          </w:p>
        </w:tc>
        <w:tc>
          <w:tcPr>
            <w:tcW w:w="1559" w:type="dxa"/>
            <w:tcBorders>
              <w:top w:val="nil"/>
              <w:left w:val="nil"/>
              <w:bottom w:val="single" w:sz="8" w:space="0" w:color="auto"/>
              <w:right w:val="single" w:sz="8" w:space="0" w:color="auto"/>
            </w:tcBorders>
            <w:vAlign w:val="center"/>
            <w:hideMark/>
          </w:tcPr>
          <w:p w14:paraId="2B08D470" w14:textId="4845B7DD" w:rsidR="0086036C" w:rsidRDefault="00974051" w:rsidP="00974051">
            <w:pPr>
              <w:pStyle w:val="Tabletext"/>
              <w:jc w:val="center"/>
              <w:rPr>
                <w:lang w:val="en-US" w:eastAsia="en-GB"/>
              </w:rPr>
            </w:pPr>
            <w:r w:rsidRPr="00974051">
              <w:rPr>
                <w:lang w:val="en-US" w:eastAsia="zh-CN"/>
              </w:rPr>
              <w:t>–</w:t>
            </w:r>
            <w:r w:rsidR="0086036C">
              <w:rPr>
                <w:lang w:val="en-US" w:eastAsia="en-GB"/>
              </w:rPr>
              <w:t>26,5</w:t>
            </w:r>
          </w:p>
        </w:tc>
        <w:tc>
          <w:tcPr>
            <w:tcW w:w="1417" w:type="dxa"/>
            <w:tcBorders>
              <w:top w:val="nil"/>
              <w:left w:val="nil"/>
              <w:bottom w:val="single" w:sz="8" w:space="0" w:color="auto"/>
              <w:right w:val="single" w:sz="8" w:space="0" w:color="auto"/>
            </w:tcBorders>
            <w:vAlign w:val="center"/>
            <w:hideMark/>
          </w:tcPr>
          <w:p w14:paraId="0CCA9A9E" w14:textId="57DDD3EA" w:rsidR="0086036C" w:rsidRDefault="00974051" w:rsidP="00974051">
            <w:pPr>
              <w:pStyle w:val="Tabletext"/>
              <w:jc w:val="center"/>
              <w:rPr>
                <w:lang w:val="en-US" w:eastAsia="en-GB"/>
              </w:rPr>
            </w:pPr>
            <w:r w:rsidRPr="00974051">
              <w:rPr>
                <w:lang w:val="en-US" w:eastAsia="zh-CN"/>
              </w:rPr>
              <w:t>–</w:t>
            </w:r>
            <w:r w:rsidR="0086036C">
              <w:rPr>
                <w:lang w:val="en-US" w:eastAsia="zh-CN"/>
              </w:rPr>
              <w:t>20,1</w:t>
            </w:r>
          </w:p>
        </w:tc>
        <w:tc>
          <w:tcPr>
            <w:tcW w:w="1524" w:type="dxa"/>
            <w:tcBorders>
              <w:top w:val="nil"/>
              <w:left w:val="nil"/>
              <w:bottom w:val="single" w:sz="8" w:space="0" w:color="auto"/>
              <w:right w:val="single" w:sz="8" w:space="0" w:color="auto"/>
            </w:tcBorders>
            <w:vAlign w:val="center"/>
            <w:hideMark/>
          </w:tcPr>
          <w:p w14:paraId="539A4F47" w14:textId="582A2DE1" w:rsidR="0086036C" w:rsidRDefault="00974051" w:rsidP="00974051">
            <w:pPr>
              <w:pStyle w:val="Tabletext"/>
              <w:jc w:val="center"/>
              <w:rPr>
                <w:lang w:val="en-US" w:eastAsia="en-GB"/>
              </w:rPr>
            </w:pPr>
            <w:r w:rsidRPr="00974051">
              <w:rPr>
                <w:lang w:val="en-US" w:eastAsia="zh-CN"/>
              </w:rPr>
              <w:t>–</w:t>
            </w:r>
            <w:r w:rsidR="0086036C">
              <w:rPr>
                <w:lang w:val="en-US" w:eastAsia="zh-CN"/>
              </w:rPr>
              <w:t>23,4</w:t>
            </w:r>
          </w:p>
        </w:tc>
        <w:tc>
          <w:tcPr>
            <w:tcW w:w="0" w:type="auto"/>
            <w:tcBorders>
              <w:top w:val="nil"/>
              <w:left w:val="nil"/>
              <w:bottom w:val="single" w:sz="8" w:space="0" w:color="auto"/>
              <w:right w:val="single" w:sz="8" w:space="0" w:color="auto"/>
            </w:tcBorders>
            <w:vAlign w:val="center"/>
            <w:hideMark/>
          </w:tcPr>
          <w:p w14:paraId="61E03341" w14:textId="77777777" w:rsidR="0086036C" w:rsidRDefault="0086036C" w:rsidP="00974051">
            <w:pPr>
              <w:pStyle w:val="Tabletext"/>
              <w:jc w:val="center"/>
              <w:rPr>
                <w:lang w:val="en-US" w:eastAsia="en-GB"/>
              </w:rPr>
            </w:pPr>
            <w:r>
              <w:rPr>
                <w:lang w:val="en-US" w:eastAsia="zh-CN"/>
              </w:rPr>
              <w:t>dBm/Hz</w:t>
            </w:r>
          </w:p>
        </w:tc>
      </w:tr>
      <w:tr w:rsidR="0086036C" w14:paraId="0017753C" w14:textId="77777777" w:rsidTr="00A81DBA">
        <w:trPr>
          <w:trHeight w:val="501"/>
          <w:jc w:val="center"/>
        </w:trPr>
        <w:tc>
          <w:tcPr>
            <w:tcW w:w="2825" w:type="dxa"/>
            <w:tcBorders>
              <w:top w:val="nil"/>
              <w:left w:val="single" w:sz="8" w:space="0" w:color="auto"/>
              <w:bottom w:val="single" w:sz="8" w:space="0" w:color="auto"/>
              <w:right w:val="single" w:sz="8" w:space="0" w:color="auto"/>
            </w:tcBorders>
            <w:vAlign w:val="center"/>
            <w:hideMark/>
          </w:tcPr>
          <w:p w14:paraId="3940D03E" w14:textId="77777777" w:rsidR="0086036C" w:rsidRPr="00480293" w:rsidRDefault="0086036C" w:rsidP="00974051">
            <w:pPr>
              <w:pStyle w:val="Tabletext"/>
              <w:rPr>
                <w:b/>
                <w:bCs/>
                <w:lang w:val="es-ES" w:eastAsia="en-GB"/>
              </w:rPr>
            </w:pPr>
            <w:r w:rsidRPr="00480293">
              <w:rPr>
                <w:b/>
                <w:bCs/>
                <w:lang w:val="es-ES" w:eastAsia="en-GB"/>
              </w:rPr>
              <w:t xml:space="preserve">Nivel de rebasamiento </w:t>
            </w:r>
          </w:p>
        </w:tc>
        <w:tc>
          <w:tcPr>
            <w:tcW w:w="1560" w:type="dxa"/>
            <w:tcBorders>
              <w:top w:val="nil"/>
              <w:left w:val="nil"/>
              <w:bottom w:val="single" w:sz="8" w:space="0" w:color="auto"/>
              <w:right w:val="single" w:sz="8" w:space="0" w:color="auto"/>
            </w:tcBorders>
            <w:vAlign w:val="center"/>
            <w:hideMark/>
          </w:tcPr>
          <w:p w14:paraId="0681B5DD" w14:textId="77777777" w:rsidR="0086036C" w:rsidRDefault="0086036C" w:rsidP="00974051">
            <w:pPr>
              <w:pStyle w:val="Tabletext"/>
              <w:jc w:val="center"/>
              <w:rPr>
                <w:b/>
                <w:bCs/>
                <w:lang w:val="en-US" w:eastAsia="en-GB"/>
              </w:rPr>
            </w:pPr>
            <w:r>
              <w:rPr>
                <w:b/>
                <w:bCs/>
                <w:lang w:val="en-US" w:eastAsia="en-GB"/>
              </w:rPr>
              <w:t>20,7</w:t>
            </w:r>
          </w:p>
        </w:tc>
        <w:tc>
          <w:tcPr>
            <w:tcW w:w="1559" w:type="dxa"/>
            <w:tcBorders>
              <w:top w:val="nil"/>
              <w:left w:val="nil"/>
              <w:bottom w:val="single" w:sz="8" w:space="0" w:color="auto"/>
              <w:right w:val="single" w:sz="8" w:space="0" w:color="auto"/>
            </w:tcBorders>
            <w:vAlign w:val="center"/>
            <w:hideMark/>
          </w:tcPr>
          <w:p w14:paraId="392AA2DF" w14:textId="77777777" w:rsidR="0086036C" w:rsidRDefault="0086036C" w:rsidP="00974051">
            <w:pPr>
              <w:pStyle w:val="Tabletext"/>
              <w:jc w:val="center"/>
              <w:rPr>
                <w:b/>
                <w:lang w:val="en-US" w:eastAsia="en-GB"/>
              </w:rPr>
            </w:pPr>
            <w:r>
              <w:rPr>
                <w:b/>
                <w:lang w:val="en-US" w:eastAsia="zh-CN"/>
              </w:rPr>
              <w:t>10,2</w:t>
            </w:r>
          </w:p>
        </w:tc>
        <w:tc>
          <w:tcPr>
            <w:tcW w:w="1417" w:type="dxa"/>
            <w:tcBorders>
              <w:top w:val="nil"/>
              <w:left w:val="nil"/>
              <w:bottom w:val="single" w:sz="8" w:space="0" w:color="auto"/>
              <w:right w:val="single" w:sz="8" w:space="0" w:color="auto"/>
            </w:tcBorders>
            <w:vAlign w:val="center"/>
            <w:hideMark/>
          </w:tcPr>
          <w:p w14:paraId="33B718B5" w14:textId="77777777" w:rsidR="0086036C" w:rsidRDefault="0086036C" w:rsidP="00974051">
            <w:pPr>
              <w:pStyle w:val="Tabletext"/>
              <w:jc w:val="center"/>
              <w:rPr>
                <w:b/>
                <w:lang w:val="en-US" w:eastAsia="en-GB"/>
              </w:rPr>
            </w:pPr>
            <w:r>
              <w:rPr>
                <w:b/>
                <w:lang w:val="en-US" w:eastAsia="zh-CN"/>
              </w:rPr>
              <w:t>11,8</w:t>
            </w:r>
          </w:p>
        </w:tc>
        <w:tc>
          <w:tcPr>
            <w:tcW w:w="1524" w:type="dxa"/>
            <w:tcBorders>
              <w:top w:val="nil"/>
              <w:left w:val="nil"/>
              <w:bottom w:val="single" w:sz="8" w:space="0" w:color="auto"/>
              <w:right w:val="single" w:sz="8" w:space="0" w:color="auto"/>
            </w:tcBorders>
            <w:vAlign w:val="center"/>
            <w:hideMark/>
          </w:tcPr>
          <w:p w14:paraId="123BAD7A" w14:textId="490B24E5" w:rsidR="0086036C" w:rsidRDefault="0086036C" w:rsidP="00974051">
            <w:pPr>
              <w:pStyle w:val="Tabletext"/>
              <w:jc w:val="center"/>
              <w:rPr>
                <w:b/>
                <w:lang w:val="en-US" w:eastAsia="en-GB"/>
              </w:rPr>
            </w:pPr>
            <w:r>
              <w:rPr>
                <w:b/>
                <w:lang w:val="en-US" w:eastAsia="zh-CN"/>
              </w:rPr>
              <w:t>7,0</w:t>
            </w:r>
          </w:p>
        </w:tc>
        <w:tc>
          <w:tcPr>
            <w:tcW w:w="0" w:type="auto"/>
            <w:tcBorders>
              <w:top w:val="nil"/>
              <w:left w:val="nil"/>
              <w:bottom w:val="single" w:sz="8" w:space="0" w:color="auto"/>
              <w:right w:val="single" w:sz="8" w:space="0" w:color="auto"/>
            </w:tcBorders>
            <w:vAlign w:val="center"/>
            <w:hideMark/>
          </w:tcPr>
          <w:p w14:paraId="167ACD02" w14:textId="77777777" w:rsidR="0086036C" w:rsidRDefault="0086036C" w:rsidP="00974051">
            <w:pPr>
              <w:pStyle w:val="Tabletext"/>
              <w:jc w:val="center"/>
              <w:rPr>
                <w:lang w:val="en-US" w:eastAsia="en-GB"/>
              </w:rPr>
            </w:pPr>
            <w:r>
              <w:rPr>
                <w:lang w:val="en-US" w:eastAsia="zh-CN"/>
              </w:rPr>
              <w:t>dB</w:t>
            </w:r>
          </w:p>
        </w:tc>
      </w:tr>
    </w:tbl>
    <w:p w14:paraId="1EF9386B" w14:textId="77777777" w:rsidR="0086036C" w:rsidRDefault="0086036C" w:rsidP="0086036C">
      <w:pPr>
        <w:rPr>
          <w:szCs w:val="24"/>
        </w:rPr>
      </w:pPr>
    </w:p>
    <w:p w14:paraId="59F62E7F" w14:textId="77777777" w:rsidR="0086036C" w:rsidRDefault="0086036C" w:rsidP="0086036C">
      <w:pPr>
        <w:rPr>
          <w:b/>
          <w:szCs w:val="24"/>
        </w:rPr>
      </w:pPr>
      <w:r>
        <w:rPr>
          <w:b/>
          <w:szCs w:val="24"/>
        </w:rPr>
        <w:br w:type="page"/>
      </w:r>
    </w:p>
    <w:p w14:paraId="5462AC81" w14:textId="77777777" w:rsidR="0086036C" w:rsidRPr="00974051" w:rsidRDefault="0086036C" w:rsidP="00974051">
      <w:pPr>
        <w:pStyle w:val="AnnexNo"/>
      </w:pPr>
      <w:r w:rsidRPr="00974051">
        <w:lastRenderedPageBreak/>
        <w:t>AnexO B</w:t>
      </w:r>
    </w:p>
    <w:p w14:paraId="6880C00E" w14:textId="77777777" w:rsidR="0086036C" w:rsidRPr="00974051" w:rsidRDefault="0086036C" w:rsidP="00974051">
      <w:pPr>
        <w:pStyle w:val="Annextitle"/>
      </w:pPr>
      <w:r w:rsidRPr="00974051">
        <w:t>Mediciones de interferencia a un satélite MEO en funcionamiento</w:t>
      </w:r>
    </w:p>
    <w:p w14:paraId="2E54C835" w14:textId="488F85E6" w:rsidR="0086036C" w:rsidRPr="006726E0" w:rsidRDefault="0086036C" w:rsidP="00F16485">
      <w:pPr>
        <w:rPr>
          <w:lang w:val="es-ES"/>
        </w:rPr>
      </w:pPr>
      <w:r>
        <w:rPr>
          <w:lang w:val="es-ES"/>
        </w:rPr>
        <w:t>La</w:t>
      </w:r>
      <w:r w:rsidRPr="00480293">
        <w:rPr>
          <w:lang w:val="es-ES"/>
        </w:rPr>
        <w:t xml:space="preserve">s </w:t>
      </w:r>
      <w:r>
        <w:rPr>
          <w:lang w:val="es-ES"/>
        </w:rPr>
        <w:t>figuras</w:t>
      </w:r>
      <w:r w:rsidRPr="00480293">
        <w:rPr>
          <w:lang w:val="es-ES"/>
        </w:rPr>
        <w:t xml:space="preserve"> siguientes muestran la extensión geográfica de la interferencia medida </w:t>
      </w:r>
      <w:r>
        <w:rPr>
          <w:lang w:val="es-ES"/>
        </w:rPr>
        <w:t>de</w:t>
      </w:r>
      <w:r w:rsidRPr="00480293">
        <w:rPr>
          <w:lang w:val="es-ES"/>
        </w:rPr>
        <w:t xml:space="preserve"> las emisiones de enlace</w:t>
      </w:r>
      <w:r>
        <w:rPr>
          <w:lang w:val="es-ES"/>
        </w:rPr>
        <w:t>s</w:t>
      </w:r>
      <w:r w:rsidRPr="00480293">
        <w:rPr>
          <w:lang w:val="es-ES"/>
        </w:rPr>
        <w:t xml:space="preserve"> descendente</w:t>
      </w:r>
      <w:r>
        <w:rPr>
          <w:lang w:val="es-ES"/>
        </w:rPr>
        <w:t>s terrenales</w:t>
      </w:r>
      <w:r w:rsidRPr="00480293">
        <w:rPr>
          <w:lang w:val="es-ES"/>
        </w:rPr>
        <w:t xml:space="preserve"> de </w:t>
      </w:r>
      <w:r>
        <w:rPr>
          <w:lang w:val="es-ES"/>
        </w:rPr>
        <w:t>instalaciones</w:t>
      </w:r>
      <w:r w:rsidRPr="00480293">
        <w:rPr>
          <w:lang w:val="es-ES"/>
        </w:rPr>
        <w:t xml:space="preserve"> IMT terrenales en Am</w:t>
      </w:r>
      <w:r>
        <w:rPr>
          <w:lang w:val="es-ES"/>
        </w:rPr>
        <w:t>érica del Norte</w:t>
      </w:r>
      <w:r w:rsidRPr="00480293">
        <w:rPr>
          <w:lang w:val="es-ES"/>
        </w:rPr>
        <w:t xml:space="preserve"> </w:t>
      </w:r>
      <w:r>
        <w:rPr>
          <w:lang w:val="es-ES"/>
        </w:rPr>
        <w:t>(Región</w:t>
      </w:r>
      <w:r w:rsidR="00F16485">
        <w:rPr>
          <w:lang w:val="es-ES"/>
        </w:rPr>
        <w:t> </w:t>
      </w:r>
      <w:r>
        <w:rPr>
          <w:lang w:val="es-ES"/>
        </w:rPr>
        <w:t xml:space="preserve">2) en la gama de frecuencias </w:t>
      </w:r>
      <w:r w:rsidRPr="00480293">
        <w:rPr>
          <w:lang w:val="es-ES"/>
        </w:rPr>
        <w:t>1 990-1 995</w:t>
      </w:r>
      <w:r w:rsidR="00974051">
        <w:rPr>
          <w:lang w:val="es-ES"/>
        </w:rPr>
        <w:t> </w:t>
      </w:r>
      <w:r w:rsidRPr="00480293">
        <w:rPr>
          <w:lang w:val="es-ES"/>
        </w:rPr>
        <w:t xml:space="preserve">MHz. </w:t>
      </w:r>
      <w:r w:rsidRPr="006E0F6D">
        <w:rPr>
          <w:lang w:val="es-ES"/>
        </w:rPr>
        <w:t>Estas mediciones fueron registradas en haces puntuales de recepción de un sat</w:t>
      </w:r>
      <w:r>
        <w:rPr>
          <w:lang w:val="es-ES"/>
        </w:rPr>
        <w:t xml:space="preserve">élite IMT en funcionamiento en una órbita terrestre media (MEO). </w:t>
      </w:r>
      <w:r w:rsidRPr="006E0F6D">
        <w:rPr>
          <w:lang w:val="es-ES"/>
        </w:rPr>
        <w:t>L</w:t>
      </w:r>
      <w:r>
        <w:rPr>
          <w:lang w:val="es-ES"/>
        </w:rPr>
        <w:t>a</w:t>
      </w:r>
      <w:r w:rsidRPr="006E0F6D">
        <w:rPr>
          <w:lang w:val="es-ES"/>
        </w:rPr>
        <w:t xml:space="preserve">s </w:t>
      </w:r>
      <w:r>
        <w:rPr>
          <w:lang w:val="es-ES"/>
        </w:rPr>
        <w:t>figuras</w:t>
      </w:r>
      <w:r w:rsidRPr="006E0F6D">
        <w:rPr>
          <w:lang w:val="es-ES"/>
        </w:rPr>
        <w:t xml:space="preserve"> de este Anexo representan los valores numéricos correspondientes</w:t>
      </w:r>
      <w:r>
        <w:rPr>
          <w:lang w:val="es-ES"/>
        </w:rPr>
        <w:t xml:space="preserve"> a</w:t>
      </w:r>
      <w:r w:rsidRPr="006E0F6D">
        <w:rPr>
          <w:lang w:val="es-ES"/>
        </w:rPr>
        <w:t>l rebasamiento de la interferencia que figuran en el Cuadro</w:t>
      </w:r>
      <w:r w:rsidR="00F16485">
        <w:rPr>
          <w:lang w:val="es-ES"/>
        </w:rPr>
        <w:t> </w:t>
      </w:r>
      <w:r w:rsidRPr="006E0F6D">
        <w:rPr>
          <w:lang w:val="es-ES"/>
        </w:rPr>
        <w:t>4 del presente documento.</w:t>
      </w:r>
    </w:p>
    <w:p w14:paraId="05915B0B" w14:textId="59A46264" w:rsidR="0086036C" w:rsidRPr="007C470F" w:rsidRDefault="0086036C" w:rsidP="00840AC3">
      <w:pPr>
        <w:rPr>
          <w:lang w:val="es-ES"/>
        </w:rPr>
      </w:pPr>
      <w:r w:rsidRPr="006726E0">
        <w:rPr>
          <w:lang w:val="es-ES"/>
        </w:rPr>
        <w:t>Los círculos indican la posición del satélite cuando se registró cada medición, mientras que el color de los círculos indi</w:t>
      </w:r>
      <w:r>
        <w:rPr>
          <w:lang w:val="es-ES"/>
        </w:rPr>
        <w:t>ca el nivel de reb</w:t>
      </w:r>
      <w:r w:rsidRPr="006726E0">
        <w:rPr>
          <w:lang w:val="es-ES"/>
        </w:rPr>
        <w:t>asamiento</w:t>
      </w:r>
      <w:r>
        <w:rPr>
          <w:lang w:val="es-ES"/>
        </w:rPr>
        <w:t xml:space="preserve"> del criterio de protección del satélite en dB</w:t>
      </w:r>
      <w:r w:rsidRPr="006726E0">
        <w:rPr>
          <w:lang w:val="es-ES"/>
        </w:rPr>
        <w:t xml:space="preserve">. El triángulo indica el centro del haz puntual </w:t>
      </w:r>
      <w:r>
        <w:rPr>
          <w:lang w:val="es-ES"/>
        </w:rPr>
        <w:t>en el</w:t>
      </w:r>
      <w:r w:rsidRPr="006726E0">
        <w:rPr>
          <w:lang w:val="es-ES"/>
        </w:rPr>
        <w:t xml:space="preserve"> que se registra</w:t>
      </w:r>
      <w:r>
        <w:rPr>
          <w:lang w:val="es-ES"/>
        </w:rPr>
        <w:t>ro</w:t>
      </w:r>
      <w:r w:rsidRPr="006726E0">
        <w:rPr>
          <w:lang w:val="es-ES"/>
        </w:rPr>
        <w:t>n las mediciones de interferencia.</w:t>
      </w:r>
    </w:p>
    <w:p w14:paraId="279DDBD1" w14:textId="00ABAEF2" w:rsidR="0086036C" w:rsidRPr="007C470F" w:rsidRDefault="0086036C" w:rsidP="00840AC3">
      <w:pPr>
        <w:rPr>
          <w:szCs w:val="24"/>
          <w:lang w:val="es-ES"/>
        </w:rPr>
      </w:pPr>
      <w:r w:rsidRPr="006726E0">
        <w:rPr>
          <w:szCs w:val="24"/>
          <w:lang w:val="es-ES"/>
        </w:rPr>
        <w:t>El gráfico de la Figura B1 muestra la interferencia medida en África Occidental (Región</w:t>
      </w:r>
      <w:r w:rsidR="00F16485">
        <w:rPr>
          <w:szCs w:val="24"/>
          <w:lang w:val="es-ES"/>
        </w:rPr>
        <w:t> </w:t>
      </w:r>
      <w:r w:rsidRPr="006726E0">
        <w:rPr>
          <w:szCs w:val="24"/>
          <w:lang w:val="es-ES"/>
        </w:rPr>
        <w:t>1) proveniente de las emisiones de enlace</w:t>
      </w:r>
      <w:r>
        <w:rPr>
          <w:szCs w:val="24"/>
          <w:lang w:val="es-ES"/>
        </w:rPr>
        <w:t>s</w:t>
      </w:r>
      <w:r w:rsidRPr="006726E0">
        <w:rPr>
          <w:szCs w:val="24"/>
          <w:lang w:val="es-ES"/>
        </w:rPr>
        <w:t xml:space="preserve"> descendente</w:t>
      </w:r>
      <w:r>
        <w:rPr>
          <w:szCs w:val="24"/>
          <w:lang w:val="es-ES"/>
        </w:rPr>
        <w:t>s</w:t>
      </w:r>
      <w:r w:rsidRPr="006726E0">
        <w:rPr>
          <w:szCs w:val="24"/>
          <w:lang w:val="es-ES"/>
        </w:rPr>
        <w:t xml:space="preserve"> de la estaci</w:t>
      </w:r>
      <w:r>
        <w:rPr>
          <w:szCs w:val="24"/>
          <w:lang w:val="es-ES"/>
        </w:rPr>
        <w:t>ón base IMT terrenal en la Región</w:t>
      </w:r>
      <w:r w:rsidR="00F16485">
        <w:rPr>
          <w:szCs w:val="24"/>
          <w:lang w:val="es-ES"/>
        </w:rPr>
        <w:t> </w:t>
      </w:r>
      <w:r>
        <w:rPr>
          <w:szCs w:val="24"/>
          <w:lang w:val="es-ES"/>
        </w:rPr>
        <w:t>2.</w:t>
      </w:r>
    </w:p>
    <w:p w14:paraId="10B3DFD9" w14:textId="2C8013DA" w:rsidR="0086036C" w:rsidRPr="00F16485" w:rsidRDefault="0086036C" w:rsidP="00F16485">
      <w:pPr>
        <w:pStyle w:val="Figuretitle"/>
        <w:jc w:val="center"/>
        <w:rPr>
          <w:b/>
          <w:bCs/>
          <w:lang w:val="es-ES"/>
        </w:rPr>
      </w:pPr>
      <w:r w:rsidRPr="00F16485">
        <w:rPr>
          <w:b/>
          <w:bCs/>
          <w:lang w:val="es-ES"/>
        </w:rPr>
        <w:t xml:space="preserve">Figura B1: Interferencia medida en un satélite IMT MEO para un haz </w:t>
      </w:r>
      <w:r w:rsidR="00F16485">
        <w:rPr>
          <w:b/>
          <w:bCs/>
          <w:lang w:val="es-ES"/>
        </w:rPr>
        <w:br/>
      </w:r>
      <w:r w:rsidRPr="00F16485">
        <w:rPr>
          <w:b/>
          <w:bCs/>
          <w:lang w:val="es-ES"/>
        </w:rPr>
        <w:t>puntual sobre África Occidental</w:t>
      </w:r>
    </w:p>
    <w:p w14:paraId="5F9F3D67" w14:textId="77777777" w:rsidR="0086036C" w:rsidRDefault="0086036C" w:rsidP="0086036C">
      <w:pPr>
        <w:pStyle w:val="PlainText"/>
        <w:rPr>
          <w:rFonts w:ascii="Times New Roman" w:hAnsi="Times New Roman" w:cs="Times New Roman"/>
          <w:sz w:val="24"/>
          <w:szCs w:val="24"/>
        </w:rPr>
      </w:pPr>
      <w:r>
        <w:rPr>
          <w:rFonts w:ascii="Times New Roman" w:hAnsi="Times New Roman" w:cs="Times New Roman"/>
          <w:noProof/>
          <w:sz w:val="24"/>
          <w:szCs w:val="24"/>
          <w:lang w:val="es-ES" w:eastAsia="zh-CN"/>
        </w:rPr>
        <w:drawing>
          <wp:inline distT="0" distB="0" distL="0" distR="0" wp14:anchorId="0D1B6C05" wp14:editId="700BAFD0">
            <wp:extent cx="5726430" cy="3056890"/>
            <wp:effectExtent l="0" t="0" r="762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map&#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9941" t="48792" r="9717" b="4469"/>
                    <a:stretch>
                      <a:fillRect/>
                    </a:stretch>
                  </pic:blipFill>
                  <pic:spPr bwMode="auto">
                    <a:xfrm>
                      <a:off x="0" y="0"/>
                      <a:ext cx="5726430" cy="3056890"/>
                    </a:xfrm>
                    <a:prstGeom prst="rect">
                      <a:avLst/>
                    </a:prstGeom>
                    <a:noFill/>
                    <a:ln>
                      <a:noFill/>
                    </a:ln>
                  </pic:spPr>
                </pic:pic>
              </a:graphicData>
            </a:graphic>
          </wp:inline>
        </w:drawing>
      </w:r>
      <w:r>
        <w:rPr>
          <w:rFonts w:ascii="Times New Roman" w:hAnsi="Times New Roman" w:cs="Times New Roman"/>
          <w:sz w:val="24"/>
          <w:szCs w:val="24"/>
          <w:highlight w:val="yellow"/>
        </w:rPr>
        <w:t xml:space="preserve"> </w:t>
      </w:r>
    </w:p>
    <w:p w14:paraId="7B0393BF" w14:textId="73AB04BE" w:rsidR="0086036C" w:rsidRPr="00F16485" w:rsidRDefault="0086036C" w:rsidP="00F16485">
      <w:pPr>
        <w:pStyle w:val="Figurelegend"/>
      </w:pPr>
      <w:r w:rsidRPr="00F16485">
        <w:t>Leyenda</w:t>
      </w:r>
      <w:r w:rsidR="0054354F">
        <w:t>:</w:t>
      </w:r>
    </w:p>
    <w:p w14:paraId="534805D7" w14:textId="77777777" w:rsidR="0086036C" w:rsidRPr="00F16485" w:rsidRDefault="0086036C" w:rsidP="00F16485">
      <w:pPr>
        <w:pStyle w:val="Figurelegend"/>
        <w:rPr>
          <w:lang w:val="es-ES"/>
        </w:rPr>
      </w:pPr>
      <w:r w:rsidRPr="00F16485">
        <w:rPr>
          <w:lang w:val="es-ES"/>
        </w:rPr>
        <w:t>Mediciones en el analizador de espectro en función de la posición</w:t>
      </w:r>
    </w:p>
    <w:p w14:paraId="0D14E1E6" w14:textId="4E8AD787" w:rsidR="0086036C" w:rsidRPr="00F16485" w:rsidRDefault="0086036C" w:rsidP="00F16485">
      <w:pPr>
        <w:pStyle w:val="Figurelegend"/>
        <w:rPr>
          <w:lang w:val="es-ES"/>
        </w:rPr>
      </w:pPr>
      <w:r w:rsidRPr="00F16485">
        <w:rPr>
          <w:lang w:val="es-ES"/>
        </w:rPr>
        <w:t>Hora</w:t>
      </w:r>
    </w:p>
    <w:p w14:paraId="752AF165" w14:textId="77777777" w:rsidR="0086036C" w:rsidRPr="00F16485" w:rsidRDefault="0086036C" w:rsidP="00F16485">
      <w:pPr>
        <w:pStyle w:val="Figurelegend"/>
        <w:rPr>
          <w:lang w:val="es-ES"/>
        </w:rPr>
      </w:pPr>
      <w:r w:rsidRPr="00F16485">
        <w:rPr>
          <w:lang w:val="es-ES"/>
        </w:rPr>
        <w:t>Latitud (grados)</w:t>
      </w:r>
    </w:p>
    <w:p w14:paraId="0B7B9C6A" w14:textId="77777777" w:rsidR="0086036C" w:rsidRPr="00F16485" w:rsidRDefault="0086036C" w:rsidP="00F16485">
      <w:pPr>
        <w:pStyle w:val="Figurelegend"/>
        <w:rPr>
          <w:lang w:val="es-ES"/>
        </w:rPr>
      </w:pPr>
      <w:r w:rsidRPr="00F16485">
        <w:rPr>
          <w:lang w:val="es-ES"/>
        </w:rPr>
        <w:t>Nivel de rebasamiento (dB)</w:t>
      </w:r>
    </w:p>
    <w:p w14:paraId="60280CF9" w14:textId="074D8C65" w:rsidR="0086036C" w:rsidRPr="0063145C" w:rsidRDefault="0086036C" w:rsidP="00F16485">
      <w:pPr>
        <w:pStyle w:val="Figurelegend"/>
        <w:rPr>
          <w:lang w:val="es-ES"/>
        </w:rPr>
      </w:pPr>
      <w:r w:rsidRPr="00F16485">
        <w:rPr>
          <w:lang w:val="es-ES"/>
        </w:rPr>
        <w:t>Longitud (grados)</w:t>
      </w:r>
    </w:p>
    <w:p w14:paraId="7B86883E" w14:textId="77777777" w:rsidR="0086036C" w:rsidRPr="0063145C" w:rsidRDefault="0086036C" w:rsidP="00F16485">
      <w:pPr>
        <w:rPr>
          <w:lang w:val="es-ES"/>
        </w:rPr>
      </w:pPr>
      <w:r w:rsidRPr="0063145C">
        <w:rPr>
          <w:lang w:val="es-ES"/>
        </w:rPr>
        <w:t>El gráfico de la Figura B2 muestra la interferencia medida en Papua Nueva Guin</w:t>
      </w:r>
      <w:r>
        <w:rPr>
          <w:lang w:val="es-ES"/>
        </w:rPr>
        <w:t>ea (Región 3) causada por las emisiones de enlaces descendentes de la estación base IMT terrenal en la Región 2</w:t>
      </w:r>
      <w:r w:rsidRPr="0063145C">
        <w:rPr>
          <w:lang w:val="es-ES"/>
        </w:rPr>
        <w:t>.</w:t>
      </w:r>
    </w:p>
    <w:p w14:paraId="207DC0E8" w14:textId="450FA5A7" w:rsidR="0086036C" w:rsidRPr="00F16485" w:rsidRDefault="0086036C" w:rsidP="00F16485">
      <w:pPr>
        <w:pStyle w:val="Figuretitle"/>
        <w:keepNext/>
        <w:keepLines/>
        <w:jc w:val="center"/>
        <w:rPr>
          <w:b/>
          <w:bCs/>
          <w:lang w:val="es-ES"/>
        </w:rPr>
      </w:pPr>
      <w:r w:rsidRPr="00F16485">
        <w:rPr>
          <w:b/>
          <w:bCs/>
          <w:lang w:val="es-ES"/>
        </w:rPr>
        <w:lastRenderedPageBreak/>
        <w:t xml:space="preserve">Figura B2: Interferencia medida en un satélite IMT MEO para un haz </w:t>
      </w:r>
      <w:r w:rsidR="00F16485">
        <w:rPr>
          <w:b/>
          <w:bCs/>
          <w:lang w:val="es-ES"/>
        </w:rPr>
        <w:br/>
      </w:r>
      <w:r w:rsidRPr="00F16485">
        <w:rPr>
          <w:b/>
          <w:bCs/>
          <w:lang w:val="es-ES"/>
        </w:rPr>
        <w:t>puntual sobre Papua Nueva Guinea</w:t>
      </w:r>
    </w:p>
    <w:p w14:paraId="135E48D8" w14:textId="77777777" w:rsidR="0086036C" w:rsidRDefault="0086036C" w:rsidP="00F16485">
      <w:pPr>
        <w:pStyle w:val="PlainText"/>
        <w:keepNext/>
        <w:keepLines/>
        <w:jc w:val="center"/>
        <w:rPr>
          <w:rFonts w:ascii="Times New Roman" w:hAnsi="Times New Roman" w:cs="Times New Roman"/>
          <w:sz w:val="24"/>
          <w:szCs w:val="24"/>
        </w:rPr>
      </w:pPr>
      <w:r>
        <w:rPr>
          <w:rFonts w:ascii="Times New Roman" w:hAnsi="Times New Roman" w:cs="Times New Roman"/>
          <w:noProof/>
          <w:sz w:val="24"/>
          <w:szCs w:val="24"/>
          <w:lang w:val="es-ES" w:eastAsia="zh-CN"/>
        </w:rPr>
        <w:drawing>
          <wp:inline distT="0" distB="0" distL="0" distR="0" wp14:anchorId="0B64C104" wp14:editId="334D7312">
            <wp:extent cx="5726430" cy="3056890"/>
            <wp:effectExtent l="0" t="0" r="762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 up of a ma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l="9807" t="47620" r="9851" b="5640"/>
                    <a:stretch>
                      <a:fillRect/>
                    </a:stretch>
                  </pic:blipFill>
                  <pic:spPr bwMode="auto">
                    <a:xfrm>
                      <a:off x="0" y="0"/>
                      <a:ext cx="5726430" cy="3056890"/>
                    </a:xfrm>
                    <a:prstGeom prst="rect">
                      <a:avLst/>
                    </a:prstGeom>
                    <a:noFill/>
                    <a:ln>
                      <a:noFill/>
                    </a:ln>
                  </pic:spPr>
                </pic:pic>
              </a:graphicData>
            </a:graphic>
          </wp:inline>
        </w:drawing>
      </w:r>
    </w:p>
    <w:p w14:paraId="5177186A" w14:textId="61A5B757" w:rsidR="00F16485" w:rsidRPr="00F16485" w:rsidRDefault="00F16485" w:rsidP="00F16485">
      <w:pPr>
        <w:pStyle w:val="Figurelegend"/>
      </w:pPr>
      <w:r w:rsidRPr="00F16485">
        <w:t>Leyenda</w:t>
      </w:r>
      <w:r w:rsidR="0054354F">
        <w:t>:</w:t>
      </w:r>
    </w:p>
    <w:p w14:paraId="60F078B1" w14:textId="77777777" w:rsidR="00F16485" w:rsidRPr="00F16485" w:rsidRDefault="00F16485" w:rsidP="00F16485">
      <w:pPr>
        <w:pStyle w:val="Figurelegend"/>
        <w:rPr>
          <w:lang w:val="es-ES"/>
        </w:rPr>
      </w:pPr>
      <w:r w:rsidRPr="00F16485">
        <w:rPr>
          <w:lang w:val="es-ES"/>
        </w:rPr>
        <w:t>Mediciones en el analizador de espectro en función de la posición</w:t>
      </w:r>
    </w:p>
    <w:p w14:paraId="04530482" w14:textId="2DE78B5A" w:rsidR="00F16485" w:rsidRPr="00F16485" w:rsidRDefault="00F16485" w:rsidP="00F16485">
      <w:pPr>
        <w:pStyle w:val="Figurelegend"/>
        <w:rPr>
          <w:lang w:val="es-ES"/>
        </w:rPr>
      </w:pPr>
      <w:r w:rsidRPr="00F16485">
        <w:rPr>
          <w:lang w:val="es-ES"/>
        </w:rPr>
        <w:t>Hora</w:t>
      </w:r>
    </w:p>
    <w:p w14:paraId="7FE09968" w14:textId="77777777" w:rsidR="00F16485" w:rsidRPr="00F16485" w:rsidRDefault="00F16485" w:rsidP="00F16485">
      <w:pPr>
        <w:pStyle w:val="Figurelegend"/>
        <w:rPr>
          <w:lang w:val="es-ES"/>
        </w:rPr>
      </w:pPr>
      <w:r w:rsidRPr="00F16485">
        <w:rPr>
          <w:lang w:val="es-ES"/>
        </w:rPr>
        <w:t>Latitud (grados)</w:t>
      </w:r>
    </w:p>
    <w:p w14:paraId="666A3519" w14:textId="77777777" w:rsidR="00F16485" w:rsidRPr="00F16485" w:rsidRDefault="00F16485" w:rsidP="00F16485">
      <w:pPr>
        <w:pStyle w:val="Figurelegend"/>
        <w:rPr>
          <w:lang w:val="es-ES"/>
        </w:rPr>
      </w:pPr>
      <w:r w:rsidRPr="00F16485">
        <w:rPr>
          <w:lang w:val="es-ES"/>
        </w:rPr>
        <w:t>Nivel de rebasamiento (dB)</w:t>
      </w:r>
    </w:p>
    <w:p w14:paraId="1383E5EA" w14:textId="77777777" w:rsidR="00F16485" w:rsidRPr="0063145C" w:rsidRDefault="00F16485" w:rsidP="00F16485">
      <w:pPr>
        <w:pStyle w:val="Figurelegend"/>
        <w:rPr>
          <w:lang w:val="es-ES"/>
        </w:rPr>
      </w:pPr>
      <w:r w:rsidRPr="00F16485">
        <w:rPr>
          <w:lang w:val="es-ES"/>
        </w:rPr>
        <w:t>Longitud (grados)</w:t>
      </w:r>
    </w:p>
    <w:p w14:paraId="492EB236" w14:textId="04664B55" w:rsidR="0086036C" w:rsidRPr="00161AE8" w:rsidRDefault="0086036C" w:rsidP="00F16485">
      <w:pPr>
        <w:rPr>
          <w:lang w:val="es-ES"/>
        </w:rPr>
      </w:pPr>
      <w:r w:rsidRPr="0063145C">
        <w:rPr>
          <w:lang w:val="es-ES"/>
        </w:rPr>
        <w:t xml:space="preserve">Las dos figuras anteriores indican que el funcionamiento del enlace descendente de las IMT terrenales está claramente generando una interferencia importante </w:t>
      </w:r>
      <w:r>
        <w:rPr>
          <w:lang w:val="es-ES"/>
        </w:rPr>
        <w:t xml:space="preserve">en los enlaces ascendentes del satélite IMT, incluso cuando las </w:t>
      </w:r>
      <w:proofErr w:type="gramStart"/>
      <w:r>
        <w:rPr>
          <w:lang w:val="es-ES"/>
        </w:rPr>
        <w:t>estaciones terrenal</w:t>
      </w:r>
      <w:proofErr w:type="gramEnd"/>
      <w:r>
        <w:rPr>
          <w:lang w:val="es-ES"/>
        </w:rPr>
        <w:t xml:space="preserve"> y de satélite se encuentran a miles de kilómetros de distancia. </w:t>
      </w:r>
      <w:r w:rsidRPr="00161AE8">
        <w:rPr>
          <w:lang w:val="es-ES"/>
        </w:rPr>
        <w:t>Esta conclusión confirma que la interferencia proveniente del funcionamiento del enlace descendente de las IMT terrenales en el segmento de enlace ascendente de las IMT de sat</w:t>
      </w:r>
      <w:r>
        <w:rPr>
          <w:lang w:val="es-ES"/>
        </w:rPr>
        <w:t xml:space="preserve">élite es un problema internacional que afecta a la compatibilidad técnica mundial entre las IMT terrenales y de satélite en la banda de frecuencias </w:t>
      </w:r>
      <w:r w:rsidRPr="00161AE8">
        <w:rPr>
          <w:lang w:val="es-ES"/>
        </w:rPr>
        <w:t>1 980-2 010</w:t>
      </w:r>
      <w:r w:rsidR="00840AC3">
        <w:rPr>
          <w:lang w:val="es-ES"/>
        </w:rPr>
        <w:t> </w:t>
      </w:r>
      <w:r w:rsidRPr="00161AE8">
        <w:rPr>
          <w:lang w:val="es-ES"/>
        </w:rPr>
        <w:t>MHz.</w:t>
      </w:r>
    </w:p>
    <w:p w14:paraId="1F77A247" w14:textId="77777777" w:rsidR="0086036C" w:rsidRPr="00161AE8" w:rsidRDefault="0086036C" w:rsidP="0086036C">
      <w:pPr>
        <w:rPr>
          <w:b/>
          <w:szCs w:val="24"/>
          <w:lang w:val="es-ES"/>
        </w:rPr>
      </w:pPr>
    </w:p>
    <w:p w14:paraId="4B993D68" w14:textId="77777777" w:rsidR="0086036C" w:rsidRPr="00161AE8" w:rsidRDefault="0086036C" w:rsidP="0086036C">
      <w:pPr>
        <w:rPr>
          <w:b/>
          <w:szCs w:val="24"/>
          <w:lang w:val="es-ES"/>
        </w:rPr>
      </w:pPr>
      <w:r w:rsidRPr="00161AE8">
        <w:rPr>
          <w:b/>
          <w:szCs w:val="24"/>
          <w:lang w:val="es-ES"/>
        </w:rPr>
        <w:br w:type="page"/>
      </w:r>
    </w:p>
    <w:p w14:paraId="50D5A0C9" w14:textId="77777777" w:rsidR="0086036C" w:rsidRPr="00F16485" w:rsidRDefault="0086036C" w:rsidP="00F16485">
      <w:pPr>
        <w:pStyle w:val="AnnexNo"/>
      </w:pPr>
      <w:r w:rsidRPr="00F16485">
        <w:lastRenderedPageBreak/>
        <w:t>AnexO C</w:t>
      </w:r>
    </w:p>
    <w:p w14:paraId="2E862F57" w14:textId="46A9E8E5" w:rsidR="0086036C" w:rsidRPr="00F16485" w:rsidRDefault="0086036C" w:rsidP="00F16485">
      <w:pPr>
        <w:pStyle w:val="Annextitle"/>
      </w:pPr>
      <w:r w:rsidRPr="00F16485">
        <w:t>Obtención de los valores de los parámetros del Cuadro</w:t>
      </w:r>
      <w:r w:rsidR="00840AC3">
        <w:t> </w:t>
      </w:r>
      <w:r w:rsidRPr="00F16485">
        <w:t>7a del Apéndice</w:t>
      </w:r>
      <w:r w:rsidR="00840AC3">
        <w:t> </w:t>
      </w:r>
      <w:r w:rsidRPr="00F16485">
        <w:t>7</w:t>
      </w:r>
    </w:p>
    <w:p w14:paraId="702094CE" w14:textId="77E97822" w:rsidR="0086036C" w:rsidRPr="00B10215" w:rsidRDefault="0086036C" w:rsidP="00F16485">
      <w:pPr>
        <w:rPr>
          <w:lang w:val="es-ES"/>
        </w:rPr>
      </w:pPr>
      <w:r w:rsidRPr="00827EBC">
        <w:rPr>
          <w:lang w:val="es-ES"/>
        </w:rPr>
        <w:t>Para abordar el escenario de interferencia B1, se proponen modificaciones al Apéndice</w:t>
      </w:r>
      <w:r w:rsidR="00F16485">
        <w:rPr>
          <w:lang w:val="es-ES"/>
        </w:rPr>
        <w:t> </w:t>
      </w:r>
      <w:r w:rsidRPr="00827EBC">
        <w:rPr>
          <w:lang w:val="es-ES"/>
        </w:rPr>
        <w:t xml:space="preserve">7 a fin de incluir parámetros </w:t>
      </w:r>
      <w:r>
        <w:rPr>
          <w:lang w:val="es-ES"/>
        </w:rPr>
        <w:t xml:space="preserve">relevantes en materia de modulación digital, necesarios para determinar la distancia de coordinación para una estación terrena transmisora. </w:t>
      </w:r>
      <w:r w:rsidRPr="00827EBC">
        <w:rPr>
          <w:lang w:val="es-ES"/>
        </w:rPr>
        <w:t>Los parámetros se basan en las características de las estaciones base IMT receptoras d</w:t>
      </w:r>
      <w:r>
        <w:rPr>
          <w:lang w:val="es-ES"/>
        </w:rPr>
        <w:t>e conformidad con el Informe UI</w:t>
      </w:r>
      <w:r w:rsidR="00840AC3">
        <w:rPr>
          <w:lang w:val="es-ES"/>
        </w:rPr>
        <w:t>T</w:t>
      </w:r>
      <w:r w:rsidR="00840AC3">
        <w:rPr>
          <w:lang w:val="es-ES"/>
        </w:rPr>
        <w:noBreakHyphen/>
      </w:r>
      <w:r w:rsidRPr="00827EBC">
        <w:rPr>
          <w:lang w:val="es-ES"/>
        </w:rPr>
        <w:t>R</w:t>
      </w:r>
      <w:r w:rsidR="00F16485">
        <w:rPr>
          <w:lang w:val="es-ES"/>
        </w:rPr>
        <w:t> </w:t>
      </w:r>
      <w:r w:rsidRPr="00827EBC">
        <w:rPr>
          <w:lang w:val="es-ES"/>
        </w:rPr>
        <w:t>M.2292. Esta modificación ayudará a las administraciones a determinar las distancias de coordinaci</w:t>
      </w:r>
      <w:r>
        <w:rPr>
          <w:lang w:val="es-ES"/>
        </w:rPr>
        <w:t>ón necesarias. Las observaciones del Cuadro siguiente describen los diferentes parámetros y cálculos.</w:t>
      </w:r>
      <w:bookmarkStart w:id="6" w:name="_GoBack"/>
      <w:bookmarkEnd w:id="6"/>
    </w:p>
    <w:p w14:paraId="7DCE60F3" w14:textId="4A0F7535" w:rsidR="0086036C" w:rsidRPr="00827EBC" w:rsidRDefault="0086036C" w:rsidP="00F16485">
      <w:pPr>
        <w:pStyle w:val="Tabletitle"/>
        <w:spacing w:before="240"/>
        <w:rPr>
          <w:lang w:val="es-ES"/>
        </w:rPr>
      </w:pPr>
      <w:bookmarkStart w:id="7" w:name="_Toc451865291"/>
      <w:r w:rsidRPr="00827EBC">
        <w:rPr>
          <w:lang w:val="es-ES"/>
        </w:rPr>
        <w:t xml:space="preserve">Cuadro C1: Parámetros necesarios para </w:t>
      </w:r>
      <w:r w:rsidRPr="00F16485">
        <w:t>determinar</w:t>
      </w:r>
      <w:r w:rsidRPr="00827EBC">
        <w:rPr>
          <w:lang w:val="es-ES"/>
        </w:rPr>
        <w:t xml:space="preserve"> la distancia de coordinación </w:t>
      </w:r>
      <w:r w:rsidR="00F16485">
        <w:rPr>
          <w:lang w:val="es-ES"/>
        </w:rPr>
        <w:br/>
      </w:r>
      <w:r w:rsidRPr="00827EBC">
        <w:rPr>
          <w:lang w:val="es-ES"/>
        </w:rPr>
        <w:t>para una estación terrena transmisora</w:t>
      </w:r>
    </w:p>
    <w:tbl>
      <w:tblPr>
        <w:tblW w:w="9337" w:type="dxa"/>
        <w:jc w:val="right"/>
        <w:tblLayout w:type="fixed"/>
        <w:tblCellMar>
          <w:left w:w="57" w:type="dxa"/>
          <w:right w:w="57" w:type="dxa"/>
        </w:tblCellMar>
        <w:tblLook w:val="04A0" w:firstRow="1" w:lastRow="0" w:firstColumn="1" w:lastColumn="0" w:noHBand="0" w:noVBand="1"/>
      </w:tblPr>
      <w:tblGrid>
        <w:gridCol w:w="1094"/>
        <w:gridCol w:w="1093"/>
        <w:gridCol w:w="633"/>
        <w:gridCol w:w="709"/>
        <w:gridCol w:w="5808"/>
      </w:tblGrid>
      <w:tr w:rsidR="0086036C" w14:paraId="79BD4C46" w14:textId="77777777" w:rsidTr="0054354F">
        <w:trPr>
          <w:tblHeader/>
          <w:jc w:val="right"/>
        </w:trPr>
        <w:tc>
          <w:tcPr>
            <w:tcW w:w="2187" w:type="dxa"/>
            <w:gridSpan w:val="2"/>
            <w:tcBorders>
              <w:top w:val="single" w:sz="6" w:space="0" w:color="auto"/>
              <w:left w:val="single" w:sz="6" w:space="0" w:color="auto"/>
              <w:bottom w:val="nil"/>
              <w:right w:val="single" w:sz="6" w:space="0" w:color="auto"/>
            </w:tcBorders>
            <w:vAlign w:val="center"/>
            <w:hideMark/>
          </w:tcPr>
          <w:p w14:paraId="716A3A5E" w14:textId="77777777" w:rsidR="0086036C" w:rsidRPr="007427E1" w:rsidRDefault="0086036C" w:rsidP="00F16485">
            <w:pPr>
              <w:pStyle w:val="Tablehead"/>
              <w:rPr>
                <w:lang w:val="es-ES"/>
              </w:rPr>
            </w:pPr>
            <w:r w:rsidRPr="007427E1">
              <w:rPr>
                <w:lang w:val="es-ES"/>
              </w:rPr>
              <w:t>Designación del servicio de radiocomunicación</w:t>
            </w:r>
          </w:p>
        </w:tc>
        <w:tc>
          <w:tcPr>
            <w:tcW w:w="1342" w:type="dxa"/>
            <w:gridSpan w:val="2"/>
            <w:tcBorders>
              <w:top w:val="single" w:sz="6" w:space="0" w:color="auto"/>
              <w:left w:val="single" w:sz="6" w:space="0" w:color="auto"/>
              <w:bottom w:val="single" w:sz="6" w:space="0" w:color="auto"/>
              <w:right w:val="single" w:sz="6" w:space="0" w:color="auto"/>
            </w:tcBorders>
            <w:vAlign w:val="center"/>
            <w:hideMark/>
          </w:tcPr>
          <w:p w14:paraId="134E1E2A" w14:textId="1EE7D1D7" w:rsidR="0086036C" w:rsidRDefault="00840AC3" w:rsidP="00F16485">
            <w:pPr>
              <w:pStyle w:val="Tablehead"/>
              <w:rPr>
                <w:lang w:val="en-US"/>
              </w:rPr>
            </w:pPr>
            <w:r>
              <w:rPr>
                <w:lang w:val="en-US"/>
              </w:rPr>
              <w:t>M</w:t>
            </w:r>
            <w:r w:rsidR="0086036C">
              <w:rPr>
                <w:lang w:val="en-US"/>
              </w:rPr>
              <w:t>óvil-</w:t>
            </w:r>
            <w:r w:rsidR="0086036C">
              <w:rPr>
                <w:lang w:val="en-US"/>
              </w:rPr>
              <w:br/>
              <w:t>por satélite</w:t>
            </w:r>
          </w:p>
        </w:tc>
        <w:tc>
          <w:tcPr>
            <w:tcW w:w="5808" w:type="dxa"/>
            <w:tcBorders>
              <w:top w:val="single" w:sz="6" w:space="0" w:color="auto"/>
              <w:left w:val="single" w:sz="6" w:space="0" w:color="auto"/>
              <w:bottom w:val="single" w:sz="6" w:space="0" w:color="auto"/>
              <w:right w:val="single" w:sz="6" w:space="0" w:color="auto"/>
            </w:tcBorders>
            <w:vAlign w:val="center"/>
            <w:hideMark/>
          </w:tcPr>
          <w:p w14:paraId="36E7E808" w14:textId="77777777" w:rsidR="0086036C" w:rsidRDefault="0086036C" w:rsidP="00F16485">
            <w:pPr>
              <w:pStyle w:val="Tablehead"/>
              <w:rPr>
                <w:lang w:val="en-US"/>
              </w:rPr>
            </w:pPr>
            <w:r>
              <w:rPr>
                <w:lang w:val="en-US"/>
              </w:rPr>
              <w:t>Observaciones</w:t>
            </w:r>
          </w:p>
        </w:tc>
      </w:tr>
      <w:tr w:rsidR="0086036C" w14:paraId="11A990C6" w14:textId="77777777" w:rsidTr="0054354F">
        <w:trPr>
          <w:cantSplit/>
          <w:jc w:val="right"/>
        </w:trPr>
        <w:tc>
          <w:tcPr>
            <w:tcW w:w="2187" w:type="dxa"/>
            <w:gridSpan w:val="2"/>
            <w:tcBorders>
              <w:top w:val="single" w:sz="6" w:space="0" w:color="auto"/>
              <w:left w:val="single" w:sz="6" w:space="0" w:color="auto"/>
              <w:bottom w:val="nil"/>
              <w:right w:val="single" w:sz="6" w:space="0" w:color="auto"/>
            </w:tcBorders>
            <w:hideMark/>
          </w:tcPr>
          <w:p w14:paraId="6E2423AB" w14:textId="77777777" w:rsidR="0086036C" w:rsidRDefault="0086036C" w:rsidP="00F16485">
            <w:pPr>
              <w:pStyle w:val="Tabletext"/>
              <w:rPr>
                <w:lang w:val="en-US"/>
              </w:rPr>
            </w:pPr>
            <w:r>
              <w:rPr>
                <w:lang w:val="en-US"/>
              </w:rPr>
              <w:t>Bandas de frecuencias (MHz)</w:t>
            </w:r>
          </w:p>
        </w:tc>
        <w:tc>
          <w:tcPr>
            <w:tcW w:w="1342" w:type="dxa"/>
            <w:gridSpan w:val="2"/>
            <w:tcBorders>
              <w:top w:val="single" w:sz="6" w:space="0" w:color="auto"/>
              <w:left w:val="single" w:sz="6" w:space="0" w:color="auto"/>
              <w:bottom w:val="single" w:sz="6" w:space="0" w:color="auto"/>
              <w:right w:val="single" w:sz="6" w:space="0" w:color="auto"/>
            </w:tcBorders>
            <w:hideMark/>
          </w:tcPr>
          <w:p w14:paraId="7B795C44" w14:textId="77777777" w:rsidR="0086036C" w:rsidRDefault="0086036C" w:rsidP="00F66118">
            <w:pPr>
              <w:pStyle w:val="Tabletext"/>
              <w:jc w:val="center"/>
              <w:rPr>
                <w:lang w:val="en-US"/>
              </w:rPr>
            </w:pPr>
            <w:r>
              <w:rPr>
                <w:lang w:val="en-US"/>
              </w:rPr>
              <w:t>1 980-2 025</w:t>
            </w:r>
          </w:p>
        </w:tc>
        <w:tc>
          <w:tcPr>
            <w:tcW w:w="5808" w:type="dxa"/>
            <w:tcBorders>
              <w:top w:val="single" w:sz="6" w:space="0" w:color="auto"/>
              <w:left w:val="single" w:sz="6" w:space="0" w:color="auto"/>
              <w:bottom w:val="single" w:sz="6" w:space="0" w:color="auto"/>
              <w:right w:val="single" w:sz="6" w:space="0" w:color="auto"/>
            </w:tcBorders>
            <w:hideMark/>
          </w:tcPr>
          <w:p w14:paraId="79D5945C" w14:textId="77777777" w:rsidR="0086036C" w:rsidRDefault="0086036C" w:rsidP="00F16485">
            <w:pPr>
              <w:pStyle w:val="Tabletext"/>
              <w:rPr>
                <w:lang w:val="en-US"/>
              </w:rPr>
            </w:pPr>
            <w:r>
              <w:rPr>
                <w:lang w:val="en-US"/>
              </w:rPr>
              <w:t>-</w:t>
            </w:r>
          </w:p>
        </w:tc>
      </w:tr>
      <w:tr w:rsidR="0086036C" w14:paraId="616BF406" w14:textId="77777777" w:rsidTr="0054354F">
        <w:trPr>
          <w:cantSplit/>
          <w:jc w:val="right"/>
        </w:trPr>
        <w:tc>
          <w:tcPr>
            <w:tcW w:w="2187" w:type="dxa"/>
            <w:gridSpan w:val="2"/>
            <w:tcBorders>
              <w:top w:val="single" w:sz="6" w:space="0" w:color="auto"/>
              <w:left w:val="single" w:sz="6" w:space="0" w:color="auto"/>
              <w:bottom w:val="nil"/>
              <w:right w:val="single" w:sz="6" w:space="0" w:color="auto"/>
            </w:tcBorders>
            <w:hideMark/>
          </w:tcPr>
          <w:p w14:paraId="3123BF71" w14:textId="77777777" w:rsidR="0086036C" w:rsidRPr="00B10215" w:rsidRDefault="0086036C" w:rsidP="00F16485">
            <w:pPr>
              <w:pStyle w:val="Tabletext"/>
              <w:rPr>
                <w:lang w:val="es-ES"/>
              </w:rPr>
            </w:pPr>
            <w:r w:rsidRPr="00B10215">
              <w:rPr>
                <w:lang w:val="es-ES"/>
              </w:rPr>
              <w:t xml:space="preserve">Designación del servicio terrenal </w:t>
            </w:r>
            <w:r>
              <w:rPr>
                <w:lang w:val="es-ES"/>
              </w:rPr>
              <w:t>receptor</w:t>
            </w:r>
          </w:p>
        </w:tc>
        <w:tc>
          <w:tcPr>
            <w:tcW w:w="1342" w:type="dxa"/>
            <w:gridSpan w:val="2"/>
            <w:tcBorders>
              <w:top w:val="single" w:sz="6" w:space="0" w:color="auto"/>
              <w:left w:val="single" w:sz="6" w:space="0" w:color="auto"/>
              <w:bottom w:val="single" w:sz="6" w:space="0" w:color="auto"/>
              <w:right w:val="single" w:sz="6" w:space="0" w:color="auto"/>
            </w:tcBorders>
            <w:hideMark/>
          </w:tcPr>
          <w:p w14:paraId="43741EC7" w14:textId="77777777" w:rsidR="0086036C" w:rsidRDefault="0086036C" w:rsidP="00F66118">
            <w:pPr>
              <w:pStyle w:val="Tabletext"/>
              <w:jc w:val="center"/>
              <w:rPr>
                <w:lang w:val="en-US"/>
              </w:rPr>
            </w:pPr>
            <w:r>
              <w:rPr>
                <w:lang w:val="en-US"/>
              </w:rPr>
              <w:t>Fijo, móvil</w:t>
            </w:r>
          </w:p>
        </w:tc>
        <w:tc>
          <w:tcPr>
            <w:tcW w:w="5808" w:type="dxa"/>
            <w:tcBorders>
              <w:top w:val="single" w:sz="6" w:space="0" w:color="auto"/>
              <w:left w:val="single" w:sz="6" w:space="0" w:color="auto"/>
              <w:bottom w:val="single" w:sz="6" w:space="0" w:color="auto"/>
              <w:right w:val="single" w:sz="6" w:space="0" w:color="auto"/>
            </w:tcBorders>
            <w:hideMark/>
          </w:tcPr>
          <w:p w14:paraId="58CD9221" w14:textId="77777777" w:rsidR="0086036C" w:rsidRDefault="0086036C" w:rsidP="00F16485">
            <w:pPr>
              <w:pStyle w:val="Tabletext"/>
              <w:rPr>
                <w:lang w:val="en-US"/>
              </w:rPr>
            </w:pPr>
            <w:r>
              <w:rPr>
                <w:lang w:val="en-US"/>
              </w:rPr>
              <w:t>-</w:t>
            </w:r>
          </w:p>
        </w:tc>
      </w:tr>
      <w:tr w:rsidR="0086036C" w14:paraId="0019367C" w14:textId="77777777" w:rsidTr="0054354F">
        <w:trPr>
          <w:cantSplit/>
          <w:jc w:val="right"/>
        </w:trPr>
        <w:tc>
          <w:tcPr>
            <w:tcW w:w="2187" w:type="dxa"/>
            <w:gridSpan w:val="2"/>
            <w:tcBorders>
              <w:top w:val="single" w:sz="6" w:space="0" w:color="auto"/>
              <w:left w:val="single" w:sz="6" w:space="0" w:color="auto"/>
              <w:bottom w:val="nil"/>
              <w:right w:val="single" w:sz="6" w:space="0" w:color="auto"/>
            </w:tcBorders>
            <w:hideMark/>
          </w:tcPr>
          <w:p w14:paraId="057D6393" w14:textId="77777777" w:rsidR="0086036C" w:rsidRDefault="0086036C" w:rsidP="00F16485">
            <w:pPr>
              <w:pStyle w:val="Tabletext"/>
              <w:rPr>
                <w:lang w:val="en-US"/>
              </w:rPr>
            </w:pPr>
            <w:r>
              <w:rPr>
                <w:lang w:val="en-US"/>
              </w:rPr>
              <w:t>Método a utilizar</w:t>
            </w:r>
          </w:p>
        </w:tc>
        <w:tc>
          <w:tcPr>
            <w:tcW w:w="1342" w:type="dxa"/>
            <w:gridSpan w:val="2"/>
            <w:tcBorders>
              <w:top w:val="single" w:sz="6" w:space="0" w:color="auto"/>
              <w:left w:val="single" w:sz="6" w:space="0" w:color="auto"/>
              <w:bottom w:val="single" w:sz="6" w:space="0" w:color="auto"/>
              <w:right w:val="single" w:sz="6" w:space="0" w:color="auto"/>
            </w:tcBorders>
            <w:hideMark/>
          </w:tcPr>
          <w:p w14:paraId="3661A644" w14:textId="77777777" w:rsidR="0086036C" w:rsidRDefault="0086036C" w:rsidP="00F66118">
            <w:pPr>
              <w:pStyle w:val="Tabletext"/>
              <w:jc w:val="center"/>
              <w:rPr>
                <w:lang w:val="en-US"/>
              </w:rPr>
            </w:pPr>
            <w:r>
              <w:rPr>
                <w:lang w:val="en-US"/>
              </w:rPr>
              <w:t>§ 1.4.6</w:t>
            </w:r>
          </w:p>
        </w:tc>
        <w:tc>
          <w:tcPr>
            <w:tcW w:w="5808" w:type="dxa"/>
            <w:tcBorders>
              <w:top w:val="single" w:sz="6" w:space="0" w:color="auto"/>
              <w:left w:val="single" w:sz="6" w:space="0" w:color="auto"/>
              <w:bottom w:val="single" w:sz="6" w:space="0" w:color="auto"/>
              <w:right w:val="single" w:sz="6" w:space="0" w:color="auto"/>
            </w:tcBorders>
            <w:hideMark/>
          </w:tcPr>
          <w:p w14:paraId="5B344A74" w14:textId="77777777" w:rsidR="0086036C" w:rsidRDefault="0086036C" w:rsidP="00F16485">
            <w:pPr>
              <w:pStyle w:val="Tabletext"/>
              <w:rPr>
                <w:lang w:val="en-US"/>
              </w:rPr>
            </w:pPr>
            <w:r>
              <w:rPr>
                <w:lang w:val="en-US"/>
              </w:rPr>
              <w:t>-</w:t>
            </w:r>
          </w:p>
        </w:tc>
      </w:tr>
      <w:tr w:rsidR="0086036C" w14:paraId="62E9C8E1" w14:textId="77777777" w:rsidTr="0054354F">
        <w:trPr>
          <w:cantSplit/>
          <w:jc w:val="right"/>
        </w:trPr>
        <w:tc>
          <w:tcPr>
            <w:tcW w:w="2187" w:type="dxa"/>
            <w:gridSpan w:val="2"/>
            <w:tcBorders>
              <w:top w:val="single" w:sz="6" w:space="0" w:color="auto"/>
              <w:left w:val="single" w:sz="6" w:space="0" w:color="auto"/>
              <w:bottom w:val="nil"/>
              <w:right w:val="single" w:sz="6" w:space="0" w:color="auto"/>
            </w:tcBorders>
            <w:hideMark/>
          </w:tcPr>
          <w:p w14:paraId="624BED90" w14:textId="77777777" w:rsidR="0086036C" w:rsidRPr="00B10215" w:rsidRDefault="0086036C" w:rsidP="00F16485">
            <w:pPr>
              <w:pStyle w:val="Tabletext"/>
              <w:rPr>
                <w:lang w:val="es-ES"/>
              </w:rPr>
            </w:pPr>
            <w:r w:rsidRPr="00B10215">
              <w:rPr>
                <w:lang w:val="es-ES"/>
              </w:rPr>
              <w:t xml:space="preserve">Modulación en la estación terrenal  </w:t>
            </w:r>
            <w:r w:rsidRPr="00B10215">
              <w:rPr>
                <w:position w:val="4"/>
                <w:lang w:val="es-ES"/>
              </w:rPr>
              <w:t>1</w:t>
            </w:r>
          </w:p>
        </w:tc>
        <w:tc>
          <w:tcPr>
            <w:tcW w:w="633" w:type="dxa"/>
            <w:tcBorders>
              <w:top w:val="single" w:sz="6" w:space="0" w:color="auto"/>
              <w:left w:val="single" w:sz="6" w:space="0" w:color="auto"/>
              <w:bottom w:val="single" w:sz="6" w:space="0" w:color="auto"/>
              <w:right w:val="single" w:sz="6" w:space="0" w:color="auto"/>
            </w:tcBorders>
            <w:hideMark/>
          </w:tcPr>
          <w:p w14:paraId="15E5A833" w14:textId="77777777" w:rsidR="0086036C" w:rsidRDefault="0086036C" w:rsidP="00F66118">
            <w:pPr>
              <w:pStyle w:val="Tabletext"/>
              <w:jc w:val="center"/>
              <w:rPr>
                <w:lang w:val="en-US"/>
              </w:rPr>
            </w:pPr>
            <w:r>
              <w:rPr>
                <w:lang w:val="en-US"/>
              </w:rPr>
              <w:t>A</w:t>
            </w:r>
          </w:p>
        </w:tc>
        <w:tc>
          <w:tcPr>
            <w:tcW w:w="709" w:type="dxa"/>
            <w:tcBorders>
              <w:top w:val="single" w:sz="6" w:space="0" w:color="auto"/>
              <w:left w:val="single" w:sz="6" w:space="0" w:color="auto"/>
              <w:bottom w:val="single" w:sz="6" w:space="0" w:color="auto"/>
              <w:right w:val="single" w:sz="6" w:space="0" w:color="auto"/>
            </w:tcBorders>
            <w:hideMark/>
          </w:tcPr>
          <w:p w14:paraId="26726972" w14:textId="77777777" w:rsidR="0086036C" w:rsidRDefault="0086036C" w:rsidP="00F66118">
            <w:pPr>
              <w:pStyle w:val="Tabletext"/>
              <w:jc w:val="center"/>
              <w:rPr>
                <w:lang w:val="en-US"/>
              </w:rPr>
            </w:pPr>
            <w:r>
              <w:rPr>
                <w:lang w:val="en-US"/>
              </w:rPr>
              <w:t>N</w:t>
            </w:r>
          </w:p>
        </w:tc>
        <w:tc>
          <w:tcPr>
            <w:tcW w:w="5808" w:type="dxa"/>
            <w:tcBorders>
              <w:top w:val="single" w:sz="6" w:space="0" w:color="auto"/>
              <w:left w:val="single" w:sz="6" w:space="0" w:color="auto"/>
              <w:bottom w:val="single" w:sz="6" w:space="0" w:color="auto"/>
              <w:right w:val="single" w:sz="6" w:space="0" w:color="auto"/>
            </w:tcBorders>
            <w:hideMark/>
          </w:tcPr>
          <w:p w14:paraId="0E4407BE" w14:textId="77777777" w:rsidR="0086036C" w:rsidRDefault="0086036C" w:rsidP="00F16485">
            <w:pPr>
              <w:pStyle w:val="Tabletext"/>
              <w:rPr>
                <w:lang w:val="en-US"/>
              </w:rPr>
            </w:pPr>
            <w:r>
              <w:rPr>
                <w:lang w:val="en-US"/>
              </w:rPr>
              <w:t>-</w:t>
            </w:r>
          </w:p>
        </w:tc>
      </w:tr>
      <w:tr w:rsidR="0086036C" w:rsidRPr="00B10215" w14:paraId="1A0C1795" w14:textId="77777777" w:rsidTr="0054354F">
        <w:trPr>
          <w:cantSplit/>
          <w:jc w:val="right"/>
        </w:trPr>
        <w:tc>
          <w:tcPr>
            <w:tcW w:w="1094" w:type="dxa"/>
            <w:vMerge w:val="restart"/>
            <w:tcBorders>
              <w:top w:val="single" w:sz="6" w:space="0" w:color="auto"/>
              <w:left w:val="single" w:sz="6" w:space="0" w:color="auto"/>
              <w:bottom w:val="single" w:sz="6" w:space="0" w:color="auto"/>
              <w:right w:val="single" w:sz="6" w:space="0" w:color="auto"/>
            </w:tcBorders>
            <w:hideMark/>
          </w:tcPr>
          <w:p w14:paraId="3DCC5D2B" w14:textId="77777777" w:rsidR="0086036C" w:rsidRPr="00B10215" w:rsidRDefault="0086036C" w:rsidP="00F16485">
            <w:pPr>
              <w:pStyle w:val="Tabletext"/>
              <w:rPr>
                <w:lang w:val="es-ES"/>
              </w:rPr>
            </w:pPr>
            <w:r w:rsidRPr="00B10215">
              <w:rPr>
                <w:lang w:val="es-ES"/>
              </w:rPr>
              <w:t>Parámetros y criterio</w:t>
            </w:r>
            <w:r>
              <w:rPr>
                <w:lang w:val="es-ES"/>
              </w:rPr>
              <w:t>s</w:t>
            </w:r>
            <w:r w:rsidRPr="00B10215">
              <w:rPr>
                <w:lang w:val="es-ES"/>
              </w:rPr>
              <w:t xml:space="preserve"> de interferencia de la estaci</w:t>
            </w:r>
            <w:r>
              <w:rPr>
                <w:lang w:val="es-ES"/>
              </w:rPr>
              <w:t xml:space="preserve">ón terrenal </w:t>
            </w:r>
          </w:p>
        </w:tc>
        <w:tc>
          <w:tcPr>
            <w:tcW w:w="1093" w:type="dxa"/>
            <w:tcBorders>
              <w:top w:val="single" w:sz="6" w:space="0" w:color="auto"/>
              <w:left w:val="single" w:sz="6" w:space="0" w:color="auto"/>
              <w:bottom w:val="single" w:sz="6" w:space="0" w:color="auto"/>
              <w:right w:val="single" w:sz="6" w:space="0" w:color="auto"/>
            </w:tcBorders>
            <w:hideMark/>
          </w:tcPr>
          <w:p w14:paraId="641F1701" w14:textId="77777777" w:rsidR="0086036C" w:rsidRDefault="0086036C" w:rsidP="00F16485">
            <w:pPr>
              <w:pStyle w:val="Tabletext"/>
              <w:rPr>
                <w:lang w:val="en-US"/>
              </w:rPr>
            </w:pPr>
            <w:r>
              <w:rPr>
                <w:i/>
                <w:iCs/>
                <w:lang w:val="en-US"/>
              </w:rPr>
              <w:t>p</w:t>
            </w:r>
            <w:r>
              <w:rPr>
                <w:position w:val="-4"/>
                <w:lang w:val="en-US"/>
              </w:rPr>
              <w:t>0</w:t>
            </w:r>
            <w:r>
              <w:rPr>
                <w:lang w:val="en-US"/>
              </w:rPr>
              <w:t xml:space="preserve"> (%)</w:t>
            </w:r>
          </w:p>
        </w:tc>
        <w:tc>
          <w:tcPr>
            <w:tcW w:w="633" w:type="dxa"/>
            <w:tcBorders>
              <w:top w:val="single" w:sz="6" w:space="0" w:color="auto"/>
              <w:left w:val="single" w:sz="6" w:space="0" w:color="auto"/>
              <w:bottom w:val="single" w:sz="6" w:space="0" w:color="auto"/>
              <w:right w:val="single" w:sz="6" w:space="0" w:color="auto"/>
            </w:tcBorders>
            <w:hideMark/>
          </w:tcPr>
          <w:p w14:paraId="17C28025" w14:textId="77777777" w:rsidR="0086036C" w:rsidRDefault="0086036C" w:rsidP="00F66118">
            <w:pPr>
              <w:pStyle w:val="Tabletext"/>
              <w:jc w:val="center"/>
              <w:rPr>
                <w:lang w:val="en-US"/>
              </w:rPr>
            </w:pPr>
            <w:r>
              <w:rPr>
                <w:lang w:val="en-US"/>
              </w:rPr>
              <w:t>0,01</w:t>
            </w:r>
          </w:p>
        </w:tc>
        <w:tc>
          <w:tcPr>
            <w:tcW w:w="709" w:type="dxa"/>
            <w:tcBorders>
              <w:top w:val="single" w:sz="6" w:space="0" w:color="auto"/>
              <w:left w:val="single" w:sz="6" w:space="0" w:color="auto"/>
              <w:bottom w:val="single" w:sz="6" w:space="0" w:color="auto"/>
              <w:right w:val="single" w:sz="6" w:space="0" w:color="auto"/>
            </w:tcBorders>
            <w:hideMark/>
          </w:tcPr>
          <w:p w14:paraId="1BBACBCF" w14:textId="77777777" w:rsidR="0086036C" w:rsidRDefault="0086036C" w:rsidP="00F66118">
            <w:pPr>
              <w:pStyle w:val="Tabletext"/>
              <w:jc w:val="center"/>
              <w:rPr>
                <w:lang w:val="en-US"/>
              </w:rPr>
            </w:pPr>
            <w:r>
              <w:rPr>
                <w:lang w:val="en-US" w:eastAsia="ru-RU"/>
              </w:rPr>
              <w:t>20</w:t>
            </w:r>
          </w:p>
        </w:tc>
        <w:tc>
          <w:tcPr>
            <w:tcW w:w="5808" w:type="dxa"/>
            <w:tcBorders>
              <w:top w:val="single" w:sz="6" w:space="0" w:color="auto"/>
              <w:left w:val="single" w:sz="6" w:space="0" w:color="auto"/>
              <w:bottom w:val="single" w:sz="6" w:space="0" w:color="auto"/>
              <w:right w:val="single" w:sz="6" w:space="0" w:color="auto"/>
            </w:tcBorders>
            <w:hideMark/>
          </w:tcPr>
          <w:p w14:paraId="682978CC" w14:textId="77777777" w:rsidR="0086036C" w:rsidRPr="00B10215" w:rsidRDefault="0086036C" w:rsidP="00F16485">
            <w:pPr>
              <w:pStyle w:val="Tabletext"/>
              <w:rPr>
                <w:lang w:val="es-ES"/>
              </w:rPr>
            </w:pPr>
            <w:r w:rsidRPr="00B10215">
              <w:rPr>
                <w:lang w:val="es-ES"/>
              </w:rPr>
              <w:t xml:space="preserve">Porcentaje  de tiempo durante el </w:t>
            </w:r>
            <w:r>
              <w:rPr>
                <w:lang w:val="es-ES"/>
              </w:rPr>
              <w:t>que</w:t>
            </w:r>
            <w:r w:rsidRPr="00B10215">
              <w:rPr>
                <w:lang w:val="es-ES"/>
              </w:rPr>
              <w:t xml:space="preserve"> la interferencia </w:t>
            </w:r>
            <w:r>
              <w:rPr>
                <w:lang w:val="es-ES"/>
              </w:rPr>
              <w:t>procedente</w:t>
            </w:r>
            <w:r w:rsidRPr="00B10215">
              <w:rPr>
                <w:lang w:val="es-ES"/>
              </w:rPr>
              <w:t xml:space="preserve"> de todas las fuentes puede rebasar el valor umbral</w:t>
            </w:r>
          </w:p>
        </w:tc>
      </w:tr>
      <w:tr w:rsidR="0086036C" w:rsidRPr="0085490B" w14:paraId="22B08372" w14:textId="77777777" w:rsidTr="0054354F">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5CF17110" w14:textId="77777777" w:rsidR="0086036C" w:rsidRPr="00B10215" w:rsidRDefault="0086036C" w:rsidP="00F16485">
            <w:pPr>
              <w:pStyle w:val="Tabletext"/>
              <w:rPr>
                <w:lang w:val="es-ES"/>
              </w:rPr>
            </w:pPr>
          </w:p>
        </w:tc>
        <w:tc>
          <w:tcPr>
            <w:tcW w:w="1093" w:type="dxa"/>
            <w:tcBorders>
              <w:top w:val="single" w:sz="6" w:space="0" w:color="auto"/>
              <w:left w:val="single" w:sz="6" w:space="0" w:color="auto"/>
              <w:bottom w:val="single" w:sz="6" w:space="0" w:color="auto"/>
              <w:right w:val="single" w:sz="6" w:space="0" w:color="auto"/>
            </w:tcBorders>
            <w:hideMark/>
          </w:tcPr>
          <w:p w14:paraId="358B6D06" w14:textId="77777777" w:rsidR="0086036C" w:rsidRDefault="0086036C" w:rsidP="00F16485">
            <w:pPr>
              <w:pStyle w:val="Tabletext"/>
              <w:rPr>
                <w:i/>
                <w:iCs/>
                <w:lang w:val="en-US"/>
              </w:rPr>
            </w:pPr>
            <w:r>
              <w:rPr>
                <w:i/>
                <w:iCs/>
                <w:lang w:val="en-US"/>
              </w:rPr>
              <w:t>n</w:t>
            </w:r>
          </w:p>
        </w:tc>
        <w:tc>
          <w:tcPr>
            <w:tcW w:w="633" w:type="dxa"/>
            <w:tcBorders>
              <w:top w:val="single" w:sz="6" w:space="0" w:color="auto"/>
              <w:left w:val="single" w:sz="6" w:space="0" w:color="auto"/>
              <w:bottom w:val="single" w:sz="6" w:space="0" w:color="auto"/>
              <w:right w:val="single" w:sz="6" w:space="0" w:color="auto"/>
            </w:tcBorders>
            <w:hideMark/>
          </w:tcPr>
          <w:p w14:paraId="40E23C79" w14:textId="77777777" w:rsidR="0086036C" w:rsidRDefault="0086036C" w:rsidP="00F66118">
            <w:pPr>
              <w:pStyle w:val="Tabletext"/>
              <w:jc w:val="center"/>
              <w:rPr>
                <w:lang w:val="en-US"/>
              </w:rPr>
            </w:pPr>
            <w:r>
              <w:rPr>
                <w:lang w:val="en-US"/>
              </w:rPr>
              <w:t>2</w:t>
            </w:r>
          </w:p>
        </w:tc>
        <w:tc>
          <w:tcPr>
            <w:tcW w:w="709" w:type="dxa"/>
            <w:tcBorders>
              <w:top w:val="single" w:sz="6" w:space="0" w:color="auto"/>
              <w:left w:val="single" w:sz="6" w:space="0" w:color="auto"/>
              <w:bottom w:val="single" w:sz="6" w:space="0" w:color="auto"/>
              <w:right w:val="single" w:sz="6" w:space="0" w:color="auto"/>
            </w:tcBorders>
            <w:hideMark/>
          </w:tcPr>
          <w:p w14:paraId="4236B7C3" w14:textId="77777777" w:rsidR="0086036C" w:rsidRDefault="0086036C" w:rsidP="00F66118">
            <w:pPr>
              <w:pStyle w:val="Tabletext"/>
              <w:jc w:val="center"/>
              <w:rPr>
                <w:lang w:val="en-US"/>
              </w:rPr>
            </w:pPr>
            <w:r>
              <w:rPr>
                <w:lang w:val="en-US" w:eastAsia="ru-RU"/>
              </w:rPr>
              <w:t>1</w:t>
            </w:r>
          </w:p>
        </w:tc>
        <w:tc>
          <w:tcPr>
            <w:tcW w:w="5808" w:type="dxa"/>
            <w:tcBorders>
              <w:top w:val="single" w:sz="6" w:space="0" w:color="auto"/>
              <w:left w:val="single" w:sz="6" w:space="0" w:color="auto"/>
              <w:bottom w:val="single" w:sz="6" w:space="0" w:color="auto"/>
              <w:right w:val="single" w:sz="6" w:space="0" w:color="auto"/>
            </w:tcBorders>
            <w:hideMark/>
          </w:tcPr>
          <w:p w14:paraId="48348A75" w14:textId="77777777" w:rsidR="0086036C" w:rsidRPr="0085490B" w:rsidRDefault="0086036C" w:rsidP="00F16485">
            <w:pPr>
              <w:pStyle w:val="Tabletext"/>
              <w:rPr>
                <w:lang w:val="es-ES"/>
              </w:rPr>
            </w:pPr>
            <w:r>
              <w:rPr>
                <w:lang w:val="es-ES"/>
              </w:rPr>
              <w:t>N</w:t>
            </w:r>
            <w:r w:rsidRPr="0085490B">
              <w:rPr>
                <w:lang w:val="es-ES"/>
              </w:rPr>
              <w:t>úmero de fuentes de interferencia de igual nivel y de igual probabilidad, que se supone no están correlacionadas durante pequeños porcentajes de tiempo </w:t>
            </w:r>
          </w:p>
        </w:tc>
      </w:tr>
      <w:tr w:rsidR="0086036C" w:rsidRPr="00097612" w14:paraId="175952DC" w14:textId="77777777" w:rsidTr="0054354F">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68AF7731" w14:textId="77777777" w:rsidR="0086036C" w:rsidRPr="0085490B" w:rsidRDefault="0086036C" w:rsidP="00F16485">
            <w:pPr>
              <w:pStyle w:val="Tabletext"/>
              <w:rPr>
                <w:lang w:val="es-ES"/>
              </w:rPr>
            </w:pPr>
          </w:p>
        </w:tc>
        <w:tc>
          <w:tcPr>
            <w:tcW w:w="1093" w:type="dxa"/>
            <w:tcBorders>
              <w:top w:val="single" w:sz="6" w:space="0" w:color="auto"/>
              <w:left w:val="single" w:sz="6" w:space="0" w:color="auto"/>
              <w:bottom w:val="single" w:sz="6" w:space="0" w:color="auto"/>
              <w:right w:val="single" w:sz="6" w:space="0" w:color="auto"/>
            </w:tcBorders>
            <w:hideMark/>
          </w:tcPr>
          <w:p w14:paraId="2E7C7748" w14:textId="77777777" w:rsidR="0086036C" w:rsidRDefault="0086036C" w:rsidP="00F16485">
            <w:pPr>
              <w:pStyle w:val="Tabletext"/>
              <w:rPr>
                <w:position w:val="3"/>
                <w:lang w:val="en-US"/>
              </w:rPr>
            </w:pPr>
            <w:r>
              <w:rPr>
                <w:i/>
                <w:iCs/>
                <w:lang w:val="en-US"/>
              </w:rPr>
              <w:t>p</w:t>
            </w:r>
            <w:r>
              <w:rPr>
                <w:lang w:val="en-US"/>
              </w:rPr>
              <w:t xml:space="preserve"> (%)</w:t>
            </w:r>
          </w:p>
        </w:tc>
        <w:tc>
          <w:tcPr>
            <w:tcW w:w="633" w:type="dxa"/>
            <w:tcBorders>
              <w:top w:val="single" w:sz="6" w:space="0" w:color="auto"/>
              <w:left w:val="single" w:sz="6" w:space="0" w:color="auto"/>
              <w:bottom w:val="single" w:sz="6" w:space="0" w:color="auto"/>
              <w:right w:val="single" w:sz="6" w:space="0" w:color="auto"/>
            </w:tcBorders>
            <w:hideMark/>
          </w:tcPr>
          <w:p w14:paraId="77F8CEE2" w14:textId="77777777" w:rsidR="0086036C" w:rsidRDefault="0086036C" w:rsidP="00F66118">
            <w:pPr>
              <w:pStyle w:val="Tabletext"/>
              <w:jc w:val="center"/>
              <w:rPr>
                <w:lang w:val="en-US"/>
              </w:rPr>
            </w:pPr>
            <w:r>
              <w:rPr>
                <w:lang w:val="en-US"/>
              </w:rPr>
              <w:t>0,005</w:t>
            </w:r>
          </w:p>
        </w:tc>
        <w:tc>
          <w:tcPr>
            <w:tcW w:w="709" w:type="dxa"/>
            <w:tcBorders>
              <w:top w:val="single" w:sz="6" w:space="0" w:color="auto"/>
              <w:left w:val="single" w:sz="6" w:space="0" w:color="auto"/>
              <w:bottom w:val="single" w:sz="6" w:space="0" w:color="auto"/>
              <w:right w:val="single" w:sz="6" w:space="0" w:color="auto"/>
            </w:tcBorders>
            <w:hideMark/>
          </w:tcPr>
          <w:p w14:paraId="1F25AA1E" w14:textId="77777777" w:rsidR="0086036C" w:rsidRDefault="0086036C" w:rsidP="00F66118">
            <w:pPr>
              <w:pStyle w:val="Tabletext"/>
              <w:jc w:val="center"/>
              <w:rPr>
                <w:lang w:val="en-US"/>
              </w:rPr>
            </w:pPr>
            <w:r>
              <w:rPr>
                <w:lang w:val="en-US" w:eastAsia="ru-RU"/>
              </w:rPr>
              <w:t>20</w:t>
            </w:r>
          </w:p>
        </w:tc>
        <w:tc>
          <w:tcPr>
            <w:tcW w:w="5808" w:type="dxa"/>
            <w:tcBorders>
              <w:top w:val="single" w:sz="6" w:space="0" w:color="auto"/>
              <w:left w:val="single" w:sz="6" w:space="0" w:color="auto"/>
              <w:bottom w:val="single" w:sz="6" w:space="0" w:color="auto"/>
              <w:right w:val="single" w:sz="6" w:space="0" w:color="auto"/>
            </w:tcBorders>
            <w:hideMark/>
          </w:tcPr>
          <w:p w14:paraId="02FBF7AD" w14:textId="77777777" w:rsidR="0086036C" w:rsidRPr="00097612" w:rsidRDefault="0086036C" w:rsidP="00F16485">
            <w:pPr>
              <w:pStyle w:val="Tabletext"/>
              <w:rPr>
                <w:lang w:val="es-ES"/>
              </w:rPr>
            </w:pPr>
            <w:r>
              <w:rPr>
                <w:lang w:val="es-ES"/>
              </w:rPr>
              <w:t>P</w:t>
            </w:r>
            <w:r w:rsidRPr="0085490B">
              <w:rPr>
                <w:lang w:val="es-ES"/>
              </w:rPr>
              <w:t>orcentaje del tiempo durante el cual la interferencia de una fuente puede exceder el valor admisible, puesto que no es probable que las interferencias incidentes se produzcan simultáneamente</w:t>
            </w:r>
            <w:r>
              <w:rPr>
                <w:lang w:val="es-ES"/>
              </w:rPr>
              <w:t>,</w:t>
            </w:r>
            <w:r w:rsidRPr="0085490B">
              <w:rPr>
                <w:i/>
                <w:lang w:val="es-ES"/>
              </w:rPr>
              <w:t xml:space="preserve"> </w:t>
            </w:r>
            <w:r w:rsidRPr="00097612">
              <w:rPr>
                <w:i/>
                <w:lang w:val="es-ES"/>
              </w:rPr>
              <w:t>p</w:t>
            </w:r>
            <w:r w:rsidRPr="00097612">
              <w:rPr>
                <w:lang w:val="es-ES"/>
              </w:rPr>
              <w:t> = </w:t>
            </w:r>
            <w:r w:rsidRPr="00097612">
              <w:rPr>
                <w:i/>
                <w:lang w:val="es-ES"/>
              </w:rPr>
              <w:t>p</w:t>
            </w:r>
            <w:r w:rsidRPr="00097612">
              <w:rPr>
                <w:i/>
                <w:vertAlign w:val="subscript"/>
                <w:lang w:val="es-ES"/>
              </w:rPr>
              <w:t>0</w:t>
            </w:r>
            <w:r w:rsidRPr="00097612">
              <w:rPr>
                <w:lang w:val="es-ES"/>
              </w:rPr>
              <w:t>/</w:t>
            </w:r>
            <w:r w:rsidRPr="00097612">
              <w:rPr>
                <w:i/>
                <w:lang w:val="es-ES"/>
              </w:rPr>
              <w:t>n</w:t>
            </w:r>
          </w:p>
        </w:tc>
      </w:tr>
      <w:tr w:rsidR="0086036C" w14:paraId="28073BE4" w14:textId="77777777" w:rsidTr="0054354F">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58CC7F70" w14:textId="77777777" w:rsidR="0086036C" w:rsidRPr="00097612" w:rsidRDefault="0086036C" w:rsidP="00F16485">
            <w:pPr>
              <w:pStyle w:val="Tabletext"/>
              <w:rPr>
                <w:lang w:val="es-ES"/>
              </w:rPr>
            </w:pPr>
          </w:p>
        </w:tc>
        <w:tc>
          <w:tcPr>
            <w:tcW w:w="1093" w:type="dxa"/>
            <w:tcBorders>
              <w:top w:val="single" w:sz="6" w:space="0" w:color="auto"/>
              <w:left w:val="single" w:sz="6" w:space="0" w:color="auto"/>
              <w:bottom w:val="single" w:sz="6" w:space="0" w:color="auto"/>
              <w:right w:val="single" w:sz="6" w:space="0" w:color="auto"/>
            </w:tcBorders>
            <w:hideMark/>
          </w:tcPr>
          <w:p w14:paraId="3841E167" w14:textId="77777777" w:rsidR="0086036C" w:rsidRDefault="0086036C" w:rsidP="00F16485">
            <w:pPr>
              <w:pStyle w:val="Tabletext"/>
              <w:rPr>
                <w:position w:val="3"/>
                <w:lang w:val="en-US"/>
              </w:rPr>
            </w:pPr>
            <w:r>
              <w:rPr>
                <w:i/>
                <w:iCs/>
                <w:lang w:val="en-US"/>
              </w:rPr>
              <w:t>N</w:t>
            </w:r>
            <w:r>
              <w:rPr>
                <w:i/>
                <w:iCs/>
                <w:position w:val="-4"/>
                <w:lang w:val="en-US"/>
              </w:rPr>
              <w:t>L</w:t>
            </w:r>
            <w:r>
              <w:rPr>
                <w:lang w:val="en-US"/>
              </w:rPr>
              <w:t xml:space="preserve"> (dB)</w:t>
            </w:r>
          </w:p>
        </w:tc>
        <w:tc>
          <w:tcPr>
            <w:tcW w:w="633" w:type="dxa"/>
            <w:tcBorders>
              <w:top w:val="single" w:sz="6" w:space="0" w:color="auto"/>
              <w:left w:val="single" w:sz="6" w:space="0" w:color="auto"/>
              <w:bottom w:val="single" w:sz="6" w:space="0" w:color="auto"/>
              <w:right w:val="single" w:sz="6" w:space="0" w:color="auto"/>
            </w:tcBorders>
            <w:hideMark/>
          </w:tcPr>
          <w:p w14:paraId="5270ED9B" w14:textId="77777777" w:rsidR="0086036C" w:rsidRDefault="0086036C" w:rsidP="00F66118">
            <w:pPr>
              <w:pStyle w:val="Tabletext"/>
              <w:jc w:val="center"/>
              <w:rPr>
                <w:lang w:val="en-US"/>
              </w:rPr>
            </w:pPr>
            <w:r>
              <w:rPr>
                <w:lang w:val="en-US"/>
              </w:rPr>
              <w:t>0</w:t>
            </w:r>
          </w:p>
        </w:tc>
        <w:tc>
          <w:tcPr>
            <w:tcW w:w="709" w:type="dxa"/>
            <w:tcBorders>
              <w:top w:val="single" w:sz="6" w:space="0" w:color="auto"/>
              <w:left w:val="single" w:sz="6" w:space="0" w:color="auto"/>
              <w:bottom w:val="single" w:sz="6" w:space="0" w:color="auto"/>
              <w:right w:val="single" w:sz="6" w:space="0" w:color="auto"/>
            </w:tcBorders>
            <w:hideMark/>
          </w:tcPr>
          <w:p w14:paraId="51582E32" w14:textId="77777777" w:rsidR="0086036C" w:rsidRDefault="0086036C" w:rsidP="00F66118">
            <w:pPr>
              <w:pStyle w:val="Tabletext"/>
              <w:jc w:val="center"/>
              <w:rPr>
                <w:lang w:val="en-US"/>
              </w:rPr>
            </w:pPr>
            <w:r>
              <w:rPr>
                <w:lang w:val="en-US" w:eastAsia="ru-RU"/>
              </w:rPr>
              <w:t>0</w:t>
            </w:r>
          </w:p>
        </w:tc>
        <w:tc>
          <w:tcPr>
            <w:tcW w:w="5808" w:type="dxa"/>
            <w:tcBorders>
              <w:top w:val="single" w:sz="6" w:space="0" w:color="auto"/>
              <w:left w:val="single" w:sz="6" w:space="0" w:color="auto"/>
              <w:bottom w:val="single" w:sz="6" w:space="0" w:color="auto"/>
              <w:right w:val="single" w:sz="6" w:space="0" w:color="auto"/>
            </w:tcBorders>
            <w:hideMark/>
          </w:tcPr>
          <w:p w14:paraId="3EF11AAB" w14:textId="4170FA33" w:rsidR="0086036C" w:rsidRPr="007427E1" w:rsidRDefault="0086036C" w:rsidP="00F16485">
            <w:pPr>
              <w:pStyle w:val="Tabletext"/>
              <w:rPr>
                <w:lang w:val="es-ES"/>
              </w:rPr>
            </w:pPr>
            <w:r w:rsidRPr="00097612">
              <w:rPr>
                <w:lang w:val="es-ES"/>
              </w:rPr>
              <w:t xml:space="preserve">El factor </w:t>
            </w:r>
            <w:r w:rsidRPr="00097612">
              <w:rPr>
                <w:i/>
                <w:lang w:val="es-ES"/>
              </w:rPr>
              <w:t>N</w:t>
            </w:r>
            <w:r w:rsidRPr="00097612">
              <w:rPr>
                <w:i/>
                <w:vertAlign w:val="subscript"/>
                <w:lang w:val="es-ES"/>
              </w:rPr>
              <w:t>L</w:t>
            </w:r>
            <w:r w:rsidRPr="00097612">
              <w:rPr>
                <w:lang w:val="es-ES"/>
              </w:rPr>
              <w:t xml:space="preserve"> es la contribución al ruido del enlace. En el caso de un transpondedor de sat</w:t>
            </w:r>
            <w:r>
              <w:rPr>
                <w:lang w:val="es-ES"/>
              </w:rPr>
              <w:t>élite, incluye el ruido del enlace ascendente, de intermodulación, etc. En ausencia de indicación en el Cuadro se supone:</w:t>
            </w:r>
          </w:p>
          <w:p w14:paraId="4298D82E" w14:textId="77777777" w:rsidR="0086036C" w:rsidRPr="00097612" w:rsidRDefault="0086036C" w:rsidP="00F16485">
            <w:pPr>
              <w:pStyle w:val="Tabletext"/>
              <w:rPr>
                <w:lang w:val="es-ES"/>
              </w:rPr>
            </w:pPr>
            <w:r w:rsidRPr="007427E1">
              <w:rPr>
                <w:lang w:val="es-ES"/>
              </w:rPr>
              <w:tab/>
            </w:r>
            <w:r w:rsidRPr="00097612">
              <w:rPr>
                <w:i/>
                <w:lang w:val="es-ES"/>
              </w:rPr>
              <w:t>N</w:t>
            </w:r>
            <w:r w:rsidRPr="00097612">
              <w:rPr>
                <w:i/>
                <w:vertAlign w:val="subscript"/>
                <w:lang w:val="es-ES"/>
              </w:rPr>
              <w:t>L</w:t>
            </w:r>
            <w:r w:rsidRPr="00097612">
              <w:rPr>
                <w:lang w:val="es-ES"/>
              </w:rPr>
              <w:t xml:space="preserve"> = 1 dB  para enlaces </w:t>
            </w:r>
            <w:r>
              <w:rPr>
                <w:lang w:val="es-ES"/>
              </w:rPr>
              <w:t>fijos por</w:t>
            </w:r>
            <w:r w:rsidRPr="00097612">
              <w:rPr>
                <w:lang w:val="es-ES"/>
              </w:rPr>
              <w:t xml:space="preserve"> satélite</w:t>
            </w:r>
          </w:p>
          <w:p w14:paraId="7CAA302D" w14:textId="77777777" w:rsidR="0086036C" w:rsidRDefault="0086036C" w:rsidP="00F16485">
            <w:pPr>
              <w:pStyle w:val="Tabletext"/>
              <w:rPr>
                <w:lang w:val="en-US"/>
              </w:rPr>
            </w:pPr>
            <w:r w:rsidRPr="00097612">
              <w:rPr>
                <w:lang w:val="es-ES"/>
              </w:rPr>
              <w:tab/>
            </w:r>
            <w:r>
              <w:rPr>
                <w:lang w:val="en-US"/>
              </w:rPr>
              <w:t> </w:t>
            </w:r>
            <w:r>
              <w:rPr>
                <w:lang w:val="en-US"/>
              </w:rPr>
              <w:t> </w:t>
            </w:r>
            <w:r>
              <w:rPr>
                <w:lang w:val="en-US"/>
              </w:rPr>
              <w:t> = 0 </w:t>
            </w:r>
            <w:proofErr w:type="gramStart"/>
            <w:r>
              <w:rPr>
                <w:lang w:val="en-US"/>
              </w:rPr>
              <w:t>dB  para</w:t>
            </w:r>
            <w:proofErr w:type="gramEnd"/>
            <w:r>
              <w:rPr>
                <w:lang w:val="en-US"/>
              </w:rPr>
              <w:t xml:space="preserve"> enlaces terrenales</w:t>
            </w:r>
          </w:p>
        </w:tc>
      </w:tr>
      <w:tr w:rsidR="0086036C" w:rsidRPr="00097612" w14:paraId="2E1B23E8" w14:textId="77777777" w:rsidTr="0054354F">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389151F3" w14:textId="77777777" w:rsidR="0086036C" w:rsidRDefault="0086036C" w:rsidP="00F16485">
            <w:pPr>
              <w:pStyle w:val="Tabletext"/>
              <w:rPr>
                <w:lang w:val="en-US"/>
              </w:rPr>
            </w:pPr>
          </w:p>
        </w:tc>
        <w:tc>
          <w:tcPr>
            <w:tcW w:w="1093" w:type="dxa"/>
            <w:tcBorders>
              <w:top w:val="single" w:sz="6" w:space="0" w:color="auto"/>
              <w:left w:val="single" w:sz="6" w:space="0" w:color="auto"/>
              <w:bottom w:val="single" w:sz="6" w:space="0" w:color="auto"/>
              <w:right w:val="single" w:sz="6" w:space="0" w:color="auto"/>
            </w:tcBorders>
            <w:hideMark/>
          </w:tcPr>
          <w:p w14:paraId="3A01B2FE" w14:textId="77777777" w:rsidR="0086036C" w:rsidRDefault="0086036C" w:rsidP="00F16485">
            <w:pPr>
              <w:pStyle w:val="Tabletext"/>
              <w:rPr>
                <w:position w:val="3"/>
                <w:lang w:val="en-US"/>
              </w:rPr>
            </w:pPr>
            <w:r>
              <w:rPr>
                <w:i/>
                <w:iCs/>
                <w:lang w:val="en-US"/>
              </w:rPr>
              <w:t>M</w:t>
            </w:r>
            <w:r>
              <w:rPr>
                <w:i/>
                <w:iCs/>
                <w:position w:val="-4"/>
                <w:lang w:val="en-US"/>
              </w:rPr>
              <w:t>s</w:t>
            </w:r>
            <w:r>
              <w:rPr>
                <w:lang w:val="en-US"/>
              </w:rPr>
              <w:t xml:space="preserve"> (dB)</w:t>
            </w:r>
          </w:p>
        </w:tc>
        <w:tc>
          <w:tcPr>
            <w:tcW w:w="633" w:type="dxa"/>
            <w:tcBorders>
              <w:top w:val="single" w:sz="6" w:space="0" w:color="auto"/>
              <w:left w:val="single" w:sz="6" w:space="0" w:color="auto"/>
              <w:bottom w:val="single" w:sz="6" w:space="0" w:color="auto"/>
              <w:right w:val="single" w:sz="6" w:space="0" w:color="auto"/>
            </w:tcBorders>
            <w:hideMark/>
          </w:tcPr>
          <w:p w14:paraId="6E3C7A56" w14:textId="77777777" w:rsidR="0086036C" w:rsidRDefault="0086036C" w:rsidP="00F66118">
            <w:pPr>
              <w:pStyle w:val="Tabletext"/>
              <w:jc w:val="center"/>
              <w:rPr>
                <w:lang w:val="en-US"/>
              </w:rPr>
            </w:pPr>
            <w:proofErr w:type="gramStart"/>
            <w:r>
              <w:rPr>
                <w:lang w:val="en-US"/>
              </w:rPr>
              <w:t xml:space="preserve">26  </w:t>
            </w:r>
            <w:r>
              <w:rPr>
                <w:position w:val="4"/>
                <w:lang w:val="en-US"/>
              </w:rPr>
              <w:t>2</w:t>
            </w:r>
            <w:proofErr w:type="gramEnd"/>
          </w:p>
        </w:tc>
        <w:tc>
          <w:tcPr>
            <w:tcW w:w="709" w:type="dxa"/>
            <w:tcBorders>
              <w:top w:val="single" w:sz="6" w:space="0" w:color="auto"/>
              <w:left w:val="single" w:sz="6" w:space="0" w:color="auto"/>
              <w:bottom w:val="single" w:sz="6" w:space="0" w:color="auto"/>
              <w:right w:val="single" w:sz="6" w:space="0" w:color="auto"/>
            </w:tcBorders>
            <w:hideMark/>
          </w:tcPr>
          <w:p w14:paraId="212E1AB3" w14:textId="77777777" w:rsidR="0086036C" w:rsidRDefault="0086036C" w:rsidP="00F66118">
            <w:pPr>
              <w:pStyle w:val="Tabletext"/>
              <w:jc w:val="center"/>
              <w:rPr>
                <w:lang w:val="en-US"/>
              </w:rPr>
            </w:pPr>
            <w:r>
              <w:rPr>
                <w:lang w:val="en-US" w:eastAsia="ru-RU"/>
              </w:rPr>
              <w:t>1</w:t>
            </w:r>
          </w:p>
        </w:tc>
        <w:tc>
          <w:tcPr>
            <w:tcW w:w="5808" w:type="dxa"/>
            <w:tcBorders>
              <w:top w:val="single" w:sz="6" w:space="0" w:color="auto"/>
              <w:left w:val="single" w:sz="6" w:space="0" w:color="auto"/>
              <w:bottom w:val="single" w:sz="6" w:space="0" w:color="auto"/>
              <w:right w:val="single" w:sz="6" w:space="0" w:color="auto"/>
            </w:tcBorders>
            <w:hideMark/>
          </w:tcPr>
          <w:p w14:paraId="00C2F669" w14:textId="3F37F160" w:rsidR="0086036C" w:rsidRPr="00097612" w:rsidRDefault="0086036C" w:rsidP="00F16485">
            <w:pPr>
              <w:pStyle w:val="Tabletext"/>
              <w:rPr>
                <w:lang w:val="es-ES"/>
              </w:rPr>
            </w:pPr>
            <w:r w:rsidRPr="00097612">
              <w:rPr>
                <w:lang w:val="es-ES"/>
              </w:rPr>
              <w:t>Para una estación EB IMT NF</w:t>
            </w:r>
            <w:r w:rsidR="00840AC3">
              <w:rPr>
                <w:lang w:val="es-ES"/>
              </w:rPr>
              <w:t> </w:t>
            </w:r>
            <w:r w:rsidRPr="00097612">
              <w:rPr>
                <w:lang w:val="es-ES"/>
              </w:rPr>
              <w:t>=</w:t>
            </w:r>
            <w:r w:rsidR="00840AC3">
              <w:rPr>
                <w:lang w:val="es-ES"/>
              </w:rPr>
              <w:t> </w:t>
            </w:r>
            <w:r w:rsidRPr="00097612">
              <w:rPr>
                <w:lang w:val="es-ES"/>
              </w:rPr>
              <w:t>5</w:t>
            </w:r>
            <w:r w:rsidR="00F16485">
              <w:rPr>
                <w:lang w:val="es-ES"/>
              </w:rPr>
              <w:t> </w:t>
            </w:r>
            <w:r w:rsidRPr="00097612">
              <w:rPr>
                <w:lang w:val="es-ES"/>
              </w:rPr>
              <w:t>dB. Por tanto, N</w:t>
            </w:r>
            <w:r w:rsidR="00840AC3">
              <w:rPr>
                <w:lang w:val="es-ES"/>
              </w:rPr>
              <w:t> </w:t>
            </w:r>
            <w:r w:rsidRPr="00097612">
              <w:rPr>
                <w:lang w:val="es-ES"/>
              </w:rPr>
              <w:t>=</w:t>
            </w:r>
            <w:r w:rsidR="00840AC3">
              <w:rPr>
                <w:lang w:val="es-ES"/>
              </w:rPr>
              <w:t> </w:t>
            </w:r>
            <w:r w:rsidR="00F16485" w:rsidRPr="00F16485">
              <w:rPr>
                <w:lang w:val="es-ES"/>
              </w:rPr>
              <w:t>–</w:t>
            </w:r>
            <w:r w:rsidRPr="00097612">
              <w:rPr>
                <w:lang w:val="es-ES"/>
              </w:rPr>
              <w:t>204</w:t>
            </w:r>
            <w:r w:rsidR="00F16485">
              <w:rPr>
                <w:lang w:val="es-ES"/>
              </w:rPr>
              <w:t> </w:t>
            </w:r>
            <w:r w:rsidRPr="00097612">
              <w:rPr>
                <w:lang w:val="es-ES"/>
              </w:rPr>
              <w:t>dBW/Hz</w:t>
            </w:r>
            <w:r w:rsidR="00F16485">
              <w:rPr>
                <w:lang w:val="es-ES"/>
              </w:rPr>
              <w:t xml:space="preserve"> </w:t>
            </w:r>
            <w:r w:rsidRPr="00097612">
              <w:rPr>
                <w:lang w:val="es-ES"/>
              </w:rPr>
              <w:t>+</w:t>
            </w:r>
            <w:r w:rsidR="00F16485">
              <w:rPr>
                <w:lang w:val="es-ES"/>
              </w:rPr>
              <w:t> </w:t>
            </w:r>
            <w:r w:rsidRPr="00F16485">
              <w:t>5</w:t>
            </w:r>
            <w:r w:rsidR="00F16485">
              <w:t> </w:t>
            </w:r>
            <w:r w:rsidRPr="00F16485">
              <w:t>dB</w:t>
            </w:r>
            <w:r w:rsidR="00840AC3">
              <w:t> </w:t>
            </w:r>
            <w:r w:rsidRPr="00097612">
              <w:rPr>
                <w:lang w:val="es-ES"/>
              </w:rPr>
              <w:t>=</w:t>
            </w:r>
            <w:r w:rsidR="00840AC3">
              <w:rPr>
                <w:lang w:val="es-ES"/>
              </w:rPr>
              <w:t> </w:t>
            </w:r>
            <w:r w:rsidR="00840AC3" w:rsidRPr="00840AC3">
              <w:rPr>
                <w:lang w:val="es-ES"/>
              </w:rPr>
              <w:t>–</w:t>
            </w:r>
            <w:r w:rsidRPr="00097612">
              <w:rPr>
                <w:lang w:val="es-ES"/>
              </w:rPr>
              <w:t>199</w:t>
            </w:r>
            <w:r w:rsidR="00840AC3">
              <w:rPr>
                <w:lang w:val="es-ES"/>
              </w:rPr>
              <w:t> </w:t>
            </w:r>
            <w:r w:rsidRPr="00097612">
              <w:rPr>
                <w:lang w:val="es-ES"/>
              </w:rPr>
              <w:t>dBW/Hz.</w:t>
            </w:r>
          </w:p>
          <w:p w14:paraId="5273C228" w14:textId="1E28075D" w:rsidR="0086036C" w:rsidRPr="00097612" w:rsidRDefault="0086036C" w:rsidP="00F16485">
            <w:pPr>
              <w:pStyle w:val="Tabletext"/>
              <w:rPr>
                <w:lang w:val="es-ES"/>
              </w:rPr>
            </w:pPr>
            <w:r w:rsidRPr="00097612">
              <w:rPr>
                <w:lang w:val="es-ES"/>
              </w:rPr>
              <w:t xml:space="preserve">Basándose en </w:t>
            </w:r>
            <w:r w:rsidRPr="00840AC3">
              <w:rPr>
                <w:i/>
                <w:iCs/>
                <w:lang w:val="es-ES"/>
              </w:rPr>
              <w:t>I/N</w:t>
            </w:r>
            <w:r w:rsidR="00840AC3">
              <w:rPr>
                <w:lang w:val="es-ES"/>
              </w:rPr>
              <w:t> </w:t>
            </w:r>
            <w:r w:rsidRPr="00097612">
              <w:rPr>
                <w:lang w:val="es-ES"/>
              </w:rPr>
              <w:t>=</w:t>
            </w:r>
            <w:r w:rsidR="00840AC3">
              <w:rPr>
                <w:lang w:val="es-ES"/>
              </w:rPr>
              <w:t> </w:t>
            </w:r>
            <w:r w:rsidRPr="00097612">
              <w:rPr>
                <w:lang w:val="es-ES"/>
              </w:rPr>
              <w:t>–6 dB</w:t>
            </w:r>
            <w:r>
              <w:rPr>
                <w:lang w:val="es-ES"/>
              </w:rPr>
              <w:t>,</w:t>
            </w:r>
            <w:r w:rsidRPr="00097612">
              <w:rPr>
                <w:lang w:val="es-ES"/>
              </w:rPr>
              <w:t xml:space="preserve"> I</w:t>
            </w:r>
            <w:r w:rsidR="00840AC3">
              <w:rPr>
                <w:lang w:val="es-ES"/>
              </w:rPr>
              <w:t> </w:t>
            </w:r>
            <w:r w:rsidRPr="00097612">
              <w:rPr>
                <w:lang w:val="es-ES"/>
              </w:rPr>
              <w:t>=</w:t>
            </w:r>
            <w:r w:rsidR="00840AC3">
              <w:rPr>
                <w:lang w:val="es-ES"/>
              </w:rPr>
              <w:t> </w:t>
            </w:r>
            <w:r w:rsidR="00F16485" w:rsidRPr="00F16485">
              <w:rPr>
                <w:lang w:val="es-ES"/>
              </w:rPr>
              <w:t>–</w:t>
            </w:r>
            <w:r w:rsidRPr="00097612">
              <w:rPr>
                <w:lang w:val="es-ES"/>
              </w:rPr>
              <w:t>205</w:t>
            </w:r>
            <w:r w:rsidR="00840AC3">
              <w:rPr>
                <w:lang w:val="es-ES"/>
              </w:rPr>
              <w:t> </w:t>
            </w:r>
            <w:r w:rsidRPr="00097612">
              <w:rPr>
                <w:lang w:val="es-ES"/>
              </w:rPr>
              <w:t>dBW/Hz o 169</w:t>
            </w:r>
            <w:r w:rsidR="00F16485">
              <w:rPr>
                <w:lang w:val="es-ES"/>
              </w:rPr>
              <w:t> </w:t>
            </w:r>
            <w:r w:rsidRPr="00097612">
              <w:rPr>
                <w:lang w:val="es-ES"/>
              </w:rPr>
              <w:t>dBW/4kHz)</w:t>
            </w:r>
          </w:p>
          <w:p w14:paraId="3DEC5239" w14:textId="29B9197A" w:rsidR="0086036C" w:rsidRPr="00097612" w:rsidRDefault="0086036C" w:rsidP="00F16485">
            <w:pPr>
              <w:pStyle w:val="Tabletext"/>
              <w:rPr>
                <w:lang w:val="es-ES"/>
              </w:rPr>
            </w:pPr>
            <w:r w:rsidRPr="00097612">
              <w:rPr>
                <w:lang w:val="es-ES"/>
              </w:rPr>
              <w:t xml:space="preserve">Puesto que </w:t>
            </w:r>
            <w:r w:rsidRPr="00097612">
              <w:rPr>
                <w:i/>
                <w:lang w:val="es-ES"/>
              </w:rPr>
              <w:t>P</w:t>
            </w:r>
            <w:r w:rsidRPr="00097612">
              <w:rPr>
                <w:i/>
                <w:vertAlign w:val="subscript"/>
                <w:lang w:val="es-ES"/>
              </w:rPr>
              <w:t>r</w:t>
            </w:r>
            <w:r w:rsidRPr="00097612">
              <w:rPr>
                <w:lang w:val="es-ES"/>
              </w:rPr>
              <w:t>(</w:t>
            </w:r>
            <w:r w:rsidRPr="00097612">
              <w:rPr>
                <w:i/>
                <w:lang w:val="es-ES"/>
              </w:rPr>
              <w:t>p</w:t>
            </w:r>
            <w:r w:rsidRPr="00097612">
              <w:rPr>
                <w:lang w:val="es-ES"/>
              </w:rPr>
              <w:t>)</w:t>
            </w:r>
            <w:r w:rsidR="00840AC3">
              <w:rPr>
                <w:lang w:val="es-ES"/>
              </w:rPr>
              <w:t> </w:t>
            </w:r>
            <w:r w:rsidRPr="00097612">
              <w:rPr>
                <w:lang w:val="es-ES"/>
              </w:rPr>
              <w:t>=</w:t>
            </w:r>
            <w:r w:rsidR="00840AC3">
              <w:rPr>
                <w:lang w:val="es-ES"/>
              </w:rPr>
              <w:t> </w:t>
            </w:r>
            <w:r w:rsidR="00F16485" w:rsidRPr="00F16485">
              <w:rPr>
                <w:lang w:val="es-ES"/>
              </w:rPr>
              <w:t>–</w:t>
            </w:r>
            <w:r w:rsidRPr="00097612">
              <w:rPr>
                <w:lang w:val="es-ES"/>
              </w:rPr>
              <w:t>169</w:t>
            </w:r>
            <w:r w:rsidR="00F16485">
              <w:rPr>
                <w:lang w:val="es-ES"/>
              </w:rPr>
              <w:t> </w:t>
            </w:r>
            <w:r w:rsidRPr="00097612">
              <w:rPr>
                <w:lang w:val="es-ES"/>
              </w:rPr>
              <w:t xml:space="preserve">dBW/4kHz) </w:t>
            </w:r>
            <w:r>
              <w:rPr>
                <w:lang w:val="es-ES"/>
              </w:rPr>
              <w:t>entonces</w:t>
            </w:r>
            <w:r w:rsidRPr="00097612">
              <w:rPr>
                <w:lang w:val="es-ES"/>
              </w:rPr>
              <w:t xml:space="preserve"> </w:t>
            </w:r>
            <w:r w:rsidRPr="00097612">
              <w:rPr>
                <w:i/>
                <w:lang w:val="es-ES"/>
              </w:rPr>
              <w:t>M</w:t>
            </w:r>
            <w:r w:rsidRPr="00097612">
              <w:rPr>
                <w:i/>
                <w:vertAlign w:val="subscript"/>
                <w:lang w:val="es-ES"/>
              </w:rPr>
              <w:t>s</w:t>
            </w:r>
            <w:r w:rsidR="00840AC3">
              <w:rPr>
                <w:lang w:val="es-ES"/>
              </w:rPr>
              <w:t> </w:t>
            </w:r>
            <w:r w:rsidRPr="00097612">
              <w:rPr>
                <w:lang w:val="es-ES"/>
              </w:rPr>
              <w:t>=</w:t>
            </w:r>
            <w:r w:rsidR="00840AC3">
              <w:rPr>
                <w:lang w:val="es-ES"/>
              </w:rPr>
              <w:t> </w:t>
            </w:r>
            <w:r w:rsidRPr="00097612">
              <w:rPr>
                <w:lang w:val="es-ES"/>
              </w:rPr>
              <w:t>1</w:t>
            </w:r>
            <w:r w:rsidR="00F16485">
              <w:rPr>
                <w:lang w:val="es-ES"/>
              </w:rPr>
              <w:t> </w:t>
            </w:r>
            <w:r w:rsidRPr="00097612">
              <w:rPr>
                <w:lang w:val="es-ES"/>
              </w:rPr>
              <w:t>dB</w:t>
            </w:r>
          </w:p>
        </w:tc>
      </w:tr>
      <w:tr w:rsidR="0086036C" w:rsidRPr="007427E1" w14:paraId="3B85BDFC" w14:textId="77777777" w:rsidTr="0054354F">
        <w:trPr>
          <w:cantSplit/>
          <w:jc w:val="right"/>
        </w:trPr>
        <w:tc>
          <w:tcPr>
            <w:tcW w:w="1094" w:type="dxa"/>
            <w:vMerge/>
            <w:tcBorders>
              <w:top w:val="single" w:sz="6" w:space="0" w:color="auto"/>
              <w:left w:val="single" w:sz="6" w:space="0" w:color="auto"/>
              <w:bottom w:val="single" w:sz="6" w:space="0" w:color="auto"/>
              <w:right w:val="single" w:sz="6" w:space="0" w:color="auto"/>
            </w:tcBorders>
            <w:vAlign w:val="center"/>
            <w:hideMark/>
          </w:tcPr>
          <w:p w14:paraId="623D54E5" w14:textId="77777777" w:rsidR="0086036C" w:rsidRPr="00097612" w:rsidRDefault="0086036C" w:rsidP="00F16485">
            <w:pPr>
              <w:pStyle w:val="Tabletext"/>
              <w:rPr>
                <w:lang w:val="es-ES"/>
              </w:rPr>
            </w:pPr>
          </w:p>
        </w:tc>
        <w:tc>
          <w:tcPr>
            <w:tcW w:w="1093" w:type="dxa"/>
            <w:tcBorders>
              <w:top w:val="single" w:sz="6" w:space="0" w:color="auto"/>
              <w:left w:val="single" w:sz="6" w:space="0" w:color="auto"/>
              <w:bottom w:val="single" w:sz="6" w:space="0" w:color="auto"/>
              <w:right w:val="single" w:sz="6" w:space="0" w:color="auto"/>
            </w:tcBorders>
            <w:hideMark/>
          </w:tcPr>
          <w:p w14:paraId="65EEB852" w14:textId="77777777" w:rsidR="0086036C" w:rsidRDefault="0086036C" w:rsidP="00F16485">
            <w:pPr>
              <w:pStyle w:val="Tabletext"/>
              <w:rPr>
                <w:position w:val="3"/>
                <w:lang w:val="en-US"/>
              </w:rPr>
            </w:pPr>
            <w:r>
              <w:rPr>
                <w:i/>
                <w:iCs/>
                <w:lang w:val="en-US"/>
              </w:rPr>
              <w:t>W</w:t>
            </w:r>
            <w:r>
              <w:rPr>
                <w:lang w:val="en-US"/>
              </w:rPr>
              <w:t xml:space="preserve"> (dB)</w:t>
            </w:r>
          </w:p>
        </w:tc>
        <w:tc>
          <w:tcPr>
            <w:tcW w:w="633" w:type="dxa"/>
            <w:tcBorders>
              <w:top w:val="single" w:sz="6" w:space="0" w:color="auto"/>
              <w:left w:val="single" w:sz="6" w:space="0" w:color="auto"/>
              <w:bottom w:val="single" w:sz="6" w:space="0" w:color="auto"/>
              <w:right w:val="single" w:sz="6" w:space="0" w:color="auto"/>
            </w:tcBorders>
            <w:hideMark/>
          </w:tcPr>
          <w:p w14:paraId="1222078B" w14:textId="77777777" w:rsidR="0086036C" w:rsidRDefault="0086036C" w:rsidP="00F66118">
            <w:pPr>
              <w:pStyle w:val="Tabletext"/>
              <w:jc w:val="center"/>
              <w:rPr>
                <w:lang w:val="en-US"/>
              </w:rPr>
            </w:pPr>
            <w:r>
              <w:rPr>
                <w:lang w:val="en-US"/>
              </w:rPr>
              <w:t>0</w:t>
            </w:r>
          </w:p>
        </w:tc>
        <w:tc>
          <w:tcPr>
            <w:tcW w:w="709" w:type="dxa"/>
            <w:tcBorders>
              <w:top w:val="single" w:sz="6" w:space="0" w:color="auto"/>
              <w:left w:val="single" w:sz="6" w:space="0" w:color="auto"/>
              <w:bottom w:val="single" w:sz="6" w:space="0" w:color="auto"/>
              <w:right w:val="single" w:sz="6" w:space="0" w:color="auto"/>
            </w:tcBorders>
            <w:hideMark/>
          </w:tcPr>
          <w:p w14:paraId="3E882C99" w14:textId="77777777" w:rsidR="0086036C" w:rsidRDefault="0086036C" w:rsidP="00F66118">
            <w:pPr>
              <w:pStyle w:val="Tabletext"/>
              <w:jc w:val="center"/>
              <w:rPr>
                <w:lang w:val="en-US"/>
              </w:rPr>
            </w:pPr>
            <w:r>
              <w:rPr>
                <w:lang w:val="en-US" w:eastAsia="ru-RU"/>
              </w:rPr>
              <w:t>0</w:t>
            </w:r>
          </w:p>
        </w:tc>
        <w:tc>
          <w:tcPr>
            <w:tcW w:w="5808" w:type="dxa"/>
            <w:tcBorders>
              <w:top w:val="single" w:sz="6" w:space="0" w:color="auto"/>
              <w:left w:val="single" w:sz="6" w:space="0" w:color="auto"/>
              <w:bottom w:val="single" w:sz="6" w:space="0" w:color="auto"/>
              <w:right w:val="single" w:sz="6" w:space="0" w:color="auto"/>
            </w:tcBorders>
            <w:hideMark/>
          </w:tcPr>
          <w:p w14:paraId="0923BFE7" w14:textId="6B9E3DE1" w:rsidR="0086036C" w:rsidRPr="007427E1" w:rsidRDefault="0086036C" w:rsidP="00F16485">
            <w:pPr>
              <w:pStyle w:val="Tabletext"/>
              <w:rPr>
                <w:lang w:val="es-ES"/>
              </w:rPr>
            </w:pPr>
            <w:r w:rsidRPr="007427E1">
              <w:rPr>
                <w:lang w:val="es-ES"/>
              </w:rPr>
              <w:t>Cuando la señal deseada es digital, W suele ser igual o menor que 0</w:t>
            </w:r>
            <w:r w:rsidR="00F16485">
              <w:rPr>
                <w:lang w:val="es-ES"/>
              </w:rPr>
              <w:t> </w:t>
            </w:r>
            <w:r w:rsidRPr="007427E1">
              <w:rPr>
                <w:lang w:val="es-ES"/>
              </w:rPr>
              <w:t>dB, prescindiendo de las características de la señal interferencia.</w:t>
            </w:r>
          </w:p>
        </w:tc>
      </w:tr>
      <w:tr w:rsidR="0086036C" w:rsidRPr="00FE1B90" w14:paraId="5D4CC9E1" w14:textId="77777777" w:rsidTr="0054354F">
        <w:trPr>
          <w:cantSplit/>
          <w:jc w:val="right"/>
        </w:trPr>
        <w:tc>
          <w:tcPr>
            <w:tcW w:w="1094" w:type="dxa"/>
            <w:vMerge w:val="restart"/>
            <w:tcBorders>
              <w:top w:val="single" w:sz="6" w:space="0" w:color="auto"/>
              <w:left w:val="single" w:sz="6" w:space="0" w:color="auto"/>
              <w:bottom w:val="single" w:sz="4" w:space="0" w:color="auto"/>
              <w:right w:val="single" w:sz="6" w:space="0" w:color="auto"/>
            </w:tcBorders>
            <w:hideMark/>
          </w:tcPr>
          <w:p w14:paraId="14D647D0" w14:textId="77777777" w:rsidR="0086036C" w:rsidRPr="00B10215" w:rsidRDefault="0086036C" w:rsidP="00F16485">
            <w:pPr>
              <w:pStyle w:val="Tabletext"/>
              <w:rPr>
                <w:lang w:val="es-ES"/>
              </w:rPr>
            </w:pPr>
            <w:r w:rsidRPr="00B10215">
              <w:rPr>
                <w:lang w:val="es-ES"/>
              </w:rPr>
              <w:t>Parámetros de la estación terrenal</w:t>
            </w:r>
          </w:p>
        </w:tc>
        <w:tc>
          <w:tcPr>
            <w:tcW w:w="1093" w:type="dxa"/>
            <w:tcBorders>
              <w:top w:val="single" w:sz="6" w:space="0" w:color="auto"/>
              <w:left w:val="single" w:sz="6" w:space="0" w:color="auto"/>
              <w:bottom w:val="single" w:sz="6" w:space="0" w:color="auto"/>
              <w:right w:val="single" w:sz="6" w:space="0" w:color="auto"/>
            </w:tcBorders>
            <w:hideMark/>
          </w:tcPr>
          <w:p w14:paraId="7B8DB32D" w14:textId="77777777" w:rsidR="0086036C" w:rsidRDefault="0086036C" w:rsidP="00F16485">
            <w:pPr>
              <w:pStyle w:val="Tabletext"/>
              <w:rPr>
                <w:position w:val="3"/>
                <w:lang w:val="en-US"/>
              </w:rPr>
            </w:pPr>
            <w:r>
              <w:rPr>
                <w:i/>
                <w:iCs/>
                <w:lang w:val="en-US"/>
              </w:rPr>
              <w:t>G</w:t>
            </w:r>
            <w:r>
              <w:rPr>
                <w:i/>
                <w:iCs/>
                <w:position w:val="-4"/>
                <w:lang w:val="en-US"/>
              </w:rPr>
              <w:t>x</w:t>
            </w:r>
            <w:r>
              <w:rPr>
                <w:lang w:val="en-US"/>
              </w:rPr>
              <w:t xml:space="preserve"> (</w:t>
            </w:r>
            <w:proofErr w:type="gramStart"/>
            <w:r>
              <w:rPr>
                <w:lang w:val="en-US"/>
              </w:rPr>
              <w:t xml:space="preserve">dBi)  </w:t>
            </w:r>
            <w:r>
              <w:rPr>
                <w:position w:val="4"/>
                <w:lang w:val="en-US"/>
              </w:rPr>
              <w:t>3</w:t>
            </w:r>
            <w:proofErr w:type="gramEnd"/>
          </w:p>
        </w:tc>
        <w:tc>
          <w:tcPr>
            <w:tcW w:w="633" w:type="dxa"/>
            <w:tcBorders>
              <w:top w:val="single" w:sz="6" w:space="0" w:color="auto"/>
              <w:left w:val="single" w:sz="6" w:space="0" w:color="auto"/>
              <w:bottom w:val="single" w:sz="6" w:space="0" w:color="auto"/>
              <w:right w:val="single" w:sz="6" w:space="0" w:color="auto"/>
            </w:tcBorders>
            <w:hideMark/>
          </w:tcPr>
          <w:p w14:paraId="061FC388" w14:textId="77777777" w:rsidR="0086036C" w:rsidRDefault="0086036C" w:rsidP="00F66118">
            <w:pPr>
              <w:pStyle w:val="Tabletext"/>
              <w:jc w:val="center"/>
              <w:rPr>
                <w:lang w:val="en-US"/>
              </w:rPr>
            </w:pPr>
            <w:proofErr w:type="gramStart"/>
            <w:r>
              <w:rPr>
                <w:lang w:val="en-US"/>
              </w:rPr>
              <w:t xml:space="preserve">49  </w:t>
            </w:r>
            <w:r>
              <w:rPr>
                <w:position w:val="4"/>
                <w:lang w:val="en-US"/>
              </w:rPr>
              <w:t>2</w:t>
            </w:r>
            <w:proofErr w:type="gramEnd"/>
          </w:p>
        </w:tc>
        <w:tc>
          <w:tcPr>
            <w:tcW w:w="709" w:type="dxa"/>
            <w:tcBorders>
              <w:top w:val="single" w:sz="6" w:space="0" w:color="auto"/>
              <w:left w:val="single" w:sz="6" w:space="0" w:color="auto"/>
              <w:bottom w:val="single" w:sz="6" w:space="0" w:color="auto"/>
              <w:right w:val="single" w:sz="6" w:space="0" w:color="auto"/>
            </w:tcBorders>
            <w:hideMark/>
          </w:tcPr>
          <w:p w14:paraId="0B9CE764" w14:textId="77777777" w:rsidR="0086036C" w:rsidRDefault="0086036C" w:rsidP="00F66118">
            <w:pPr>
              <w:pStyle w:val="Tabletext"/>
              <w:jc w:val="center"/>
              <w:rPr>
                <w:lang w:val="en-US"/>
              </w:rPr>
            </w:pPr>
            <w:r>
              <w:rPr>
                <w:lang w:val="en-US" w:eastAsia="ru-RU"/>
              </w:rPr>
              <w:t>16,1</w:t>
            </w:r>
          </w:p>
        </w:tc>
        <w:tc>
          <w:tcPr>
            <w:tcW w:w="5808" w:type="dxa"/>
            <w:tcBorders>
              <w:top w:val="single" w:sz="6" w:space="0" w:color="auto"/>
              <w:left w:val="single" w:sz="6" w:space="0" w:color="auto"/>
              <w:bottom w:val="single" w:sz="6" w:space="0" w:color="auto"/>
              <w:right w:val="single" w:sz="6" w:space="0" w:color="auto"/>
            </w:tcBorders>
            <w:hideMark/>
          </w:tcPr>
          <w:p w14:paraId="1D659689" w14:textId="77777777" w:rsidR="0086036C" w:rsidRPr="00FE1B90" w:rsidRDefault="0086036C" w:rsidP="00F16485">
            <w:pPr>
              <w:pStyle w:val="Tabletext"/>
              <w:rPr>
                <w:lang w:val="es-ES"/>
              </w:rPr>
            </w:pPr>
            <w:r w:rsidRPr="00FE1B90">
              <w:rPr>
                <w:lang w:val="es-ES"/>
              </w:rPr>
              <w:t>Ganancia de la antena receptora</w:t>
            </w:r>
            <w:r>
              <w:rPr>
                <w:lang w:val="es-ES"/>
              </w:rPr>
              <w:t xml:space="preserve"> </w:t>
            </w:r>
            <w:r w:rsidRPr="00FE1B90">
              <w:rPr>
                <w:lang w:val="es-ES"/>
              </w:rPr>
              <w:t>de la estación base IMT sin pérdidas del alimentador en la dirección de la estaci</w:t>
            </w:r>
            <w:r>
              <w:rPr>
                <w:lang w:val="es-ES"/>
              </w:rPr>
              <w:t>ón terrena del SMS</w:t>
            </w:r>
            <w:r w:rsidRPr="00FE1B90">
              <w:rPr>
                <w:lang w:val="es-ES"/>
              </w:rPr>
              <w:t xml:space="preserve"> </w:t>
            </w:r>
          </w:p>
        </w:tc>
      </w:tr>
      <w:tr w:rsidR="0086036C" w14:paraId="7C7DC580" w14:textId="77777777" w:rsidTr="0054354F">
        <w:trPr>
          <w:cantSplit/>
          <w:jc w:val="right"/>
        </w:trPr>
        <w:tc>
          <w:tcPr>
            <w:tcW w:w="1094" w:type="dxa"/>
            <w:vMerge/>
            <w:tcBorders>
              <w:top w:val="single" w:sz="6" w:space="0" w:color="auto"/>
              <w:left w:val="single" w:sz="6" w:space="0" w:color="auto"/>
              <w:bottom w:val="single" w:sz="4" w:space="0" w:color="auto"/>
              <w:right w:val="single" w:sz="6" w:space="0" w:color="auto"/>
            </w:tcBorders>
            <w:vAlign w:val="center"/>
            <w:hideMark/>
          </w:tcPr>
          <w:p w14:paraId="65E99AD9" w14:textId="77777777" w:rsidR="0086036C" w:rsidRPr="00FE1B90" w:rsidRDefault="0086036C" w:rsidP="00F16485">
            <w:pPr>
              <w:pStyle w:val="Tabletext"/>
              <w:rPr>
                <w:lang w:val="es-ES"/>
              </w:rPr>
            </w:pPr>
          </w:p>
        </w:tc>
        <w:tc>
          <w:tcPr>
            <w:tcW w:w="1093" w:type="dxa"/>
            <w:tcBorders>
              <w:top w:val="single" w:sz="6" w:space="0" w:color="auto"/>
              <w:left w:val="single" w:sz="6" w:space="0" w:color="auto"/>
              <w:bottom w:val="single" w:sz="4" w:space="0" w:color="auto"/>
              <w:right w:val="single" w:sz="6" w:space="0" w:color="auto"/>
            </w:tcBorders>
            <w:hideMark/>
          </w:tcPr>
          <w:p w14:paraId="4DE65611" w14:textId="77777777" w:rsidR="0086036C" w:rsidRDefault="0086036C" w:rsidP="00F16485">
            <w:pPr>
              <w:pStyle w:val="Tabletext"/>
              <w:rPr>
                <w:position w:val="3"/>
                <w:lang w:val="en-US"/>
              </w:rPr>
            </w:pPr>
            <w:r>
              <w:rPr>
                <w:i/>
                <w:iCs/>
                <w:lang w:val="en-US"/>
              </w:rPr>
              <w:t>T</w:t>
            </w:r>
            <w:r>
              <w:rPr>
                <w:i/>
                <w:iCs/>
                <w:position w:val="-4"/>
                <w:lang w:val="en-US"/>
              </w:rPr>
              <w:t>e</w:t>
            </w:r>
            <w:r>
              <w:rPr>
                <w:i/>
                <w:iCs/>
                <w:lang w:val="en-US"/>
              </w:rPr>
              <w:t xml:space="preserve"> </w:t>
            </w:r>
            <w:r>
              <w:rPr>
                <w:lang w:val="en-US"/>
              </w:rPr>
              <w:t>(K)</w:t>
            </w:r>
          </w:p>
        </w:tc>
        <w:tc>
          <w:tcPr>
            <w:tcW w:w="633" w:type="dxa"/>
            <w:tcBorders>
              <w:top w:val="single" w:sz="6" w:space="0" w:color="auto"/>
              <w:left w:val="single" w:sz="6" w:space="0" w:color="auto"/>
              <w:bottom w:val="single" w:sz="4" w:space="0" w:color="auto"/>
              <w:right w:val="single" w:sz="6" w:space="0" w:color="auto"/>
            </w:tcBorders>
            <w:hideMark/>
          </w:tcPr>
          <w:p w14:paraId="18809ED9" w14:textId="77777777" w:rsidR="0086036C" w:rsidRDefault="0086036C" w:rsidP="00F66118">
            <w:pPr>
              <w:pStyle w:val="Tabletext"/>
              <w:jc w:val="center"/>
              <w:rPr>
                <w:lang w:val="en-US"/>
              </w:rPr>
            </w:pPr>
            <w:proofErr w:type="gramStart"/>
            <w:r>
              <w:rPr>
                <w:lang w:val="en-US"/>
              </w:rPr>
              <w:t xml:space="preserve">500  </w:t>
            </w:r>
            <w:r>
              <w:rPr>
                <w:position w:val="4"/>
                <w:lang w:val="en-US"/>
              </w:rPr>
              <w:t>2</w:t>
            </w:r>
            <w:proofErr w:type="gramEnd"/>
          </w:p>
        </w:tc>
        <w:tc>
          <w:tcPr>
            <w:tcW w:w="709" w:type="dxa"/>
            <w:tcBorders>
              <w:top w:val="single" w:sz="6" w:space="0" w:color="auto"/>
              <w:left w:val="single" w:sz="6" w:space="0" w:color="auto"/>
              <w:bottom w:val="single" w:sz="4" w:space="0" w:color="auto"/>
              <w:right w:val="single" w:sz="6" w:space="0" w:color="auto"/>
            </w:tcBorders>
            <w:hideMark/>
          </w:tcPr>
          <w:p w14:paraId="195AA80D" w14:textId="77777777" w:rsidR="0086036C" w:rsidRDefault="0086036C" w:rsidP="00F66118">
            <w:pPr>
              <w:pStyle w:val="Tabletext"/>
              <w:jc w:val="center"/>
              <w:rPr>
                <w:lang w:val="en-US"/>
              </w:rPr>
            </w:pPr>
            <w:r>
              <w:rPr>
                <w:lang w:val="en-US" w:eastAsia="ru-RU"/>
              </w:rPr>
              <w:t>925</w:t>
            </w:r>
          </w:p>
        </w:tc>
        <w:tc>
          <w:tcPr>
            <w:tcW w:w="5808" w:type="dxa"/>
            <w:tcBorders>
              <w:top w:val="single" w:sz="6" w:space="0" w:color="auto"/>
              <w:left w:val="single" w:sz="6" w:space="0" w:color="auto"/>
              <w:bottom w:val="single" w:sz="4" w:space="0" w:color="auto"/>
              <w:right w:val="single" w:sz="6" w:space="0" w:color="auto"/>
            </w:tcBorders>
            <w:hideMark/>
          </w:tcPr>
          <w:p w14:paraId="45EDBD8F" w14:textId="5ECC1FFE" w:rsidR="0086036C" w:rsidRPr="00FE1B90" w:rsidRDefault="0086036C" w:rsidP="00F16485">
            <w:pPr>
              <w:pStyle w:val="Tabletext"/>
              <w:rPr>
                <w:lang w:val="es-ES"/>
              </w:rPr>
            </w:pPr>
            <w:r w:rsidRPr="00FE1B90">
              <w:rPr>
                <w:lang w:val="es-ES"/>
              </w:rPr>
              <w:t>Para la estación EB IMT NF</w:t>
            </w:r>
            <w:r w:rsidR="00840AC3">
              <w:rPr>
                <w:lang w:val="es-ES"/>
              </w:rPr>
              <w:t> </w:t>
            </w:r>
            <w:r w:rsidRPr="00FE1B90">
              <w:rPr>
                <w:lang w:val="es-ES"/>
              </w:rPr>
              <w:t>=</w:t>
            </w:r>
            <w:r w:rsidR="00840AC3">
              <w:rPr>
                <w:lang w:val="es-ES"/>
              </w:rPr>
              <w:t> </w:t>
            </w:r>
            <w:r w:rsidRPr="00FE1B90">
              <w:rPr>
                <w:lang w:val="es-ES"/>
              </w:rPr>
              <w:t>5</w:t>
            </w:r>
            <w:r w:rsidR="00F16485">
              <w:rPr>
                <w:lang w:val="es-ES"/>
              </w:rPr>
              <w:t> </w:t>
            </w:r>
            <w:r w:rsidRPr="00FE1B90">
              <w:rPr>
                <w:lang w:val="es-ES"/>
              </w:rPr>
              <w:t xml:space="preserve">dB </w:t>
            </w:r>
            <w:r>
              <w:rPr>
                <w:lang w:val="es-ES"/>
              </w:rPr>
              <w:t>y</w:t>
            </w:r>
            <w:r w:rsidRPr="00FE1B90">
              <w:rPr>
                <w:lang w:val="es-ES"/>
              </w:rPr>
              <w:t xml:space="preserve"> N</w:t>
            </w:r>
            <w:r w:rsidR="00840AC3">
              <w:rPr>
                <w:lang w:val="es-ES"/>
              </w:rPr>
              <w:t> </w:t>
            </w:r>
            <w:r w:rsidRPr="00FE1B90">
              <w:rPr>
                <w:lang w:val="es-ES"/>
              </w:rPr>
              <w:t>=</w:t>
            </w:r>
            <w:r w:rsidR="00840AC3">
              <w:rPr>
                <w:lang w:val="es-ES"/>
              </w:rPr>
              <w:t> </w:t>
            </w:r>
            <w:r w:rsidR="0054354F" w:rsidRPr="0054354F">
              <w:rPr>
                <w:lang w:val="es-ES"/>
              </w:rPr>
              <w:t>–</w:t>
            </w:r>
            <w:r w:rsidRPr="00FE1B90">
              <w:rPr>
                <w:lang w:val="es-ES"/>
              </w:rPr>
              <w:t>199</w:t>
            </w:r>
            <w:r w:rsidR="00F16485">
              <w:rPr>
                <w:lang w:val="es-ES"/>
              </w:rPr>
              <w:t> </w:t>
            </w:r>
            <w:r w:rsidRPr="00FE1B90">
              <w:rPr>
                <w:lang w:val="es-ES"/>
              </w:rPr>
              <w:t>dBW/Hz</w:t>
            </w:r>
          </w:p>
          <w:p w14:paraId="4C8DF1B0" w14:textId="29185712" w:rsidR="0086036C" w:rsidRDefault="0086036C" w:rsidP="00F16485">
            <w:pPr>
              <w:pStyle w:val="Tabletext"/>
              <w:rPr>
                <w:lang w:val="en-US"/>
              </w:rPr>
            </w:pPr>
            <w:r>
              <w:rPr>
                <w:i/>
                <w:lang w:val="en-US"/>
              </w:rPr>
              <w:t>T</w:t>
            </w:r>
            <w:r>
              <w:rPr>
                <w:i/>
                <w:vertAlign w:val="subscript"/>
                <w:lang w:val="en-US"/>
              </w:rPr>
              <w:t>e</w:t>
            </w:r>
            <w:r w:rsidR="00840AC3">
              <w:rPr>
                <w:lang w:val="en-US"/>
              </w:rPr>
              <w:t> </w:t>
            </w:r>
            <w:r>
              <w:rPr>
                <w:lang w:val="en-US"/>
              </w:rPr>
              <w:t>=</w:t>
            </w:r>
            <w:r w:rsidR="00840AC3">
              <w:rPr>
                <w:lang w:val="en-US"/>
              </w:rPr>
              <w:t> </w:t>
            </w:r>
            <w:r>
              <w:rPr>
                <w:lang w:val="en-US"/>
              </w:rPr>
              <w:t>10^(</w:t>
            </w:r>
            <w:r>
              <w:rPr>
                <w:i/>
                <w:lang w:val="en-US"/>
              </w:rPr>
              <w:t>N</w:t>
            </w:r>
            <w:r>
              <w:rPr>
                <w:lang w:val="en-US"/>
              </w:rPr>
              <w:t>/10)/</w:t>
            </w:r>
            <w:r>
              <w:rPr>
                <w:i/>
                <w:lang w:val="en-US"/>
              </w:rPr>
              <w:t>k</w:t>
            </w:r>
            <w:r w:rsidR="00840AC3">
              <w:rPr>
                <w:lang w:val="en-US"/>
              </w:rPr>
              <w:t> </w:t>
            </w:r>
            <w:r>
              <w:rPr>
                <w:lang w:val="en-US"/>
              </w:rPr>
              <w:t>=</w:t>
            </w:r>
            <w:r w:rsidR="00840AC3">
              <w:rPr>
                <w:lang w:val="en-US"/>
              </w:rPr>
              <w:t> </w:t>
            </w:r>
            <w:r>
              <w:rPr>
                <w:lang w:val="en-US"/>
              </w:rPr>
              <w:t>925</w:t>
            </w:r>
            <w:r w:rsidR="0054354F">
              <w:rPr>
                <w:lang w:val="en-US"/>
              </w:rPr>
              <w:t> </w:t>
            </w:r>
            <w:r>
              <w:rPr>
                <w:lang w:val="en-US"/>
              </w:rPr>
              <w:t>K</w:t>
            </w:r>
          </w:p>
        </w:tc>
      </w:tr>
      <w:tr w:rsidR="0086036C" w14:paraId="1F525E65" w14:textId="77777777" w:rsidTr="0054354F">
        <w:trPr>
          <w:cantSplit/>
          <w:jc w:val="right"/>
        </w:trPr>
        <w:tc>
          <w:tcPr>
            <w:tcW w:w="1094" w:type="dxa"/>
            <w:tcBorders>
              <w:top w:val="single" w:sz="4" w:space="0" w:color="auto"/>
              <w:left w:val="single" w:sz="4" w:space="0" w:color="auto"/>
              <w:bottom w:val="single" w:sz="4" w:space="0" w:color="auto"/>
              <w:right w:val="single" w:sz="4" w:space="0" w:color="auto"/>
            </w:tcBorders>
            <w:hideMark/>
          </w:tcPr>
          <w:p w14:paraId="000EB42B" w14:textId="77777777" w:rsidR="0086036C" w:rsidRPr="00B10215" w:rsidRDefault="0086036C" w:rsidP="00F16485">
            <w:pPr>
              <w:pStyle w:val="Tabletext"/>
              <w:rPr>
                <w:lang w:val="es-ES"/>
              </w:rPr>
            </w:pPr>
            <w:r w:rsidRPr="00B10215">
              <w:rPr>
                <w:lang w:val="es-ES"/>
              </w:rPr>
              <w:t>Ancho de banda de referencia</w:t>
            </w:r>
          </w:p>
        </w:tc>
        <w:tc>
          <w:tcPr>
            <w:tcW w:w="1093" w:type="dxa"/>
            <w:tcBorders>
              <w:top w:val="single" w:sz="4" w:space="0" w:color="auto"/>
              <w:left w:val="single" w:sz="4" w:space="0" w:color="auto"/>
              <w:bottom w:val="single" w:sz="4" w:space="0" w:color="auto"/>
              <w:right w:val="single" w:sz="4" w:space="0" w:color="auto"/>
            </w:tcBorders>
            <w:hideMark/>
          </w:tcPr>
          <w:p w14:paraId="4F22820E" w14:textId="77777777" w:rsidR="0086036C" w:rsidRDefault="0086036C" w:rsidP="00F16485">
            <w:pPr>
              <w:pStyle w:val="Tabletext"/>
              <w:rPr>
                <w:position w:val="3"/>
                <w:lang w:val="en-US"/>
              </w:rPr>
            </w:pPr>
            <w:r>
              <w:rPr>
                <w:i/>
                <w:iCs/>
                <w:lang w:val="en-US"/>
              </w:rPr>
              <w:t>B</w:t>
            </w:r>
            <w:r>
              <w:rPr>
                <w:lang w:val="en-US"/>
              </w:rPr>
              <w:t xml:space="preserve"> (Hz)</w:t>
            </w:r>
          </w:p>
        </w:tc>
        <w:tc>
          <w:tcPr>
            <w:tcW w:w="633" w:type="dxa"/>
            <w:tcBorders>
              <w:top w:val="single" w:sz="4" w:space="0" w:color="auto"/>
              <w:left w:val="single" w:sz="4" w:space="0" w:color="auto"/>
              <w:bottom w:val="single" w:sz="4" w:space="0" w:color="auto"/>
              <w:right w:val="single" w:sz="4" w:space="0" w:color="auto"/>
            </w:tcBorders>
            <w:hideMark/>
          </w:tcPr>
          <w:p w14:paraId="79E421E9" w14:textId="77777777" w:rsidR="0086036C" w:rsidRDefault="0086036C" w:rsidP="00F66118">
            <w:pPr>
              <w:pStyle w:val="Tabletext"/>
              <w:jc w:val="center"/>
              <w:rPr>
                <w:lang w:val="en-US"/>
              </w:rPr>
            </w:pPr>
            <w:r>
              <w:rPr>
                <w:lang w:val="en-US"/>
              </w:rPr>
              <w:t>4 × 10</w:t>
            </w:r>
            <w:r>
              <w:rPr>
                <w:position w:val="4"/>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3FF5D26B" w14:textId="77777777" w:rsidR="0086036C" w:rsidRDefault="0086036C" w:rsidP="00F66118">
            <w:pPr>
              <w:pStyle w:val="Tabletext"/>
              <w:jc w:val="center"/>
              <w:rPr>
                <w:lang w:val="en-US"/>
              </w:rPr>
            </w:pPr>
            <w:r>
              <w:rPr>
                <w:lang w:val="en-US" w:eastAsia="ru-RU"/>
              </w:rPr>
              <w:t>4 x 10</w:t>
            </w:r>
            <w:r>
              <w:rPr>
                <w:vertAlign w:val="superscript"/>
                <w:lang w:val="en-US" w:eastAsia="ru-RU"/>
              </w:rPr>
              <w:t>3</w:t>
            </w:r>
          </w:p>
        </w:tc>
        <w:tc>
          <w:tcPr>
            <w:tcW w:w="5808" w:type="dxa"/>
            <w:tcBorders>
              <w:top w:val="single" w:sz="4" w:space="0" w:color="auto"/>
              <w:left w:val="single" w:sz="4" w:space="0" w:color="auto"/>
              <w:bottom w:val="single" w:sz="4" w:space="0" w:color="auto"/>
              <w:right w:val="single" w:sz="4" w:space="0" w:color="auto"/>
            </w:tcBorders>
            <w:vAlign w:val="center"/>
            <w:hideMark/>
          </w:tcPr>
          <w:p w14:paraId="54962691" w14:textId="77777777" w:rsidR="0086036C" w:rsidRDefault="0086036C" w:rsidP="00F16485">
            <w:pPr>
              <w:pStyle w:val="Tabletext"/>
              <w:rPr>
                <w:lang w:val="en-US"/>
              </w:rPr>
            </w:pPr>
            <w:r>
              <w:rPr>
                <w:lang w:val="en-US"/>
              </w:rPr>
              <w:t>-</w:t>
            </w:r>
          </w:p>
        </w:tc>
      </w:tr>
      <w:tr w:rsidR="0086036C" w:rsidRPr="00BA2406" w14:paraId="5BB77BF3" w14:textId="77777777" w:rsidTr="0054354F">
        <w:trPr>
          <w:cantSplit/>
          <w:jc w:val="right"/>
        </w:trPr>
        <w:tc>
          <w:tcPr>
            <w:tcW w:w="1094" w:type="dxa"/>
            <w:tcBorders>
              <w:top w:val="single" w:sz="4" w:space="0" w:color="auto"/>
              <w:left w:val="single" w:sz="6" w:space="0" w:color="auto"/>
              <w:bottom w:val="single" w:sz="4" w:space="0" w:color="auto"/>
              <w:right w:val="single" w:sz="6" w:space="0" w:color="auto"/>
            </w:tcBorders>
            <w:hideMark/>
          </w:tcPr>
          <w:p w14:paraId="35FC1ABD" w14:textId="77777777" w:rsidR="0086036C" w:rsidRDefault="0086036C" w:rsidP="00F16485">
            <w:pPr>
              <w:pStyle w:val="Tabletext"/>
              <w:rPr>
                <w:lang w:val="en-US"/>
              </w:rPr>
            </w:pPr>
            <w:r>
              <w:rPr>
                <w:lang w:val="en-US"/>
              </w:rPr>
              <w:lastRenderedPageBreak/>
              <w:t>Potencia de interferencia admisible</w:t>
            </w:r>
          </w:p>
        </w:tc>
        <w:tc>
          <w:tcPr>
            <w:tcW w:w="1093" w:type="dxa"/>
            <w:tcBorders>
              <w:top w:val="single" w:sz="4" w:space="0" w:color="auto"/>
              <w:left w:val="single" w:sz="6" w:space="0" w:color="auto"/>
              <w:bottom w:val="single" w:sz="4" w:space="0" w:color="auto"/>
              <w:right w:val="single" w:sz="6" w:space="0" w:color="auto"/>
            </w:tcBorders>
            <w:hideMark/>
          </w:tcPr>
          <w:p w14:paraId="239A9A88" w14:textId="77777777" w:rsidR="0086036C" w:rsidRDefault="0086036C" w:rsidP="00F16485">
            <w:pPr>
              <w:pStyle w:val="Tabletext"/>
              <w:rPr>
                <w:position w:val="3"/>
                <w:lang w:val="en-US"/>
              </w:rPr>
            </w:pPr>
            <w:r>
              <w:rPr>
                <w:i/>
                <w:iCs/>
                <w:lang w:val="en-US"/>
              </w:rPr>
              <w:t>P</w:t>
            </w:r>
            <w:r>
              <w:rPr>
                <w:i/>
                <w:iCs/>
                <w:position w:val="-4"/>
                <w:lang w:val="en-US"/>
              </w:rPr>
              <w:t>r</w:t>
            </w:r>
            <w:r>
              <w:rPr>
                <w:lang w:val="en-US"/>
              </w:rPr>
              <w:t>(</w:t>
            </w:r>
            <w:r>
              <w:rPr>
                <w:i/>
                <w:iCs/>
                <w:lang w:val="en-US"/>
              </w:rPr>
              <w:t>p</w:t>
            </w:r>
            <w:r>
              <w:rPr>
                <w:lang w:val="en-US"/>
              </w:rPr>
              <w:t>) (dBW)</w:t>
            </w:r>
            <w:r>
              <w:rPr>
                <w:lang w:val="en-US"/>
              </w:rPr>
              <w:br/>
              <w:t xml:space="preserve">en </w:t>
            </w:r>
            <w:r>
              <w:rPr>
                <w:i/>
                <w:iCs/>
                <w:lang w:val="en-US"/>
              </w:rPr>
              <w:t>B</w:t>
            </w:r>
          </w:p>
        </w:tc>
        <w:tc>
          <w:tcPr>
            <w:tcW w:w="633" w:type="dxa"/>
            <w:tcBorders>
              <w:top w:val="single" w:sz="4" w:space="0" w:color="auto"/>
              <w:left w:val="single" w:sz="6" w:space="0" w:color="auto"/>
              <w:bottom w:val="single" w:sz="4" w:space="0" w:color="auto"/>
              <w:right w:val="single" w:sz="6" w:space="0" w:color="auto"/>
            </w:tcBorders>
            <w:hideMark/>
          </w:tcPr>
          <w:p w14:paraId="7D270D06" w14:textId="77777777" w:rsidR="0086036C" w:rsidRDefault="0086036C" w:rsidP="00F66118">
            <w:pPr>
              <w:pStyle w:val="Tabletext"/>
              <w:jc w:val="center"/>
              <w:rPr>
                <w:lang w:val="en-US"/>
              </w:rPr>
            </w:pPr>
            <w:r>
              <w:rPr>
                <w:lang w:val="en-US"/>
              </w:rPr>
              <w:t>−140</w:t>
            </w:r>
          </w:p>
        </w:tc>
        <w:tc>
          <w:tcPr>
            <w:tcW w:w="709" w:type="dxa"/>
            <w:tcBorders>
              <w:top w:val="single" w:sz="4" w:space="0" w:color="auto"/>
              <w:left w:val="single" w:sz="6" w:space="0" w:color="auto"/>
              <w:bottom w:val="single" w:sz="4" w:space="0" w:color="auto"/>
              <w:right w:val="single" w:sz="6" w:space="0" w:color="auto"/>
            </w:tcBorders>
            <w:hideMark/>
          </w:tcPr>
          <w:p w14:paraId="5E2B932B" w14:textId="6A0FD032" w:rsidR="0086036C" w:rsidRDefault="0054354F" w:rsidP="00F66118">
            <w:pPr>
              <w:pStyle w:val="Tabletext"/>
              <w:jc w:val="center"/>
              <w:rPr>
                <w:lang w:val="en-US"/>
              </w:rPr>
            </w:pPr>
            <w:r w:rsidRPr="0054354F">
              <w:rPr>
                <w:lang w:val="en-US" w:eastAsia="ru-RU"/>
              </w:rPr>
              <w:t>–</w:t>
            </w:r>
            <w:r w:rsidR="0086036C">
              <w:rPr>
                <w:lang w:val="en-US" w:eastAsia="ru-RU"/>
              </w:rPr>
              <w:t>169</w:t>
            </w:r>
          </w:p>
        </w:tc>
        <w:tc>
          <w:tcPr>
            <w:tcW w:w="5808" w:type="dxa"/>
            <w:tcBorders>
              <w:top w:val="single" w:sz="4" w:space="0" w:color="auto"/>
              <w:left w:val="single" w:sz="6" w:space="0" w:color="auto"/>
              <w:bottom w:val="single" w:sz="4" w:space="0" w:color="auto"/>
              <w:right w:val="single" w:sz="6" w:space="0" w:color="auto"/>
            </w:tcBorders>
            <w:hideMark/>
          </w:tcPr>
          <w:p w14:paraId="48B9B95A" w14:textId="77777777" w:rsidR="0086036C" w:rsidRDefault="0086036C" w:rsidP="00F16485">
            <w:pPr>
              <w:pStyle w:val="Tabletext"/>
              <w:rPr>
                <w:lang w:val="en-US"/>
              </w:rPr>
            </w:pPr>
            <w:r>
              <w:rPr>
                <w:noProof/>
                <w:position w:val="-12"/>
                <w:lang w:val="es-ES" w:eastAsia="zh-CN"/>
              </w:rPr>
              <w:drawing>
                <wp:inline distT="0" distB="0" distL="0" distR="0" wp14:anchorId="3D44515B" wp14:editId="00F1E568">
                  <wp:extent cx="2790190"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190" cy="207010"/>
                          </a:xfrm>
                          <a:prstGeom prst="rect">
                            <a:avLst/>
                          </a:prstGeom>
                          <a:noFill/>
                          <a:ln>
                            <a:noFill/>
                          </a:ln>
                        </pic:spPr>
                      </pic:pic>
                    </a:graphicData>
                  </a:graphic>
                </wp:inline>
              </w:drawing>
            </w:r>
          </w:p>
          <w:p w14:paraId="18089EA5" w14:textId="55884D8F" w:rsidR="0086036C" w:rsidRPr="007427E1" w:rsidRDefault="0086036C" w:rsidP="00F16485">
            <w:pPr>
              <w:pStyle w:val="Tabletext"/>
              <w:rPr>
                <w:lang w:val="es-ES"/>
              </w:rPr>
            </w:pPr>
            <w:r>
              <w:rPr>
                <w:lang w:val="en-US"/>
              </w:rPr>
              <w:tab/>
            </w:r>
            <w:r w:rsidRPr="007427E1">
              <w:rPr>
                <w:i/>
                <w:lang w:val="es-ES"/>
              </w:rPr>
              <w:t>k</w:t>
            </w:r>
            <w:r w:rsidRPr="007427E1">
              <w:rPr>
                <w:lang w:val="es-ES"/>
              </w:rPr>
              <w:t>:</w:t>
            </w:r>
            <w:r w:rsidRPr="007427E1">
              <w:rPr>
                <w:lang w:val="es-ES"/>
              </w:rPr>
              <w:tab/>
              <w:t>constante de Boltzmann (1,38 × 10</w:t>
            </w:r>
            <w:r w:rsidR="0054354F">
              <w:rPr>
                <w:lang w:val="es-ES"/>
              </w:rPr>
              <w:t xml:space="preserve"> </w:t>
            </w:r>
            <w:r w:rsidRPr="007427E1">
              <w:rPr>
                <w:lang w:val="es-ES"/>
              </w:rPr>
              <w:t>−23</w:t>
            </w:r>
            <w:r w:rsidR="0054354F">
              <w:rPr>
                <w:lang w:val="es-ES"/>
              </w:rPr>
              <w:t> </w:t>
            </w:r>
            <w:r w:rsidRPr="007427E1">
              <w:rPr>
                <w:lang w:val="es-ES"/>
              </w:rPr>
              <w:t>J/K)</w:t>
            </w:r>
          </w:p>
          <w:p w14:paraId="1DBAD777" w14:textId="77777777" w:rsidR="0086036C" w:rsidRPr="00FE1B90" w:rsidRDefault="0086036C" w:rsidP="00F16485">
            <w:pPr>
              <w:pStyle w:val="Tabletext"/>
              <w:rPr>
                <w:lang w:val="es-ES"/>
              </w:rPr>
            </w:pPr>
            <w:r w:rsidRPr="007427E1">
              <w:rPr>
                <w:lang w:val="es-ES"/>
              </w:rPr>
              <w:tab/>
            </w:r>
            <w:r w:rsidRPr="00FE1B90">
              <w:rPr>
                <w:i/>
                <w:lang w:val="es-ES"/>
              </w:rPr>
              <w:t>T</w:t>
            </w:r>
            <w:r w:rsidRPr="00FE1B90">
              <w:rPr>
                <w:i/>
                <w:vertAlign w:val="subscript"/>
                <w:lang w:val="es-ES"/>
              </w:rPr>
              <w:t>e</w:t>
            </w:r>
            <w:r w:rsidRPr="00FE1B90">
              <w:rPr>
                <w:lang w:val="es-ES"/>
              </w:rPr>
              <w:t>:</w:t>
            </w:r>
            <w:r w:rsidRPr="00FE1B90">
              <w:rPr>
                <w:lang w:val="es-ES"/>
              </w:rPr>
              <w:tab/>
              <w:t xml:space="preserve">temperatura de ruido térmico del </w:t>
            </w:r>
            <w:r>
              <w:rPr>
                <w:lang w:val="es-ES"/>
              </w:rPr>
              <w:t>s</w:t>
            </w:r>
            <w:r w:rsidRPr="00FE1B90">
              <w:rPr>
                <w:lang w:val="es-ES"/>
              </w:rPr>
              <w:t>istema receptor (K), en el terminal de la antena receptora</w:t>
            </w:r>
          </w:p>
          <w:p w14:paraId="23E8BA90" w14:textId="77777777" w:rsidR="0086036C" w:rsidRPr="00FE1B90" w:rsidRDefault="0086036C" w:rsidP="00F16485">
            <w:pPr>
              <w:pStyle w:val="Tabletext"/>
              <w:rPr>
                <w:lang w:val="es-ES"/>
              </w:rPr>
            </w:pPr>
            <w:r w:rsidRPr="00FE1B90">
              <w:rPr>
                <w:lang w:val="es-ES"/>
              </w:rPr>
              <w:tab/>
            </w:r>
            <w:r w:rsidRPr="00FE1B90">
              <w:rPr>
                <w:i/>
                <w:lang w:val="es-ES"/>
              </w:rPr>
              <w:t>N</w:t>
            </w:r>
            <w:r w:rsidRPr="00FE1B90">
              <w:rPr>
                <w:i/>
                <w:vertAlign w:val="subscript"/>
                <w:lang w:val="es-ES"/>
              </w:rPr>
              <w:t>L</w:t>
            </w:r>
            <w:r w:rsidRPr="00FE1B90">
              <w:rPr>
                <w:lang w:val="es-ES"/>
              </w:rPr>
              <w:t>:</w:t>
            </w:r>
            <w:r w:rsidRPr="00FE1B90">
              <w:rPr>
                <w:lang w:val="es-ES"/>
              </w:rPr>
              <w:tab/>
              <w:t>contribución al ruido del enlace</w:t>
            </w:r>
          </w:p>
          <w:p w14:paraId="3249E0FC" w14:textId="69145517" w:rsidR="0086036C" w:rsidRPr="00FE1B90" w:rsidRDefault="0086036C" w:rsidP="00F16485">
            <w:pPr>
              <w:pStyle w:val="Tabletext"/>
              <w:rPr>
                <w:lang w:val="es-ES"/>
              </w:rPr>
            </w:pPr>
            <w:r w:rsidRPr="00FE1B90">
              <w:rPr>
                <w:lang w:val="es-ES"/>
              </w:rPr>
              <w:tab/>
            </w:r>
            <w:r w:rsidRPr="00FE1B90">
              <w:rPr>
                <w:i/>
                <w:lang w:val="es-ES"/>
              </w:rPr>
              <w:t>B</w:t>
            </w:r>
            <w:r w:rsidRPr="00FE1B90">
              <w:rPr>
                <w:lang w:val="es-ES"/>
              </w:rPr>
              <w:t>:</w:t>
            </w:r>
            <w:r w:rsidRPr="00FE1B90">
              <w:rPr>
                <w:lang w:val="es-ES"/>
              </w:rPr>
              <w:tab/>
            </w:r>
            <w:r>
              <w:rPr>
                <w:lang w:val="es-ES"/>
              </w:rPr>
              <w:t>anchura</w:t>
            </w:r>
            <w:r w:rsidRPr="00FE1B90">
              <w:rPr>
                <w:lang w:val="es-ES"/>
              </w:rPr>
              <w:t xml:space="preserve"> de banda de referencia (Hz), </w:t>
            </w:r>
            <w:r>
              <w:rPr>
                <w:lang w:val="es-ES"/>
              </w:rPr>
              <w:t>es decir, anchura</w:t>
            </w:r>
            <w:r w:rsidRPr="00FE1B90">
              <w:rPr>
                <w:lang w:val="es-ES"/>
              </w:rPr>
              <w:t xml:space="preserve"> de banda en la estación receptora </w:t>
            </w:r>
            <w:r>
              <w:rPr>
                <w:lang w:val="es-ES"/>
              </w:rPr>
              <w:t>que está sujeta</w:t>
            </w:r>
            <w:r w:rsidRPr="00FE1B90">
              <w:rPr>
                <w:lang w:val="es-ES"/>
              </w:rPr>
              <w:t xml:space="preserve"> a interferencia y </w:t>
            </w:r>
            <w:r>
              <w:rPr>
                <w:lang w:val="es-ES"/>
              </w:rPr>
              <w:t>en la cual</w:t>
            </w:r>
            <w:r w:rsidRPr="00FE1B90">
              <w:rPr>
                <w:lang w:val="es-ES"/>
              </w:rPr>
              <w:t xml:space="preserve"> se puede promediar la potencia de la emisi</w:t>
            </w:r>
            <w:r>
              <w:rPr>
                <w:lang w:val="es-ES"/>
              </w:rPr>
              <w:t>ón interferente</w:t>
            </w:r>
          </w:p>
          <w:p w14:paraId="5748DFA3" w14:textId="77777777" w:rsidR="0086036C" w:rsidRPr="00FE1B90" w:rsidRDefault="0086036C" w:rsidP="00F16485">
            <w:pPr>
              <w:pStyle w:val="Tabletext"/>
              <w:rPr>
                <w:lang w:val="es-ES"/>
              </w:rPr>
            </w:pPr>
            <w:r w:rsidRPr="00FE1B90">
              <w:rPr>
                <w:lang w:val="es-ES"/>
              </w:rPr>
              <w:tab/>
            </w:r>
            <w:r w:rsidRPr="00FE1B90">
              <w:rPr>
                <w:i/>
                <w:lang w:val="es-ES"/>
              </w:rPr>
              <w:t>p</w:t>
            </w:r>
            <w:r w:rsidRPr="00FE1B90">
              <w:rPr>
                <w:lang w:val="es-ES"/>
              </w:rPr>
              <w:t>:</w:t>
            </w:r>
            <w:r w:rsidRPr="00FE1B90">
              <w:rPr>
                <w:lang w:val="es-ES"/>
              </w:rPr>
              <w:tab/>
              <w:t xml:space="preserve">porcentaje de tiempo durante el </w:t>
            </w:r>
            <w:r>
              <w:rPr>
                <w:lang w:val="es-ES"/>
              </w:rPr>
              <w:t>cual</w:t>
            </w:r>
            <w:r w:rsidRPr="00FE1B90">
              <w:rPr>
                <w:lang w:val="es-ES"/>
              </w:rPr>
              <w:t xml:space="preserve"> la interferencia de una fuente puede </w:t>
            </w:r>
            <w:r>
              <w:rPr>
                <w:lang w:val="es-ES"/>
              </w:rPr>
              <w:t>exceder</w:t>
            </w:r>
            <w:r w:rsidRPr="00FE1B90">
              <w:rPr>
                <w:lang w:val="es-ES"/>
              </w:rPr>
              <w:t xml:space="preserve"> el valor de potencia de interferencia </w:t>
            </w:r>
            <w:r>
              <w:rPr>
                <w:lang w:val="es-ES"/>
              </w:rPr>
              <w:t>admisible, p</w:t>
            </w:r>
            <w:r w:rsidRPr="007427E1">
              <w:rPr>
                <w:lang w:val="es-ES"/>
              </w:rPr>
              <w:t>uesto que no es probable que las interferencias incidentes se produzcan simultáneamente</w:t>
            </w:r>
            <w:r>
              <w:rPr>
                <w:lang w:val="es-ES"/>
              </w:rPr>
              <w:t>,</w:t>
            </w:r>
            <w:r w:rsidRPr="00FE1B90">
              <w:rPr>
                <w:lang w:val="es-ES"/>
              </w:rPr>
              <w:t xml:space="preserve"> p = p0/n</w:t>
            </w:r>
          </w:p>
          <w:p w14:paraId="21B863FB" w14:textId="77777777" w:rsidR="0086036C" w:rsidRPr="00FE1B90" w:rsidRDefault="0086036C" w:rsidP="00F16485">
            <w:pPr>
              <w:pStyle w:val="Tabletext"/>
              <w:rPr>
                <w:lang w:val="es-ES"/>
              </w:rPr>
            </w:pPr>
            <w:r w:rsidRPr="00FE1B90">
              <w:rPr>
                <w:lang w:val="es-ES"/>
              </w:rPr>
              <w:tab/>
            </w:r>
            <w:r w:rsidRPr="00FE1B90">
              <w:rPr>
                <w:i/>
                <w:lang w:val="es-ES"/>
              </w:rPr>
              <w:t>p</w:t>
            </w:r>
            <w:r w:rsidRPr="00FE1B90">
              <w:rPr>
                <w:i/>
                <w:vertAlign w:val="subscript"/>
                <w:lang w:val="es-ES"/>
              </w:rPr>
              <w:t>0</w:t>
            </w:r>
            <w:r w:rsidRPr="00FE1B90">
              <w:rPr>
                <w:lang w:val="es-ES"/>
              </w:rPr>
              <w:t>:</w:t>
            </w:r>
            <w:r w:rsidRPr="00FE1B90">
              <w:rPr>
                <w:lang w:val="es-ES"/>
              </w:rPr>
              <w:tab/>
              <w:t xml:space="preserve">porcentaje de tiempo durante el </w:t>
            </w:r>
            <w:r>
              <w:rPr>
                <w:lang w:val="es-ES"/>
              </w:rPr>
              <w:t>cual</w:t>
            </w:r>
            <w:r w:rsidRPr="00FE1B90">
              <w:rPr>
                <w:lang w:val="es-ES"/>
              </w:rPr>
              <w:t xml:space="preserve"> la interferencia </w:t>
            </w:r>
            <w:r>
              <w:rPr>
                <w:lang w:val="es-ES"/>
              </w:rPr>
              <w:t>procedente</w:t>
            </w:r>
            <w:r w:rsidRPr="00FE1B90">
              <w:rPr>
                <w:lang w:val="es-ES"/>
              </w:rPr>
              <w:t xml:space="preserve"> de </w:t>
            </w:r>
            <w:r>
              <w:rPr>
                <w:lang w:val="es-ES"/>
              </w:rPr>
              <w:t xml:space="preserve">todas las </w:t>
            </w:r>
            <w:r w:rsidRPr="00FE1B90">
              <w:rPr>
                <w:lang w:val="es-ES"/>
              </w:rPr>
              <w:t>fuente</w:t>
            </w:r>
            <w:r>
              <w:rPr>
                <w:lang w:val="es-ES"/>
              </w:rPr>
              <w:t>s</w:t>
            </w:r>
            <w:r w:rsidRPr="00FE1B90">
              <w:rPr>
                <w:lang w:val="es-ES"/>
              </w:rPr>
              <w:t xml:space="preserve"> puede </w:t>
            </w:r>
            <w:r>
              <w:rPr>
                <w:lang w:val="es-ES"/>
              </w:rPr>
              <w:t>exceder</w:t>
            </w:r>
            <w:r w:rsidRPr="00FE1B90">
              <w:rPr>
                <w:lang w:val="es-ES"/>
              </w:rPr>
              <w:t xml:space="preserve"> el valor </w:t>
            </w:r>
            <w:r>
              <w:rPr>
                <w:lang w:val="es-ES"/>
              </w:rPr>
              <w:t>umbral</w:t>
            </w:r>
          </w:p>
          <w:p w14:paraId="39E06003" w14:textId="77777777" w:rsidR="0086036C" w:rsidRPr="007427E1" w:rsidRDefault="0086036C" w:rsidP="00F16485">
            <w:pPr>
              <w:pStyle w:val="Tabletext"/>
              <w:rPr>
                <w:lang w:val="es-ES"/>
              </w:rPr>
            </w:pPr>
            <w:r w:rsidRPr="00FE1B90">
              <w:rPr>
                <w:lang w:val="es-ES"/>
              </w:rPr>
              <w:tab/>
            </w:r>
            <w:r w:rsidRPr="00BA2406">
              <w:rPr>
                <w:i/>
                <w:lang w:val="es-ES"/>
              </w:rPr>
              <w:t>n</w:t>
            </w:r>
            <w:r w:rsidRPr="00BA2406">
              <w:rPr>
                <w:lang w:val="es-ES"/>
              </w:rPr>
              <w:t>:</w:t>
            </w:r>
            <w:r w:rsidRPr="00BA2406">
              <w:rPr>
                <w:lang w:val="es-ES"/>
              </w:rPr>
              <w:tab/>
            </w:r>
            <w:r w:rsidRPr="007427E1">
              <w:rPr>
                <w:lang w:val="es-ES"/>
              </w:rPr>
              <w:t>número de fuentes de interferencia de igual nivel y de igual probabilidad, que se supone no están correlacionadas durante pequeños porcentajes de tiempo</w:t>
            </w:r>
          </w:p>
          <w:p w14:paraId="6FD02608" w14:textId="77777777" w:rsidR="0086036C" w:rsidRPr="00BA2406" w:rsidRDefault="0086036C" w:rsidP="00F16485">
            <w:pPr>
              <w:pStyle w:val="Tabletext"/>
              <w:rPr>
                <w:lang w:val="es-ES"/>
              </w:rPr>
            </w:pPr>
            <w:r w:rsidRPr="00BA2406">
              <w:rPr>
                <w:lang w:val="es-ES"/>
              </w:rPr>
              <w:tab/>
            </w:r>
            <w:r w:rsidRPr="00BA2406">
              <w:rPr>
                <w:i/>
                <w:lang w:val="es-ES"/>
              </w:rPr>
              <w:t>M</w:t>
            </w:r>
            <w:r w:rsidRPr="00BA2406">
              <w:rPr>
                <w:i/>
                <w:vertAlign w:val="subscript"/>
                <w:lang w:val="es-ES"/>
              </w:rPr>
              <w:t>s</w:t>
            </w:r>
            <w:r w:rsidRPr="00BA2406">
              <w:rPr>
                <w:lang w:val="es-ES"/>
              </w:rPr>
              <w:t>:</w:t>
            </w:r>
            <w:r w:rsidRPr="00BA2406">
              <w:rPr>
                <w:lang w:val="es-ES"/>
              </w:rPr>
              <w:tab/>
              <w:t>margen de funcionamiento del enlace (dB)</w:t>
            </w:r>
          </w:p>
          <w:p w14:paraId="1F500408" w14:textId="77777777" w:rsidR="0086036C" w:rsidRPr="00BA2406" w:rsidRDefault="0086036C" w:rsidP="00F16485">
            <w:pPr>
              <w:pStyle w:val="Tabletext"/>
              <w:rPr>
                <w:lang w:val="es-ES"/>
              </w:rPr>
            </w:pPr>
            <w:r w:rsidRPr="00BA2406">
              <w:rPr>
                <w:lang w:val="es-ES"/>
              </w:rPr>
              <w:tab/>
            </w:r>
            <w:r w:rsidRPr="00BA2406">
              <w:rPr>
                <w:i/>
                <w:lang w:val="es-ES"/>
              </w:rPr>
              <w:t>W</w:t>
            </w:r>
            <w:r w:rsidRPr="00BA2406">
              <w:rPr>
                <w:lang w:val="es-ES"/>
              </w:rPr>
              <w:t>:</w:t>
            </w:r>
            <w:r w:rsidRPr="00BA2406">
              <w:rPr>
                <w:lang w:val="es-ES"/>
              </w:rPr>
              <w:tab/>
              <w:t xml:space="preserve">factor de equivalencia de ruido térmico (dB) para emisiones interferentes en la anchura de banda de referencia; </w:t>
            </w:r>
            <w:r>
              <w:rPr>
                <w:lang w:val="es-ES"/>
              </w:rPr>
              <w:t>es positivo cuando las emisiones interferentes producen mayor perturbación que el ruido térmico</w:t>
            </w:r>
          </w:p>
        </w:tc>
      </w:tr>
    </w:tbl>
    <w:p w14:paraId="291AF956" w14:textId="77777777" w:rsidR="0086036C" w:rsidRPr="00BA2406" w:rsidRDefault="0086036C" w:rsidP="0054354F">
      <w:pPr>
        <w:pStyle w:val="Tablelegend"/>
        <w:rPr>
          <w:lang w:val="es-ES"/>
        </w:rPr>
      </w:pPr>
      <w:r w:rsidRPr="00BA2406">
        <w:rPr>
          <w:position w:val="6"/>
          <w:lang w:val="es-ES"/>
        </w:rPr>
        <w:t>1</w:t>
      </w:r>
      <w:r w:rsidRPr="00BA2406">
        <w:rPr>
          <w:lang w:val="es-ES"/>
        </w:rPr>
        <w:tab/>
        <w:t xml:space="preserve">A: modulación analógica; N: </w:t>
      </w:r>
      <w:r>
        <w:rPr>
          <w:lang w:val="es-ES"/>
        </w:rPr>
        <w:t>modulación digital</w:t>
      </w:r>
      <w:r w:rsidRPr="00BA2406">
        <w:rPr>
          <w:lang w:val="es-ES"/>
        </w:rPr>
        <w:t>.</w:t>
      </w:r>
    </w:p>
    <w:p w14:paraId="0ADC2CD7" w14:textId="77777777" w:rsidR="0086036C" w:rsidRPr="00E63C84" w:rsidRDefault="0086036C" w:rsidP="0054354F">
      <w:pPr>
        <w:pStyle w:val="Tablelegend"/>
        <w:ind w:left="567" w:hanging="567"/>
        <w:rPr>
          <w:lang w:val="es-ES"/>
        </w:rPr>
      </w:pPr>
      <w:r w:rsidRPr="00BA2406">
        <w:rPr>
          <w:position w:val="6"/>
          <w:lang w:val="es-ES"/>
        </w:rPr>
        <w:t>2</w:t>
      </w:r>
      <w:r w:rsidRPr="00BA2406">
        <w:rPr>
          <w:lang w:val="es-ES"/>
        </w:rPr>
        <w:tab/>
      </w:r>
      <w:r>
        <w:rPr>
          <w:lang w:val="es-ES"/>
        </w:rPr>
        <w:t>P</w:t>
      </w:r>
      <w:r w:rsidRPr="00BA2406">
        <w:rPr>
          <w:lang w:val="es-ES"/>
        </w:rPr>
        <w:t xml:space="preserve">ara la estación terrenal </w:t>
      </w:r>
      <w:r>
        <w:rPr>
          <w:lang w:val="es-ES"/>
        </w:rPr>
        <w:t>se han utilizado l</w:t>
      </w:r>
      <w:r w:rsidRPr="00BA2406">
        <w:rPr>
          <w:lang w:val="es-ES"/>
        </w:rPr>
        <w:t xml:space="preserve">os parámetros asociados con sistemas transhorizonte. </w:t>
      </w:r>
      <w:r w:rsidRPr="0004049E">
        <w:rPr>
          <w:lang w:val="es-ES"/>
        </w:rPr>
        <w:t xml:space="preserve">Para </w:t>
      </w:r>
      <w:r>
        <w:rPr>
          <w:lang w:val="es-ES"/>
        </w:rPr>
        <w:t>determina</w:t>
      </w:r>
      <w:r w:rsidRPr="0004049E">
        <w:rPr>
          <w:lang w:val="es-ES"/>
        </w:rPr>
        <w:t xml:space="preserve">r </w:t>
      </w:r>
      <w:r>
        <w:rPr>
          <w:lang w:val="es-ES"/>
        </w:rPr>
        <w:t>un contorno suplementario t</w:t>
      </w:r>
      <w:r w:rsidRPr="0004049E">
        <w:rPr>
          <w:lang w:val="es-ES"/>
        </w:rPr>
        <w:t xml:space="preserve">ambién se pueden utilizar los parámetros de radioenlaces </w:t>
      </w:r>
      <w:r>
        <w:rPr>
          <w:lang w:val="es-ES"/>
        </w:rPr>
        <w:t>asociados con la banda de frecuencias</w:t>
      </w:r>
      <w:r w:rsidRPr="0004049E">
        <w:rPr>
          <w:lang w:val="es-ES"/>
        </w:rPr>
        <w:t xml:space="preserve"> band 1 668.4-1 6</w:t>
      </w:r>
      <w:r>
        <w:rPr>
          <w:lang w:val="es-ES"/>
        </w:rPr>
        <w:t>75 MHz</w:t>
      </w:r>
      <w:r w:rsidRPr="0004049E">
        <w:rPr>
          <w:lang w:val="es-ES"/>
        </w:rPr>
        <w:t>.     </w:t>
      </w:r>
      <w:r w:rsidRPr="00E63C84">
        <w:rPr>
          <w:lang w:val="es-ES"/>
        </w:rPr>
        <w:t>(CMR</w:t>
      </w:r>
      <w:r w:rsidRPr="00E63C84">
        <w:rPr>
          <w:lang w:val="es-ES"/>
        </w:rPr>
        <w:noBreakHyphen/>
        <w:t>03)</w:t>
      </w:r>
    </w:p>
    <w:p w14:paraId="3BB0EA5B" w14:textId="77777777" w:rsidR="0086036C" w:rsidRDefault="0086036C" w:rsidP="0054354F">
      <w:pPr>
        <w:pStyle w:val="Tablelegend"/>
        <w:rPr>
          <w:lang w:val="es-ES"/>
        </w:rPr>
      </w:pPr>
      <w:r w:rsidRPr="00E63C84">
        <w:rPr>
          <w:position w:val="6"/>
          <w:lang w:val="es-ES"/>
        </w:rPr>
        <w:t>3</w:t>
      </w:r>
      <w:r w:rsidRPr="00E63C84">
        <w:rPr>
          <w:lang w:val="es-ES"/>
        </w:rPr>
        <w:tab/>
        <w:t>No se incluyen las pérdidas del alimentador</w:t>
      </w:r>
      <w:bookmarkEnd w:id="7"/>
      <w:r w:rsidRPr="00E63C84">
        <w:rPr>
          <w:lang w:val="es-ES"/>
        </w:rPr>
        <w:t>.</w:t>
      </w:r>
    </w:p>
    <w:p w14:paraId="7D44CB37" w14:textId="77777777" w:rsidR="0054354F" w:rsidRDefault="0054354F" w:rsidP="00A81DBA">
      <w:pPr>
        <w:pStyle w:val="Reasons"/>
      </w:pPr>
    </w:p>
    <w:p w14:paraId="715CB373" w14:textId="3188D557" w:rsidR="008750A8" w:rsidRPr="0054354F" w:rsidRDefault="0054354F" w:rsidP="0054354F">
      <w:pPr>
        <w:jc w:val="center"/>
      </w:pPr>
      <w:r>
        <w:t>______________</w:t>
      </w:r>
    </w:p>
    <w:sectPr w:rsidR="008750A8" w:rsidRPr="0054354F">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15CD" w14:textId="77777777" w:rsidR="00A81DBA" w:rsidRDefault="00A81DBA">
      <w:r>
        <w:separator/>
      </w:r>
    </w:p>
  </w:endnote>
  <w:endnote w:type="continuationSeparator" w:id="0">
    <w:p w14:paraId="7899D98F" w14:textId="77777777" w:rsidR="00A81DBA" w:rsidRDefault="00A8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9319" w14:textId="77777777" w:rsidR="00A81DBA" w:rsidRDefault="00A81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D302C" w14:textId="2FA803C2" w:rsidR="00A81DBA" w:rsidRPr="00A81DBA" w:rsidRDefault="00A81DBA">
    <w:pPr>
      <w:ind w:right="360"/>
    </w:pPr>
    <w:r>
      <w:fldChar w:fldCharType="begin"/>
    </w:r>
    <w:r w:rsidRPr="00A81DBA">
      <w:instrText xml:space="preserve"> FILENAME \p  \* MERGEFORMAT </w:instrText>
    </w:r>
    <w:r>
      <w:fldChar w:fldCharType="separate"/>
    </w:r>
    <w:r>
      <w:rPr>
        <w:noProof/>
      </w:rPr>
      <w:t>P:\ESP\ITU-R\CONF-R\CMR19\000\077S.docx</w:t>
    </w:r>
    <w:r>
      <w:fldChar w:fldCharType="end"/>
    </w:r>
    <w:r w:rsidRPr="00A81DBA">
      <w:tab/>
    </w:r>
    <w:r>
      <w:fldChar w:fldCharType="begin"/>
    </w:r>
    <w:r>
      <w:instrText xml:space="preserve"> SAVEDATE \@ DD.MM.YY </w:instrText>
    </w:r>
    <w:r>
      <w:fldChar w:fldCharType="separate"/>
    </w:r>
    <w:r>
      <w:rPr>
        <w:noProof/>
      </w:rPr>
      <w:t>17.10.19</w:t>
    </w:r>
    <w:r>
      <w:fldChar w:fldCharType="end"/>
    </w:r>
    <w:r w:rsidRPr="00A81DBA">
      <w:tab/>
    </w:r>
    <w:r>
      <w:fldChar w:fldCharType="begin"/>
    </w:r>
    <w:r>
      <w:instrText xml:space="preserve"> PRINTDATE \@ DD.MM.YY </w:instrText>
    </w:r>
    <w:r>
      <w:fldChar w:fldCharType="separate"/>
    </w:r>
    <w:r>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FAB3" w14:textId="5FCE6206" w:rsidR="00A81DBA" w:rsidRPr="0086036C" w:rsidRDefault="00A81DBA" w:rsidP="0086036C">
    <w:pPr>
      <w:pStyle w:val="Footer"/>
      <w:rPr>
        <w:lang w:val="en-US"/>
      </w:rPr>
    </w:pPr>
    <w:r>
      <w:fldChar w:fldCharType="begin"/>
    </w:r>
    <w:r>
      <w:rPr>
        <w:lang w:val="en-US"/>
      </w:rPr>
      <w:instrText xml:space="preserve"> FILENAME \p  \* MERGEFORMAT </w:instrText>
    </w:r>
    <w:r>
      <w:fldChar w:fldCharType="separate"/>
    </w:r>
    <w:r>
      <w:rPr>
        <w:lang w:val="en-US"/>
      </w:rPr>
      <w:t>P:\ESP\ITU-R\CONF-R\CMR19\000\077S.docx</w:t>
    </w:r>
    <w:r>
      <w:fldChar w:fldCharType="end"/>
    </w:r>
    <w:r>
      <w:t xml:space="preserve"> (462152)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B63E" w14:textId="3371EFA1" w:rsidR="00A81DBA" w:rsidRDefault="00A81DBA"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P:\ESP\ITU-R\CONF-R\CMR19\000\077S.docx</w:t>
    </w:r>
    <w:r>
      <w:fldChar w:fldCharType="end"/>
    </w:r>
    <w:r>
      <w:t xml:space="preserve"> (462152)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F40A" w14:textId="77777777" w:rsidR="00A81DBA" w:rsidRDefault="00A81DBA">
      <w:r>
        <w:rPr>
          <w:b/>
        </w:rPr>
        <w:t>_______________</w:t>
      </w:r>
    </w:p>
  </w:footnote>
  <w:footnote w:type="continuationSeparator" w:id="0">
    <w:p w14:paraId="182ADEC2" w14:textId="77777777" w:rsidR="00A81DBA" w:rsidRDefault="00A81DBA">
      <w:r>
        <w:continuationSeparator/>
      </w:r>
    </w:p>
  </w:footnote>
  <w:footnote w:id="1">
    <w:p w14:paraId="4A3666B3" w14:textId="478CD41E" w:rsidR="00A81DBA" w:rsidRPr="00FC2CDB" w:rsidRDefault="00A81DBA" w:rsidP="0086036C">
      <w:pPr>
        <w:pStyle w:val="FootnoteText"/>
        <w:rPr>
          <w:lang w:val="es-ES"/>
        </w:rPr>
      </w:pPr>
      <w:r>
        <w:rPr>
          <w:rStyle w:val="FootnoteReference"/>
        </w:rPr>
        <w:footnoteRef/>
      </w:r>
      <w:r w:rsidRPr="00FC2CDB">
        <w:rPr>
          <w:lang w:val="es-ES"/>
        </w:rPr>
        <w:t xml:space="preserve"> La disposición de frecuencias </w:t>
      </w:r>
      <w:r>
        <w:rPr>
          <w:lang w:val="es-ES"/>
        </w:rPr>
        <w:t>«</w:t>
      </w:r>
      <w:r w:rsidRPr="00FC2CDB">
        <w:rPr>
          <w:lang w:val="es-ES"/>
        </w:rPr>
        <w:t>B1</w:t>
      </w:r>
      <w:r>
        <w:rPr>
          <w:lang w:val="es-ES"/>
        </w:rPr>
        <w:t>»</w:t>
      </w:r>
      <w:r w:rsidRPr="00FC2CDB">
        <w:rPr>
          <w:lang w:val="es-ES"/>
        </w:rPr>
        <w:t xml:space="preserve"> de la UIT se conoc</w:t>
      </w:r>
      <w:r>
        <w:rPr>
          <w:lang w:val="es-ES"/>
        </w:rPr>
        <w:t>e</w:t>
      </w:r>
      <w:r w:rsidRPr="00FC2CDB">
        <w:rPr>
          <w:lang w:val="es-ES"/>
        </w:rPr>
        <w:t xml:space="preserve"> también como </w:t>
      </w:r>
      <w:r>
        <w:rPr>
          <w:lang w:val="es-ES"/>
        </w:rPr>
        <w:t xml:space="preserve">«Banda 1» </w:t>
      </w:r>
      <w:r w:rsidR="00840AC3">
        <w:rPr>
          <w:lang w:val="es-ES"/>
        </w:rPr>
        <w:t xml:space="preserve">de </w:t>
      </w:r>
      <w:r w:rsidRPr="00FC2CDB">
        <w:rPr>
          <w:lang w:val="es-ES"/>
        </w:rPr>
        <w:t xml:space="preserve">3GPP </w:t>
      </w:r>
      <w:r>
        <w:rPr>
          <w:lang w:val="es-ES"/>
        </w:rPr>
        <w:t>y su implantación está muy extendida. La combinación de las disposiciones de frecuencias «</w:t>
      </w:r>
      <w:r w:rsidRPr="00FC2CDB">
        <w:rPr>
          <w:lang w:val="es-ES"/>
        </w:rPr>
        <w:t>B1</w:t>
      </w:r>
      <w:r>
        <w:rPr>
          <w:lang w:val="es-ES"/>
        </w:rPr>
        <w:t>»</w:t>
      </w:r>
      <w:r w:rsidRPr="00FC2CDB">
        <w:rPr>
          <w:lang w:val="es-ES"/>
        </w:rPr>
        <w:t xml:space="preserve"> </w:t>
      </w:r>
      <w:r>
        <w:rPr>
          <w:lang w:val="es-ES"/>
        </w:rPr>
        <w:t>y</w:t>
      </w:r>
      <w:r w:rsidRPr="00FC2CDB">
        <w:rPr>
          <w:lang w:val="es-ES"/>
        </w:rPr>
        <w:t xml:space="preserve"> </w:t>
      </w:r>
      <w:r>
        <w:rPr>
          <w:lang w:val="es-ES"/>
        </w:rPr>
        <w:t>«</w:t>
      </w:r>
      <w:r w:rsidRPr="00FC2CDB">
        <w:rPr>
          <w:lang w:val="es-ES"/>
        </w:rPr>
        <w:t>B6</w:t>
      </w:r>
      <w:r>
        <w:rPr>
          <w:lang w:val="es-ES"/>
        </w:rPr>
        <w:t>»</w:t>
      </w:r>
      <w:r w:rsidRPr="00FC2CDB">
        <w:rPr>
          <w:lang w:val="es-ES"/>
        </w:rPr>
        <w:t xml:space="preserve"> </w:t>
      </w:r>
      <w:r>
        <w:rPr>
          <w:lang w:val="es-ES"/>
        </w:rPr>
        <w:t>se conoce como «Banda 65» de 3GPP</w:t>
      </w:r>
      <w:r w:rsidRPr="00FC2CDB">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2C80" w14:textId="77777777" w:rsidR="00A81DBA" w:rsidRDefault="00A81DB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5D00F8" w14:textId="77777777" w:rsidR="00A81DBA" w:rsidRDefault="00A81DBA" w:rsidP="00C44E9E">
    <w:pPr>
      <w:pStyle w:val="Header"/>
      <w:rPr>
        <w:lang w:val="en-US"/>
      </w:rPr>
    </w:pPr>
    <w:r>
      <w:rPr>
        <w:lang w:val="en-US"/>
      </w:rPr>
      <w:t>CMR19/</w:t>
    </w:r>
    <w:r>
      <w:t>77-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40E6462"/>
    <w:multiLevelType w:val="hybridMultilevel"/>
    <w:tmpl w:val="B8589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EE0FFF"/>
    <w:multiLevelType w:val="hybridMultilevel"/>
    <w:tmpl w:val="B8589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A7662A"/>
    <w:multiLevelType w:val="hybridMultilevel"/>
    <w:tmpl w:val="CB74CC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B61D4"/>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4E1560"/>
    <w:rsid w:val="005133B5"/>
    <w:rsid w:val="00524392"/>
    <w:rsid w:val="00532097"/>
    <w:rsid w:val="0054354F"/>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40AC3"/>
    <w:rsid w:val="0086036C"/>
    <w:rsid w:val="00866AE6"/>
    <w:rsid w:val="008750A8"/>
    <w:rsid w:val="008D3316"/>
    <w:rsid w:val="008E5AF2"/>
    <w:rsid w:val="0090121B"/>
    <w:rsid w:val="009144C9"/>
    <w:rsid w:val="0094091F"/>
    <w:rsid w:val="00962171"/>
    <w:rsid w:val="00973754"/>
    <w:rsid w:val="00974051"/>
    <w:rsid w:val="009C0BED"/>
    <w:rsid w:val="009E11EC"/>
    <w:rsid w:val="00A021CC"/>
    <w:rsid w:val="00A118DB"/>
    <w:rsid w:val="00A4450C"/>
    <w:rsid w:val="00A81DBA"/>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5959"/>
    <w:rsid w:val="00E262F1"/>
    <w:rsid w:val="00E3176A"/>
    <w:rsid w:val="00E36CE4"/>
    <w:rsid w:val="00E54754"/>
    <w:rsid w:val="00E56BD3"/>
    <w:rsid w:val="00E71D14"/>
    <w:rsid w:val="00EA77F0"/>
    <w:rsid w:val="00F16485"/>
    <w:rsid w:val="00F32316"/>
    <w:rsid w:val="00F66118"/>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3759A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PlainText">
    <w:name w:val="Plain Text"/>
    <w:basedOn w:val="Normal"/>
    <w:link w:val="PlainTextChar"/>
    <w:uiPriority w:val="99"/>
    <w:unhideWhenUsed/>
    <w:rsid w:val="0086036C"/>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86036C"/>
    <w:rPr>
      <w:rFonts w:ascii="Calibri" w:eastAsiaTheme="minorHAnsi" w:hAnsi="Calibri" w:cstheme="minorBidi"/>
      <w:sz w:val="22"/>
      <w:szCs w:val="21"/>
      <w:lang w:val="en-GB" w:eastAsia="en-US"/>
    </w:rPr>
  </w:style>
  <w:style w:type="character" w:customStyle="1" w:styleId="FootnoteTextChar">
    <w:name w:val="Footnote Text Char"/>
    <w:basedOn w:val="DefaultParagraphFont"/>
    <w:link w:val="FootnoteText"/>
    <w:uiPriority w:val="99"/>
    <w:rsid w:val="0086036C"/>
    <w:rPr>
      <w:rFonts w:ascii="Times New Roman" w:hAnsi="Times New Roman"/>
      <w:sz w:val="24"/>
      <w:lang w:val="es-ES_tradnl" w:eastAsia="en-US"/>
    </w:rPr>
  </w:style>
  <w:style w:type="table" w:styleId="TableGrid">
    <w:name w:val="Table Grid"/>
    <w:basedOn w:val="TableNormal"/>
    <w:uiPriority w:val="39"/>
    <w:rsid w:val="0086036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B69A-672C-4954-9E2F-8F76A1AF541F}">
  <ds:schemaRefs>
    <ds:schemaRef ds:uri="http://www.w3.org/XML/1998/namespace"/>
    <ds:schemaRef ds:uri="http://schemas.microsoft.com/office/2006/metadata/properties"/>
    <ds:schemaRef ds:uri="http://schemas.microsoft.com/office/2006/documentManagement/typ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9C0E6-14A8-41E5-A7B0-7A2E4709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2751</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R16-WRC19-C-0077!!MSW-S</vt:lpstr>
    </vt:vector>
  </TitlesOfParts>
  <Manager>Secretaría General - Pool</Manager>
  <Company>Unión Internacional de Telecomunicaciones (UIT)</Company>
  <LinksUpToDate>false</LinksUpToDate>
  <CharactersWithSpaces>16987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R16-WRC19-C-0077!!MSW-S</dc:title>
  <dc:subject>Conferencia Mundial de Radiocomunicaciones - 2019</dc:subject>
  <dc:creator>Documents Proposals Manager (DPM)</dc:creator>
  <cp:keywords>DPM_v2019.10.15.2_prod</cp:keywords>
  <dc:description/>
  <cp:lastModifiedBy>Spanish</cp:lastModifiedBy>
  <cp:revision>5</cp:revision>
  <cp:lastPrinted>2019-10-17T13:37:00Z</cp:lastPrinted>
  <dcterms:created xsi:type="dcterms:W3CDTF">2019-10-17T12:59:00Z</dcterms:created>
  <dcterms:modified xsi:type="dcterms:W3CDTF">2019-10-17T15:18:00Z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