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C1D32" w14:paraId="1085A576" w14:textId="77777777">
        <w:trPr>
          <w:cantSplit/>
        </w:trPr>
        <w:tc>
          <w:tcPr>
            <w:tcW w:w="6911" w:type="dxa"/>
          </w:tcPr>
          <w:p w14:paraId="368D40C2" w14:textId="77777777" w:rsidR="00A066F1" w:rsidRPr="009C1D32" w:rsidRDefault="00241FA2" w:rsidP="00116C7A">
            <w:pPr>
              <w:spacing w:before="400" w:after="48" w:line="240" w:lineRule="atLeast"/>
              <w:rPr>
                <w:rFonts w:ascii="Verdana" w:hAnsi="Verdana"/>
                <w:position w:val="6"/>
              </w:rPr>
            </w:pPr>
            <w:bookmarkStart w:id="0" w:name="_GoBack"/>
            <w:bookmarkEnd w:id="0"/>
            <w:r w:rsidRPr="009C1D32">
              <w:rPr>
                <w:rFonts w:ascii="Verdana" w:hAnsi="Verdana" w:cs="Times"/>
                <w:b/>
                <w:position w:val="6"/>
                <w:sz w:val="22"/>
                <w:szCs w:val="22"/>
                <w:lang w:val="en-US"/>
              </w:rPr>
              <w:t>World Radiocommunication Conference (WRC-1</w:t>
            </w:r>
            <w:r w:rsidR="000E463E" w:rsidRPr="009C1D32">
              <w:rPr>
                <w:rFonts w:ascii="Verdana" w:hAnsi="Verdana" w:cs="Times"/>
                <w:b/>
                <w:position w:val="6"/>
                <w:sz w:val="22"/>
                <w:szCs w:val="22"/>
                <w:lang w:val="en-US"/>
              </w:rPr>
              <w:t>9</w:t>
            </w:r>
            <w:r w:rsidRPr="009C1D32">
              <w:rPr>
                <w:rFonts w:ascii="Verdana" w:hAnsi="Verdana" w:cs="Times"/>
                <w:b/>
                <w:position w:val="6"/>
                <w:sz w:val="22"/>
                <w:szCs w:val="22"/>
                <w:lang w:val="en-US"/>
              </w:rPr>
              <w:t>)</w:t>
            </w:r>
            <w:r w:rsidRPr="009C1D32">
              <w:rPr>
                <w:rFonts w:ascii="Verdana" w:hAnsi="Verdana" w:cs="Times"/>
                <w:b/>
                <w:position w:val="6"/>
                <w:sz w:val="26"/>
                <w:szCs w:val="26"/>
                <w:lang w:val="en-US"/>
              </w:rPr>
              <w:br/>
            </w:r>
            <w:r w:rsidR="00116C7A" w:rsidRPr="009C1D32">
              <w:rPr>
                <w:rFonts w:ascii="Verdana" w:hAnsi="Verdana"/>
                <w:b/>
                <w:bCs/>
                <w:position w:val="6"/>
                <w:sz w:val="18"/>
                <w:szCs w:val="18"/>
                <w:lang w:val="en-US"/>
              </w:rPr>
              <w:t>Sharm el-Sheikh, Egypt</w:t>
            </w:r>
            <w:r w:rsidRPr="009C1D32">
              <w:rPr>
                <w:rFonts w:ascii="Verdana" w:hAnsi="Verdana"/>
                <w:b/>
                <w:bCs/>
                <w:position w:val="6"/>
                <w:sz w:val="18"/>
                <w:szCs w:val="18"/>
                <w:lang w:val="en-US"/>
              </w:rPr>
              <w:t xml:space="preserve">, </w:t>
            </w:r>
            <w:r w:rsidR="000E463E" w:rsidRPr="009C1D32">
              <w:rPr>
                <w:rFonts w:ascii="Verdana" w:hAnsi="Verdana"/>
                <w:b/>
                <w:bCs/>
                <w:position w:val="6"/>
                <w:sz w:val="18"/>
                <w:szCs w:val="18"/>
                <w:lang w:val="en-US"/>
              </w:rPr>
              <w:t xml:space="preserve">28 October </w:t>
            </w:r>
            <w:r w:rsidRPr="009C1D32">
              <w:rPr>
                <w:rFonts w:ascii="Verdana" w:hAnsi="Verdana"/>
                <w:b/>
                <w:bCs/>
                <w:position w:val="6"/>
                <w:sz w:val="18"/>
                <w:szCs w:val="18"/>
                <w:lang w:val="en-US"/>
              </w:rPr>
              <w:t>–</w:t>
            </w:r>
            <w:r w:rsidR="000E463E" w:rsidRPr="009C1D32">
              <w:rPr>
                <w:rFonts w:ascii="Verdana" w:hAnsi="Verdana"/>
                <w:b/>
                <w:bCs/>
                <w:position w:val="6"/>
                <w:sz w:val="18"/>
                <w:szCs w:val="18"/>
                <w:lang w:val="en-US"/>
              </w:rPr>
              <w:t xml:space="preserve"> </w:t>
            </w:r>
            <w:r w:rsidRPr="009C1D32">
              <w:rPr>
                <w:rFonts w:ascii="Verdana" w:hAnsi="Verdana"/>
                <w:b/>
                <w:bCs/>
                <w:position w:val="6"/>
                <w:sz w:val="18"/>
                <w:szCs w:val="18"/>
                <w:lang w:val="en-US"/>
              </w:rPr>
              <w:t>2</w:t>
            </w:r>
            <w:r w:rsidR="000E463E" w:rsidRPr="009C1D32">
              <w:rPr>
                <w:rFonts w:ascii="Verdana" w:hAnsi="Verdana"/>
                <w:b/>
                <w:bCs/>
                <w:position w:val="6"/>
                <w:sz w:val="18"/>
                <w:szCs w:val="18"/>
                <w:lang w:val="en-US"/>
              </w:rPr>
              <w:t>2</w:t>
            </w:r>
            <w:r w:rsidRPr="009C1D32">
              <w:rPr>
                <w:rFonts w:ascii="Verdana" w:hAnsi="Verdana"/>
                <w:b/>
                <w:bCs/>
                <w:position w:val="6"/>
                <w:sz w:val="18"/>
                <w:szCs w:val="18"/>
                <w:lang w:val="en-US"/>
              </w:rPr>
              <w:t xml:space="preserve"> November 201</w:t>
            </w:r>
            <w:r w:rsidR="000E463E" w:rsidRPr="009C1D32">
              <w:rPr>
                <w:rFonts w:ascii="Verdana" w:hAnsi="Verdana"/>
                <w:b/>
                <w:bCs/>
                <w:position w:val="6"/>
                <w:sz w:val="18"/>
                <w:szCs w:val="18"/>
                <w:lang w:val="en-US"/>
              </w:rPr>
              <w:t>9</w:t>
            </w:r>
          </w:p>
        </w:tc>
        <w:tc>
          <w:tcPr>
            <w:tcW w:w="3120" w:type="dxa"/>
          </w:tcPr>
          <w:p w14:paraId="63FA330F" w14:textId="77777777" w:rsidR="00A066F1" w:rsidRPr="009C1D32" w:rsidRDefault="005F04D8" w:rsidP="003B2284">
            <w:pPr>
              <w:spacing w:before="0" w:line="240" w:lineRule="atLeast"/>
              <w:jc w:val="right"/>
            </w:pPr>
            <w:r w:rsidRPr="009C1D32">
              <w:rPr>
                <w:noProof/>
                <w:lang w:eastAsia="en-GB"/>
              </w:rPr>
              <w:drawing>
                <wp:inline distT="0" distB="0" distL="0" distR="0" wp14:anchorId="35A67194" wp14:editId="4D6003D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C1D32" w14:paraId="0692CB31" w14:textId="77777777">
        <w:trPr>
          <w:cantSplit/>
        </w:trPr>
        <w:tc>
          <w:tcPr>
            <w:tcW w:w="6911" w:type="dxa"/>
            <w:tcBorders>
              <w:bottom w:val="single" w:sz="12" w:space="0" w:color="auto"/>
            </w:tcBorders>
          </w:tcPr>
          <w:p w14:paraId="72295FA1" w14:textId="77777777" w:rsidR="00A066F1" w:rsidRPr="009C1D32"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846936F" w14:textId="77777777" w:rsidR="00A066F1" w:rsidRPr="009C1D32" w:rsidRDefault="00A066F1" w:rsidP="00A066F1">
            <w:pPr>
              <w:spacing w:before="0" w:line="240" w:lineRule="atLeast"/>
              <w:rPr>
                <w:rFonts w:ascii="Verdana" w:hAnsi="Verdana"/>
                <w:szCs w:val="24"/>
              </w:rPr>
            </w:pPr>
          </w:p>
        </w:tc>
      </w:tr>
      <w:tr w:rsidR="00A066F1" w:rsidRPr="009C1D32" w14:paraId="4CBE3A89" w14:textId="77777777">
        <w:trPr>
          <w:cantSplit/>
        </w:trPr>
        <w:tc>
          <w:tcPr>
            <w:tcW w:w="6911" w:type="dxa"/>
            <w:tcBorders>
              <w:top w:val="single" w:sz="12" w:space="0" w:color="auto"/>
            </w:tcBorders>
          </w:tcPr>
          <w:p w14:paraId="4889BD50" w14:textId="77777777" w:rsidR="00A066F1" w:rsidRPr="009C1D3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7308DD6" w14:textId="77777777" w:rsidR="00A066F1" w:rsidRPr="009C1D32" w:rsidRDefault="00A066F1" w:rsidP="00A066F1">
            <w:pPr>
              <w:spacing w:before="0" w:line="240" w:lineRule="atLeast"/>
              <w:rPr>
                <w:rFonts w:ascii="Verdana" w:hAnsi="Verdana"/>
                <w:sz w:val="20"/>
              </w:rPr>
            </w:pPr>
          </w:p>
        </w:tc>
      </w:tr>
      <w:tr w:rsidR="00A066F1" w:rsidRPr="009C1D32" w14:paraId="4B9F25EC" w14:textId="77777777">
        <w:trPr>
          <w:cantSplit/>
          <w:trHeight w:val="23"/>
        </w:trPr>
        <w:tc>
          <w:tcPr>
            <w:tcW w:w="6911" w:type="dxa"/>
            <w:shd w:val="clear" w:color="auto" w:fill="auto"/>
          </w:tcPr>
          <w:p w14:paraId="38D873E9" w14:textId="77777777" w:rsidR="00A066F1" w:rsidRPr="009C1D32"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C1D32">
              <w:rPr>
                <w:rFonts w:ascii="Verdana" w:hAnsi="Verdana"/>
                <w:sz w:val="20"/>
                <w:szCs w:val="20"/>
              </w:rPr>
              <w:t>PLENARY MEETING</w:t>
            </w:r>
          </w:p>
        </w:tc>
        <w:tc>
          <w:tcPr>
            <w:tcW w:w="3120" w:type="dxa"/>
          </w:tcPr>
          <w:p w14:paraId="62E378D3" w14:textId="77777777" w:rsidR="00A066F1" w:rsidRPr="009C1D32" w:rsidRDefault="00E55816" w:rsidP="00AA666F">
            <w:pPr>
              <w:tabs>
                <w:tab w:val="left" w:pos="851"/>
              </w:tabs>
              <w:spacing w:before="0" w:line="240" w:lineRule="atLeast"/>
              <w:rPr>
                <w:rFonts w:ascii="Verdana" w:hAnsi="Verdana"/>
                <w:sz w:val="20"/>
              </w:rPr>
            </w:pPr>
            <w:r w:rsidRPr="009C1D32">
              <w:rPr>
                <w:rFonts w:ascii="Verdana" w:hAnsi="Verdana"/>
                <w:b/>
                <w:sz w:val="20"/>
              </w:rPr>
              <w:t>Addendum 2 to</w:t>
            </w:r>
            <w:r w:rsidRPr="009C1D32">
              <w:rPr>
                <w:rFonts w:ascii="Verdana" w:hAnsi="Verdana"/>
                <w:b/>
                <w:sz w:val="20"/>
              </w:rPr>
              <w:br/>
              <w:t>Document 80(Add.13)</w:t>
            </w:r>
            <w:r w:rsidR="00A066F1" w:rsidRPr="009C1D32">
              <w:rPr>
                <w:rFonts w:ascii="Verdana" w:hAnsi="Verdana"/>
                <w:b/>
                <w:sz w:val="20"/>
              </w:rPr>
              <w:t>-</w:t>
            </w:r>
            <w:r w:rsidR="005E10C9" w:rsidRPr="009C1D32">
              <w:rPr>
                <w:rFonts w:ascii="Verdana" w:hAnsi="Verdana"/>
                <w:b/>
                <w:sz w:val="20"/>
              </w:rPr>
              <w:t>E</w:t>
            </w:r>
          </w:p>
        </w:tc>
      </w:tr>
      <w:tr w:rsidR="00A066F1" w:rsidRPr="009C1D32" w14:paraId="4446980D" w14:textId="77777777">
        <w:trPr>
          <w:cantSplit/>
          <w:trHeight w:val="23"/>
        </w:trPr>
        <w:tc>
          <w:tcPr>
            <w:tcW w:w="6911" w:type="dxa"/>
            <w:shd w:val="clear" w:color="auto" w:fill="auto"/>
          </w:tcPr>
          <w:p w14:paraId="337E9E76" w14:textId="77777777" w:rsidR="00A066F1" w:rsidRPr="009C1D32"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B91D289" w14:textId="77777777" w:rsidR="00A066F1" w:rsidRPr="009C1D32" w:rsidRDefault="00420873" w:rsidP="00A066F1">
            <w:pPr>
              <w:tabs>
                <w:tab w:val="left" w:pos="993"/>
              </w:tabs>
              <w:spacing w:before="0"/>
              <w:rPr>
                <w:rFonts w:ascii="Verdana" w:hAnsi="Verdana"/>
                <w:sz w:val="20"/>
              </w:rPr>
            </w:pPr>
            <w:r w:rsidRPr="009C1D32">
              <w:rPr>
                <w:rFonts w:ascii="Verdana" w:hAnsi="Verdana"/>
                <w:b/>
                <w:sz w:val="20"/>
              </w:rPr>
              <w:t>7 October 2019</w:t>
            </w:r>
          </w:p>
        </w:tc>
      </w:tr>
      <w:tr w:rsidR="00A066F1" w:rsidRPr="009C1D32" w14:paraId="4666B0BA" w14:textId="77777777">
        <w:trPr>
          <w:cantSplit/>
          <w:trHeight w:val="23"/>
        </w:trPr>
        <w:tc>
          <w:tcPr>
            <w:tcW w:w="6911" w:type="dxa"/>
            <w:shd w:val="clear" w:color="auto" w:fill="auto"/>
          </w:tcPr>
          <w:p w14:paraId="63441319" w14:textId="77777777" w:rsidR="00A066F1" w:rsidRPr="009C1D32"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59D80E5" w14:textId="77777777" w:rsidR="00A066F1" w:rsidRPr="009C1D32" w:rsidRDefault="00E55816" w:rsidP="00A066F1">
            <w:pPr>
              <w:tabs>
                <w:tab w:val="left" w:pos="993"/>
              </w:tabs>
              <w:spacing w:before="0"/>
              <w:rPr>
                <w:rFonts w:ascii="Verdana" w:hAnsi="Verdana"/>
                <w:b/>
                <w:sz w:val="20"/>
              </w:rPr>
            </w:pPr>
            <w:r w:rsidRPr="009C1D32">
              <w:rPr>
                <w:rFonts w:ascii="Verdana" w:hAnsi="Verdana"/>
                <w:b/>
                <w:sz w:val="20"/>
              </w:rPr>
              <w:t>Original: English</w:t>
            </w:r>
          </w:p>
        </w:tc>
      </w:tr>
      <w:tr w:rsidR="00A066F1" w:rsidRPr="009C1D32" w14:paraId="68952DD8" w14:textId="77777777" w:rsidTr="00025864">
        <w:trPr>
          <w:cantSplit/>
          <w:trHeight w:val="23"/>
        </w:trPr>
        <w:tc>
          <w:tcPr>
            <w:tcW w:w="10031" w:type="dxa"/>
            <w:gridSpan w:val="2"/>
            <w:shd w:val="clear" w:color="auto" w:fill="auto"/>
          </w:tcPr>
          <w:p w14:paraId="6C9699BF" w14:textId="77777777" w:rsidR="00A066F1" w:rsidRPr="009C1D32" w:rsidRDefault="00A066F1" w:rsidP="00A066F1">
            <w:pPr>
              <w:tabs>
                <w:tab w:val="left" w:pos="993"/>
              </w:tabs>
              <w:spacing w:before="0"/>
              <w:rPr>
                <w:rFonts w:ascii="Verdana" w:hAnsi="Verdana"/>
                <w:b/>
                <w:sz w:val="20"/>
              </w:rPr>
            </w:pPr>
          </w:p>
        </w:tc>
      </w:tr>
      <w:tr w:rsidR="00E55816" w:rsidRPr="009C1D32" w14:paraId="05B8F826" w14:textId="77777777" w:rsidTr="00025864">
        <w:trPr>
          <w:cantSplit/>
          <w:trHeight w:val="23"/>
        </w:trPr>
        <w:tc>
          <w:tcPr>
            <w:tcW w:w="10031" w:type="dxa"/>
            <w:gridSpan w:val="2"/>
            <w:shd w:val="clear" w:color="auto" w:fill="auto"/>
          </w:tcPr>
          <w:p w14:paraId="3E0CA23E" w14:textId="77777777" w:rsidR="00E55816" w:rsidRPr="009C1D32" w:rsidRDefault="00884D60" w:rsidP="00E55816">
            <w:pPr>
              <w:pStyle w:val="Source"/>
            </w:pPr>
            <w:r w:rsidRPr="009C1D32">
              <w:t>Japan</w:t>
            </w:r>
          </w:p>
        </w:tc>
      </w:tr>
      <w:tr w:rsidR="00E55816" w:rsidRPr="009C1D32" w14:paraId="3F6D97F8" w14:textId="77777777" w:rsidTr="00025864">
        <w:trPr>
          <w:cantSplit/>
          <w:trHeight w:val="23"/>
        </w:trPr>
        <w:tc>
          <w:tcPr>
            <w:tcW w:w="10031" w:type="dxa"/>
            <w:gridSpan w:val="2"/>
            <w:shd w:val="clear" w:color="auto" w:fill="auto"/>
          </w:tcPr>
          <w:p w14:paraId="24147231" w14:textId="77777777" w:rsidR="00E55816" w:rsidRPr="009C1D32" w:rsidRDefault="007D5320" w:rsidP="00E55816">
            <w:pPr>
              <w:pStyle w:val="Title1"/>
            </w:pPr>
            <w:r w:rsidRPr="009C1D32">
              <w:t>Proposals for the work of the conference</w:t>
            </w:r>
          </w:p>
        </w:tc>
      </w:tr>
      <w:tr w:rsidR="00E55816" w:rsidRPr="009C1D32" w14:paraId="46AD8FFF" w14:textId="77777777" w:rsidTr="00025864">
        <w:trPr>
          <w:cantSplit/>
          <w:trHeight w:val="23"/>
        </w:trPr>
        <w:tc>
          <w:tcPr>
            <w:tcW w:w="10031" w:type="dxa"/>
            <w:gridSpan w:val="2"/>
            <w:shd w:val="clear" w:color="auto" w:fill="auto"/>
          </w:tcPr>
          <w:p w14:paraId="6A6BDA96" w14:textId="77777777" w:rsidR="00E55816" w:rsidRPr="009C1D32" w:rsidRDefault="00E55816" w:rsidP="00E55816">
            <w:pPr>
              <w:pStyle w:val="Title2"/>
            </w:pPr>
          </w:p>
        </w:tc>
      </w:tr>
      <w:tr w:rsidR="00A538A6" w:rsidRPr="009C1D32" w14:paraId="64262281" w14:textId="77777777" w:rsidTr="00025864">
        <w:trPr>
          <w:cantSplit/>
          <w:trHeight w:val="23"/>
        </w:trPr>
        <w:tc>
          <w:tcPr>
            <w:tcW w:w="10031" w:type="dxa"/>
            <w:gridSpan w:val="2"/>
            <w:shd w:val="clear" w:color="auto" w:fill="auto"/>
          </w:tcPr>
          <w:p w14:paraId="0B7A0BDF" w14:textId="77777777" w:rsidR="00A538A6" w:rsidRPr="009C1D32" w:rsidRDefault="004B13CB" w:rsidP="004B13CB">
            <w:pPr>
              <w:pStyle w:val="Agendaitem"/>
            </w:pPr>
            <w:r w:rsidRPr="009C1D32">
              <w:t>Agenda item 1.13</w:t>
            </w:r>
          </w:p>
        </w:tc>
      </w:tr>
    </w:tbl>
    <w:bookmarkEnd w:id="6"/>
    <w:bookmarkEnd w:id="7"/>
    <w:p w14:paraId="2606AD6B" w14:textId="77777777" w:rsidR="005118F7" w:rsidRPr="009C1D32" w:rsidRDefault="0038584D" w:rsidP="00AB5478">
      <w:pPr>
        <w:overflowPunct/>
        <w:autoSpaceDE/>
        <w:autoSpaceDN/>
        <w:adjustRightInd/>
        <w:textAlignment w:val="auto"/>
        <w:rPr>
          <w:lang w:val="en-US"/>
        </w:rPr>
      </w:pPr>
      <w:r w:rsidRPr="009C1D32">
        <w:rPr>
          <w:lang w:val="en-US"/>
        </w:rPr>
        <w:t>1.13</w:t>
      </w:r>
      <w:r w:rsidRPr="009C1D32">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sidRPr="009C1D32">
        <w:rPr>
          <w:b/>
          <w:bCs/>
          <w:lang w:val="en-US"/>
        </w:rPr>
        <w:t>238 (WRC-15)</w:t>
      </w:r>
      <w:r w:rsidRPr="009C1D32">
        <w:rPr>
          <w:lang w:val="en-US"/>
        </w:rPr>
        <w:t>;</w:t>
      </w:r>
    </w:p>
    <w:p w14:paraId="6937B3B1" w14:textId="77777777" w:rsidR="0038584D" w:rsidRPr="009C1D32" w:rsidRDefault="0038584D" w:rsidP="0038584D">
      <w:pPr>
        <w:pStyle w:val="Headingb"/>
        <w:rPr>
          <w:lang w:val="en-GB"/>
        </w:rPr>
      </w:pPr>
      <w:r w:rsidRPr="009C1D32">
        <w:rPr>
          <w:lang w:val="en-GB"/>
        </w:rPr>
        <w:t>Introduction</w:t>
      </w:r>
    </w:p>
    <w:p w14:paraId="18F574A1" w14:textId="62F982BE" w:rsidR="0038584D" w:rsidRPr="009C1D32" w:rsidRDefault="0038584D" w:rsidP="0038584D">
      <w:r w:rsidRPr="009C1D32">
        <w:t>This document presents the proposals from Japan for the frequency bands 37-40.5</w:t>
      </w:r>
      <w:r w:rsidR="00666B04" w:rsidRPr="009C1D32">
        <w:t xml:space="preserve"> GHz</w:t>
      </w:r>
      <w:r w:rsidRPr="009C1D32">
        <w:t>, 40.5-42.5</w:t>
      </w:r>
      <w:r w:rsidR="00546371">
        <w:t> </w:t>
      </w:r>
      <w:r w:rsidR="00666B04" w:rsidRPr="009C1D32">
        <w:t xml:space="preserve">GHz </w:t>
      </w:r>
      <w:r w:rsidRPr="009C1D32">
        <w:t>and 42.5-43.5 GHz under WRC-19 agenda item 1.13.</w:t>
      </w:r>
    </w:p>
    <w:p w14:paraId="1B880A79" w14:textId="77777777" w:rsidR="0038584D" w:rsidRPr="009C1D32" w:rsidRDefault="0038584D" w:rsidP="0038584D">
      <w:pPr>
        <w:pStyle w:val="Headingb"/>
        <w:rPr>
          <w:lang w:val="en-GB"/>
        </w:rPr>
      </w:pPr>
      <w:r w:rsidRPr="009C1D32">
        <w:rPr>
          <w:lang w:val="en-GB"/>
        </w:rPr>
        <w:t>Proposal</w:t>
      </w:r>
    </w:p>
    <w:p w14:paraId="4D069075" w14:textId="4A3C25ED" w:rsidR="0038584D" w:rsidRPr="009C1D32" w:rsidRDefault="0038584D" w:rsidP="0038584D">
      <w:r w:rsidRPr="009C1D32">
        <w:t>Japan support</w:t>
      </w:r>
      <w:r w:rsidR="00546371">
        <w:t>s</w:t>
      </w:r>
      <w:r w:rsidRPr="009C1D32">
        <w:t xml:space="preserve"> the APT common proposals for the frequency bands 37-40.5, 40.5-42.5 and 42.5-43.5 GHz under WRC-19 agenda item 1.13, i.e. identifying the 37-43.5 GHz frequency band, or portions thereof, for IMT globally through Methods C2, D2 and E2 with Alternative 2</w:t>
      </w:r>
      <w:r w:rsidR="007D0282" w:rsidRPr="009C1D32">
        <w:t xml:space="preserve"> of the CPM Report</w:t>
      </w:r>
      <w:r w:rsidRPr="009C1D32">
        <w:t xml:space="preserve"> together with a new WRC Resolution.</w:t>
      </w:r>
    </w:p>
    <w:p w14:paraId="0FE0C3CE" w14:textId="77777777" w:rsidR="00241FA2" w:rsidRPr="009C1D32" w:rsidRDefault="0038584D" w:rsidP="0038584D">
      <w:r w:rsidRPr="009C1D32">
        <w:t>In order to complement these APT common proposals, Japan proposes the additional provisions in the new WRC Resolutions as presented below.</w:t>
      </w:r>
    </w:p>
    <w:p w14:paraId="3CC46D82" w14:textId="77777777" w:rsidR="00187BD9" w:rsidRPr="009C1D32" w:rsidRDefault="00187BD9" w:rsidP="00187BD9">
      <w:pPr>
        <w:tabs>
          <w:tab w:val="clear" w:pos="1134"/>
          <w:tab w:val="clear" w:pos="1871"/>
          <w:tab w:val="clear" w:pos="2268"/>
        </w:tabs>
        <w:overflowPunct/>
        <w:autoSpaceDE/>
        <w:autoSpaceDN/>
        <w:adjustRightInd/>
        <w:spacing w:before="0"/>
        <w:textAlignment w:val="auto"/>
      </w:pPr>
      <w:r w:rsidRPr="009C1D32">
        <w:br w:type="page"/>
      </w:r>
    </w:p>
    <w:p w14:paraId="56A9EC7E" w14:textId="77777777" w:rsidR="00315E6F" w:rsidRPr="009C1D32" w:rsidRDefault="0038584D">
      <w:pPr>
        <w:pStyle w:val="Proposal"/>
      </w:pPr>
      <w:r w:rsidRPr="009C1D32">
        <w:lastRenderedPageBreak/>
        <w:t>ADD</w:t>
      </w:r>
      <w:r w:rsidRPr="009C1D32">
        <w:tab/>
        <w:t>J/80A13A2/1</w:t>
      </w:r>
      <w:r w:rsidRPr="009C1D32">
        <w:rPr>
          <w:vanish/>
          <w:color w:val="7F7F7F" w:themeColor="text1" w:themeTint="80"/>
          <w:vertAlign w:val="superscript"/>
        </w:rPr>
        <w:t>#49927</w:t>
      </w:r>
    </w:p>
    <w:p w14:paraId="4FE27690" w14:textId="77777777" w:rsidR="0038584D" w:rsidRPr="009C1D32" w:rsidRDefault="0038584D" w:rsidP="0038584D">
      <w:pPr>
        <w:pStyle w:val="ResNo"/>
        <w:rPr>
          <w:rFonts w:eastAsia="MS Mincho"/>
        </w:rPr>
      </w:pPr>
      <w:r w:rsidRPr="009C1D32">
        <w:rPr>
          <w:rFonts w:eastAsia="MS Mincho"/>
        </w:rPr>
        <w:t>DRAFT NEW RESOLUTION [J-B113-IMT 40/50 GHZ] (WRC</w:t>
      </w:r>
      <w:r w:rsidRPr="009C1D32">
        <w:rPr>
          <w:rFonts w:eastAsia="MS Mincho"/>
        </w:rPr>
        <w:noBreakHyphen/>
        <w:t>19)</w:t>
      </w:r>
    </w:p>
    <w:p w14:paraId="3DEB5585" w14:textId="77777777" w:rsidR="0038584D" w:rsidRPr="009C1D32" w:rsidRDefault="0038584D" w:rsidP="0038584D">
      <w:pPr>
        <w:pStyle w:val="Restitle"/>
        <w:rPr>
          <w:rFonts w:eastAsia="MS Mincho"/>
          <w:lang w:eastAsia="ja-JP"/>
        </w:rPr>
      </w:pPr>
      <w:r w:rsidRPr="009C1D32">
        <w:rPr>
          <w:rFonts w:eastAsia="MS Mincho"/>
          <w:lang w:eastAsia="ja-JP"/>
        </w:rPr>
        <w:t xml:space="preserve">International Mobile Telecommunications in frequency bands 37-43.5 GHz </w:t>
      </w:r>
    </w:p>
    <w:p w14:paraId="083C95AE" w14:textId="77777777" w:rsidR="0038584D" w:rsidRPr="009C1D32" w:rsidRDefault="0038584D" w:rsidP="0038584D">
      <w:pPr>
        <w:pStyle w:val="Normalaftertitle0"/>
        <w:rPr>
          <w:rFonts w:eastAsia="MS Mincho"/>
          <w:lang w:eastAsia="nl-NL"/>
        </w:rPr>
      </w:pPr>
      <w:r w:rsidRPr="009C1D32">
        <w:rPr>
          <w:rFonts w:eastAsia="MS Mincho"/>
          <w:lang w:eastAsia="nl-NL"/>
        </w:rPr>
        <w:t xml:space="preserve">The World </w:t>
      </w:r>
      <w:r w:rsidRPr="009C1D32">
        <w:rPr>
          <w:rFonts w:eastAsia="MS Mincho"/>
        </w:rPr>
        <w:t>Radiocommunication</w:t>
      </w:r>
      <w:r w:rsidRPr="009C1D32">
        <w:rPr>
          <w:rFonts w:eastAsia="MS Mincho"/>
          <w:lang w:eastAsia="nl-NL"/>
        </w:rPr>
        <w:t xml:space="preserve"> Conference (Sharm el-Sheikh, 201</w:t>
      </w:r>
      <w:r w:rsidRPr="009C1D32">
        <w:rPr>
          <w:rFonts w:eastAsia="MS Mincho"/>
          <w:lang w:eastAsia="ja-JP"/>
        </w:rPr>
        <w:t>9</w:t>
      </w:r>
      <w:r w:rsidRPr="009C1D32">
        <w:rPr>
          <w:rFonts w:eastAsia="MS Mincho"/>
          <w:lang w:eastAsia="nl-NL"/>
        </w:rPr>
        <w:t>),</w:t>
      </w:r>
    </w:p>
    <w:p w14:paraId="1746D6D5" w14:textId="77777777" w:rsidR="0038584D" w:rsidRPr="009C1D32" w:rsidRDefault="0038584D" w:rsidP="0038584D">
      <w:pPr>
        <w:pStyle w:val="Call"/>
        <w:rPr>
          <w:rFonts w:eastAsia="MS Mincho"/>
          <w:lang w:eastAsia="ja-JP"/>
        </w:rPr>
      </w:pPr>
      <w:r w:rsidRPr="009C1D32">
        <w:rPr>
          <w:rFonts w:eastAsia="MS Mincho"/>
        </w:rPr>
        <w:t>considering</w:t>
      </w:r>
    </w:p>
    <w:p w14:paraId="13AC59B6" w14:textId="77777777" w:rsidR="0038584D" w:rsidRPr="009C1D32" w:rsidRDefault="0038584D" w:rsidP="0038584D">
      <w:pPr>
        <w:rPr>
          <w:rFonts w:eastAsia="MS Mincho"/>
          <w:iCs/>
          <w:lang w:eastAsia="ja-JP"/>
        </w:rPr>
      </w:pPr>
      <w:r w:rsidRPr="009C1D32">
        <w:rPr>
          <w:rFonts w:eastAsia="MS Mincho"/>
          <w:iCs/>
          <w:lang w:eastAsia="ja-JP"/>
        </w:rPr>
        <w:t>…</w:t>
      </w:r>
    </w:p>
    <w:p w14:paraId="55FA54A9" w14:textId="77777777" w:rsidR="0038584D" w:rsidRPr="009C1D32" w:rsidRDefault="0038584D" w:rsidP="0038584D">
      <w:pPr>
        <w:rPr>
          <w:rFonts w:eastAsia="MS Mincho"/>
          <w:lang w:eastAsia="ja-JP"/>
        </w:rPr>
      </w:pPr>
      <w:r w:rsidRPr="009C1D32">
        <w:rPr>
          <w:rFonts w:eastAsia="MS Mincho"/>
          <w:i/>
          <w:iCs/>
          <w:lang w:eastAsia="ja-JP"/>
        </w:rPr>
        <w:t>j</w:t>
      </w:r>
      <w:r w:rsidRPr="009C1D32">
        <w:rPr>
          <w:rFonts w:eastAsia="MS Mincho"/>
          <w:i/>
          <w:iCs/>
        </w:rPr>
        <w:t>)</w:t>
      </w:r>
      <w:r w:rsidRPr="009C1D32">
        <w:rPr>
          <w:rFonts w:eastAsia="MS Mincho"/>
        </w:rPr>
        <w:tab/>
        <w:t>that ITU</w:t>
      </w:r>
      <w:r w:rsidRPr="009C1D32">
        <w:rPr>
          <w:rFonts w:eastAsia="MS Mincho"/>
        </w:rPr>
        <w:noBreakHyphen/>
        <w:t>R has studied, in preparation for WRC</w:t>
      </w:r>
      <w:r w:rsidRPr="009C1D32">
        <w:rPr>
          <w:rFonts w:eastAsia="MS Mincho"/>
        </w:rPr>
        <w:noBreakHyphen/>
        <w:t xml:space="preserve">19, sharing and compatibility with services allocated in </w:t>
      </w:r>
      <w:r w:rsidRPr="009C1D32">
        <w:rPr>
          <w:rFonts w:eastAsia="MS Mincho"/>
          <w:lang w:eastAsia="ja-JP"/>
        </w:rPr>
        <w:t xml:space="preserve">the frequency </w:t>
      </w:r>
      <w:r w:rsidRPr="009C1D32">
        <w:rPr>
          <w:rFonts w:eastAsia="MS Mincho"/>
        </w:rPr>
        <w:t>band</w:t>
      </w:r>
      <w:r w:rsidRPr="009C1D32">
        <w:rPr>
          <w:rFonts w:eastAsia="MS Mincho"/>
          <w:lang w:eastAsia="ja-JP"/>
        </w:rPr>
        <w:t xml:space="preserve"> 37-43.5 GHz and its </w:t>
      </w:r>
      <w:r w:rsidRPr="009C1D32">
        <w:rPr>
          <w:rFonts w:eastAsia="MS Mincho"/>
        </w:rPr>
        <w:t>adjacent band</w:t>
      </w:r>
      <w:r w:rsidRPr="009C1D32">
        <w:rPr>
          <w:rFonts w:eastAsia="MS Mincho"/>
          <w:lang w:eastAsia="ja-JP"/>
        </w:rPr>
        <w:t>, based on the characteristics available at that time</w:t>
      </w:r>
      <w:r w:rsidRPr="009C1D32">
        <w:rPr>
          <w:rFonts w:eastAsia="MS Mincho"/>
        </w:rPr>
        <w:t>;</w:t>
      </w:r>
    </w:p>
    <w:p w14:paraId="7F8EC469" w14:textId="77777777" w:rsidR="0038584D" w:rsidRPr="009C1D32" w:rsidRDefault="0038584D" w:rsidP="0038584D">
      <w:pPr>
        <w:rPr>
          <w:rFonts w:eastAsia="MS Mincho"/>
          <w:lang w:eastAsia="ja-JP"/>
        </w:rPr>
      </w:pPr>
      <w:r w:rsidRPr="009C1D32">
        <w:rPr>
          <w:rFonts w:eastAsia="MS Mincho"/>
          <w:i/>
          <w:iCs/>
          <w:lang w:eastAsia="ja-JP"/>
        </w:rPr>
        <w:t>k</w:t>
      </w:r>
      <w:r w:rsidRPr="009C1D32">
        <w:rPr>
          <w:rFonts w:eastAsia="MS Mincho"/>
          <w:i/>
          <w:iCs/>
          <w:lang w:eastAsia="nl-NL"/>
        </w:rPr>
        <w:t>)</w:t>
      </w:r>
      <w:r w:rsidRPr="009C1D32">
        <w:rPr>
          <w:rFonts w:eastAsia="MS Mincho"/>
          <w:lang w:eastAsia="nl-NL"/>
        </w:rPr>
        <w:tab/>
        <w:t>that the results of ITU</w:t>
      </w:r>
      <w:r w:rsidRPr="009C1D32">
        <w:rPr>
          <w:rFonts w:eastAsia="MS Mincho"/>
          <w:lang w:eastAsia="nl-NL"/>
        </w:rPr>
        <w:noBreakHyphen/>
        <w:t>R compatibility studies of IMT</w:t>
      </w:r>
      <w:r w:rsidRPr="009C1D32">
        <w:rPr>
          <w:rFonts w:eastAsia="MS Mincho"/>
          <w:lang w:eastAsia="nl-NL"/>
        </w:rPr>
        <w:noBreakHyphen/>
        <w:t>2020 systems are probabilistic, and therefore the deployment parameters of IMT</w:t>
      </w:r>
      <w:r w:rsidRPr="009C1D32">
        <w:rPr>
          <w:rFonts w:eastAsia="MS Mincho"/>
          <w:lang w:eastAsia="nl-NL"/>
        </w:rPr>
        <w:noBreakHyphen/>
        <w:t>2020 systems that affect compatibility with satellite receivers may vary during practical implementation and deployment of IMT</w:t>
      </w:r>
      <w:r w:rsidRPr="009C1D32">
        <w:rPr>
          <w:rFonts w:eastAsia="MS Mincho"/>
          <w:lang w:eastAsia="nl-NL"/>
        </w:rPr>
        <w:noBreakHyphen/>
        <w:t>2020 networks;</w:t>
      </w:r>
    </w:p>
    <w:p w14:paraId="2311FB5D" w14:textId="62D6F017" w:rsidR="0038584D" w:rsidRPr="009C1D32" w:rsidRDefault="0038584D" w:rsidP="0038584D">
      <w:pPr>
        <w:rPr>
          <w:rFonts w:eastAsia="MS Mincho"/>
        </w:rPr>
      </w:pPr>
      <w:r w:rsidRPr="009C1D32">
        <w:rPr>
          <w:rFonts w:eastAsia="MS Mincho"/>
          <w:i/>
          <w:iCs/>
        </w:rPr>
        <w:t>l)</w:t>
      </w:r>
      <w:r w:rsidRPr="009C1D32">
        <w:rPr>
          <w:rFonts w:eastAsia="MS Mincho"/>
        </w:rPr>
        <w:tab/>
        <w:t>that the pointing elevation of the main beam (electrical and mechanical) should normally be below the horizon for outdoor base stations;</w:t>
      </w:r>
    </w:p>
    <w:p w14:paraId="03E4E526" w14:textId="77777777" w:rsidR="0038584D" w:rsidRPr="009C1D32" w:rsidRDefault="0038584D" w:rsidP="0038584D">
      <w:pPr>
        <w:rPr>
          <w:rFonts w:eastAsia="MS Mincho"/>
        </w:rPr>
      </w:pPr>
      <w:r w:rsidRPr="009C1D32">
        <w:rPr>
          <w:rFonts w:eastAsia="MS Mincho"/>
          <w:i/>
          <w:iCs/>
        </w:rPr>
        <w:t>m)</w:t>
      </w:r>
      <w:r w:rsidRPr="009C1D32">
        <w:rPr>
          <w:rFonts w:eastAsia="MS Mincho"/>
        </w:rPr>
        <w:tab/>
        <w:t>that the coverage of outdoor hotspot has been assumed in sharing studies to be achieved with the deployment of base stations communicating with terminals on the ground and a very limited number of indoor terminals with positive elevation, resulting in an elevation of the main beam of outdoor base stations normally below the horizon, thus with high discrimination towards the satellites,</w:t>
      </w:r>
    </w:p>
    <w:p w14:paraId="7F37856B" w14:textId="77777777" w:rsidR="0038584D" w:rsidRPr="009C1D32" w:rsidRDefault="0038584D" w:rsidP="0038584D">
      <w:pPr>
        <w:rPr>
          <w:rFonts w:eastAsia="MS Mincho"/>
          <w:lang w:eastAsia="ja-JP"/>
        </w:rPr>
      </w:pPr>
      <w:r w:rsidRPr="009C1D32">
        <w:rPr>
          <w:rFonts w:eastAsia="MS Mincho"/>
          <w:lang w:eastAsia="ja-JP"/>
        </w:rPr>
        <w:t>…</w:t>
      </w:r>
    </w:p>
    <w:p w14:paraId="100656EE" w14:textId="77777777" w:rsidR="0038584D" w:rsidRPr="009C1D32" w:rsidRDefault="0038584D" w:rsidP="0038584D">
      <w:pPr>
        <w:pStyle w:val="Call"/>
        <w:rPr>
          <w:rFonts w:eastAsia="MS Mincho"/>
        </w:rPr>
      </w:pPr>
      <w:r w:rsidRPr="009C1D32">
        <w:rPr>
          <w:rFonts w:eastAsia="MS Mincho"/>
        </w:rPr>
        <w:t>recognizing</w:t>
      </w:r>
    </w:p>
    <w:p w14:paraId="5E41A214" w14:textId="77777777" w:rsidR="0038584D" w:rsidRPr="009C1D32" w:rsidRDefault="0038584D" w:rsidP="0038584D">
      <w:pPr>
        <w:rPr>
          <w:rFonts w:eastAsia="MS Mincho"/>
          <w:lang w:eastAsia="ja-JP"/>
        </w:rPr>
      </w:pPr>
      <w:r w:rsidRPr="009C1D32">
        <w:rPr>
          <w:rFonts w:eastAsia="MS Mincho"/>
          <w:lang w:eastAsia="ja-JP"/>
        </w:rPr>
        <w:t>…</w:t>
      </w:r>
    </w:p>
    <w:p w14:paraId="16F3CD42" w14:textId="77777777" w:rsidR="0038584D" w:rsidRPr="009C1D32" w:rsidRDefault="0038584D" w:rsidP="0038584D">
      <w:pPr>
        <w:rPr>
          <w:rFonts w:asciiTheme="majorBidi" w:eastAsia="MS Mincho" w:hAnsiTheme="majorBidi" w:cstheme="majorBidi"/>
        </w:rPr>
      </w:pPr>
      <w:r w:rsidRPr="009C1D32">
        <w:rPr>
          <w:rFonts w:eastAsia="MS Mincho"/>
          <w:i/>
        </w:rPr>
        <w:t>f</w:t>
      </w:r>
      <w:r w:rsidRPr="009C1D32">
        <w:rPr>
          <w:rFonts w:eastAsia="???"/>
          <w:i/>
          <w:iCs/>
        </w:rPr>
        <w:t>)</w:t>
      </w:r>
      <w:r w:rsidRPr="009C1D32">
        <w:rPr>
          <w:rFonts w:eastAsia="???"/>
        </w:rPr>
        <w:tab/>
        <w:t>that ITU-R demonstrated the feasibility of sharing between IMT and FSS (E-to-s) in</w:t>
      </w:r>
      <w:r w:rsidRPr="009C1D32">
        <w:rPr>
          <w:rFonts w:eastAsiaTheme="minorEastAsia" w:hint="eastAsia"/>
          <w:lang w:eastAsia="ja-JP"/>
        </w:rPr>
        <w:t xml:space="preserve"> the </w:t>
      </w:r>
      <w:r w:rsidRPr="009C1D32">
        <w:rPr>
          <w:rFonts w:eastAsiaTheme="minorEastAsia"/>
          <w:lang w:eastAsia="ja-JP"/>
        </w:rPr>
        <w:t xml:space="preserve">frequency </w:t>
      </w:r>
      <w:r w:rsidRPr="009C1D32">
        <w:rPr>
          <w:rFonts w:eastAsiaTheme="minorEastAsia" w:hint="eastAsia"/>
          <w:lang w:eastAsia="ja-JP"/>
        </w:rPr>
        <w:t xml:space="preserve">band </w:t>
      </w:r>
      <w:r w:rsidRPr="009C1D32">
        <w:rPr>
          <w:rFonts w:eastAsiaTheme="minorEastAsia"/>
          <w:lang w:eastAsia="ja-JP"/>
        </w:rPr>
        <w:t>42</w:t>
      </w:r>
      <w:r w:rsidRPr="009C1D32">
        <w:rPr>
          <w:rFonts w:eastAsiaTheme="minorEastAsia" w:hint="eastAsia"/>
          <w:lang w:eastAsia="ja-JP"/>
        </w:rPr>
        <w:t>.5</w:t>
      </w:r>
      <w:r w:rsidRPr="009C1D32">
        <w:rPr>
          <w:rFonts w:eastAsiaTheme="minorEastAsia"/>
          <w:lang w:eastAsia="ja-JP"/>
        </w:rPr>
        <w:t>-43</w:t>
      </w:r>
      <w:r w:rsidRPr="009C1D32">
        <w:rPr>
          <w:rFonts w:eastAsiaTheme="minorEastAsia" w:hint="eastAsia"/>
          <w:lang w:eastAsia="ja-JP"/>
        </w:rPr>
        <w:t>.</w:t>
      </w:r>
      <w:r w:rsidRPr="009C1D32">
        <w:rPr>
          <w:rFonts w:eastAsiaTheme="minorEastAsia"/>
          <w:lang w:eastAsia="ja-JP"/>
        </w:rPr>
        <w:t xml:space="preserve">5 GHz </w:t>
      </w:r>
      <w:r w:rsidRPr="009C1D32">
        <w:rPr>
          <w:rFonts w:eastAsia="???"/>
        </w:rPr>
        <w:t>based on a set of baseline parameters including the IMT base stations deployment density of 1 200 per 10 000 km</w:t>
      </w:r>
      <w:r w:rsidRPr="009C1D32">
        <w:rPr>
          <w:rFonts w:eastAsia="???"/>
          <w:vertAlign w:val="superscript"/>
        </w:rPr>
        <w:t>2</w:t>
      </w:r>
      <w:r w:rsidRPr="009C1D32">
        <w:rPr>
          <w:rFonts w:asciiTheme="majorBidi" w:eastAsia="MS Mincho" w:hAnsiTheme="majorBidi" w:cstheme="majorBidi"/>
        </w:rPr>
        <w:t>,</w:t>
      </w:r>
    </w:p>
    <w:p w14:paraId="22161759" w14:textId="77777777" w:rsidR="0038584D" w:rsidRPr="009C1D32" w:rsidRDefault="0038584D" w:rsidP="0038584D">
      <w:pPr>
        <w:pStyle w:val="Call"/>
        <w:rPr>
          <w:rFonts w:eastAsia="MS Mincho"/>
        </w:rPr>
      </w:pPr>
      <w:r w:rsidRPr="009C1D32">
        <w:rPr>
          <w:rFonts w:eastAsia="MS Mincho"/>
        </w:rPr>
        <w:t>resolves</w:t>
      </w:r>
    </w:p>
    <w:p w14:paraId="448A77EA" w14:textId="77777777" w:rsidR="0038584D" w:rsidRPr="009C1D32" w:rsidRDefault="0038584D" w:rsidP="0038584D">
      <w:pPr>
        <w:rPr>
          <w:rFonts w:eastAsia="MS Mincho"/>
        </w:rPr>
      </w:pPr>
      <w:r w:rsidRPr="009C1D32">
        <w:rPr>
          <w:rFonts w:eastAsia="MS Mincho"/>
          <w:lang w:eastAsia="ja-JP"/>
        </w:rPr>
        <w:t>…</w:t>
      </w:r>
    </w:p>
    <w:p w14:paraId="0F2729E5" w14:textId="6AC57B25" w:rsidR="0038584D" w:rsidRPr="009C1D32" w:rsidRDefault="0038584D" w:rsidP="0038584D">
      <w:pPr>
        <w:rPr>
          <w:rFonts w:eastAsia="SimSun"/>
          <w:i/>
          <w:iCs/>
        </w:rPr>
      </w:pPr>
      <w:r w:rsidRPr="009C1D32">
        <w:rPr>
          <w:rFonts w:eastAsia="MS Mincho"/>
          <w:iCs/>
          <w:lang w:eastAsia="ja-JP"/>
        </w:rPr>
        <w:t>2</w:t>
      </w:r>
      <w:r w:rsidRPr="009C1D32">
        <w:rPr>
          <w:rFonts w:eastAsia="MS Mincho"/>
          <w:iCs/>
          <w:lang w:eastAsia="ja-JP"/>
        </w:rPr>
        <w:tab/>
        <w:t>that unwanted emissions of IMT stations brought into use in the frequency bands and services listed in Table 1 below shall not exceed the corresponding limits in that table, subject to the specified conditions;</w:t>
      </w:r>
    </w:p>
    <w:p w14:paraId="6C7F0085" w14:textId="77777777" w:rsidR="0038584D" w:rsidRPr="009C1D32" w:rsidRDefault="0038584D" w:rsidP="00FC1ADB">
      <w:pPr>
        <w:pStyle w:val="TableNo"/>
        <w:pageBreakBefore/>
        <w:rPr>
          <w:rFonts w:eastAsia="MS Mincho"/>
          <w:lang w:eastAsia="ja-JP"/>
        </w:rPr>
      </w:pPr>
      <w:r w:rsidRPr="009C1D32">
        <w:rPr>
          <w:rFonts w:eastAsia="MS Mincho"/>
        </w:rPr>
        <w:lastRenderedPageBreak/>
        <w:t xml:space="preserve">TABLE </w:t>
      </w:r>
      <w:r w:rsidRPr="009C1D32">
        <w:rPr>
          <w:rFonts w:eastAsia="MS Mincho"/>
          <w:lang w:eastAsia="ja-JP"/>
        </w:rP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38584D" w:rsidRPr="009C1D32" w14:paraId="04CFE2FC" w14:textId="77777777" w:rsidTr="00BD2CF6">
        <w:trPr>
          <w:cantSplit/>
          <w:jc w:val="center"/>
        </w:trPr>
        <w:tc>
          <w:tcPr>
            <w:tcW w:w="1696" w:type="dxa"/>
            <w:vAlign w:val="center"/>
          </w:tcPr>
          <w:p w14:paraId="5F43CF59" w14:textId="77777777" w:rsidR="0038584D" w:rsidRPr="009C1D32" w:rsidRDefault="0038584D" w:rsidP="00FC1ADB">
            <w:pPr>
              <w:pStyle w:val="Tablehead"/>
              <w:rPr>
                <w:rFonts w:eastAsia="MS Mincho"/>
              </w:rPr>
            </w:pPr>
            <w:r w:rsidRPr="009C1D32">
              <w:rPr>
                <w:rFonts w:eastAsia="MS Mincho"/>
              </w:rPr>
              <w:t>EESS (passive) band</w:t>
            </w:r>
          </w:p>
        </w:tc>
        <w:tc>
          <w:tcPr>
            <w:tcW w:w="1701" w:type="dxa"/>
            <w:vAlign w:val="center"/>
          </w:tcPr>
          <w:p w14:paraId="47766BDD" w14:textId="77777777" w:rsidR="0038584D" w:rsidRPr="009C1D32" w:rsidRDefault="0038584D" w:rsidP="00FC1ADB">
            <w:pPr>
              <w:pStyle w:val="Tablehead"/>
              <w:rPr>
                <w:rFonts w:eastAsia="MS Mincho"/>
              </w:rPr>
            </w:pPr>
            <w:r w:rsidRPr="009C1D32">
              <w:rPr>
                <w:rFonts w:eastAsia="MS Mincho"/>
              </w:rPr>
              <w:t>Active</w:t>
            </w:r>
            <w:r w:rsidRPr="009C1D32">
              <w:rPr>
                <w:rFonts w:eastAsia="MS Mincho"/>
              </w:rPr>
              <w:br/>
              <w:t>service band</w:t>
            </w:r>
          </w:p>
        </w:tc>
        <w:tc>
          <w:tcPr>
            <w:tcW w:w="1418" w:type="dxa"/>
            <w:vAlign w:val="center"/>
          </w:tcPr>
          <w:p w14:paraId="2514D1A8" w14:textId="77777777" w:rsidR="0038584D" w:rsidRPr="009C1D32" w:rsidRDefault="0038584D" w:rsidP="00FC1ADB">
            <w:pPr>
              <w:pStyle w:val="Tablehead"/>
              <w:rPr>
                <w:rFonts w:eastAsia="MS Mincho"/>
              </w:rPr>
            </w:pPr>
            <w:r w:rsidRPr="009C1D32">
              <w:rPr>
                <w:rFonts w:eastAsia="MS Mincho"/>
              </w:rPr>
              <w:t>Active service</w:t>
            </w:r>
          </w:p>
        </w:tc>
        <w:tc>
          <w:tcPr>
            <w:tcW w:w="4881" w:type="dxa"/>
            <w:vAlign w:val="center"/>
          </w:tcPr>
          <w:p w14:paraId="2ABBE1BD" w14:textId="77777777" w:rsidR="0038584D" w:rsidRPr="009C1D32" w:rsidRDefault="0038584D" w:rsidP="00FC1ADB">
            <w:pPr>
              <w:pStyle w:val="Tablehead"/>
              <w:rPr>
                <w:rFonts w:eastAsia="MS Mincho"/>
              </w:rPr>
            </w:pPr>
            <w:r w:rsidRPr="009C1D32">
              <w:rPr>
                <w:rFonts w:eastAsia="MS Mincho"/>
              </w:rPr>
              <w:t>Limits of unwanted emission power from</w:t>
            </w:r>
            <w:r w:rsidRPr="009C1D32">
              <w:rPr>
                <w:rFonts w:eastAsia="MS Mincho"/>
              </w:rPr>
              <w:br/>
              <w:t>IMT</w:t>
            </w:r>
            <w:r w:rsidRPr="009C1D32">
              <w:rPr>
                <w:rFonts w:eastAsia="MS Mincho"/>
              </w:rPr>
              <w:noBreakHyphen/>
              <w:t>2020 stations in a specified bandwidth</w:t>
            </w:r>
            <w:r w:rsidRPr="009C1D32">
              <w:rPr>
                <w:rFonts w:eastAsia="MS Mincho"/>
              </w:rPr>
              <w:br/>
              <w:t>within the EESS (passive) band</w:t>
            </w:r>
            <w:r w:rsidRPr="009C1D32">
              <w:rPr>
                <w:rFonts w:eastAsia="MS Mincho"/>
                <w:vertAlign w:val="superscript"/>
              </w:rPr>
              <w:t>1</w:t>
            </w:r>
          </w:p>
        </w:tc>
      </w:tr>
      <w:tr w:rsidR="0038584D" w:rsidRPr="009C1D32" w14:paraId="1B9063A6" w14:textId="77777777" w:rsidTr="00BD2CF6">
        <w:trPr>
          <w:cantSplit/>
          <w:trHeight w:val="201"/>
          <w:jc w:val="center"/>
        </w:trPr>
        <w:tc>
          <w:tcPr>
            <w:tcW w:w="1696" w:type="dxa"/>
            <w:vAlign w:val="center"/>
          </w:tcPr>
          <w:p w14:paraId="3643906D" w14:textId="77777777" w:rsidR="0038584D" w:rsidRPr="009C1D32" w:rsidRDefault="0038584D" w:rsidP="00FC1ADB">
            <w:pPr>
              <w:pStyle w:val="Tabletext"/>
              <w:jc w:val="center"/>
              <w:rPr>
                <w:rFonts w:eastAsia="MS Mincho"/>
              </w:rPr>
            </w:pPr>
            <w:r w:rsidRPr="009C1D32">
              <w:rPr>
                <w:rFonts w:eastAsia="MS Mincho"/>
              </w:rPr>
              <w:t>36-37 GHz</w:t>
            </w:r>
          </w:p>
        </w:tc>
        <w:tc>
          <w:tcPr>
            <w:tcW w:w="1701" w:type="dxa"/>
            <w:vAlign w:val="center"/>
          </w:tcPr>
          <w:p w14:paraId="590865E3" w14:textId="77777777" w:rsidR="0038584D" w:rsidRPr="009C1D32" w:rsidRDefault="0038584D" w:rsidP="00FC1ADB">
            <w:pPr>
              <w:pStyle w:val="Tabletext"/>
              <w:jc w:val="center"/>
              <w:rPr>
                <w:rFonts w:eastAsia="MS Mincho"/>
              </w:rPr>
            </w:pPr>
            <w:r w:rsidRPr="009C1D32">
              <w:rPr>
                <w:rFonts w:eastAsia="MS Mincho"/>
              </w:rPr>
              <w:t>37</w:t>
            </w:r>
            <w:r w:rsidRPr="009C1D32">
              <w:rPr>
                <w:rFonts w:eastAsia="MS Mincho"/>
              </w:rPr>
              <w:noBreakHyphen/>
              <w:t>40.5 GHz</w:t>
            </w:r>
          </w:p>
        </w:tc>
        <w:tc>
          <w:tcPr>
            <w:tcW w:w="1418" w:type="dxa"/>
            <w:vAlign w:val="center"/>
          </w:tcPr>
          <w:p w14:paraId="32398976" w14:textId="77777777" w:rsidR="0038584D" w:rsidRPr="009C1D32" w:rsidRDefault="0038584D" w:rsidP="00FC1ADB">
            <w:pPr>
              <w:pStyle w:val="Tabletext"/>
              <w:jc w:val="center"/>
              <w:rPr>
                <w:rFonts w:eastAsia="MS Mincho"/>
                <w:lang w:eastAsia="ko-KR"/>
              </w:rPr>
            </w:pPr>
            <w:r w:rsidRPr="009C1D32">
              <w:rPr>
                <w:rFonts w:eastAsia="MS Mincho"/>
                <w:lang w:eastAsia="ko-KR"/>
              </w:rPr>
              <w:t>Mobile</w:t>
            </w:r>
          </w:p>
        </w:tc>
        <w:tc>
          <w:tcPr>
            <w:tcW w:w="4881" w:type="dxa"/>
          </w:tcPr>
          <w:p w14:paraId="645B3F18" w14:textId="3FFF48B5" w:rsidR="0038584D" w:rsidRPr="009C1D32" w:rsidRDefault="0038584D" w:rsidP="00FC1ADB">
            <w:pPr>
              <w:pStyle w:val="Tabletext"/>
              <w:jc w:val="center"/>
              <w:rPr>
                <w:rFonts w:eastAsia="MS Mincho"/>
                <w:lang w:eastAsia="ko-KR"/>
              </w:rPr>
            </w:pPr>
            <w:r w:rsidRPr="009C1D32">
              <w:rPr>
                <w:rFonts w:eastAsia="MS Mincho"/>
                <w:lang w:eastAsia="ja-JP"/>
              </w:rPr>
              <w:t xml:space="preserve">[TBD] dB(W/100 MHz) for BS and </w:t>
            </w:r>
            <w:r w:rsidRPr="009C1D32">
              <w:rPr>
                <w:rFonts w:eastAsia="MS Mincho"/>
                <w:lang w:eastAsia="ja-JP"/>
              </w:rPr>
              <w:br/>
              <w:t>[TBD] dB(W/100 MHz) for UE</w:t>
            </w:r>
          </w:p>
        </w:tc>
      </w:tr>
      <w:tr w:rsidR="0038584D" w:rsidRPr="009C1D32" w14:paraId="25B91099" w14:textId="77777777" w:rsidTr="00BD2CF6">
        <w:trPr>
          <w:cantSplit/>
          <w:jc w:val="center"/>
        </w:trPr>
        <w:tc>
          <w:tcPr>
            <w:tcW w:w="9696" w:type="dxa"/>
            <w:gridSpan w:val="4"/>
            <w:tcBorders>
              <w:left w:val="nil"/>
              <w:bottom w:val="nil"/>
              <w:right w:val="nil"/>
            </w:tcBorders>
            <w:vAlign w:val="center"/>
          </w:tcPr>
          <w:p w14:paraId="0D4B8850" w14:textId="1F637719" w:rsidR="0038584D" w:rsidRPr="009C1D32" w:rsidRDefault="0038584D" w:rsidP="002D7C83">
            <w:pPr>
              <w:pStyle w:val="Tablelegend"/>
              <w:tabs>
                <w:tab w:val="clear" w:pos="1134"/>
                <w:tab w:val="left" w:pos="170"/>
              </w:tabs>
              <w:rPr>
                <w:rFonts w:eastAsia="MS Mincho"/>
              </w:rPr>
            </w:pPr>
            <w:r w:rsidRPr="009C1D32">
              <w:rPr>
                <w:rFonts w:eastAsia="MS Mincho"/>
                <w:vertAlign w:val="superscript"/>
              </w:rPr>
              <w:t>1</w:t>
            </w:r>
            <w:r w:rsidR="00FC1ADB" w:rsidRPr="00FC1ADB">
              <w:rPr>
                <w:rFonts w:eastAsia="MS Mincho"/>
              </w:rPr>
              <w:tab/>
            </w:r>
            <w:r w:rsidRPr="00FC1ADB">
              <w:rPr>
                <w:rFonts w:eastAsia="MS Mincho"/>
              </w:rPr>
              <w:t xml:space="preserve">The </w:t>
            </w:r>
            <w:r w:rsidRPr="002D7C83">
              <w:rPr>
                <w:lang w:val="en-US"/>
              </w:rPr>
              <w:t>unwanted</w:t>
            </w:r>
            <w:r w:rsidRPr="00FC1ADB">
              <w:rPr>
                <w:rFonts w:eastAsia="MS Mincho"/>
              </w:rPr>
              <w:t xml:space="preserve"> emission power level is measured by total radiated power (TRP). The TRP is to be understood here as the integral of</w:t>
            </w:r>
            <w:r w:rsidRPr="009C1D32">
              <w:rPr>
                <w:rFonts w:eastAsia="MS Mincho"/>
              </w:rPr>
              <w:t xml:space="preserve"> the power transmitted in different directions over the entire radiation sphere.</w:t>
            </w:r>
          </w:p>
        </w:tc>
      </w:tr>
    </w:tbl>
    <w:p w14:paraId="47BE8583" w14:textId="77777777" w:rsidR="0038584D" w:rsidRPr="009C1D32" w:rsidRDefault="0038584D" w:rsidP="0038584D">
      <w:pPr>
        <w:rPr>
          <w:rFonts w:eastAsia="MS Mincho"/>
        </w:rPr>
      </w:pPr>
      <w:r w:rsidRPr="009C1D32">
        <w:rPr>
          <w:rFonts w:eastAsia="MS Mincho"/>
        </w:rPr>
        <w:t>2</w:t>
      </w:r>
      <w:r w:rsidRPr="009C1D32">
        <w:rPr>
          <w:rFonts w:eastAsia="MS Mincho"/>
        </w:rPr>
        <w:tab/>
        <w:t>when deploying outdoor IMT base stations, it shall be ensured that each antenna normally</w:t>
      </w:r>
      <w:r w:rsidRPr="009C1D32">
        <w:rPr>
          <w:rFonts w:eastAsia="MS Mincho"/>
          <w:position w:val="6"/>
          <w:sz w:val="18"/>
        </w:rPr>
        <w:footnoteReference w:customMarkFollows="1" w:id="1"/>
        <w:sym w:font="Symbol" w:char="F02A"/>
      </w:r>
      <w:r w:rsidRPr="009C1D32">
        <w:rPr>
          <w:rFonts w:eastAsia="MS Mincho"/>
        </w:rPr>
        <w:t xml:space="preserve"> transmits only with the main beam pointing below the horizon except when the base station is only receiving.</w:t>
      </w:r>
    </w:p>
    <w:p w14:paraId="7314DAD0" w14:textId="77777777" w:rsidR="0038584D" w:rsidRPr="009C1D32" w:rsidRDefault="0038584D" w:rsidP="0038584D">
      <w:pPr>
        <w:pStyle w:val="Call"/>
        <w:rPr>
          <w:rFonts w:eastAsia="MS Mincho"/>
        </w:rPr>
      </w:pPr>
      <w:r w:rsidRPr="009C1D32">
        <w:rPr>
          <w:rFonts w:eastAsia="MS Mincho"/>
        </w:rPr>
        <w:t>invites ITU</w:t>
      </w:r>
      <w:r w:rsidRPr="009C1D32">
        <w:rPr>
          <w:rFonts w:eastAsia="MS Mincho"/>
        </w:rPr>
        <w:noBreakHyphen/>
        <w:t>R</w:t>
      </w:r>
    </w:p>
    <w:p w14:paraId="021B50CE" w14:textId="77777777" w:rsidR="0038584D" w:rsidRPr="009C1D32" w:rsidRDefault="0038584D" w:rsidP="0038584D">
      <w:pPr>
        <w:rPr>
          <w:rFonts w:eastAsia="MS Mincho"/>
          <w:lang w:eastAsia="ja-JP"/>
        </w:rPr>
      </w:pPr>
      <w:r w:rsidRPr="009C1D32">
        <w:rPr>
          <w:rFonts w:eastAsia="MS Mincho"/>
          <w:lang w:eastAsia="ja-JP"/>
        </w:rPr>
        <w:t>…</w:t>
      </w:r>
    </w:p>
    <w:p w14:paraId="6CF7B065" w14:textId="77777777" w:rsidR="0038584D" w:rsidRPr="009C1D32" w:rsidRDefault="0038584D" w:rsidP="0038584D">
      <w:pPr>
        <w:rPr>
          <w:rFonts w:eastAsia="MS Mincho"/>
          <w:lang w:eastAsia="ja-JP"/>
        </w:rPr>
      </w:pPr>
      <w:r w:rsidRPr="009C1D32">
        <w:rPr>
          <w:rFonts w:eastAsia="MS Mincho"/>
          <w:iCs/>
        </w:rPr>
        <w:t>2</w:t>
      </w:r>
      <w:r w:rsidRPr="009C1D32">
        <w:rPr>
          <w:rFonts w:eastAsia="MS Mincho"/>
          <w:i/>
          <w:iCs/>
        </w:rPr>
        <w:tab/>
      </w:r>
      <w:r w:rsidRPr="009C1D32">
        <w:rPr>
          <w:rFonts w:eastAsia="MS Mincho"/>
        </w:rPr>
        <w:t>to develop ITU</w:t>
      </w:r>
      <w:r w:rsidRPr="009C1D32">
        <w:rPr>
          <w:rFonts w:eastAsia="MS Mincho"/>
        </w:rPr>
        <w:noBreakHyphen/>
        <w:t>R Recommendations, as appropriate, to provide information on possible coordination and protection measures for the existing and future SRS earth stations operating in the frequency band 37-38 GHz</w:t>
      </w:r>
      <w:r w:rsidRPr="009C1D32">
        <w:rPr>
          <w:rFonts w:eastAsia="MS Mincho"/>
          <w:lang w:eastAsia="ja-JP"/>
        </w:rPr>
        <w:t>;</w:t>
      </w:r>
    </w:p>
    <w:p w14:paraId="7537106C" w14:textId="77777777" w:rsidR="001962A2" w:rsidRPr="009C1D32" w:rsidRDefault="0038584D" w:rsidP="0038584D">
      <w:r w:rsidRPr="009C1D32">
        <w:rPr>
          <w:rFonts w:eastAsia="MS Mincho"/>
        </w:rPr>
        <w:t>3</w:t>
      </w:r>
      <w:r w:rsidRPr="009C1D32">
        <w:rPr>
          <w:rFonts w:eastAsia="MS Mincho"/>
        </w:rPr>
        <w:tab/>
        <w:t xml:space="preserve">to regularly review the impact of the evolution of IMT technical and operational characteristics (including deployment and base-station density taking into account the baseline parameters referred to in </w:t>
      </w:r>
      <w:r w:rsidRPr="009C1D32">
        <w:rPr>
          <w:rFonts w:eastAsia="MS Mincho"/>
          <w:i/>
        </w:rPr>
        <w:t>recognizing</w:t>
      </w:r>
      <w:r w:rsidRPr="009C1D32">
        <w:rPr>
          <w:rFonts w:eastAsia="MS Mincho"/>
        </w:rPr>
        <w:t xml:space="preserve"> </w:t>
      </w:r>
      <w:r w:rsidRPr="009C1D32">
        <w:rPr>
          <w:rFonts w:eastAsia="MS Mincho"/>
          <w:i/>
        </w:rPr>
        <w:t>f)</w:t>
      </w:r>
      <w:r w:rsidRPr="009C1D32">
        <w:rPr>
          <w:rFonts w:eastAsia="MS Mincho"/>
        </w:rPr>
        <w:t xml:space="preserve"> above) on sharing and compatibility with other services (e.g. space services) and, as necessary, to take into account the results of these reviews in the development or revision of ITU</w:t>
      </w:r>
      <w:r w:rsidRPr="009C1D32">
        <w:rPr>
          <w:rFonts w:eastAsia="MS Mincho"/>
        </w:rPr>
        <w:noBreakHyphen/>
        <w:t>R Recommendations/Reports, e.g. on IMT characteristics;</w:t>
      </w:r>
    </w:p>
    <w:p w14:paraId="5C7DE835" w14:textId="77777777" w:rsidR="00315E6F" w:rsidRPr="009C1D32" w:rsidRDefault="0038584D">
      <w:pPr>
        <w:pStyle w:val="Reasons"/>
      </w:pPr>
      <w:r w:rsidRPr="009C1D32">
        <w:rPr>
          <w:b/>
        </w:rPr>
        <w:t>Reasons:</w:t>
      </w:r>
      <w:r w:rsidRPr="009C1D32">
        <w:tab/>
        <w:t>Japan supports identifying the frequency band 37-43.5 GHz for IMT together with the conditions shown in the above new WRC Resolution. For the protection measures for the EESS (passive) in the 36-37 GHz frequency band, Japan is investigating to choose Option 1 under Condition C2a</w:t>
      </w:r>
      <w:r w:rsidR="00666B04" w:rsidRPr="009C1D32">
        <w:t xml:space="preserve"> of the CPM Report</w:t>
      </w:r>
      <w:r w:rsidRPr="009C1D32">
        <w:t xml:space="preserve">. As for the TBD values in Table 2, Japan is studying to choose a value within –47 to –33 dB(W/100 MHz) for IMT base stations and –46 to –32 dB(W/100 MHz) for IMT mobile stations, respectively. Japan is also studying additional further relaxation in these unwanted emission limits of IMT stations associated with the interference criterion for the EESS (passive) sensors in the 36-37 GHz frequency band presented in Recommendation ITU-R </w:t>
      </w:r>
      <w:r w:rsidR="00666B04" w:rsidRPr="009C1D32">
        <w:t>RS.</w:t>
      </w:r>
      <w:r w:rsidRPr="009C1D32">
        <w:t>2017, i.e., which allows for 0.1 % in time or area of the 10 000 000 km² to exceed the interference criterion.</w:t>
      </w:r>
    </w:p>
    <w:p w14:paraId="65422586" w14:textId="77777777" w:rsidR="0038584D" w:rsidRDefault="0038584D" w:rsidP="0038584D">
      <w:pPr>
        <w:jc w:val="center"/>
      </w:pPr>
      <w:r w:rsidRPr="009C1D32">
        <w:t>______________</w:t>
      </w:r>
    </w:p>
    <w:sectPr w:rsidR="0038584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99B37" w14:textId="77777777" w:rsidR="002E3DBE" w:rsidRDefault="002E3DBE">
      <w:r>
        <w:separator/>
      </w:r>
    </w:p>
  </w:endnote>
  <w:endnote w:type="continuationSeparator" w:id="0">
    <w:p w14:paraId="55E38BFE" w14:textId="77777777" w:rsidR="002E3DBE" w:rsidRDefault="002E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507C" w14:textId="77777777" w:rsidR="00E45D05" w:rsidRDefault="00E45D05">
    <w:pPr>
      <w:framePr w:wrap="around" w:vAnchor="text" w:hAnchor="margin" w:xAlign="right" w:y="1"/>
    </w:pPr>
    <w:r>
      <w:fldChar w:fldCharType="begin"/>
    </w:r>
    <w:r>
      <w:instrText xml:space="preserve">PAGE  </w:instrText>
    </w:r>
    <w:r>
      <w:fldChar w:fldCharType="end"/>
    </w:r>
  </w:p>
  <w:p w14:paraId="407D5992" w14:textId="42FB444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02E86">
      <w:rPr>
        <w:noProof/>
        <w:lang w:val="en-US"/>
      </w:rPr>
      <w:t>P:\ENG\ITU-R\CONF-R\CMR19\000\080ADD13ADD02E.docx</w:t>
    </w:r>
    <w:r>
      <w:fldChar w:fldCharType="end"/>
    </w:r>
    <w:r w:rsidRPr="0041348E">
      <w:rPr>
        <w:lang w:val="en-US"/>
      </w:rPr>
      <w:tab/>
    </w:r>
    <w:r>
      <w:fldChar w:fldCharType="begin"/>
    </w:r>
    <w:r>
      <w:instrText xml:space="preserve"> SAVEDATE \@ DD.MM.YY </w:instrText>
    </w:r>
    <w:r>
      <w:fldChar w:fldCharType="separate"/>
    </w:r>
    <w:r w:rsidR="00102E86">
      <w:rPr>
        <w:noProof/>
      </w:rPr>
      <w:t>14.10.19</w:t>
    </w:r>
    <w:r>
      <w:fldChar w:fldCharType="end"/>
    </w:r>
    <w:r w:rsidRPr="0041348E">
      <w:rPr>
        <w:lang w:val="en-US"/>
      </w:rPr>
      <w:tab/>
    </w:r>
    <w:r>
      <w:fldChar w:fldCharType="begin"/>
    </w:r>
    <w:r>
      <w:instrText xml:space="preserve"> PRINTDATE \@ DD.MM.YY </w:instrText>
    </w:r>
    <w:r>
      <w:fldChar w:fldCharType="separate"/>
    </w:r>
    <w:r w:rsidR="00102E86">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C68E" w14:textId="23BA75FA" w:rsidR="00E45D05" w:rsidRDefault="00E45D05" w:rsidP="009B1EA1">
    <w:pPr>
      <w:pStyle w:val="Footer"/>
    </w:pPr>
    <w:r>
      <w:fldChar w:fldCharType="begin"/>
    </w:r>
    <w:r w:rsidRPr="0041348E">
      <w:rPr>
        <w:lang w:val="en-US"/>
      </w:rPr>
      <w:instrText xml:space="preserve"> FILENAME \p  \* MERGEFORMAT </w:instrText>
    </w:r>
    <w:r>
      <w:fldChar w:fldCharType="separate"/>
    </w:r>
    <w:r w:rsidR="00102E86">
      <w:rPr>
        <w:lang w:val="en-US"/>
      </w:rPr>
      <w:t>P:\ENG\ITU-R\CONF-R\CMR19\000\080ADD13ADD02E.docx</w:t>
    </w:r>
    <w:r>
      <w:fldChar w:fldCharType="end"/>
    </w:r>
    <w:r w:rsidR="00546371">
      <w:t xml:space="preserve"> (462163)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4542" w14:textId="6F85321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02E86">
      <w:rPr>
        <w:lang w:val="en-US"/>
      </w:rPr>
      <w:t>P:\ENG\ITU-R\CONF-R\CMR19\000\080ADD13ADD02E.docx</w:t>
    </w:r>
    <w:r>
      <w:fldChar w:fldCharType="end"/>
    </w:r>
    <w:r w:rsidR="00546371">
      <w:t xml:space="preserve"> (462163)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F6CF2" w14:textId="77777777" w:rsidR="002E3DBE" w:rsidRDefault="002E3DBE">
      <w:r>
        <w:rPr>
          <w:b/>
        </w:rPr>
        <w:t>_______________</w:t>
      </w:r>
    </w:p>
  </w:footnote>
  <w:footnote w:type="continuationSeparator" w:id="0">
    <w:p w14:paraId="46218D48" w14:textId="77777777" w:rsidR="002E3DBE" w:rsidRDefault="002E3DBE">
      <w:r>
        <w:continuationSeparator/>
      </w:r>
    </w:p>
  </w:footnote>
  <w:footnote w:id="1">
    <w:p w14:paraId="14AE8916" w14:textId="62F2B0D1" w:rsidR="0038584D" w:rsidRPr="00C974DD" w:rsidRDefault="0038584D" w:rsidP="0038584D">
      <w:pPr>
        <w:pStyle w:val="FootnoteText"/>
        <w:spacing w:before="0"/>
        <w:rPr>
          <w:lang w:eastAsia="ja-JP"/>
        </w:rPr>
      </w:pPr>
      <w:r w:rsidRPr="00DB039F">
        <w:rPr>
          <w:rStyle w:val="FootnoteReference"/>
        </w:rPr>
        <w:sym w:font="Symbol" w:char="F02A"/>
      </w:r>
      <w:r w:rsidRPr="00DB039F">
        <w:rPr>
          <w:lang w:eastAsia="ja-JP"/>
        </w:rPr>
        <w:tab/>
      </w:r>
      <w:r w:rsidR="00FC1ADB">
        <w:rPr>
          <w:lang w:val="en-US"/>
        </w:rPr>
        <w:t>I</w:t>
      </w:r>
      <w:r w:rsidRPr="00DB039F">
        <w:rPr>
          <w:lang w:val="en-US"/>
        </w:rPr>
        <w:t>t is assumed that only a very limited number of IMT mobile stations will be communicating with IMT base stations</w:t>
      </w:r>
      <w:r w:rsidRPr="008F1561">
        <w:rPr>
          <w:lang w:val="en-US"/>
        </w:rPr>
        <w:t xml:space="preserve"> whose main beam pointing are above the horizon</w:t>
      </w:r>
      <w:r w:rsidRPr="00DB039F">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ED2" w14:textId="77777777" w:rsidR="00E45D05" w:rsidRDefault="00A066F1" w:rsidP="00187BD9">
    <w:pPr>
      <w:pStyle w:val="Header"/>
    </w:pPr>
    <w:r>
      <w:fldChar w:fldCharType="begin"/>
    </w:r>
    <w:r>
      <w:instrText xml:space="preserve"> PAGE  \* MERGEFORMAT </w:instrText>
    </w:r>
    <w:r>
      <w:fldChar w:fldCharType="separate"/>
    </w:r>
    <w:r w:rsidR="009C1D32">
      <w:rPr>
        <w:noProof/>
      </w:rPr>
      <w:t>3</w:t>
    </w:r>
    <w:r>
      <w:fldChar w:fldCharType="end"/>
    </w:r>
  </w:p>
  <w:p w14:paraId="5225BB51" w14:textId="77777777" w:rsidR="00A066F1" w:rsidRPr="00A066F1" w:rsidRDefault="00187BD9" w:rsidP="00241FA2">
    <w:pPr>
      <w:pStyle w:val="Header"/>
    </w:pPr>
    <w:r>
      <w:t>CMR1</w:t>
    </w:r>
    <w:r w:rsidR="00202756">
      <w:t>9</w:t>
    </w:r>
    <w:r w:rsidR="00A066F1">
      <w:t>/</w:t>
    </w:r>
    <w:bookmarkStart w:id="8" w:name="OLE_LINK1"/>
    <w:bookmarkStart w:id="9" w:name="OLE_LINK2"/>
    <w:bookmarkStart w:id="10" w:name="OLE_LINK3"/>
    <w:r w:rsidR="00EB55C6">
      <w:t>80(Add.13)(Add.2)</w:t>
    </w:r>
    <w:bookmarkEnd w:id="8"/>
    <w:bookmarkEnd w:id="9"/>
    <w:bookmarkEnd w:id="1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2"/>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02E86"/>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D7C83"/>
    <w:rsid w:val="002E3DBE"/>
    <w:rsid w:val="002F4747"/>
    <w:rsid w:val="00302605"/>
    <w:rsid w:val="00315E6F"/>
    <w:rsid w:val="00361B37"/>
    <w:rsid w:val="00377BD3"/>
    <w:rsid w:val="00384088"/>
    <w:rsid w:val="003852CE"/>
    <w:rsid w:val="0038584D"/>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17D6B"/>
    <w:rsid w:val="00546371"/>
    <w:rsid w:val="0055140B"/>
    <w:rsid w:val="005964AB"/>
    <w:rsid w:val="005C099A"/>
    <w:rsid w:val="005C31A5"/>
    <w:rsid w:val="005E10C9"/>
    <w:rsid w:val="005E290B"/>
    <w:rsid w:val="005E61DD"/>
    <w:rsid w:val="005F04D8"/>
    <w:rsid w:val="006023DF"/>
    <w:rsid w:val="00615426"/>
    <w:rsid w:val="00616219"/>
    <w:rsid w:val="00645B7D"/>
    <w:rsid w:val="00657DE0"/>
    <w:rsid w:val="00666B04"/>
    <w:rsid w:val="00685313"/>
    <w:rsid w:val="00692833"/>
    <w:rsid w:val="006A6E9B"/>
    <w:rsid w:val="006B7C2A"/>
    <w:rsid w:val="006C23DA"/>
    <w:rsid w:val="006D45A1"/>
    <w:rsid w:val="006E3D45"/>
    <w:rsid w:val="0070607A"/>
    <w:rsid w:val="00713E14"/>
    <w:rsid w:val="007149F9"/>
    <w:rsid w:val="00733A30"/>
    <w:rsid w:val="00745AEE"/>
    <w:rsid w:val="00750F10"/>
    <w:rsid w:val="007742CA"/>
    <w:rsid w:val="00790D70"/>
    <w:rsid w:val="007A6F1F"/>
    <w:rsid w:val="007D0282"/>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1D32"/>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7578C"/>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E4FD2"/>
    <w:rsid w:val="00EF1932"/>
    <w:rsid w:val="00EF71B6"/>
    <w:rsid w:val="00F02766"/>
    <w:rsid w:val="00F05BD4"/>
    <w:rsid w:val="00F06473"/>
    <w:rsid w:val="00F6155B"/>
    <w:rsid w:val="00F65C19"/>
    <w:rsid w:val="00FC1ADB"/>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79C42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styleId="Revision">
    <w:name w:val="Revision"/>
    <w:hidden/>
    <w:uiPriority w:val="99"/>
    <w:semiHidden/>
    <w:rsid w:val="009C1D3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R16-WRC19-C-0080!A13-A2!MSW-E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6D8CA-4CFC-4E4B-83BC-D409A49BC79C}">
  <ds:schemaRefs>
    <ds:schemaRef ds:uri="http://purl.org/dc/dcmitype/"/>
    <ds:schemaRef ds:uri="http://purl.org/dc/elements/1.1/"/>
    <ds:schemaRef ds:uri="http://schemas.microsoft.com/office/2006/metadata/properties"/>
    <ds:schemaRef ds:uri="996b2e75-67fd-4955-a3b0-5ab9934cb50b"/>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2238948D-2371-4A07-8271-8EAABC75109E}">
  <ds:schemaRefs>
    <ds:schemaRef ds:uri="http://schemas.microsoft.com/sharepoint/v3/contenttype/forms"/>
  </ds:schemaRefs>
</ds:datastoreItem>
</file>

<file path=customXml/itemProps5.xml><?xml version="1.0" encoding="utf-8"?>
<ds:datastoreItem xmlns:ds="http://schemas.openxmlformats.org/officeDocument/2006/customXml" ds:itemID="{0B0D8A26-5780-4667-A8F6-5C82657C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782</Words>
  <Characters>4308</Characters>
  <Application>Microsoft Office Word</Application>
  <DocSecurity>0</DocSecurity>
  <Lines>104</Lines>
  <Paragraphs>48</Paragraphs>
  <ScaleCrop>false</ScaleCrop>
  <HeadingPairs>
    <vt:vector size="2" baseType="variant">
      <vt:variant>
        <vt:lpstr>Title</vt:lpstr>
      </vt:variant>
      <vt:variant>
        <vt:i4>1</vt:i4>
      </vt:variant>
    </vt:vector>
  </HeadingPairs>
  <TitlesOfParts>
    <vt:vector size="1" baseType="lpstr">
      <vt:lpstr>R16-WRC19-C-0080!A13-A2!MSW-E</vt:lpstr>
    </vt:vector>
  </TitlesOfParts>
  <Manager>General Secretariat - Pool</Manager>
  <Company>International Telecommunication Union (ITU)</Company>
  <LinksUpToDate>false</LinksUpToDate>
  <CharactersWithSpaces>5045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R16-WRC19-C-0080!A13-A2!MSW-E</dc:title>
  <dc:subject>World Radiocommunication Conference - 2019</dc:subject>
  <dc:creator>Documents Proposals Manager (DPM)</dc:creator>
  <cp:keywords>DPM_v2019.10.8.1_prod</cp:keywords>
  <dc:description>Uploaded on 2015.07.06</dc:description>
  <cp:lastModifiedBy>English</cp:lastModifiedBy>
  <cp:revision>6</cp:revision>
  <cp:lastPrinted>2019-10-15T11:53:00Z</cp:lastPrinted>
  <dcterms:created xsi:type="dcterms:W3CDTF">2019-10-14T06:40:00Z</dcterms:created>
  <dcterms:modified xsi:type="dcterms:W3CDTF">2019-10-15T11:54:00Z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