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3E1DBC3" w14:textId="77777777" w:rsidTr="00F55E63">
        <w:trPr>
          <w:cantSplit/>
          <w:trHeight w:val="20"/>
        </w:trPr>
        <w:tc>
          <w:tcPr>
            <w:tcW w:w="6619" w:type="dxa"/>
          </w:tcPr>
          <w:p w14:paraId="7ECA8C6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B7A0A17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14648F8" wp14:editId="106A2E8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B8EE0B1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AB8A5A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8B7BB07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078250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34EEEB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629E66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856256" w:rsidRPr="00F545E4" w14:paraId="5DEDAD82" w14:textId="77777777" w:rsidTr="00F55E63">
        <w:trPr>
          <w:cantSplit/>
        </w:trPr>
        <w:tc>
          <w:tcPr>
            <w:tcW w:w="6619" w:type="dxa"/>
          </w:tcPr>
          <w:p w14:paraId="5C306450" w14:textId="77777777" w:rsidR="00856256" w:rsidRPr="00F545E4" w:rsidRDefault="00856256" w:rsidP="00856256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7853FCE" w14:textId="5DD4559C" w:rsidR="00856256" w:rsidRPr="00F545E4" w:rsidRDefault="00856256" w:rsidP="0085625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69059C">
              <w:rPr>
                <w:rFonts w:ascii="Traditional Arabic" w:hAnsi="Traditional Arabic" w:hint="cs"/>
                <w:sz w:val="30"/>
              </w:rPr>
              <w:t>الوثيقة</w:t>
            </w:r>
            <w:proofErr w:type="spellEnd"/>
            <w:r w:rsidRPr="00F55E63">
              <w:rPr>
                <w:rtl/>
              </w:rPr>
              <w:t xml:space="preserve"> </w:t>
            </w:r>
            <w:r>
              <w:rPr>
                <w:rFonts w:ascii="Verdana" w:eastAsia="SimSun" w:hAnsi="Verdana"/>
              </w:rPr>
              <w:t>82</w:t>
            </w:r>
            <w:r w:rsidRPr="0069059C">
              <w:rPr>
                <w:rFonts w:ascii="Verdana" w:eastAsia="SimSun" w:hAnsi="Verdana"/>
              </w:rPr>
              <w:t>-A</w:t>
            </w:r>
          </w:p>
        </w:tc>
      </w:tr>
      <w:tr w:rsidR="00856256" w:rsidRPr="00F545E4" w14:paraId="49F9FE3D" w14:textId="77777777" w:rsidTr="00F55E63">
        <w:trPr>
          <w:cantSplit/>
        </w:trPr>
        <w:tc>
          <w:tcPr>
            <w:tcW w:w="6619" w:type="dxa"/>
          </w:tcPr>
          <w:p w14:paraId="02262EBE" w14:textId="77777777" w:rsidR="00856256" w:rsidRPr="00F545E4" w:rsidRDefault="00856256" w:rsidP="0085625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DDBF2B0" w14:textId="35AFF079" w:rsidR="00856256" w:rsidRPr="00F545E4" w:rsidRDefault="00856256" w:rsidP="0085625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>
              <w:rPr>
                <w:rFonts w:ascii="Times New Roman" w:eastAsia="SimSun" w:hAnsi="Times New Roman"/>
                <w:rtl/>
              </w:rPr>
              <w:t xml:space="preserve"> أكتوبر </w:t>
            </w:r>
            <w:r w:rsidRPr="0069059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4F206D55" w14:textId="77777777" w:rsidTr="00F55E63">
        <w:trPr>
          <w:cantSplit/>
        </w:trPr>
        <w:tc>
          <w:tcPr>
            <w:tcW w:w="6619" w:type="dxa"/>
          </w:tcPr>
          <w:p w14:paraId="169B52C3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FC2CC31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27388E64" w14:textId="77777777" w:rsidTr="00F55E63">
        <w:trPr>
          <w:cantSplit/>
        </w:trPr>
        <w:tc>
          <w:tcPr>
            <w:tcW w:w="9672" w:type="dxa"/>
            <w:gridSpan w:val="2"/>
          </w:tcPr>
          <w:p w14:paraId="2A0F478C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3348AAD" w14:textId="77777777" w:rsidTr="00F55E63">
        <w:trPr>
          <w:cantSplit/>
        </w:trPr>
        <w:tc>
          <w:tcPr>
            <w:tcW w:w="9672" w:type="dxa"/>
            <w:gridSpan w:val="2"/>
          </w:tcPr>
          <w:p w14:paraId="3FBB6593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أستراليا/اليابان</w:t>
            </w:r>
          </w:p>
        </w:tc>
      </w:tr>
      <w:tr w:rsidR="00764079" w14:paraId="0A8D5E9A" w14:textId="77777777" w:rsidTr="00F55E63">
        <w:trPr>
          <w:cantSplit/>
        </w:trPr>
        <w:tc>
          <w:tcPr>
            <w:tcW w:w="9672" w:type="dxa"/>
            <w:gridSpan w:val="2"/>
          </w:tcPr>
          <w:p w14:paraId="61B8D341" w14:textId="35601F71" w:rsidR="00764079" w:rsidRPr="00BD6EF3" w:rsidRDefault="00856256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0E61AD0D" w14:textId="77777777" w:rsidTr="00F55E63">
        <w:trPr>
          <w:cantSplit/>
        </w:trPr>
        <w:tc>
          <w:tcPr>
            <w:tcW w:w="9672" w:type="dxa"/>
            <w:gridSpan w:val="2"/>
          </w:tcPr>
          <w:p w14:paraId="6C72E254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5D3A072" w14:textId="77777777" w:rsidTr="00F55E63">
        <w:trPr>
          <w:cantSplit/>
        </w:trPr>
        <w:tc>
          <w:tcPr>
            <w:tcW w:w="9672" w:type="dxa"/>
            <w:gridSpan w:val="2"/>
          </w:tcPr>
          <w:p w14:paraId="54387B00" w14:textId="2356C340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856256">
              <w:rPr>
                <w:rFonts w:hint="cs"/>
                <w:rtl/>
                <w:lang w:val="en-US"/>
              </w:rPr>
              <w:t xml:space="preserve"> </w:t>
            </w:r>
            <w:r w:rsidR="00856256">
              <w:t>7</w:t>
            </w:r>
            <w:r w:rsidR="00856256" w:rsidRPr="002C2654">
              <w:t>(J)</w:t>
            </w:r>
          </w:p>
        </w:tc>
      </w:tr>
    </w:tbl>
    <w:p w14:paraId="72BEE909" w14:textId="77777777" w:rsidR="001D597A" w:rsidRPr="007E63A1" w:rsidRDefault="00016DBA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</w:t>
      </w:r>
      <w:proofErr w:type="spellStart"/>
      <w:r w:rsidRPr="00723691">
        <w:rPr>
          <w:rFonts w:eastAsia="SimSun" w:hint="cs"/>
          <w:rtl/>
          <w:lang w:eastAsia="zh-CN"/>
        </w:rPr>
        <w:t>الساتلية</w:t>
      </w:r>
      <w:proofErr w:type="spellEnd"/>
      <w:r w:rsidRPr="00723691">
        <w:rPr>
          <w:rFonts w:eastAsia="SimSun" w:hint="cs"/>
          <w:rtl/>
          <w:lang w:eastAsia="zh-CN"/>
        </w:rPr>
        <w:t xml:space="preserve">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</w:t>
      </w:r>
      <w:proofErr w:type="spellStart"/>
      <w:r w:rsidRPr="00723691">
        <w:rPr>
          <w:rFonts w:eastAsia="SimSun" w:hint="cs"/>
          <w:rtl/>
          <w:lang w:eastAsia="zh-CN"/>
        </w:rPr>
        <w:t>السواتل</w:t>
      </w:r>
      <w:proofErr w:type="spellEnd"/>
      <w:r w:rsidRPr="00723691">
        <w:rPr>
          <w:rFonts w:eastAsia="SimSun" w:hint="cs"/>
          <w:rtl/>
          <w:lang w:eastAsia="zh-CN"/>
        </w:rPr>
        <w:t xml:space="preserve"> المستقرة بالنسبة إلى الأرض؛</w:t>
      </w:r>
    </w:p>
    <w:p w14:paraId="20FF043E" w14:textId="518EB474" w:rsidR="002919E1" w:rsidRDefault="00016DBA" w:rsidP="000701BC">
      <w:pPr>
        <w:rPr>
          <w:lang w:bidi="ar"/>
        </w:rPr>
      </w:pPr>
      <w:r w:rsidRPr="002C2654">
        <w:rPr>
          <w:lang w:bidi="ar-EG"/>
        </w:rPr>
        <w:t>7</w:t>
      </w:r>
      <w:r w:rsidR="00856256">
        <w:rPr>
          <w:lang w:bidi="ar-EG"/>
        </w:rPr>
        <w:t>(J)</w:t>
      </w:r>
      <w:r w:rsidRPr="002C2654">
        <w:rPr>
          <w:rFonts w:hint="cs"/>
          <w:rtl/>
        </w:rPr>
        <w:tab/>
      </w:r>
      <w:r w:rsidRPr="00C72441">
        <w:rPr>
          <w:rFonts w:hint="cs"/>
          <w:rtl/>
          <w:lang w:bidi="ar"/>
        </w:rPr>
        <w:t xml:space="preserve">المسألة </w:t>
      </w:r>
      <w:r w:rsidRPr="00C72441">
        <w:rPr>
          <w:rFonts w:hint="cs"/>
          <w:lang w:bidi="ar-EG"/>
        </w:rPr>
        <w:t>J</w:t>
      </w:r>
      <w:r w:rsidRPr="00C72441">
        <w:rPr>
          <w:rFonts w:hint="cs"/>
          <w:rtl/>
          <w:lang w:bidi="ar"/>
        </w:rPr>
        <w:t xml:space="preserve"> - حد كثافة تدفق القدرة </w:t>
      </w:r>
      <w:r w:rsidRPr="00C72441">
        <w:rPr>
          <w:lang w:bidi="ar-EG"/>
        </w:rPr>
        <w:t>(</w:t>
      </w:r>
      <w:proofErr w:type="spellStart"/>
      <w:r w:rsidRPr="00C72441">
        <w:rPr>
          <w:lang w:bidi="ar-EG"/>
        </w:rPr>
        <w:t>pfd</w:t>
      </w:r>
      <w:proofErr w:type="spellEnd"/>
      <w:r w:rsidRPr="00C72441">
        <w:rPr>
          <w:lang w:bidi="ar-EG"/>
        </w:rPr>
        <w:t>)</w:t>
      </w:r>
      <w:r w:rsidRPr="00C72441">
        <w:rPr>
          <w:rFonts w:hint="cs"/>
          <w:rtl/>
        </w:rPr>
        <w:t xml:space="preserve"> الوارد في القسم </w:t>
      </w:r>
      <w:r w:rsidRPr="00C72441">
        <w:rPr>
          <w:lang w:bidi="ar-EG"/>
        </w:rPr>
        <w:t>1</w:t>
      </w:r>
      <w:r w:rsidRPr="00C72441">
        <w:rPr>
          <w:rFonts w:hint="cs"/>
          <w:rtl/>
          <w:lang w:bidi="ar-EG"/>
        </w:rPr>
        <w:t xml:space="preserve"> من الملحق </w:t>
      </w:r>
      <w:r w:rsidRPr="00C72441">
        <w:rPr>
          <w:lang w:bidi="ar-EG"/>
        </w:rPr>
        <w:t>1</w:t>
      </w:r>
      <w:r w:rsidRPr="00C72441">
        <w:rPr>
          <w:rFonts w:hint="cs"/>
          <w:rtl/>
          <w:lang w:bidi="ar-EG"/>
        </w:rPr>
        <w:t xml:space="preserve"> </w:t>
      </w:r>
      <w:r w:rsidRPr="00C72441">
        <w:rPr>
          <w:rFonts w:hint="cs"/>
          <w:rtl/>
          <w:lang w:bidi="ar"/>
        </w:rPr>
        <w:t xml:space="preserve">بالتذييل </w:t>
      </w:r>
      <w:r w:rsidRPr="00C72441">
        <w:rPr>
          <w:rFonts w:hint="cs"/>
          <w:b/>
          <w:bCs/>
          <w:lang w:bidi="ar-EG"/>
        </w:rPr>
        <w:t>30</w:t>
      </w:r>
      <w:r w:rsidRPr="00C72441">
        <w:rPr>
          <w:rFonts w:hint="cs"/>
          <w:rtl/>
          <w:lang w:bidi="ar"/>
        </w:rPr>
        <w:t xml:space="preserve"> للوائح الراديو</w:t>
      </w:r>
    </w:p>
    <w:p w14:paraId="4E1AC6A3" w14:textId="3F78E2FE" w:rsidR="001E135A" w:rsidRDefault="001E135A" w:rsidP="001E135A">
      <w:pPr>
        <w:pStyle w:val="Headingb"/>
        <w:rPr>
          <w:rFonts w:eastAsia="SimSun"/>
        </w:rPr>
      </w:pPr>
      <w:r>
        <w:rPr>
          <w:rFonts w:eastAsia="SimSun" w:hint="cs"/>
          <w:rtl/>
        </w:rPr>
        <w:t>مقدمة</w:t>
      </w:r>
    </w:p>
    <w:p w14:paraId="40753901" w14:textId="77777777" w:rsidR="001E135A" w:rsidRPr="00D1365E" w:rsidRDefault="001E135A" w:rsidP="001E135A">
      <w:pPr>
        <w:rPr>
          <w:rtl/>
          <w:lang w:bidi="ar-EG"/>
        </w:rPr>
      </w:pPr>
      <w:r w:rsidRPr="00D1365E">
        <w:rPr>
          <w:rFonts w:hint="cs"/>
          <w:rtl/>
          <w:lang w:bidi="ar-EG"/>
        </w:rPr>
        <w:t xml:space="preserve">على الرغم من اعتماد المؤتمر </w:t>
      </w:r>
      <w:r w:rsidRPr="00D1365E">
        <w:rPr>
          <w:lang w:bidi="ar-EG"/>
        </w:rPr>
        <w:t>WRC</w:t>
      </w:r>
      <w:r w:rsidRPr="00D1365E">
        <w:rPr>
          <w:lang w:bidi="ar-EG"/>
        </w:rPr>
        <w:noBreakHyphen/>
        <w:t>2000</w:t>
      </w:r>
      <w:r w:rsidRPr="00D1365E">
        <w:rPr>
          <w:rFonts w:hint="cs"/>
          <w:rtl/>
          <w:lang w:bidi="ar-EG"/>
        </w:rPr>
        <w:t xml:space="preserve"> خطة منقحة خصصت عموماً </w:t>
      </w:r>
      <w:r w:rsidRPr="00D1365E">
        <w:rPr>
          <w:lang w:bidi="ar-EG"/>
        </w:rPr>
        <w:t>10</w:t>
      </w:r>
      <w:r w:rsidRPr="00D1365E">
        <w:rPr>
          <w:rFonts w:hint="cs"/>
          <w:rtl/>
          <w:lang w:bidi="ar-EG"/>
        </w:rPr>
        <w:t xml:space="preserve"> قنوات لكل إدارة في الإقليم </w:t>
      </w:r>
      <w:r w:rsidRPr="00D1365E">
        <w:rPr>
          <w:lang w:bidi="ar-EG"/>
        </w:rPr>
        <w:t>1</w:t>
      </w:r>
      <w:r w:rsidRPr="00D1365E">
        <w:rPr>
          <w:rFonts w:hint="cs"/>
          <w:rtl/>
          <w:lang w:bidi="ar-EG"/>
        </w:rPr>
        <w:t xml:space="preserve"> و</w:t>
      </w:r>
      <w:r w:rsidRPr="00D1365E">
        <w:rPr>
          <w:lang w:bidi="ar-EG"/>
        </w:rPr>
        <w:t>12</w:t>
      </w:r>
      <w:r w:rsidRPr="00D1365E">
        <w:rPr>
          <w:rFonts w:hint="cs"/>
          <w:rtl/>
          <w:lang w:bidi="ar-EG"/>
        </w:rPr>
        <w:t xml:space="preserve"> قناة لكل إدارة في</w:t>
      </w:r>
      <w:r w:rsidRPr="00D1365E">
        <w:rPr>
          <w:rFonts w:hint="eastAsia"/>
          <w:rtl/>
          <w:lang w:bidi="ar-EG"/>
        </w:rPr>
        <w:t> </w:t>
      </w:r>
      <w:r w:rsidRPr="00D1365E">
        <w:rPr>
          <w:rFonts w:hint="cs"/>
          <w:rtl/>
          <w:lang w:bidi="ar-EG"/>
        </w:rPr>
        <w:t>الإقليم</w:t>
      </w:r>
      <w:r w:rsidRPr="00D1365E">
        <w:rPr>
          <w:rFonts w:hint="eastAsia"/>
          <w:rtl/>
          <w:lang w:bidi="ar-EG"/>
        </w:rPr>
        <w:t> </w:t>
      </w:r>
      <w:r w:rsidRPr="00D1365E">
        <w:rPr>
          <w:lang w:bidi="ar-EG"/>
        </w:rPr>
        <w:t>3</w:t>
      </w:r>
      <w:r w:rsidRPr="00D1365E">
        <w:rPr>
          <w:rFonts w:hint="cs"/>
          <w:rtl/>
          <w:lang w:bidi="ar-EG"/>
        </w:rPr>
        <w:t>، فربما لا</w:t>
      </w:r>
      <w:r w:rsidRPr="00D1365E">
        <w:rPr>
          <w:rFonts w:hint="eastAsia"/>
          <w:rtl/>
          <w:lang w:bidi="ar-EG"/>
        </w:rPr>
        <w:t> </w:t>
      </w:r>
      <w:r w:rsidRPr="00D1365E">
        <w:rPr>
          <w:rFonts w:hint="cs"/>
          <w:rtl/>
          <w:lang w:bidi="ar-EG"/>
        </w:rPr>
        <w:t>تكفي هذه السعة من القنوات لتلبية الاحتياجات الوطنية من الطيف للتلفزيون فائق الوضوح أو أي جيل مستقبلي من هذا التلفزيون.</w:t>
      </w:r>
    </w:p>
    <w:p w14:paraId="6C18C04A" w14:textId="4AA74786" w:rsidR="001E135A" w:rsidRPr="00D1365E" w:rsidRDefault="001E135A" w:rsidP="001E135A">
      <w:pPr>
        <w:rPr>
          <w:rtl/>
          <w:lang w:bidi="ar-EG"/>
        </w:rPr>
      </w:pPr>
      <w:r w:rsidRPr="00D1365E">
        <w:rPr>
          <w:rFonts w:hint="cs"/>
          <w:rtl/>
          <w:lang w:bidi="ar-EG"/>
        </w:rPr>
        <w:t xml:space="preserve">ولتوفير التطبيقات المتقدمة للخدمة الإذاعية </w:t>
      </w:r>
      <w:proofErr w:type="spellStart"/>
      <w:r w:rsidRPr="00D1365E">
        <w:rPr>
          <w:rFonts w:hint="cs"/>
          <w:rtl/>
          <w:lang w:bidi="ar-EG"/>
        </w:rPr>
        <w:t>الساتلية</w:t>
      </w:r>
      <w:proofErr w:type="spellEnd"/>
      <w:r w:rsidRPr="00D1365E">
        <w:rPr>
          <w:rFonts w:hint="cs"/>
          <w:rtl/>
          <w:lang w:bidi="ar-EG"/>
        </w:rPr>
        <w:t xml:space="preserve"> </w:t>
      </w:r>
      <w:r w:rsidRPr="00D1365E">
        <w:rPr>
          <w:lang w:bidi="ar-EG"/>
        </w:rPr>
        <w:t>(BSS)</w:t>
      </w:r>
      <w:r w:rsidRPr="00D1365E">
        <w:rPr>
          <w:rFonts w:hint="cs"/>
          <w:rtl/>
          <w:lang w:bidi="ar-EG"/>
        </w:rPr>
        <w:t xml:space="preserve"> مثل التلفزيون فائق الوضوح (انظر التوصية </w:t>
      </w:r>
      <w:r w:rsidRPr="001E135A">
        <w:rPr>
          <w:szCs w:val="24"/>
        </w:rPr>
        <w:t>ITU</w:t>
      </w:r>
      <w:r w:rsidRPr="001E135A">
        <w:rPr>
          <w:szCs w:val="24"/>
        </w:rPr>
        <w:noBreakHyphen/>
        <w:t>R BT.2020</w:t>
      </w:r>
      <w:r w:rsidRPr="00D1365E">
        <w:rPr>
          <w:rFonts w:hint="cs"/>
          <w:rtl/>
          <w:lang w:bidi="ar-EG"/>
        </w:rPr>
        <w:t>)، من</w:t>
      </w:r>
      <w:r>
        <w:rPr>
          <w:rFonts w:hint="eastAsia"/>
          <w:lang w:bidi="ar-EG"/>
        </w:rPr>
        <w:t> </w:t>
      </w:r>
      <w:r w:rsidRPr="00D1365E">
        <w:rPr>
          <w:rFonts w:hint="cs"/>
          <w:rtl/>
          <w:lang w:bidi="ar-EG"/>
        </w:rPr>
        <w:t>الضروري استخدام مخطط تشكيل بكفاءة عالية في</w:t>
      </w:r>
      <w:r w:rsidRPr="00D1365E">
        <w:rPr>
          <w:rFonts w:hint="eastAsia"/>
          <w:rtl/>
          <w:lang w:bidi="ar-EG"/>
        </w:rPr>
        <w:t> </w:t>
      </w:r>
      <w:r w:rsidRPr="00D1365E">
        <w:rPr>
          <w:rFonts w:hint="cs"/>
          <w:rtl/>
          <w:lang w:bidi="ar-EG"/>
        </w:rPr>
        <w:t>استخدام الطيف (</w:t>
      </w:r>
      <w:r w:rsidRPr="00D1365E">
        <w:rPr>
          <w:lang w:bidi="ar-EG"/>
        </w:rPr>
        <w:t>APSK</w:t>
      </w:r>
      <w:r w:rsidRPr="00D1365E">
        <w:rPr>
          <w:rFonts w:hint="cs"/>
          <w:rtl/>
          <w:lang w:bidi="ar-EG"/>
        </w:rPr>
        <w:t xml:space="preserve"> مثلاً) وقيمة عالية لنسبة موجة حاملة إلى ضوضاء</w:t>
      </w:r>
      <w:r w:rsidRPr="00D1365E">
        <w:rPr>
          <w:rFonts w:hint="eastAsia"/>
          <w:rtl/>
          <w:lang w:bidi="ar-EG"/>
        </w:rPr>
        <w:t> </w:t>
      </w:r>
      <w:r w:rsidRPr="00D1365E">
        <w:rPr>
          <w:lang w:bidi="ar-EG"/>
        </w:rPr>
        <w:t>(</w:t>
      </w:r>
      <w:r w:rsidRPr="00D1365E">
        <w:rPr>
          <w:i/>
          <w:iCs/>
          <w:lang w:bidi="ar-EG"/>
        </w:rPr>
        <w:t>C/</w:t>
      </w:r>
      <w:proofErr w:type="gramStart"/>
      <w:r w:rsidRPr="00D1365E">
        <w:rPr>
          <w:i/>
          <w:iCs/>
          <w:lang w:bidi="ar-EG"/>
        </w:rPr>
        <w:t>N</w:t>
      </w:r>
      <w:r w:rsidRPr="00D1365E">
        <w:rPr>
          <w:i/>
          <w:iCs/>
          <w:sz w:val="16"/>
          <w:szCs w:val="24"/>
          <w:lang w:bidi="ar-EG"/>
        </w:rPr>
        <w:t> </w:t>
      </w:r>
      <w:r w:rsidRPr="00D1365E">
        <w:rPr>
          <w:lang w:bidi="ar-EG"/>
        </w:rPr>
        <w:t>)</w:t>
      </w:r>
      <w:proofErr w:type="gramEnd"/>
      <w:r w:rsidRPr="00D1365E">
        <w:rPr>
          <w:rFonts w:hint="cs"/>
          <w:rtl/>
          <w:lang w:bidi="ar-EG"/>
        </w:rPr>
        <w:t xml:space="preserve"> المطلوبة (انظر التوصية </w:t>
      </w:r>
      <w:r w:rsidRPr="001E135A">
        <w:rPr>
          <w:spacing w:val="-3"/>
          <w:lang w:eastAsia="ja-JP"/>
        </w:rPr>
        <w:t>ITU-R BO.2098</w:t>
      </w:r>
      <w:r w:rsidRPr="00D1365E">
        <w:rPr>
          <w:rFonts w:hint="cs"/>
          <w:rtl/>
          <w:lang w:bidi="ar-EG"/>
        </w:rPr>
        <w:t xml:space="preserve"> والتقرير</w:t>
      </w:r>
      <w:r w:rsidRPr="00D1365E">
        <w:rPr>
          <w:rFonts w:hint="eastAsia"/>
          <w:rtl/>
          <w:lang w:bidi="ar-EG"/>
        </w:rPr>
        <w:t> </w:t>
      </w:r>
      <w:r w:rsidRPr="001E135A">
        <w:rPr>
          <w:spacing w:val="-3"/>
          <w:lang w:eastAsia="ja-JP"/>
        </w:rPr>
        <w:t>ITU-R BO.2397</w:t>
      </w:r>
      <w:r w:rsidRPr="00D1365E">
        <w:rPr>
          <w:rFonts w:hint="cs"/>
          <w:rtl/>
          <w:lang w:bidi="ar-EG"/>
        </w:rPr>
        <w:t>) وفي هذه الحالة يحتاج الأمر إلى قيمة للكثافة</w:t>
      </w:r>
      <w:r w:rsidRPr="00D1365E">
        <w:rPr>
          <w:rFonts w:hint="eastAsia"/>
          <w:rtl/>
          <w:lang w:bidi="ar-EG"/>
        </w:rPr>
        <w:t> </w:t>
      </w:r>
      <w:proofErr w:type="spellStart"/>
      <w:r w:rsidRPr="00D1365E">
        <w:rPr>
          <w:lang w:bidi="ar-EG"/>
        </w:rPr>
        <w:t>pfd</w:t>
      </w:r>
      <w:proofErr w:type="spellEnd"/>
      <w:r w:rsidRPr="00D1365E">
        <w:rPr>
          <w:rFonts w:hint="cs"/>
          <w:rtl/>
          <w:lang w:bidi="ar-EG"/>
        </w:rPr>
        <w:t xml:space="preserve"> تتجاوز الحد البالغ</w:t>
      </w:r>
      <w:r w:rsidRPr="00D1365E">
        <w:rPr>
          <w:rFonts w:hint="eastAsia"/>
          <w:rtl/>
          <w:lang w:bidi="ar-EG"/>
        </w:rPr>
        <w:t> </w:t>
      </w:r>
      <w:r w:rsidRPr="00D1365E">
        <w:rPr>
          <w:spacing w:val="-3"/>
          <w:lang w:eastAsia="ja-JP"/>
        </w:rPr>
        <w:t>dB(W/(m</w:t>
      </w:r>
      <w:r w:rsidRPr="00D1365E">
        <w:rPr>
          <w:spacing w:val="-3"/>
          <w:vertAlign w:val="superscript"/>
          <w:lang w:eastAsia="ja-JP"/>
        </w:rPr>
        <w:t>2</w:t>
      </w:r>
      <w:r w:rsidRPr="00D1365E">
        <w:rPr>
          <w:spacing w:val="-3"/>
          <w:lang w:eastAsia="ja-JP"/>
        </w:rPr>
        <w:t xml:space="preserve"> · 27 MHz))</w:t>
      </w:r>
      <w:r w:rsidRPr="00D1365E">
        <w:rPr>
          <w:lang w:bidi="ar-EG"/>
        </w:rPr>
        <w:t xml:space="preserve"> 103,6</w:t>
      </w:r>
      <w:r w:rsidRPr="00D1365E">
        <w:rPr>
          <w:spacing w:val="-3"/>
          <w:lang w:eastAsia="ja-JP"/>
        </w:rPr>
        <w:t>−</w:t>
      </w:r>
      <w:r w:rsidRPr="00D1365E">
        <w:rPr>
          <w:rFonts w:hint="cs"/>
          <w:spacing w:val="-3"/>
          <w:rtl/>
          <w:lang w:eastAsia="ja-JP"/>
        </w:rPr>
        <w:t xml:space="preserve"> </w:t>
      </w:r>
      <w:r w:rsidRPr="00D1365E">
        <w:rPr>
          <w:rFonts w:hint="cs"/>
          <w:spacing w:val="-3"/>
          <w:rtl/>
          <w:lang w:eastAsia="ja-JP" w:bidi="ar-EG"/>
        </w:rPr>
        <w:t>ضمن منطقة الخدمة، وذلك لتحقيق تيسر الخدمة نفسه المتحقق في</w:t>
      </w:r>
      <w:r w:rsidRPr="00D1365E">
        <w:rPr>
          <w:rFonts w:hint="eastAsia"/>
          <w:spacing w:val="-3"/>
          <w:rtl/>
          <w:lang w:eastAsia="ja-JP" w:bidi="ar-EG"/>
        </w:rPr>
        <w:t> </w:t>
      </w:r>
      <w:r w:rsidRPr="00D1365E">
        <w:rPr>
          <w:rFonts w:hint="cs"/>
          <w:spacing w:val="-3"/>
          <w:rtl/>
          <w:lang w:eastAsia="ja-JP" w:bidi="ar-EG"/>
        </w:rPr>
        <w:t xml:space="preserve">الخدمات الإذاعية </w:t>
      </w:r>
      <w:proofErr w:type="spellStart"/>
      <w:r w:rsidRPr="00D1365E">
        <w:rPr>
          <w:rFonts w:hint="cs"/>
          <w:spacing w:val="-3"/>
          <w:rtl/>
          <w:lang w:eastAsia="ja-JP" w:bidi="ar-EG"/>
        </w:rPr>
        <w:t>الساتلية</w:t>
      </w:r>
      <w:proofErr w:type="spellEnd"/>
      <w:r w:rsidRPr="00D1365E">
        <w:rPr>
          <w:rFonts w:hint="eastAsia"/>
          <w:spacing w:val="-3"/>
          <w:rtl/>
          <w:lang w:eastAsia="ja-JP" w:bidi="ar-EG"/>
        </w:rPr>
        <w:t> </w:t>
      </w:r>
      <w:r w:rsidRPr="00D1365E">
        <w:rPr>
          <w:rFonts w:hint="cs"/>
          <w:spacing w:val="-3"/>
          <w:rtl/>
          <w:lang w:eastAsia="ja-JP" w:bidi="ar-EG"/>
        </w:rPr>
        <w:t>التقليدية.</w:t>
      </w:r>
    </w:p>
    <w:p w14:paraId="1BA8F50E" w14:textId="0BD37B1D" w:rsidR="001E135A" w:rsidRPr="001E135A" w:rsidRDefault="00AF554E" w:rsidP="001E135A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تؤيد إدارات اليابان وأستراليا الأسلوب </w:t>
      </w:r>
      <w:r>
        <w:rPr>
          <w:rFonts w:eastAsia="SimSun"/>
          <w:lang w:bidi="ar-EG"/>
        </w:rPr>
        <w:t>J1</w:t>
      </w:r>
      <w:r>
        <w:rPr>
          <w:rFonts w:eastAsia="SimSun" w:hint="cs"/>
          <w:rtl/>
          <w:lang w:bidi="ar-EG"/>
        </w:rPr>
        <w:t xml:space="preserve"> (حد تجاوز كثافة تدفق القدرة </w:t>
      </w:r>
      <w:r w:rsidR="004F2C70">
        <w:rPr>
          <w:rFonts w:eastAsia="SimSun"/>
          <w:lang w:bidi="ar-EG"/>
        </w:rPr>
        <w:t>(</w:t>
      </w:r>
      <w:proofErr w:type="spellStart"/>
      <w:r w:rsidR="004F2C70">
        <w:rPr>
          <w:rFonts w:eastAsia="SimSun"/>
          <w:lang w:bidi="ar-EG"/>
        </w:rPr>
        <w:t>pfd</w:t>
      </w:r>
      <w:proofErr w:type="spellEnd"/>
      <w:r w:rsidR="004F2C70">
        <w:rPr>
          <w:rFonts w:eastAsia="SimSun"/>
          <w:lang w:bidi="ar-EG"/>
        </w:rPr>
        <w:t>)</w:t>
      </w:r>
      <w:r>
        <w:rPr>
          <w:rFonts w:eastAsia="SimSun" w:hint="cs"/>
          <w:rtl/>
          <w:lang w:bidi="ar-EG"/>
        </w:rPr>
        <w:t xml:space="preserve"> لشبكات الخدمة الإذاعية </w:t>
      </w:r>
      <w:proofErr w:type="spellStart"/>
      <w:r>
        <w:rPr>
          <w:rFonts w:eastAsia="SimSun" w:hint="cs"/>
          <w:rtl/>
          <w:lang w:bidi="ar-EG"/>
        </w:rPr>
        <w:t>الساتلية</w:t>
      </w:r>
      <w:proofErr w:type="spellEnd"/>
      <w:r>
        <w:rPr>
          <w:rFonts w:eastAsia="SimSun" w:hint="cs"/>
          <w:rtl/>
          <w:lang w:bidi="ar-EG"/>
        </w:rPr>
        <w:t xml:space="preserve"> في القائمة).</w:t>
      </w:r>
    </w:p>
    <w:p w14:paraId="645E8875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8ED8AC4" w14:textId="77777777" w:rsidR="006419E8" w:rsidRPr="005F2D8A" w:rsidRDefault="00016DBA" w:rsidP="006419E8">
      <w:pPr>
        <w:pStyle w:val="AppendixNo"/>
        <w:rPr>
          <w:szCs w:val="28"/>
          <w:rtl/>
        </w:rPr>
      </w:pPr>
      <w:r w:rsidRPr="005F2D8A">
        <w:rPr>
          <w:rtl/>
        </w:rPr>
        <w:lastRenderedPageBreak/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2BF16ED3" w14:textId="77777777" w:rsidR="006419E8" w:rsidRPr="00BB118A" w:rsidRDefault="00016DBA" w:rsidP="006419E8">
      <w:pPr>
        <w:pStyle w:val="Appendixtitle"/>
        <w:rPr>
          <w:sz w:val="16"/>
          <w:rtl/>
          <w:lang w:bidi="ar-EG"/>
        </w:rPr>
      </w:pPr>
      <w:bookmarkStart w:id="0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>
        <w:rPr>
          <w:rStyle w:val="FootnoteReference"/>
          <w:rtl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</w:t>
      </w:r>
      <w:proofErr w:type="spellStart"/>
      <w:r w:rsidRPr="00BB118A"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proofErr w:type="gramStart"/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1E135A">
        <w:rPr>
          <w:rFonts w:ascii="Times New Roman" w:hAnsi="Times New Roman"/>
          <w:b w:val="0"/>
          <w:bCs w:val="0"/>
          <w:sz w:val="16"/>
          <w:szCs w:val="16"/>
          <w:lang w:bidi="ar-EG"/>
        </w:rPr>
        <w:t>(</w:t>
      </w:r>
      <w:proofErr w:type="gramEnd"/>
      <w:r w:rsidRPr="001E135A">
        <w:rPr>
          <w:rFonts w:ascii="Times New Roman" w:hAnsi="Times New Roman"/>
          <w:b w:val="0"/>
          <w:bCs w:val="0"/>
          <w:sz w:val="16"/>
          <w:szCs w:val="16"/>
          <w:lang w:bidi="ar-EG"/>
        </w:rPr>
        <w:t>WRC-03)</w:t>
      </w:r>
      <w:bookmarkEnd w:id="0"/>
      <w:r w:rsidRPr="001E135A">
        <w:rPr>
          <w:rFonts w:ascii="Times New Roman" w:hAnsi="Times New Roman"/>
          <w:sz w:val="16"/>
          <w:szCs w:val="16"/>
          <w:lang w:bidi="ar-EG"/>
        </w:rPr>
        <w:t>   </w:t>
      </w:r>
      <w:r w:rsidRPr="001E135A">
        <w:rPr>
          <w:rFonts w:ascii="Times New Roman" w:hAnsi="Times New Roman"/>
          <w:sz w:val="16"/>
          <w:lang w:bidi="ar-EG"/>
        </w:rPr>
        <w:t>  </w:t>
      </w:r>
    </w:p>
    <w:p w14:paraId="68356486" w14:textId="77777777" w:rsidR="006419E8" w:rsidRPr="001E6CCC" w:rsidRDefault="00016DBA" w:rsidP="006419E8">
      <w:pPr>
        <w:pStyle w:val="AnnexNo"/>
        <w:rPr>
          <w:rtl/>
        </w:rPr>
      </w:pPr>
      <w:r w:rsidRPr="001E6CCC">
        <w:rPr>
          <w:rtl/>
        </w:rPr>
        <w:t>الملح</w:t>
      </w:r>
      <w:r>
        <w:rPr>
          <w:rtl/>
        </w:rPr>
        <w:t>ـ</w:t>
      </w:r>
      <w:r w:rsidRPr="001E6CCC">
        <w:rPr>
          <w:rtl/>
        </w:rPr>
        <w:t xml:space="preserve">ق </w:t>
      </w:r>
      <w:r w:rsidRPr="001E6CCC">
        <w:t>1</w:t>
      </w:r>
      <w:r w:rsidRPr="00E27892">
        <w:rPr>
          <w:rtl/>
        </w:rPr>
        <w:t> </w:t>
      </w:r>
      <w:r w:rsidRPr="00C40A0F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C40A0F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C40A0F">
        <w:rPr>
          <w:sz w:val="16"/>
          <w:szCs w:val="16"/>
        </w:rPr>
        <w:t>)    </w:t>
      </w:r>
    </w:p>
    <w:p w14:paraId="635E5AA5" w14:textId="77777777" w:rsidR="006419E8" w:rsidRDefault="00016DBA" w:rsidP="006419E8">
      <w:pPr>
        <w:pStyle w:val="Annextitle"/>
        <w:keepLines/>
        <w:spacing w:after="120"/>
        <w:rPr>
          <w:sz w:val="22"/>
          <w:szCs w:val="28"/>
          <w:rtl/>
          <w:lang w:bidi="ar-EG"/>
        </w:rPr>
      </w:pPr>
      <w:bookmarkStart w:id="1" w:name="_Toc335225811"/>
      <w:r w:rsidRPr="00903D17">
        <w:rPr>
          <w:rFonts w:hint="cs"/>
          <w:spacing w:val="-2"/>
          <w:rtl/>
          <w:lang w:bidi="ar-EG"/>
        </w:rPr>
        <w:t xml:space="preserve">الحدود المرعية لتحديد ما إذا كانت خدمة تابعة لإحدى الإدارات متأثرة </w:t>
      </w:r>
      <w:r w:rsidRPr="00903D17">
        <w:rPr>
          <w:spacing w:val="-2"/>
          <w:rtl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من تعديل مقترح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خطة الإقليم </w:t>
      </w:r>
      <w:r w:rsidRPr="00903D17">
        <w:rPr>
          <w:spacing w:val="4"/>
          <w:lang w:bidi="ar-EG"/>
        </w:rPr>
        <w:t>2</w:t>
      </w:r>
      <w:r w:rsidRPr="00903D17">
        <w:rPr>
          <w:rFonts w:hint="cs"/>
          <w:spacing w:val="4"/>
          <w:rtl/>
          <w:lang w:bidi="ar-EG"/>
        </w:rPr>
        <w:t xml:space="preserve"> أو من تخصيص مقترح جديد </w:t>
      </w:r>
      <w:r>
        <w:rPr>
          <w:spacing w:val="4"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أو معدَّل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قائمة الإقليمين </w:t>
      </w:r>
      <w:r w:rsidRPr="00903D17">
        <w:rPr>
          <w:spacing w:val="4"/>
          <w:lang w:bidi="ar-EG"/>
        </w:rPr>
        <w:t>1</w:t>
      </w:r>
      <w:r w:rsidRPr="00903D17">
        <w:rPr>
          <w:rFonts w:hint="cs"/>
          <w:spacing w:val="4"/>
          <w:rtl/>
          <w:lang w:bidi="ar-EG"/>
        </w:rPr>
        <w:t xml:space="preserve"> و</w:t>
      </w:r>
      <w:r w:rsidRPr="00903D17">
        <w:rPr>
          <w:spacing w:val="4"/>
          <w:lang w:bidi="ar-EG"/>
        </w:rPr>
        <w:t>3</w:t>
      </w:r>
      <w:r w:rsidRPr="00903D17">
        <w:rPr>
          <w:rFonts w:hint="cs"/>
          <w:spacing w:val="4"/>
          <w:rtl/>
          <w:lang w:bidi="ar-EG"/>
        </w:rPr>
        <w:t xml:space="preserve"> أو عند الحاجة </w:t>
      </w:r>
      <w:r w:rsidRPr="00903D17">
        <w:rPr>
          <w:spacing w:val="4"/>
          <w:rtl/>
          <w:lang w:bidi="ar-EG"/>
        </w:rPr>
        <w:br/>
      </w:r>
      <w:r w:rsidRPr="00903D17">
        <w:rPr>
          <w:rFonts w:hint="cs"/>
          <w:spacing w:val="-2"/>
          <w:rtl/>
          <w:lang w:bidi="ar-EG"/>
        </w:rPr>
        <w:t>إلى التماس موافقة أي إدارة أخرى بموجب هذا التذييل</w:t>
      </w:r>
      <w:r w:rsidRPr="00843DFE">
        <w:rPr>
          <w:rStyle w:val="FootnoteReference"/>
          <w:b w:val="0"/>
          <w:bCs w:val="0"/>
          <w:rtl/>
          <w:lang w:bidi="ar-EG"/>
        </w:rPr>
        <w:footnoteReference w:customMarkFollows="1" w:id="3"/>
        <w:t>25</w:t>
      </w:r>
      <w:bookmarkEnd w:id="1"/>
    </w:p>
    <w:p w14:paraId="35C85059" w14:textId="77777777" w:rsidR="0055193B" w:rsidRDefault="00016DBA">
      <w:pPr>
        <w:pStyle w:val="Proposal"/>
      </w:pPr>
      <w:r>
        <w:t>MOD</w:t>
      </w:r>
      <w:r>
        <w:tab/>
        <w:t>AUS/J/82/1</w:t>
      </w:r>
      <w:r>
        <w:rPr>
          <w:vanish/>
          <w:color w:val="7F7F7F" w:themeColor="text1" w:themeTint="80"/>
          <w:vertAlign w:val="superscript"/>
        </w:rPr>
        <w:t>#50131</w:t>
      </w:r>
    </w:p>
    <w:p w14:paraId="60BF2917" w14:textId="77777777" w:rsidR="00824978" w:rsidRPr="00A80BF0" w:rsidRDefault="00016DBA" w:rsidP="00824978">
      <w:pPr>
        <w:pStyle w:val="Heading1"/>
        <w:spacing w:before="360"/>
        <w:rPr>
          <w:sz w:val="20"/>
        </w:rPr>
      </w:pPr>
      <w:bookmarkStart w:id="2" w:name="_Toc528079240"/>
      <w:bookmarkStart w:id="3" w:name="_Toc529456305"/>
      <w:bookmarkStart w:id="4" w:name="_Toc4601290"/>
      <w:r w:rsidRPr="00A80BF0">
        <w:t>1</w:t>
      </w:r>
      <w:r w:rsidRPr="00A80BF0">
        <w:rPr>
          <w:sz w:val="20"/>
          <w:rtl/>
        </w:rPr>
        <w:tab/>
      </w:r>
      <w:r w:rsidRPr="00A80BF0">
        <w:rPr>
          <w:spacing w:val="-4"/>
          <w:rtl/>
        </w:rPr>
        <w:t>الحدود التي تنطبق على التداخل المسبب لتخصيصات التردد المطابقة لخطة الإقليمين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</w:rPr>
        <w:t>1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  <w:rtl/>
        </w:rPr>
        <w:t>و</w:t>
      </w:r>
      <w:r w:rsidRPr="00A80BF0">
        <w:rPr>
          <w:spacing w:val="-4"/>
        </w:rPr>
        <w:t>3</w:t>
      </w:r>
      <w:r w:rsidRPr="00A80BF0">
        <w:rPr>
          <w:rtl/>
        </w:rPr>
        <w:t xml:space="preserve"> </w:t>
      </w:r>
      <w:r w:rsidRPr="00A80BF0">
        <w:rPr>
          <w:spacing w:val="-4"/>
          <w:rtl/>
        </w:rPr>
        <w:t xml:space="preserve">أو لقائمة الإقليمين </w:t>
      </w:r>
      <w:r w:rsidRPr="00A80BF0">
        <w:rPr>
          <w:spacing w:val="-4"/>
        </w:rPr>
        <w:t>1</w:t>
      </w:r>
      <w:r w:rsidRPr="00A80BF0">
        <w:rPr>
          <w:spacing w:val="-4"/>
          <w:rtl/>
        </w:rPr>
        <w:t xml:space="preserve"> و</w:t>
      </w:r>
      <w:r w:rsidRPr="00A80BF0">
        <w:rPr>
          <w:spacing w:val="-4"/>
        </w:rPr>
        <w:t>3</w:t>
      </w:r>
      <w:r w:rsidRPr="00A80BF0">
        <w:rPr>
          <w:spacing w:val="-4"/>
          <w:rtl/>
        </w:rPr>
        <w:t xml:space="preserve"> أو المسبب لتخصيصات جديدة أو معدلة في قائمة الإقليمين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</w:rPr>
        <w:t>1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  <w:rtl/>
        </w:rPr>
        <w:t>و</w:t>
      </w:r>
      <w:r w:rsidRPr="00A80BF0">
        <w:rPr>
          <w:spacing w:val="-4"/>
        </w:rPr>
        <w:t>3</w:t>
      </w:r>
      <w:bookmarkEnd w:id="2"/>
      <w:bookmarkEnd w:id="3"/>
      <w:bookmarkEnd w:id="4"/>
    </w:p>
    <w:p w14:paraId="2098517E" w14:textId="77777777" w:rsidR="00824978" w:rsidRPr="00A80BF0" w:rsidRDefault="00016DBA" w:rsidP="00824978">
      <w:pPr>
        <w:rPr>
          <w:rtl/>
        </w:rPr>
      </w:pPr>
      <w:r w:rsidRPr="00A80BF0">
        <w:rPr>
          <w:rtl/>
        </w:rPr>
        <w:t>بافتراض حدوث الانتشار في الفضاء الحر، فإن كثافة تدفق القدرة لتخصيص جديد أو معدل مقترح للقائمة يجب ألا تتجاوز القيمة</w:t>
      </w:r>
      <w:r w:rsidRPr="00A80BF0">
        <w:rPr>
          <w:rFonts w:hint="cs"/>
          <w:rtl/>
        </w:rPr>
        <w:t> </w:t>
      </w:r>
      <w:proofErr w:type="gramStart"/>
      <w:r w:rsidRPr="00A80BF0">
        <w:t>dB(</w:t>
      </w:r>
      <w:proofErr w:type="gramEnd"/>
      <w:r w:rsidRPr="00A80BF0">
        <w:t>W/(m</w:t>
      </w:r>
      <w:r w:rsidRPr="00A80BF0">
        <w:rPr>
          <w:vertAlign w:val="superscript"/>
        </w:rPr>
        <w:t>2</w:t>
      </w:r>
      <w:r w:rsidRPr="00A80BF0">
        <w:t xml:space="preserve"> · 27MHz)) 103,6–</w:t>
      </w:r>
      <w:ins w:id="5" w:author="Tahawi, Hiba" w:date="2019-02-16T16:33:00Z">
        <w:r>
          <w:rPr>
            <w:rStyle w:val="FootnoteReference"/>
            <w:rtl/>
          </w:rPr>
          <w:footnoteReference w:customMarkFollows="1" w:id="4"/>
          <w:t>26</w:t>
        </w:r>
      </w:ins>
      <w:r w:rsidRPr="00A80BF0">
        <w:rPr>
          <w:rtl/>
        </w:rPr>
        <w:t>.</w:t>
      </w:r>
    </w:p>
    <w:p w14:paraId="34B01C15" w14:textId="77777777" w:rsidR="001E135A" w:rsidRDefault="00016DBA" w:rsidP="001E135A">
      <w:pPr>
        <w:pStyle w:val="Reasons"/>
        <w:keepNext/>
        <w:keepLines/>
        <w:rPr>
          <w:rtl/>
        </w:rPr>
      </w:pPr>
      <w:r>
        <w:rPr>
          <w:rtl/>
        </w:rPr>
        <w:t>الأسباب:</w:t>
      </w:r>
      <w:r>
        <w:tab/>
      </w:r>
    </w:p>
    <w:p w14:paraId="220CB38E" w14:textId="54EE7023" w:rsidR="001E135A" w:rsidRPr="00AF554E" w:rsidRDefault="001E135A" w:rsidP="00DF62B7">
      <w:pPr>
        <w:pStyle w:val="enumlev1"/>
        <w:rPr>
          <w:b/>
          <w:bCs/>
          <w:lang w:bidi="ar-EG"/>
        </w:rPr>
      </w:pPr>
      <w:r w:rsidRPr="00DF62B7">
        <w:t>1</w:t>
      </w:r>
      <w:r w:rsidRPr="00AF554E">
        <w:tab/>
      </w:r>
      <w:r w:rsidR="00AF554E" w:rsidRPr="00AF554E">
        <w:rPr>
          <w:rFonts w:hint="cs"/>
          <w:rtl/>
          <w:lang w:bidi="ar-EG"/>
        </w:rPr>
        <w:t xml:space="preserve">غرض المسألة </w:t>
      </w:r>
      <w:r w:rsidR="00AF554E" w:rsidRPr="00AF554E">
        <w:rPr>
          <w:lang w:bidi="ar-EG"/>
        </w:rPr>
        <w:t>J</w:t>
      </w:r>
    </w:p>
    <w:p w14:paraId="58B8C3DA" w14:textId="41C3B32E" w:rsidR="001E135A" w:rsidRPr="001E135A" w:rsidRDefault="001E135A" w:rsidP="001E135A">
      <w:pPr>
        <w:keepNext/>
        <w:keepLines/>
        <w:rPr>
          <w:rtl/>
          <w:lang w:bidi="ar-EG"/>
        </w:rPr>
      </w:pPr>
      <w:r w:rsidRPr="001E135A">
        <w:rPr>
          <w:rtl/>
          <w:lang w:bidi="ar-EG"/>
        </w:rPr>
        <w:lastRenderedPageBreak/>
        <w:t xml:space="preserve">لتوفير التطبيقات المتقدمة للخدمة الإذاعية </w:t>
      </w:r>
      <w:proofErr w:type="spellStart"/>
      <w:r w:rsidRPr="001E135A">
        <w:rPr>
          <w:rtl/>
          <w:lang w:bidi="ar-EG"/>
        </w:rPr>
        <w:t>الساتلية</w:t>
      </w:r>
      <w:proofErr w:type="spellEnd"/>
      <w:r w:rsidRPr="001E135A">
        <w:rPr>
          <w:rtl/>
          <w:lang w:bidi="ar-EG"/>
        </w:rPr>
        <w:t xml:space="preserve"> </w:t>
      </w:r>
      <w:r w:rsidR="00DF62B7">
        <w:rPr>
          <w:lang w:bidi="ar-EG"/>
        </w:rPr>
        <w:t>(BSS)</w:t>
      </w:r>
      <w:r w:rsidRPr="001E135A">
        <w:rPr>
          <w:rtl/>
          <w:lang w:bidi="ar-EG"/>
        </w:rPr>
        <w:t xml:space="preserve"> مثل التلفزيون فائق الوضوح (انظر التوصية </w:t>
      </w:r>
      <w:r w:rsidRPr="001E135A">
        <w:rPr>
          <w:lang w:bidi="ar-EG"/>
        </w:rPr>
        <w:t>ITU R BT.2020</w:t>
      </w:r>
      <w:r w:rsidRPr="001E135A">
        <w:rPr>
          <w:rtl/>
          <w:lang w:bidi="ar-EG"/>
        </w:rPr>
        <w:t>)، من الضروري استخدام مخطط تشكيل بكفاءة عالية في استخدام الطيف (</w:t>
      </w:r>
      <w:r w:rsidRPr="001E135A">
        <w:rPr>
          <w:lang w:bidi="ar-EG"/>
        </w:rPr>
        <w:t>APSK</w:t>
      </w:r>
      <w:r w:rsidRPr="001E135A">
        <w:rPr>
          <w:rtl/>
          <w:lang w:bidi="ar-EG"/>
        </w:rPr>
        <w:t xml:space="preserve"> مثلاً) وقيمة عالية لنسبة موجة حاملة إلى ضوضاء (</w:t>
      </w:r>
      <w:r w:rsidRPr="001E135A">
        <w:rPr>
          <w:lang w:bidi="ar-EG"/>
        </w:rPr>
        <w:t>C/N</w:t>
      </w:r>
      <w:r w:rsidRPr="001E135A">
        <w:rPr>
          <w:rtl/>
          <w:lang w:bidi="ar-EG"/>
        </w:rPr>
        <w:t xml:space="preserve"> </w:t>
      </w:r>
      <w:proofErr w:type="gramStart"/>
      <w:r w:rsidR="00DF62B7">
        <w:rPr>
          <w:lang w:bidi="ar-EG"/>
        </w:rPr>
        <w:t>(</w:t>
      </w:r>
      <w:r w:rsidRPr="001E135A">
        <w:rPr>
          <w:rtl/>
          <w:lang w:bidi="ar-EG"/>
        </w:rPr>
        <w:t xml:space="preserve"> المطلوبة</w:t>
      </w:r>
      <w:proofErr w:type="gramEnd"/>
      <w:r w:rsidRPr="001E135A">
        <w:rPr>
          <w:rtl/>
          <w:lang w:bidi="ar-EG"/>
        </w:rPr>
        <w:t xml:space="preserve"> (انظر التوصية </w:t>
      </w:r>
      <w:r w:rsidRPr="001E135A">
        <w:rPr>
          <w:lang w:bidi="ar-EG"/>
        </w:rPr>
        <w:t>ITU-R BO.2098</w:t>
      </w:r>
      <w:r w:rsidRPr="001E135A">
        <w:rPr>
          <w:rtl/>
          <w:lang w:bidi="ar-EG"/>
        </w:rPr>
        <w:t xml:space="preserve"> والتقرير </w:t>
      </w:r>
      <w:r w:rsidRPr="001E135A">
        <w:rPr>
          <w:lang w:bidi="ar-EG"/>
        </w:rPr>
        <w:t>ITU-R BO.2397</w:t>
      </w:r>
      <w:r w:rsidRPr="001E135A">
        <w:rPr>
          <w:rtl/>
          <w:lang w:bidi="ar-EG"/>
        </w:rPr>
        <w:t xml:space="preserve">) وفي هذه الحالة يحتاج الأمر إلى قيمة للكثافة </w:t>
      </w:r>
      <w:proofErr w:type="spellStart"/>
      <w:r w:rsidRPr="001E135A">
        <w:rPr>
          <w:lang w:bidi="ar-EG"/>
        </w:rPr>
        <w:t>pfd</w:t>
      </w:r>
      <w:proofErr w:type="spellEnd"/>
      <w:r w:rsidRPr="001E135A">
        <w:rPr>
          <w:rtl/>
          <w:lang w:bidi="ar-EG"/>
        </w:rPr>
        <w:t xml:space="preserve"> تتجاوز الحد البالغ </w:t>
      </w:r>
      <w:r w:rsidRPr="001E135A">
        <w:rPr>
          <w:lang w:bidi="ar-EG"/>
        </w:rPr>
        <w:t>dB(W/(m2 · 27 MHz)) 103,6</w:t>
      </w:r>
      <w:r w:rsidRPr="001E135A">
        <w:rPr>
          <w:rFonts w:cs="Times New Roman" w:hint="cs"/>
          <w:rtl/>
          <w:lang w:bidi="ar-EG"/>
        </w:rPr>
        <w:t>−</w:t>
      </w:r>
      <w:r w:rsidRPr="001E135A">
        <w:rPr>
          <w:rtl/>
          <w:lang w:bidi="ar-EG"/>
        </w:rPr>
        <w:t xml:space="preserve"> </w:t>
      </w:r>
      <w:r w:rsidRPr="001E135A">
        <w:rPr>
          <w:rFonts w:ascii="Traditional Arabic" w:hAnsi="Traditional Arabic" w:hint="cs"/>
          <w:rtl/>
          <w:lang w:bidi="ar-EG"/>
        </w:rPr>
        <w:t>ضمن</w:t>
      </w:r>
      <w:r w:rsidRPr="001E135A">
        <w:rPr>
          <w:rtl/>
          <w:lang w:bidi="ar-EG"/>
        </w:rPr>
        <w:t xml:space="preserve"> </w:t>
      </w:r>
      <w:r w:rsidRPr="001E135A">
        <w:rPr>
          <w:rFonts w:ascii="Traditional Arabic" w:hAnsi="Traditional Arabic" w:hint="cs"/>
          <w:rtl/>
          <w:lang w:bidi="ar-EG"/>
        </w:rPr>
        <w:t>منطقة</w:t>
      </w:r>
      <w:r w:rsidRPr="001E135A">
        <w:rPr>
          <w:rtl/>
          <w:lang w:bidi="ar-EG"/>
        </w:rPr>
        <w:t xml:space="preserve"> </w:t>
      </w:r>
      <w:r w:rsidRPr="001E135A">
        <w:rPr>
          <w:rFonts w:ascii="Traditional Arabic" w:hAnsi="Traditional Arabic" w:hint="cs"/>
          <w:rtl/>
          <w:lang w:bidi="ar-EG"/>
        </w:rPr>
        <w:t>الخدمة،</w:t>
      </w:r>
      <w:r w:rsidRPr="001E135A">
        <w:rPr>
          <w:rtl/>
          <w:lang w:bidi="ar-EG"/>
        </w:rPr>
        <w:t xml:space="preserve"> </w:t>
      </w:r>
      <w:r w:rsidRPr="001E135A">
        <w:rPr>
          <w:rFonts w:ascii="Traditional Arabic" w:hAnsi="Traditional Arabic" w:hint="cs"/>
          <w:rtl/>
          <w:lang w:bidi="ar-EG"/>
        </w:rPr>
        <w:t>وذلك</w:t>
      </w:r>
      <w:r w:rsidRPr="001E135A">
        <w:rPr>
          <w:rtl/>
          <w:lang w:bidi="ar-EG"/>
        </w:rPr>
        <w:t xml:space="preserve"> </w:t>
      </w:r>
      <w:r w:rsidRPr="001E135A">
        <w:rPr>
          <w:rFonts w:ascii="Traditional Arabic" w:hAnsi="Traditional Arabic" w:hint="cs"/>
          <w:rtl/>
          <w:lang w:bidi="ar-EG"/>
        </w:rPr>
        <w:t>لتحقيق</w:t>
      </w:r>
      <w:r w:rsidRPr="001E135A">
        <w:rPr>
          <w:rtl/>
          <w:lang w:bidi="ar-EG"/>
        </w:rPr>
        <w:t xml:space="preserve"> </w:t>
      </w:r>
      <w:r w:rsidRPr="001E135A">
        <w:rPr>
          <w:rFonts w:ascii="Traditional Arabic" w:hAnsi="Traditional Arabic" w:hint="cs"/>
          <w:rtl/>
          <w:lang w:bidi="ar-EG"/>
        </w:rPr>
        <w:t>تيسر</w:t>
      </w:r>
      <w:r w:rsidRPr="001E135A">
        <w:rPr>
          <w:rtl/>
          <w:lang w:bidi="ar-EG"/>
        </w:rPr>
        <w:t xml:space="preserve"> </w:t>
      </w:r>
      <w:r w:rsidRPr="001E135A">
        <w:rPr>
          <w:rFonts w:ascii="Traditional Arabic" w:hAnsi="Traditional Arabic" w:hint="cs"/>
          <w:rtl/>
          <w:lang w:bidi="ar-EG"/>
        </w:rPr>
        <w:t>الخدمة</w:t>
      </w:r>
      <w:r w:rsidRPr="001E135A">
        <w:rPr>
          <w:rtl/>
          <w:lang w:bidi="ar-EG"/>
        </w:rPr>
        <w:t xml:space="preserve"> </w:t>
      </w:r>
      <w:r w:rsidRPr="001E135A">
        <w:rPr>
          <w:rFonts w:ascii="Traditional Arabic" w:hAnsi="Traditional Arabic" w:hint="cs"/>
          <w:rtl/>
          <w:lang w:bidi="ar-EG"/>
        </w:rPr>
        <w:t>نفسه</w:t>
      </w:r>
      <w:r w:rsidRPr="001E135A">
        <w:rPr>
          <w:rtl/>
          <w:lang w:bidi="ar-EG"/>
        </w:rPr>
        <w:t xml:space="preserve"> </w:t>
      </w:r>
      <w:r w:rsidRPr="001E135A">
        <w:rPr>
          <w:rFonts w:ascii="Traditional Arabic" w:hAnsi="Traditional Arabic" w:hint="cs"/>
          <w:rtl/>
          <w:lang w:bidi="ar-EG"/>
        </w:rPr>
        <w:t>المتحقق</w:t>
      </w:r>
      <w:r w:rsidRPr="001E135A">
        <w:rPr>
          <w:rtl/>
          <w:lang w:bidi="ar-EG"/>
        </w:rPr>
        <w:t xml:space="preserve"> </w:t>
      </w:r>
      <w:r w:rsidRPr="001E135A">
        <w:rPr>
          <w:rFonts w:ascii="Traditional Arabic" w:hAnsi="Traditional Arabic" w:hint="cs"/>
          <w:rtl/>
          <w:lang w:bidi="ar-EG"/>
        </w:rPr>
        <w:t>في</w:t>
      </w:r>
      <w:r w:rsidR="0070701A">
        <w:rPr>
          <w:rFonts w:hint="cs"/>
          <w:rtl/>
          <w:lang w:bidi="ar-EG"/>
        </w:rPr>
        <w:t> </w:t>
      </w:r>
      <w:r w:rsidRPr="001E135A">
        <w:rPr>
          <w:rFonts w:ascii="Traditional Arabic" w:hAnsi="Traditional Arabic" w:hint="cs"/>
          <w:rtl/>
          <w:lang w:bidi="ar-EG"/>
        </w:rPr>
        <w:t>الخدمات</w:t>
      </w:r>
      <w:r w:rsidRPr="001E135A">
        <w:rPr>
          <w:rtl/>
          <w:lang w:bidi="ar-EG"/>
        </w:rPr>
        <w:t xml:space="preserve"> </w:t>
      </w:r>
      <w:r w:rsidRPr="001E135A">
        <w:rPr>
          <w:rFonts w:ascii="Traditional Arabic" w:hAnsi="Traditional Arabic" w:hint="cs"/>
          <w:rtl/>
          <w:lang w:bidi="ar-EG"/>
        </w:rPr>
        <w:t>الإذاعية</w:t>
      </w:r>
      <w:r w:rsidRPr="001E135A">
        <w:rPr>
          <w:rtl/>
          <w:lang w:bidi="ar-EG"/>
        </w:rPr>
        <w:t xml:space="preserve"> </w:t>
      </w:r>
      <w:proofErr w:type="spellStart"/>
      <w:r w:rsidRPr="001E135A">
        <w:rPr>
          <w:rFonts w:ascii="Traditional Arabic" w:hAnsi="Traditional Arabic" w:hint="cs"/>
          <w:rtl/>
          <w:lang w:bidi="ar-EG"/>
        </w:rPr>
        <w:t>الساتلية</w:t>
      </w:r>
      <w:proofErr w:type="spellEnd"/>
      <w:r w:rsidRPr="001E135A">
        <w:rPr>
          <w:rtl/>
          <w:lang w:bidi="ar-EG"/>
        </w:rPr>
        <w:t xml:space="preserve"> </w:t>
      </w:r>
      <w:r w:rsidRPr="001E135A">
        <w:rPr>
          <w:rFonts w:ascii="Traditional Arabic" w:hAnsi="Traditional Arabic" w:hint="cs"/>
          <w:rtl/>
          <w:lang w:bidi="ar-EG"/>
        </w:rPr>
        <w:t>التقليدية</w:t>
      </w:r>
      <w:r w:rsidRPr="001E135A">
        <w:rPr>
          <w:rtl/>
          <w:lang w:bidi="ar-EG"/>
        </w:rPr>
        <w:t>.</w:t>
      </w:r>
    </w:p>
    <w:p w14:paraId="728E4BF2" w14:textId="66394248" w:rsidR="001E135A" w:rsidRDefault="001E135A" w:rsidP="001E135A">
      <w:pPr>
        <w:pStyle w:val="enumlev1"/>
        <w:rPr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</w:r>
      <w:r w:rsidR="00AF554E">
        <w:rPr>
          <w:rFonts w:hint="cs"/>
          <w:rtl/>
          <w:lang w:bidi="ar-EG"/>
        </w:rPr>
        <w:t>موجز نتائج دراسات قطاع الاتصالات الراديوية وتحليلها</w:t>
      </w:r>
    </w:p>
    <w:p w14:paraId="40393358" w14:textId="1FB94C41" w:rsidR="001E135A" w:rsidRPr="00D1365E" w:rsidRDefault="001E135A" w:rsidP="001E135A">
      <w:pPr>
        <w:rPr>
          <w:spacing w:val="-2"/>
          <w:rtl/>
          <w:lang w:bidi="ar-EG"/>
        </w:rPr>
      </w:pPr>
      <w:r w:rsidRPr="007A3267">
        <w:rPr>
          <w:rFonts w:hint="cs"/>
          <w:spacing w:val="-2"/>
          <w:rtl/>
          <w:lang w:bidi="ar-EG"/>
        </w:rPr>
        <w:t xml:space="preserve">تبين الفقرة </w:t>
      </w:r>
      <w:r w:rsidRPr="007A3267">
        <w:rPr>
          <w:spacing w:val="-2"/>
          <w:lang w:bidi="ar-EG"/>
        </w:rPr>
        <w:t>1.2.5</w:t>
      </w:r>
      <w:r w:rsidRPr="007A3267">
        <w:rPr>
          <w:rFonts w:hint="cs"/>
          <w:spacing w:val="-2"/>
          <w:rtl/>
          <w:lang w:bidi="ar-EG"/>
        </w:rPr>
        <w:t xml:space="preserve"> </w:t>
      </w:r>
      <w:r w:rsidRPr="007A3267">
        <w:rPr>
          <w:rFonts w:hint="cs"/>
          <w:i/>
          <w:iCs/>
          <w:spacing w:val="-2"/>
          <w:rtl/>
          <w:lang w:bidi="ar-EG"/>
        </w:rPr>
        <w:t>د)</w:t>
      </w:r>
      <w:r w:rsidRPr="007A3267">
        <w:rPr>
          <w:rFonts w:hint="cs"/>
          <w:spacing w:val="-2"/>
          <w:rtl/>
          <w:lang w:bidi="ar-EG"/>
        </w:rPr>
        <w:t xml:space="preserve"> بالتذييل </w:t>
      </w:r>
      <w:r w:rsidRPr="007A3267">
        <w:rPr>
          <w:b/>
          <w:bCs/>
          <w:spacing w:val="-2"/>
          <w:lang w:bidi="ar-EG"/>
        </w:rPr>
        <w:t>30</w:t>
      </w:r>
      <w:r w:rsidRPr="007A3267">
        <w:rPr>
          <w:rFonts w:hint="cs"/>
          <w:spacing w:val="-2"/>
          <w:rtl/>
          <w:lang w:bidi="ar-EG"/>
        </w:rPr>
        <w:t xml:space="preserve"> للوائح الراديو أن الحد البالغ </w:t>
      </w:r>
      <w:r w:rsidR="002855DB" w:rsidRPr="007A3267">
        <w:rPr>
          <w:rFonts w:eastAsia="MS Mincho"/>
        </w:rPr>
        <w:t xml:space="preserve">−103.6 </w:t>
      </w:r>
      <w:proofErr w:type="gramStart"/>
      <w:r w:rsidR="002855DB" w:rsidRPr="007A3267">
        <w:rPr>
          <w:rFonts w:eastAsia="MS Mincho"/>
        </w:rPr>
        <w:t>dB(</w:t>
      </w:r>
      <w:proofErr w:type="gramEnd"/>
      <w:r w:rsidR="002855DB" w:rsidRPr="007A3267">
        <w:rPr>
          <w:rFonts w:eastAsia="MS Mincho"/>
        </w:rPr>
        <w:t>W/(m2 · 27 MHz))</w:t>
      </w:r>
      <w:r w:rsidR="002855DB" w:rsidRPr="007A3267">
        <w:rPr>
          <w:rFonts w:hint="cs"/>
          <w:spacing w:val="-2"/>
          <w:rtl/>
          <w:lang w:bidi="ar-EG"/>
        </w:rPr>
        <w:t xml:space="preserve"> في تخصيصات الخطة</w:t>
      </w:r>
      <w:r w:rsidRPr="007A3267">
        <w:rPr>
          <w:rFonts w:hint="cs"/>
          <w:spacing w:val="-2"/>
          <w:rtl/>
          <w:lang w:bidi="ar-EG"/>
        </w:rPr>
        <w:t xml:space="preserve"> يمكن تجاوزه في ظل ظروف</w:t>
      </w:r>
      <w:r w:rsidRPr="007A3267">
        <w:rPr>
          <w:rFonts w:hint="eastAsia"/>
          <w:spacing w:val="-2"/>
          <w:rtl/>
          <w:lang w:bidi="ar-EG"/>
        </w:rPr>
        <w:t> </w:t>
      </w:r>
      <w:r w:rsidRPr="007A3267">
        <w:rPr>
          <w:rFonts w:hint="cs"/>
          <w:spacing w:val="-2"/>
          <w:rtl/>
          <w:lang w:bidi="ar-EG"/>
        </w:rPr>
        <w:t>معينة</w:t>
      </w:r>
      <w:r w:rsidR="002855DB" w:rsidRPr="007A3267">
        <w:rPr>
          <w:rFonts w:hint="cs"/>
          <w:spacing w:val="-2"/>
          <w:rtl/>
          <w:lang w:bidi="ar-EG"/>
        </w:rPr>
        <w:t xml:space="preserve"> خلال إجراء التبليغ</w:t>
      </w:r>
      <w:r w:rsidRPr="007A3267">
        <w:rPr>
          <w:rFonts w:hint="cs"/>
          <w:spacing w:val="-2"/>
          <w:rtl/>
          <w:lang w:bidi="ar-EG"/>
        </w:rPr>
        <w:t>.</w:t>
      </w:r>
    </w:p>
    <w:p w14:paraId="20110FE7" w14:textId="0C3CD4C9" w:rsidR="001E135A" w:rsidRDefault="002855DB" w:rsidP="001E135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ويوجد حكم شبيه </w:t>
      </w:r>
      <w:r w:rsidR="00C06814">
        <w:rPr>
          <w:rFonts w:hint="cs"/>
          <w:rtl/>
          <w:lang w:bidi="ar-EG"/>
        </w:rPr>
        <w:t xml:space="preserve">في الرقم </w:t>
      </w:r>
      <w:r w:rsidR="00C06814">
        <w:rPr>
          <w:lang w:bidi="ar-EG"/>
        </w:rPr>
        <w:t>17.21</w:t>
      </w:r>
      <w:r w:rsidR="00C06814">
        <w:rPr>
          <w:rFonts w:hint="cs"/>
          <w:rtl/>
          <w:lang w:bidi="ar-EG"/>
        </w:rPr>
        <w:t xml:space="preserve"> من لوائح الراديو بجواز تجاوز حدود كثافة تدفق القدرة لحماية </w:t>
      </w:r>
      <w:r w:rsidR="00873857">
        <w:rPr>
          <w:rFonts w:hint="cs"/>
          <w:rtl/>
          <w:lang w:bidi="ar-EG"/>
        </w:rPr>
        <w:t xml:space="preserve">الخدمات </w:t>
      </w:r>
      <w:r w:rsidR="00C06814">
        <w:rPr>
          <w:rFonts w:hint="cs"/>
          <w:rtl/>
          <w:lang w:bidi="ar-EG"/>
        </w:rPr>
        <w:t>الأرضي</w:t>
      </w:r>
      <w:r w:rsidR="00873857">
        <w:rPr>
          <w:rFonts w:hint="cs"/>
          <w:rtl/>
          <w:lang w:bidi="ar-EG"/>
        </w:rPr>
        <w:t>ة</w:t>
      </w:r>
      <w:r w:rsidR="00C06814">
        <w:rPr>
          <w:rFonts w:hint="cs"/>
          <w:rtl/>
          <w:lang w:bidi="ar-EG"/>
        </w:rPr>
        <w:t xml:space="preserve"> في أراضي أي بلد وافقت إدارتها على ذلك.</w:t>
      </w:r>
    </w:p>
    <w:p w14:paraId="288B20D0" w14:textId="27DCF31C" w:rsidR="001E135A" w:rsidRDefault="001E135A" w:rsidP="001E135A">
      <w:pPr>
        <w:rPr>
          <w:lang w:bidi="ar-EG"/>
        </w:rPr>
      </w:pPr>
      <w:r w:rsidRPr="007A3267">
        <w:rPr>
          <w:rFonts w:hint="cs"/>
          <w:rtl/>
          <w:lang w:bidi="ar-EG"/>
        </w:rPr>
        <w:t>تتناول الق</w:t>
      </w:r>
      <w:r w:rsidR="00850008" w:rsidRPr="007A3267">
        <w:rPr>
          <w:rFonts w:hint="cs"/>
          <w:rtl/>
          <w:lang w:bidi="ar-EG"/>
        </w:rPr>
        <w:t>واعد</w:t>
      </w:r>
      <w:r w:rsidRPr="007A3267">
        <w:rPr>
          <w:rFonts w:hint="cs"/>
          <w:rtl/>
          <w:lang w:bidi="ar-EG"/>
        </w:rPr>
        <w:t xml:space="preserve"> الإجرائية تطبيق حد الكثافة </w:t>
      </w:r>
      <w:proofErr w:type="spellStart"/>
      <w:r w:rsidRPr="007A3267">
        <w:rPr>
          <w:lang w:bidi="ar-EG"/>
        </w:rPr>
        <w:t>pfd</w:t>
      </w:r>
      <w:proofErr w:type="spellEnd"/>
      <w:r w:rsidRPr="007A3267">
        <w:rPr>
          <w:rFonts w:hint="cs"/>
          <w:rtl/>
          <w:lang w:bidi="ar-EG"/>
        </w:rPr>
        <w:t xml:space="preserve"> المشار إليه في الفقرة الأولى من القسم </w:t>
      </w:r>
      <w:r w:rsidRPr="007A3267">
        <w:rPr>
          <w:lang w:bidi="ar-EG"/>
        </w:rPr>
        <w:t>1</w:t>
      </w:r>
      <w:r w:rsidRPr="007A3267">
        <w:rPr>
          <w:rFonts w:hint="cs"/>
          <w:rtl/>
          <w:lang w:bidi="ar-EG"/>
        </w:rPr>
        <w:t xml:space="preserve"> من الملحق </w:t>
      </w:r>
      <w:r w:rsidRPr="007A3267">
        <w:rPr>
          <w:lang w:bidi="ar-EG"/>
        </w:rPr>
        <w:t>1</w:t>
      </w:r>
      <w:r w:rsidRPr="007A3267">
        <w:rPr>
          <w:rFonts w:hint="cs"/>
          <w:rtl/>
          <w:lang w:bidi="ar-EG"/>
        </w:rPr>
        <w:t xml:space="preserve"> بالتذييل </w:t>
      </w:r>
      <w:r w:rsidRPr="007A3267">
        <w:rPr>
          <w:b/>
          <w:bCs/>
          <w:lang w:bidi="ar-EG"/>
        </w:rPr>
        <w:t>30</w:t>
      </w:r>
      <w:r w:rsidRPr="007A3267">
        <w:rPr>
          <w:rFonts w:hint="cs"/>
          <w:rtl/>
          <w:lang w:bidi="ar-EG"/>
        </w:rPr>
        <w:t xml:space="preserve"> للوائح الراديو كحد صارم </w:t>
      </w:r>
      <w:r w:rsidR="00850008" w:rsidRPr="007A3267">
        <w:rPr>
          <w:rFonts w:hint="cs"/>
          <w:rtl/>
          <w:lang w:bidi="ar-EG"/>
        </w:rPr>
        <w:t xml:space="preserve">لا يتم </w:t>
      </w:r>
      <w:r w:rsidRPr="007A3267">
        <w:rPr>
          <w:rFonts w:hint="cs"/>
          <w:rtl/>
          <w:lang w:bidi="ar-EG"/>
        </w:rPr>
        <w:t xml:space="preserve">تجاوزه من أجل حماية تخصيصات الخدمة الإذاعية </w:t>
      </w:r>
      <w:proofErr w:type="spellStart"/>
      <w:r w:rsidRPr="007A3267">
        <w:rPr>
          <w:rFonts w:hint="cs"/>
          <w:rtl/>
          <w:lang w:bidi="ar-EG"/>
        </w:rPr>
        <w:t>الساتلية</w:t>
      </w:r>
      <w:proofErr w:type="spellEnd"/>
      <w:r w:rsidRPr="007A3267">
        <w:rPr>
          <w:rFonts w:hint="cs"/>
          <w:rtl/>
          <w:lang w:bidi="ar-EG"/>
        </w:rPr>
        <w:t xml:space="preserve"> من التداخلات التي قد تسببها شبكات </w:t>
      </w:r>
      <w:r w:rsidR="00850008" w:rsidRPr="007A3267">
        <w:rPr>
          <w:rFonts w:hint="cs"/>
          <w:rtl/>
          <w:lang w:bidi="ar-EG"/>
        </w:rPr>
        <w:t>ا</w:t>
      </w:r>
      <w:r w:rsidRPr="007A3267">
        <w:rPr>
          <w:rFonts w:hint="cs"/>
          <w:rtl/>
          <w:lang w:bidi="ar-EG"/>
        </w:rPr>
        <w:t xml:space="preserve">لخدمة الإذاعية </w:t>
      </w:r>
      <w:proofErr w:type="spellStart"/>
      <w:r w:rsidRPr="007A3267">
        <w:rPr>
          <w:rFonts w:hint="cs"/>
          <w:rtl/>
          <w:lang w:bidi="ar-EG"/>
        </w:rPr>
        <w:t>الساتلية</w:t>
      </w:r>
      <w:proofErr w:type="spellEnd"/>
      <w:r w:rsidRPr="007A3267">
        <w:rPr>
          <w:rFonts w:hint="cs"/>
          <w:rtl/>
          <w:lang w:bidi="ar-EG"/>
        </w:rPr>
        <w:t xml:space="preserve"> </w:t>
      </w:r>
      <w:r w:rsidR="00850008" w:rsidRPr="007A3267">
        <w:rPr>
          <w:rFonts w:hint="cs"/>
          <w:rtl/>
          <w:lang w:bidi="ar-EG"/>
        </w:rPr>
        <w:t>ال</w:t>
      </w:r>
      <w:r w:rsidRPr="007A3267">
        <w:rPr>
          <w:rFonts w:hint="cs"/>
          <w:rtl/>
          <w:lang w:bidi="ar-EG"/>
        </w:rPr>
        <w:t xml:space="preserve">موجودة خارج قوس مقداره </w:t>
      </w:r>
      <w:r w:rsidRPr="007A3267">
        <w:rPr>
          <w:lang w:bidi="ar-EG"/>
        </w:rPr>
        <w:t>9</w:t>
      </w:r>
      <w:r w:rsidRPr="007A3267">
        <w:rPr>
          <w:lang w:val="en-GB" w:bidi="ar-EG"/>
        </w:rPr>
        <w:t>±</w:t>
      </w:r>
      <w:r w:rsidRPr="007A3267">
        <w:rPr>
          <w:rFonts w:hint="cs"/>
          <w:rtl/>
          <w:lang w:bidi="ar-EG"/>
        </w:rPr>
        <w:t xml:space="preserve"> درجات حول شبكة خدمة إذاعية </w:t>
      </w:r>
      <w:proofErr w:type="spellStart"/>
      <w:r w:rsidRPr="007A3267">
        <w:rPr>
          <w:rFonts w:hint="cs"/>
          <w:rtl/>
          <w:lang w:bidi="ar-EG"/>
        </w:rPr>
        <w:t>ساتلية</w:t>
      </w:r>
      <w:proofErr w:type="spellEnd"/>
      <w:r w:rsidRPr="007A3267">
        <w:rPr>
          <w:rFonts w:hint="cs"/>
          <w:rtl/>
          <w:lang w:bidi="ar-EG"/>
        </w:rPr>
        <w:t xml:space="preserve"> مطلوبة.</w:t>
      </w:r>
    </w:p>
    <w:p w14:paraId="7F1AE2DC" w14:textId="77777777" w:rsidR="001E135A" w:rsidRPr="00D1365E" w:rsidRDefault="001E135A" w:rsidP="001E135A">
      <w:pPr>
        <w:rPr>
          <w:rtl/>
          <w:lang w:bidi="ar-EG"/>
        </w:rPr>
      </w:pPr>
      <w:r w:rsidRPr="00D1365E">
        <w:rPr>
          <w:rFonts w:hint="cs"/>
          <w:rtl/>
          <w:lang w:bidi="ar-EG"/>
        </w:rPr>
        <w:t xml:space="preserve">وفي حالة تطبيق إدارة ما الأحكام ذات الصلة للمادة </w:t>
      </w:r>
      <w:r w:rsidRPr="00D1365E">
        <w:rPr>
          <w:b/>
          <w:bCs/>
          <w:lang w:bidi="ar-EG"/>
        </w:rPr>
        <w:t>23</w:t>
      </w:r>
      <w:r w:rsidRPr="00D1365E">
        <w:rPr>
          <w:rFonts w:hint="cs"/>
          <w:rtl/>
          <w:lang w:bidi="ar-EG"/>
        </w:rPr>
        <w:t xml:space="preserve"> من لوائح الراديو لطلب استبعاد أراضيها من مناطق خدمة شبكات الخدمة الإذاعية </w:t>
      </w:r>
      <w:proofErr w:type="spellStart"/>
      <w:r w:rsidRPr="00D1365E">
        <w:rPr>
          <w:rFonts w:hint="cs"/>
          <w:rtl/>
          <w:lang w:bidi="ar-EG"/>
        </w:rPr>
        <w:t>الساتلية</w:t>
      </w:r>
      <w:proofErr w:type="spellEnd"/>
      <w:r w:rsidRPr="00D1365E">
        <w:rPr>
          <w:rFonts w:hint="cs"/>
          <w:rtl/>
          <w:lang w:bidi="ar-EG"/>
        </w:rPr>
        <w:t xml:space="preserve"> الخاصة ببلدان أخرى، لا يحق لشبكات الخدمة الإذاعية </w:t>
      </w:r>
      <w:proofErr w:type="spellStart"/>
      <w:r w:rsidRPr="00D1365E">
        <w:rPr>
          <w:rFonts w:hint="cs"/>
          <w:rtl/>
          <w:lang w:bidi="ar-EG"/>
        </w:rPr>
        <w:t>الساتلية</w:t>
      </w:r>
      <w:proofErr w:type="spellEnd"/>
      <w:r w:rsidRPr="00D1365E">
        <w:rPr>
          <w:rFonts w:hint="cs"/>
          <w:rtl/>
          <w:lang w:bidi="ar-EG"/>
        </w:rPr>
        <w:t xml:space="preserve"> تلك الخاصة بإدارات أخرى طلب الحماية داخل أراضي الإدارة المعترضة (أي الإدارة المبلغة المذكورة أعلاه). وجدير بالذكر أيضاً أن التنسيق بين شبكات الخدمة الإذاعية </w:t>
      </w:r>
      <w:proofErr w:type="spellStart"/>
      <w:r w:rsidRPr="00D1365E">
        <w:rPr>
          <w:rFonts w:hint="cs"/>
          <w:rtl/>
          <w:lang w:bidi="ar-EG"/>
        </w:rPr>
        <w:t>الساتلية</w:t>
      </w:r>
      <w:proofErr w:type="spellEnd"/>
      <w:r w:rsidRPr="00D1365E">
        <w:rPr>
          <w:rFonts w:hint="cs"/>
          <w:rtl/>
          <w:lang w:bidi="ar-EG"/>
        </w:rPr>
        <w:t xml:space="preserve"> المنتمية لنفس الإدارة المبلغة أمر داخلي لهذه الإدارة.</w:t>
      </w:r>
    </w:p>
    <w:p w14:paraId="32361512" w14:textId="77777777" w:rsidR="001E135A" w:rsidRPr="00D1365E" w:rsidRDefault="001E135A" w:rsidP="001E135A">
      <w:pPr>
        <w:rPr>
          <w:rtl/>
          <w:lang w:bidi="ar-EG"/>
        </w:rPr>
      </w:pPr>
      <w:r w:rsidRPr="00D1365E">
        <w:rPr>
          <w:rFonts w:hint="cs"/>
          <w:rtl/>
          <w:lang w:bidi="ar-EG"/>
        </w:rPr>
        <w:t>ومن منظور الطيف، ينبغي ألا يتراكب تخصيص التردد مع النطاقات الحارسة لضمان حماية الخدمة في نطاقات التردد المجاورة.</w:t>
      </w:r>
    </w:p>
    <w:p w14:paraId="03157478" w14:textId="17B360FC" w:rsidR="001E135A" w:rsidRDefault="001E135A" w:rsidP="001E135A">
      <w:pPr>
        <w:pStyle w:val="enumlev1"/>
        <w:rPr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850008">
        <w:rPr>
          <w:rFonts w:hint="cs"/>
          <w:rtl/>
          <w:lang w:bidi="ar-EG"/>
        </w:rPr>
        <w:t>الأسلوب</w:t>
      </w:r>
    </w:p>
    <w:p w14:paraId="57803F2F" w14:textId="565132AF" w:rsidR="001E135A" w:rsidRDefault="00850008" w:rsidP="001E135A">
      <w:pPr>
        <w:rPr>
          <w:lang w:bidi="ar-EG"/>
        </w:rPr>
      </w:pPr>
      <w:r w:rsidRPr="001B011E">
        <w:rPr>
          <w:rFonts w:hint="cs"/>
          <w:rtl/>
          <w:lang w:bidi="ar-EG"/>
        </w:rPr>
        <w:t xml:space="preserve">يلزم </w:t>
      </w:r>
      <w:r w:rsidR="001E135A" w:rsidRPr="001B011E">
        <w:rPr>
          <w:rFonts w:hint="cs"/>
          <w:rtl/>
          <w:lang w:bidi="ar-EG"/>
        </w:rPr>
        <w:t xml:space="preserve">تعديل القسم </w:t>
      </w:r>
      <w:r w:rsidR="001E135A" w:rsidRPr="001B011E">
        <w:rPr>
          <w:lang w:bidi="ar-EG"/>
        </w:rPr>
        <w:t>1</w:t>
      </w:r>
      <w:r w:rsidR="001E135A" w:rsidRPr="001B011E">
        <w:rPr>
          <w:rFonts w:hint="cs"/>
          <w:rtl/>
          <w:lang w:bidi="ar-EG"/>
        </w:rPr>
        <w:t xml:space="preserve"> من الملحق </w:t>
      </w:r>
      <w:r w:rsidR="001E135A" w:rsidRPr="001B011E">
        <w:rPr>
          <w:lang w:bidi="ar-EG"/>
        </w:rPr>
        <w:t>1</w:t>
      </w:r>
      <w:r w:rsidR="001E135A" w:rsidRPr="001B011E">
        <w:rPr>
          <w:rFonts w:hint="cs"/>
          <w:rtl/>
          <w:lang w:bidi="ar-EG"/>
        </w:rPr>
        <w:t xml:space="preserve"> بالتذييل </w:t>
      </w:r>
      <w:r w:rsidR="001E135A" w:rsidRPr="001B011E">
        <w:rPr>
          <w:b/>
          <w:bCs/>
          <w:lang w:bidi="ar-EG"/>
        </w:rPr>
        <w:t>30</w:t>
      </w:r>
      <w:r w:rsidR="001E135A" w:rsidRPr="001B011E">
        <w:rPr>
          <w:rFonts w:hint="cs"/>
          <w:rtl/>
          <w:lang w:bidi="ar-EG"/>
        </w:rPr>
        <w:t xml:space="preserve"> للوائح الراديو لتمكين تخصيصات القائمة من تجاوز حد الكثافة </w:t>
      </w:r>
      <w:proofErr w:type="spellStart"/>
      <w:r w:rsidR="001E135A" w:rsidRPr="001B011E">
        <w:rPr>
          <w:lang w:bidi="ar-EG"/>
        </w:rPr>
        <w:t>pfd</w:t>
      </w:r>
      <w:proofErr w:type="spellEnd"/>
      <w:r w:rsidR="001E135A" w:rsidRPr="001B011E">
        <w:rPr>
          <w:rFonts w:hint="cs"/>
          <w:rtl/>
          <w:lang w:bidi="ar-EG"/>
        </w:rPr>
        <w:t xml:space="preserve"> الوارد في</w:t>
      </w:r>
      <w:r w:rsidR="001E135A" w:rsidRPr="001B011E">
        <w:rPr>
          <w:rFonts w:hint="eastAsia"/>
          <w:rtl/>
          <w:lang w:bidi="ar-EG"/>
        </w:rPr>
        <w:t> </w:t>
      </w:r>
      <w:r w:rsidR="001E135A" w:rsidRPr="001B011E">
        <w:rPr>
          <w:rFonts w:hint="cs"/>
          <w:rtl/>
          <w:lang w:bidi="ar-EG"/>
        </w:rPr>
        <w:t xml:space="preserve">القسم </w:t>
      </w:r>
      <w:r w:rsidRPr="001B011E">
        <w:rPr>
          <w:lang w:bidi="ar-EG"/>
        </w:rPr>
        <w:t>1</w:t>
      </w:r>
      <w:r w:rsidRPr="001B011E">
        <w:rPr>
          <w:rFonts w:hint="cs"/>
          <w:rtl/>
          <w:lang w:val="en-GB" w:bidi="ar-EG"/>
        </w:rPr>
        <w:t xml:space="preserve"> من الملحق </w:t>
      </w:r>
      <w:r w:rsidRPr="001B011E">
        <w:rPr>
          <w:lang w:bidi="ar-EG"/>
        </w:rPr>
        <w:t>1</w:t>
      </w:r>
      <w:r w:rsidRPr="001B011E">
        <w:rPr>
          <w:rFonts w:hint="cs"/>
          <w:rtl/>
          <w:lang w:val="en-GB" w:bidi="ar-EG"/>
        </w:rPr>
        <w:t xml:space="preserve"> بالتذييل </w:t>
      </w:r>
      <w:r w:rsidRPr="001B011E">
        <w:rPr>
          <w:lang w:bidi="ar-EG"/>
        </w:rPr>
        <w:t>30</w:t>
      </w:r>
      <w:r w:rsidRPr="001B011E">
        <w:rPr>
          <w:rFonts w:hint="cs"/>
          <w:rtl/>
          <w:lang w:val="en-GB" w:bidi="ar-EG"/>
        </w:rPr>
        <w:t xml:space="preserve"> للوائح الراديو </w:t>
      </w:r>
      <w:r w:rsidR="003E139C" w:rsidRPr="001B011E">
        <w:rPr>
          <w:rFonts w:hint="cs"/>
          <w:rtl/>
          <w:lang w:val="en-GB" w:bidi="ar-EG"/>
        </w:rPr>
        <w:t xml:space="preserve">فقط </w:t>
      </w:r>
      <w:r w:rsidR="001E135A" w:rsidRPr="001B011E">
        <w:rPr>
          <w:rFonts w:hint="cs"/>
          <w:rtl/>
          <w:lang w:bidi="ar-EG"/>
        </w:rPr>
        <w:t>داخل الأراضي الوطنية للإدارة المبلغة شريطة ألا يتراكب التخصيص مع النطاقات الحارسة للإقليمين</w:t>
      </w:r>
      <w:r w:rsidR="001E135A" w:rsidRPr="001B011E">
        <w:rPr>
          <w:rFonts w:hint="eastAsia"/>
          <w:rtl/>
          <w:lang w:bidi="ar-EG"/>
        </w:rPr>
        <w:t> </w:t>
      </w:r>
      <w:r w:rsidR="001E135A" w:rsidRPr="001B011E">
        <w:rPr>
          <w:lang w:bidi="ar-EG"/>
        </w:rPr>
        <w:t>1</w:t>
      </w:r>
      <w:r w:rsidR="001E135A" w:rsidRPr="001B011E">
        <w:rPr>
          <w:rFonts w:hint="cs"/>
          <w:rtl/>
          <w:lang w:bidi="ar-EG"/>
        </w:rPr>
        <w:t xml:space="preserve"> و</w:t>
      </w:r>
      <w:r w:rsidR="001E135A" w:rsidRPr="001B011E">
        <w:rPr>
          <w:lang w:bidi="ar-EG"/>
        </w:rPr>
        <w:t>3</w:t>
      </w:r>
      <w:r w:rsidR="001E135A" w:rsidRPr="001B011E">
        <w:rPr>
          <w:rFonts w:hint="cs"/>
          <w:rtl/>
          <w:lang w:bidi="ar-EG"/>
        </w:rPr>
        <w:t xml:space="preserve"> </w:t>
      </w:r>
      <w:r w:rsidR="003E139C" w:rsidRPr="001B011E">
        <w:rPr>
          <w:rFonts w:hint="cs"/>
          <w:rtl/>
          <w:lang w:bidi="ar-EG"/>
        </w:rPr>
        <w:t xml:space="preserve">حسبما حددتها </w:t>
      </w:r>
      <w:r w:rsidR="001E135A" w:rsidRPr="001B011E">
        <w:rPr>
          <w:rFonts w:hint="cs"/>
          <w:rtl/>
          <w:lang w:bidi="ar-EG"/>
        </w:rPr>
        <w:t xml:space="preserve">الفقرة </w:t>
      </w:r>
      <w:r w:rsidR="001E135A" w:rsidRPr="001B011E">
        <w:rPr>
          <w:lang w:bidi="ar-EG"/>
        </w:rPr>
        <w:t>9.3</w:t>
      </w:r>
      <w:r w:rsidR="001E135A" w:rsidRPr="001B011E">
        <w:rPr>
          <w:rFonts w:hint="cs"/>
          <w:rtl/>
          <w:lang w:bidi="ar-EG"/>
        </w:rPr>
        <w:t xml:space="preserve"> من الملحق </w:t>
      </w:r>
      <w:r w:rsidR="001E135A" w:rsidRPr="001B011E">
        <w:rPr>
          <w:lang w:bidi="ar-EG"/>
        </w:rPr>
        <w:t>5</w:t>
      </w:r>
      <w:r w:rsidR="001E135A" w:rsidRPr="001B011E">
        <w:rPr>
          <w:rFonts w:hint="cs"/>
          <w:rtl/>
          <w:lang w:bidi="ar-EG"/>
        </w:rPr>
        <w:t xml:space="preserve"> بالتذييل </w:t>
      </w:r>
      <w:r w:rsidR="001E135A" w:rsidRPr="001B011E">
        <w:rPr>
          <w:b/>
          <w:bCs/>
          <w:lang w:bidi="ar-EG"/>
        </w:rPr>
        <w:t>30</w:t>
      </w:r>
      <w:r w:rsidR="001E135A" w:rsidRPr="001B011E">
        <w:rPr>
          <w:rFonts w:hint="cs"/>
          <w:rtl/>
          <w:lang w:bidi="ar-EG"/>
        </w:rPr>
        <w:t xml:space="preserve"> من لوائح الراديو وكذلك شريطة عدم تجاوز حد الكثافة </w:t>
      </w:r>
      <w:proofErr w:type="spellStart"/>
      <w:r w:rsidR="001E135A" w:rsidRPr="001B011E">
        <w:rPr>
          <w:lang w:bidi="ar-EG"/>
        </w:rPr>
        <w:t>pfd</w:t>
      </w:r>
      <w:proofErr w:type="spellEnd"/>
      <w:r w:rsidR="001E135A" w:rsidRPr="001B011E">
        <w:rPr>
          <w:rFonts w:hint="cs"/>
          <w:rtl/>
          <w:lang w:bidi="ar-EG"/>
        </w:rPr>
        <w:t xml:space="preserve"> هذا على المناطق الحدودية أو أي أراضي أخرى لبلدان أخرى.</w:t>
      </w:r>
    </w:p>
    <w:p w14:paraId="7B59722C" w14:textId="3C5EA63C" w:rsidR="001E135A" w:rsidRDefault="00402886" w:rsidP="001E135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إن </w:t>
      </w:r>
      <w:r w:rsidR="003E139C">
        <w:rPr>
          <w:rFonts w:hint="cs"/>
          <w:rtl/>
          <w:lang w:bidi="ar-EG"/>
        </w:rPr>
        <w:t xml:space="preserve">قيم الكثافة </w:t>
      </w:r>
      <w:proofErr w:type="spellStart"/>
      <w:r w:rsidR="003E139C">
        <w:rPr>
          <w:lang w:bidi="ar-EG"/>
        </w:rPr>
        <w:t>pfd</w:t>
      </w:r>
      <w:proofErr w:type="spellEnd"/>
      <w:r w:rsidR="003E139C">
        <w:rPr>
          <w:rFonts w:hint="cs"/>
          <w:rtl/>
          <w:lang w:bidi="ar-EG"/>
        </w:rPr>
        <w:t xml:space="preserve"> خارج </w:t>
      </w:r>
      <w:r>
        <w:rPr>
          <w:rFonts w:hint="cs"/>
          <w:rtl/>
          <w:lang w:bidi="ar-EG"/>
        </w:rPr>
        <w:t xml:space="preserve">الإدارات المبلغة هي دون الحدود، ومن ثم فالشبكات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للإدارات الأخرى مشمولة بالحماية بنفس الطريقة السابقة. وتنطبق إجراءات التنسيق الحالية عندما تقع الشبكات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داخل قوس التنسيق.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16DBA" w:rsidRPr="00016DBA" w14:paraId="77418D4F" w14:textId="77777777" w:rsidTr="00016DBA">
        <w:tc>
          <w:tcPr>
            <w:tcW w:w="4814" w:type="dxa"/>
          </w:tcPr>
          <w:p w14:paraId="0719CA3A" w14:textId="2BE1FB50" w:rsidR="00016DBA" w:rsidRPr="00202D0D" w:rsidRDefault="00016DBA" w:rsidP="00202D0D">
            <w:pPr>
              <w:pStyle w:val="FigureNo"/>
              <w:spacing w:before="60" w:after="60"/>
              <w:rPr>
                <w:rFonts w:eastAsia="MS Mincho"/>
                <w:lang w:bidi="ar-EG"/>
              </w:rPr>
            </w:pPr>
            <w:r w:rsidRPr="00202D0D">
              <w:rPr>
                <w:rFonts w:eastAsia="MS Mincho" w:hint="cs"/>
                <w:rtl/>
                <w:lang w:bidi="ar-EG"/>
              </w:rPr>
              <w:lastRenderedPageBreak/>
              <w:t xml:space="preserve">الشكل </w:t>
            </w:r>
            <w:r w:rsidRPr="00202D0D">
              <w:rPr>
                <w:rFonts w:eastAsia="MS Mincho"/>
                <w:lang w:bidi="ar-EG"/>
              </w:rPr>
              <w:t>1</w:t>
            </w:r>
          </w:p>
          <w:p w14:paraId="036FBB16" w14:textId="6E02ED70" w:rsidR="00787F40" w:rsidRPr="00202D0D" w:rsidRDefault="00787F40" w:rsidP="00202D0D">
            <w:pPr>
              <w:pStyle w:val="Figuretitle"/>
              <w:spacing w:before="60" w:after="60"/>
              <w:rPr>
                <w:rFonts w:eastAsia="MS Mincho" w:cs="Traditional Arabic"/>
                <w:rtl/>
                <w:lang w:val="en-NZ"/>
              </w:rPr>
            </w:pPr>
            <w:r w:rsidRPr="00202D0D">
              <w:rPr>
                <w:rFonts w:eastAsia="MS Mincho" w:cs="Traditional Arabic" w:hint="cs"/>
                <w:rtl/>
                <w:lang w:val="en-NZ"/>
              </w:rPr>
              <w:t>حزمة خطة اليابان</w:t>
            </w:r>
          </w:p>
        </w:tc>
        <w:tc>
          <w:tcPr>
            <w:tcW w:w="4815" w:type="dxa"/>
          </w:tcPr>
          <w:p w14:paraId="2A7D35D5" w14:textId="78E830D0" w:rsidR="00016DBA" w:rsidRPr="00202D0D" w:rsidRDefault="00016DBA" w:rsidP="00202D0D">
            <w:pPr>
              <w:pStyle w:val="FigureNo"/>
              <w:spacing w:before="60" w:after="60"/>
              <w:rPr>
                <w:rFonts w:eastAsia="MS Mincho"/>
                <w:lang w:bidi="ar-EG"/>
              </w:rPr>
            </w:pPr>
            <w:r w:rsidRPr="00202D0D">
              <w:rPr>
                <w:rFonts w:eastAsia="MS Mincho" w:hint="cs"/>
                <w:rtl/>
                <w:lang w:bidi="ar-EG"/>
              </w:rPr>
              <w:t xml:space="preserve">الشكل </w:t>
            </w:r>
            <w:r w:rsidRPr="00202D0D">
              <w:rPr>
                <w:rFonts w:eastAsia="MS Mincho"/>
                <w:lang w:bidi="ar-EG"/>
              </w:rPr>
              <w:t>2</w:t>
            </w:r>
          </w:p>
          <w:p w14:paraId="048B8387" w14:textId="309A5CE9" w:rsidR="00016DBA" w:rsidRPr="00016DBA" w:rsidRDefault="00787F40" w:rsidP="00202D0D">
            <w:pPr>
              <w:pStyle w:val="Figuretitle"/>
              <w:spacing w:before="60" w:after="60"/>
              <w:rPr>
                <w:rFonts w:eastAsia="SimSun"/>
                <w:lang w:val="en-NZ" w:eastAsia="ja-JP"/>
              </w:rPr>
            </w:pPr>
            <w:r w:rsidRPr="00202D0D">
              <w:rPr>
                <w:rFonts w:eastAsia="MS Mincho" w:cs="Traditional Arabic" w:hint="cs"/>
                <w:rtl/>
                <w:lang w:val="en-NZ"/>
              </w:rPr>
              <w:t>مثال للحزمة المقولبة لليابان</w:t>
            </w:r>
            <w:r w:rsidRPr="00202D0D">
              <w:rPr>
                <w:rFonts w:eastAsia="MS Mincho" w:cs="Traditional Arabic"/>
                <w:rtl/>
                <w:lang w:val="en-NZ"/>
              </w:rPr>
              <w:br/>
            </w:r>
            <w:r w:rsidRPr="00202D0D">
              <w:rPr>
                <w:rFonts w:eastAsia="SimSun" w:cs="Traditional Arabic" w:hint="cs"/>
                <w:rtl/>
                <w:lang w:val="en-NZ"/>
              </w:rPr>
              <w:t>(</w:t>
            </w:r>
            <w:r w:rsidR="004F264D" w:rsidRPr="00202D0D">
              <w:rPr>
                <w:rFonts w:eastAsia="SimSun" w:cs="Traditional Arabic" w:hint="cs"/>
                <w:rtl/>
                <w:lang w:val="en-NZ"/>
              </w:rPr>
              <w:t>قدرة عالية داخل الأراضي الوطنية)</w:t>
            </w:r>
          </w:p>
        </w:tc>
      </w:tr>
      <w:tr w:rsidR="00016DBA" w:rsidRPr="00016DBA" w14:paraId="7A6A1406" w14:textId="77777777" w:rsidTr="00016DBA">
        <w:tc>
          <w:tcPr>
            <w:tcW w:w="4814" w:type="dxa"/>
          </w:tcPr>
          <w:p w14:paraId="28D7038A" w14:textId="77777777" w:rsidR="00016DBA" w:rsidRPr="00016DBA" w:rsidRDefault="00016DBA" w:rsidP="00016DBA">
            <w:pPr>
              <w:keepNext/>
              <w:keepLines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24"/>
                <w:szCs w:val="20"/>
                <w:lang w:val="en-NZ" w:eastAsia="ja-JP"/>
              </w:rPr>
            </w:pPr>
            <w:r w:rsidRPr="00016DBA">
              <w:rPr>
                <w:rFonts w:eastAsia="MS Mincho" w:cs="Times New Roman"/>
                <w:noProof/>
                <w:sz w:val="24"/>
                <w:szCs w:val="20"/>
                <w:lang w:val="en-GB" w:eastAsia="en-GB"/>
              </w:rPr>
              <w:drawing>
                <wp:inline distT="0" distB="0" distL="0" distR="0" wp14:anchorId="528F2570" wp14:editId="589C0BE2">
                  <wp:extent cx="2332172" cy="2225040"/>
                  <wp:effectExtent l="0" t="0" r="0" b="3810"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69" r="40546" b="21218"/>
                          <a:stretch/>
                        </pic:blipFill>
                        <pic:spPr bwMode="auto">
                          <a:xfrm>
                            <a:off x="0" y="0"/>
                            <a:ext cx="2332172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5BAF9814" w14:textId="77777777" w:rsidR="00016DBA" w:rsidRPr="00016DBA" w:rsidRDefault="00016DBA" w:rsidP="00016DBA">
            <w:pPr>
              <w:keepNext/>
              <w:keepLines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MS Mincho" w:cs="Times New Roman"/>
                <w:sz w:val="24"/>
                <w:szCs w:val="20"/>
                <w:lang w:val="en-NZ" w:eastAsia="ja-JP"/>
              </w:rPr>
            </w:pPr>
            <w:r w:rsidRPr="00016DBA">
              <w:rPr>
                <w:rFonts w:eastAsia="MS Mincho" w:cs="Times New Roman"/>
                <w:noProof/>
                <w:sz w:val="24"/>
                <w:szCs w:val="20"/>
                <w:lang w:val="en-GB" w:eastAsia="en-GB"/>
              </w:rPr>
              <w:drawing>
                <wp:inline distT="0" distB="0" distL="0" distR="0" wp14:anchorId="7580C0E7" wp14:editId="67755C05">
                  <wp:extent cx="2019300" cy="240792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54" t="36460" r="46259" b="11565"/>
                          <a:stretch/>
                        </pic:blipFill>
                        <pic:spPr bwMode="auto">
                          <a:xfrm>
                            <a:off x="0" y="0"/>
                            <a:ext cx="2019646" cy="240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0A958" w14:textId="6DE5B51D" w:rsidR="00016DBA" w:rsidRPr="0070701A" w:rsidRDefault="004F264D" w:rsidP="004F264D">
      <w:pPr>
        <w:rPr>
          <w:spacing w:val="-2"/>
          <w:rtl/>
          <w:lang w:bidi="ar-EG"/>
        </w:rPr>
      </w:pPr>
      <w:r w:rsidRPr="0070701A">
        <w:rPr>
          <w:rFonts w:hint="cs"/>
          <w:spacing w:val="-2"/>
          <w:rtl/>
          <w:lang w:bidi="ar-EG"/>
        </w:rPr>
        <w:t xml:space="preserve">يبين الشكل </w:t>
      </w:r>
      <w:r w:rsidRPr="0070701A">
        <w:rPr>
          <w:spacing w:val="-2"/>
          <w:lang w:bidi="ar-EG"/>
        </w:rPr>
        <w:t>1</w:t>
      </w:r>
      <w:r w:rsidRPr="0070701A">
        <w:rPr>
          <w:rFonts w:hint="cs"/>
          <w:spacing w:val="-2"/>
          <w:rtl/>
          <w:lang w:bidi="ar-EG"/>
        </w:rPr>
        <w:t xml:space="preserve"> حزمة خطة اليابان. عند زيادة قدرة مرسلة باتجاه اليابان باستخدام حزمة مقولبة في الشكل </w:t>
      </w:r>
      <w:r w:rsidRPr="0070701A">
        <w:rPr>
          <w:spacing w:val="-2"/>
          <w:lang w:bidi="ar-EG"/>
        </w:rPr>
        <w:t>2</w:t>
      </w:r>
      <w:r w:rsidRPr="0070701A">
        <w:rPr>
          <w:rFonts w:hint="cs"/>
          <w:spacing w:val="-2"/>
          <w:rtl/>
          <w:lang w:bidi="ar-EG"/>
        </w:rPr>
        <w:t xml:space="preserve">، تصبح القدرة المرسلة باتجاه خارج اليابان أقل من حزمة الخطة في الشكل </w:t>
      </w:r>
      <w:r w:rsidRPr="0070701A">
        <w:rPr>
          <w:spacing w:val="-2"/>
          <w:lang w:bidi="ar-EG"/>
        </w:rPr>
        <w:t>1</w:t>
      </w:r>
      <w:r w:rsidRPr="0070701A">
        <w:rPr>
          <w:rFonts w:hint="cs"/>
          <w:spacing w:val="-2"/>
          <w:rtl/>
          <w:lang w:bidi="ar-EG"/>
        </w:rPr>
        <w:t xml:space="preserve">. </w:t>
      </w:r>
      <w:r w:rsidR="001B011E" w:rsidRPr="0070701A">
        <w:rPr>
          <w:rFonts w:hint="cs"/>
          <w:spacing w:val="-2"/>
          <w:rtl/>
          <w:lang w:bidi="ar-EG"/>
        </w:rPr>
        <w:t xml:space="preserve">وتخفض </w:t>
      </w:r>
      <w:r w:rsidR="00016DBA" w:rsidRPr="0070701A">
        <w:rPr>
          <w:rFonts w:hint="cs"/>
          <w:spacing w:val="-2"/>
          <w:rtl/>
          <w:lang w:bidi="ar-EG"/>
        </w:rPr>
        <w:t xml:space="preserve">الإدارة التي تشغل تخصيصات مع تجاوز لكثافة </w:t>
      </w:r>
      <w:proofErr w:type="spellStart"/>
      <w:r w:rsidR="00016DBA" w:rsidRPr="0070701A">
        <w:rPr>
          <w:spacing w:val="-2"/>
          <w:lang w:bidi="ar-EG"/>
        </w:rPr>
        <w:t>pfd</w:t>
      </w:r>
      <w:proofErr w:type="spellEnd"/>
      <w:r w:rsidR="00016DBA" w:rsidRPr="0070701A">
        <w:rPr>
          <w:rFonts w:hint="cs"/>
          <w:spacing w:val="-2"/>
          <w:rtl/>
          <w:lang w:bidi="ar-EG"/>
        </w:rPr>
        <w:t xml:space="preserve"> على الفور، بمجرد استلام تقرير تجاوز الكثافة </w:t>
      </w:r>
      <w:proofErr w:type="spellStart"/>
      <w:r w:rsidR="00016DBA" w:rsidRPr="0070701A">
        <w:rPr>
          <w:spacing w:val="-2"/>
          <w:lang w:bidi="ar-EG"/>
        </w:rPr>
        <w:t>pfd</w:t>
      </w:r>
      <w:proofErr w:type="spellEnd"/>
      <w:r w:rsidR="00016DBA" w:rsidRPr="0070701A">
        <w:rPr>
          <w:rFonts w:hint="cs"/>
          <w:spacing w:val="-2"/>
          <w:rtl/>
          <w:lang w:bidi="ar-EG"/>
        </w:rPr>
        <w:t>، هذا التجاوز إلى مستوى مقبول فوق أراضي الإدارة التي أبلغت عن تجاوز كثافة تدفق القدرة.</w:t>
      </w:r>
    </w:p>
    <w:p w14:paraId="2F6CD06B" w14:textId="77777777" w:rsidR="001E135A" w:rsidRPr="001E135A" w:rsidRDefault="001E135A" w:rsidP="001E135A">
      <w:pPr>
        <w:rPr>
          <w:rtl/>
          <w:lang w:bidi="ar-EG"/>
        </w:rPr>
      </w:pPr>
    </w:p>
    <w:p w14:paraId="5C511E88" w14:textId="77777777" w:rsidR="001E135A" w:rsidRPr="008C7900" w:rsidRDefault="001E135A" w:rsidP="0070701A">
      <w:pPr>
        <w:jc w:val="center"/>
        <w:rPr>
          <w:rFonts w:eastAsia="SimSun"/>
          <w:lang w:eastAsia="zh-CN" w:bidi="ar-EG"/>
        </w:rPr>
      </w:pPr>
      <w:bookmarkStart w:id="35" w:name="_GoBack"/>
      <w:bookmarkEnd w:id="35"/>
      <w:r w:rsidRPr="008C7900">
        <w:rPr>
          <w:rtl/>
          <w:lang w:eastAsia="zh-CN" w:bidi="ar-EG"/>
        </w:rPr>
        <w:t>___________</w:t>
      </w:r>
    </w:p>
    <w:sectPr w:rsidR="001E135A" w:rsidRPr="008C7900">
      <w:headerReference w:type="even" r:id="rId15"/>
      <w:headerReference w:type="default" r:id="rId16"/>
      <w:footerReference w:type="default" r:id="rId17"/>
      <w:footerReference w:type="first" r:id="rId18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AD8CD" w14:textId="77777777" w:rsidR="00EA5D25" w:rsidRDefault="00EA5D25" w:rsidP="002919E1">
      <w:r>
        <w:separator/>
      </w:r>
    </w:p>
    <w:p w14:paraId="1A6C2789" w14:textId="77777777" w:rsidR="00EA5D25" w:rsidRDefault="00EA5D25" w:rsidP="002919E1"/>
    <w:p w14:paraId="42357E4C" w14:textId="77777777" w:rsidR="00EA5D25" w:rsidRDefault="00EA5D25" w:rsidP="002919E1"/>
    <w:p w14:paraId="193B070C" w14:textId="77777777" w:rsidR="00EA5D25" w:rsidRDefault="00EA5D25"/>
  </w:endnote>
  <w:endnote w:type="continuationSeparator" w:id="0">
    <w:p w14:paraId="35B703EB" w14:textId="77777777" w:rsidR="00EA5D25" w:rsidRDefault="00EA5D25" w:rsidP="002919E1">
      <w:r>
        <w:continuationSeparator/>
      </w:r>
    </w:p>
    <w:p w14:paraId="491E2E94" w14:textId="77777777" w:rsidR="00EA5D25" w:rsidRDefault="00EA5D25" w:rsidP="002919E1"/>
    <w:p w14:paraId="25EDC64C" w14:textId="77777777" w:rsidR="00EA5D25" w:rsidRDefault="00EA5D25" w:rsidP="002919E1"/>
    <w:p w14:paraId="2DDD25FB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99894" w14:textId="427B7E18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02D0D">
      <w:rPr>
        <w:noProof/>
      </w:rPr>
      <w:t>P:\ARA\ITU-R\CONF-R\CMR19\000\082A.docx</w:t>
    </w:r>
    <w:r>
      <w:fldChar w:fldCharType="end"/>
    </w:r>
    <w:proofErr w:type="gramStart"/>
    <w:r w:rsidRPr="00A809E8">
      <w:t xml:space="preserve">   (</w:t>
    </w:r>
    <w:proofErr w:type="gramEnd"/>
    <w:r w:rsidR="00856256">
      <w:t>462175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E13C1" w14:textId="3FF2AF6B" w:rsidR="00281F5F" w:rsidRPr="00856256" w:rsidRDefault="00856256" w:rsidP="0085625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02D0D">
      <w:rPr>
        <w:noProof/>
      </w:rPr>
      <w:t>P:\ARA\ITU-R\CONF-R\CMR19\000\082A.docx</w:t>
    </w:r>
    <w:r>
      <w:fldChar w:fldCharType="end"/>
    </w:r>
    <w:proofErr w:type="gramStart"/>
    <w:r w:rsidRPr="00A809E8">
      <w:t xml:space="preserve">   (</w:t>
    </w:r>
    <w:proofErr w:type="gramEnd"/>
    <w:r>
      <w:t>462175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8DCF8" w14:textId="77777777" w:rsidR="00EA5D25" w:rsidRDefault="00EA5D25" w:rsidP="002919E1">
      <w:r>
        <w:t>___________________</w:t>
      </w:r>
    </w:p>
  </w:footnote>
  <w:footnote w:type="continuationSeparator" w:id="0">
    <w:p w14:paraId="77FEC65D" w14:textId="77777777" w:rsidR="00EA5D25" w:rsidRDefault="00EA5D25" w:rsidP="002919E1">
      <w:r>
        <w:continuationSeparator/>
      </w:r>
    </w:p>
    <w:p w14:paraId="040CC7BD" w14:textId="77777777" w:rsidR="00EA5D25" w:rsidRDefault="00EA5D25" w:rsidP="002919E1"/>
    <w:p w14:paraId="79574B23" w14:textId="77777777" w:rsidR="00EA5D25" w:rsidRDefault="00EA5D25" w:rsidP="002919E1"/>
    <w:p w14:paraId="24EA87BC" w14:textId="77777777" w:rsidR="00EA5D25" w:rsidRDefault="00EA5D25"/>
  </w:footnote>
  <w:footnote w:id="1">
    <w:p w14:paraId="6BFFC48D" w14:textId="77777777" w:rsidR="00D859EF" w:rsidRDefault="00016DBA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</w:t>
      </w:r>
      <w:proofErr w:type="gramStart"/>
      <w:r>
        <w:rPr>
          <w:rFonts w:hint="cs"/>
          <w:rtl/>
        </w:rPr>
        <w:t>المدارية.</w:t>
      </w:r>
      <w:r w:rsidRPr="00220444">
        <w:rPr>
          <w:sz w:val="16"/>
          <w:szCs w:val="16"/>
        </w:rPr>
        <w:t>(</w:t>
      </w:r>
      <w:proofErr w:type="gramEnd"/>
      <w:r w:rsidRPr="00220444">
        <w:rPr>
          <w:sz w:val="16"/>
          <w:szCs w:val="16"/>
        </w:rPr>
        <w:t>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4E244145" w14:textId="2BC00BF0" w:rsidR="00D859EF" w:rsidRPr="00AB5C78" w:rsidRDefault="00016DBA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</w:t>
      </w:r>
      <w:proofErr w:type="gramStart"/>
      <w:r w:rsidRPr="00D919F8">
        <w:rPr>
          <w:b/>
          <w:bCs/>
        </w:rPr>
        <w:t>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</w:t>
      </w:r>
      <w:proofErr w:type="gramEnd"/>
      <w:r w:rsidRPr="00D919F8">
        <w:rPr>
          <w:sz w:val="16"/>
          <w:szCs w:val="16"/>
        </w:rPr>
        <w:t>WRC-03)</w:t>
      </w:r>
      <w:r w:rsidR="001E135A">
        <w:rPr>
          <w:sz w:val="16"/>
          <w:szCs w:val="16"/>
        </w:rPr>
        <w:t>   </w:t>
      </w:r>
      <w:r>
        <w:rPr>
          <w:sz w:val="16"/>
          <w:szCs w:val="16"/>
        </w:rPr>
        <w:t>  </w:t>
      </w:r>
    </w:p>
    <w:p w14:paraId="5FE8CB35" w14:textId="77777777" w:rsidR="00D859EF" w:rsidRPr="00034A8D" w:rsidRDefault="00016DBA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00C8939D" w14:textId="77777777" w:rsidR="00D859EF" w:rsidRDefault="00016DBA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29D39BF8" w14:textId="77777777" w:rsidR="00D859EF" w:rsidRDefault="00016DBA" w:rsidP="006419E8">
      <w:pPr>
        <w:pStyle w:val="FootnoteText"/>
        <w:spacing w:before="120"/>
        <w:rPr>
          <w:rFonts w:ascii="Times" w:hAnsi="Times"/>
          <w:sz w:val="16"/>
          <w:szCs w:val="22"/>
          <w:rtl/>
        </w:rPr>
      </w:pPr>
      <w:r>
        <w:rPr>
          <w:rStyle w:val="FootnoteReference"/>
          <w:rtl/>
        </w:rPr>
        <w:t>25</w:t>
      </w:r>
      <w:r>
        <w:rPr>
          <w:rtl/>
        </w:rPr>
        <w:t xml:space="preserve"> </w:t>
      </w:r>
      <w:r>
        <w:tab/>
      </w:r>
      <w:r w:rsidRPr="00543B29">
        <w:rPr>
          <w:rFonts w:hint="cs"/>
          <w:rtl/>
        </w:rPr>
        <w:t>تتعلق الحدود المذكورة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 xml:space="preserve">هذا الملحق، ما عدا الفقرة </w:t>
      </w:r>
      <w:r w:rsidRPr="00543B29">
        <w:t>2</w:t>
      </w:r>
      <w:r w:rsidRPr="00543B29">
        <w:rPr>
          <w:rFonts w:hint="cs"/>
          <w:rtl/>
        </w:rPr>
        <w:t>، بكثافة تدفق القدرة الحاصلة بافتراض حدوث الانتشار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>الفضاء الحر.</w:t>
      </w:r>
    </w:p>
    <w:p w14:paraId="361339D5" w14:textId="77777777" w:rsidR="00D859EF" w:rsidRDefault="00016DBA" w:rsidP="006419E8">
      <w:pPr>
        <w:pStyle w:val="FootnoteText"/>
      </w:pPr>
      <w:r>
        <w:rPr>
          <w:rFonts w:hint="cs"/>
          <w:rtl/>
        </w:rPr>
        <w:tab/>
        <w:t xml:space="preserve">أما في الفقرة </w:t>
      </w:r>
      <w:r>
        <w:t>2</w:t>
      </w:r>
      <w:r>
        <w:rPr>
          <w:rFonts w:hint="cs"/>
          <w:rtl/>
        </w:rPr>
        <w:t xml:space="preserve"> من هذا الملحق، فالحد المعين فيها يتعلق بهامش الحماية الشاملة المكافئة المحسوب وفقاً للفقرة </w:t>
      </w:r>
      <w:r>
        <w:t>4.2.2</w:t>
      </w:r>
      <w:r>
        <w:rPr>
          <w:rFonts w:hint="cs"/>
          <w:rtl/>
        </w:rPr>
        <w:t xml:space="preserve"> من الملحق </w:t>
      </w:r>
      <w:r>
        <w:t>5</w:t>
      </w:r>
      <w:r>
        <w:rPr>
          <w:rFonts w:hint="cs"/>
          <w:rtl/>
        </w:rPr>
        <w:t>.</w:t>
      </w:r>
    </w:p>
  </w:footnote>
  <w:footnote w:id="4">
    <w:p w14:paraId="1A9E8353" w14:textId="77777777" w:rsidR="00B91DAD" w:rsidRPr="0050652E" w:rsidRDefault="00016DBA" w:rsidP="00824978">
      <w:pPr>
        <w:pStyle w:val="FootnoteText"/>
        <w:keepNext/>
        <w:tabs>
          <w:tab w:val="clear" w:pos="372"/>
          <w:tab w:val="clear" w:pos="1134"/>
          <w:tab w:val="left" w:pos="425"/>
        </w:tabs>
        <w:rPr>
          <w:ins w:id="6" w:author="Aly, Abdullah" w:date="2018-08-09T11:02:00Z"/>
          <w:rtl/>
        </w:rPr>
      </w:pPr>
      <w:ins w:id="7" w:author="Tahawi, Hiba" w:date="2019-02-16T16:33:00Z">
        <w:r>
          <w:rPr>
            <w:rStyle w:val="FootnoteReference"/>
            <w:rtl/>
          </w:rPr>
          <w:t>26</w:t>
        </w:r>
      </w:ins>
      <w:r w:rsidRPr="0050652E">
        <w:tab/>
      </w:r>
      <w:del w:id="8" w:author="" w:date="2018-07-10T11:21:00Z">
        <w:r w:rsidRPr="0050652E" w:rsidDel="00C668CC">
          <w:rPr>
            <w:color w:val="000000"/>
            <w:sz w:val="16"/>
            <w:szCs w:val="16"/>
          </w:rPr>
          <w:delText>(SUP </w:delText>
        </w:r>
        <w:r w:rsidRPr="0050652E" w:rsidDel="00C668CC">
          <w:rPr>
            <w:sz w:val="16"/>
            <w:szCs w:val="16"/>
          </w:rPr>
          <w:delText>-</w:delText>
        </w:r>
        <w:r w:rsidRPr="0050652E" w:rsidDel="00C668CC">
          <w:rPr>
            <w:color w:val="000000"/>
            <w:sz w:val="16"/>
            <w:szCs w:val="16"/>
          </w:rPr>
          <w:delText> WRC-15)</w:delText>
        </w:r>
      </w:del>
      <w:ins w:id="9" w:author="Aly, Abdullah" w:date="2018-08-09T11:01:00Z">
        <w:r w:rsidRPr="0050652E">
          <w:rPr>
            <w:rFonts w:hint="cs"/>
            <w:rtl/>
          </w:rPr>
          <w:t xml:space="preserve">الحد البالغ </w:t>
        </w:r>
      </w:ins>
      <w:proofErr w:type="gramStart"/>
      <w:ins w:id="10" w:author="Aly, Abdullah" w:date="2018-08-09T11:06:00Z">
        <w:r w:rsidRPr="0050652E">
          <w:rPr>
            <w:spacing w:val="-3"/>
            <w:lang w:eastAsia="ja-JP"/>
          </w:rPr>
          <w:t>dB(</w:t>
        </w:r>
        <w:proofErr w:type="gramEnd"/>
        <w:r w:rsidRPr="0050652E">
          <w:rPr>
            <w:spacing w:val="-3"/>
            <w:lang w:eastAsia="ja-JP"/>
          </w:rPr>
          <w:t>W/(m</w:t>
        </w:r>
        <w:r w:rsidRPr="0050652E">
          <w:rPr>
            <w:spacing w:val="-3"/>
            <w:vertAlign w:val="superscript"/>
            <w:lang w:eastAsia="ja-JP"/>
          </w:rPr>
          <w:t>2</w:t>
        </w:r>
        <w:r w:rsidRPr="0050652E">
          <w:rPr>
            <w:spacing w:val="-3"/>
            <w:lang w:eastAsia="ja-JP"/>
          </w:rPr>
          <w:t xml:space="preserve"> · 27 MHz))</w:t>
        </w:r>
        <w:r w:rsidRPr="0050652E">
          <w:t xml:space="preserve"> 103,6</w:t>
        </w:r>
        <w:r w:rsidRPr="0050652E">
          <w:rPr>
            <w:spacing w:val="-3"/>
            <w:lang w:eastAsia="ja-JP"/>
          </w:rPr>
          <w:t>−</w:t>
        </w:r>
      </w:ins>
      <w:ins w:id="11" w:author="Aly, Abdullah" w:date="2018-08-09T11:01:00Z">
        <w:r w:rsidRPr="0050652E">
          <w:rPr>
            <w:rFonts w:hint="cs"/>
            <w:rtl/>
          </w:rPr>
          <w:t xml:space="preserve"> لا يمكن تجاوزه إلا في الأراضي الواقعة تحت ولاية الإدارة المبلغة، شريطة ألا</w:t>
        </w:r>
      </w:ins>
      <w:ins w:id="12" w:author="Aly, Abdullah" w:date="2018-08-09T11:36:00Z">
        <w:r w:rsidRPr="0050652E">
          <w:rPr>
            <w:rFonts w:hint="eastAsia"/>
            <w:rtl/>
          </w:rPr>
          <w:t> </w:t>
        </w:r>
      </w:ins>
      <w:ins w:id="13" w:author="Aly, Abdullah" w:date="2018-08-09T11:01:00Z">
        <w:r w:rsidRPr="0050652E">
          <w:rPr>
            <w:rFonts w:hint="cs"/>
            <w:rtl/>
          </w:rPr>
          <w:t>يتراكب تخصيص التردد مع النطاقات الحارسة للإقليمين </w:t>
        </w:r>
        <w:r w:rsidRPr="0050652E">
          <w:t>1</w:t>
        </w:r>
        <w:r w:rsidRPr="0050652E">
          <w:rPr>
            <w:rFonts w:hint="cs"/>
            <w:rtl/>
          </w:rPr>
          <w:t xml:space="preserve"> و</w:t>
        </w:r>
        <w:r w:rsidRPr="0050652E">
          <w:t>3</w:t>
        </w:r>
        <w:r w:rsidRPr="0050652E">
          <w:rPr>
            <w:rFonts w:hint="cs"/>
            <w:rtl/>
          </w:rPr>
          <w:t xml:space="preserve">. </w:t>
        </w:r>
      </w:ins>
      <w:ins w:id="14" w:author="Aly, Abdullah" w:date="2018-08-09T11:02:00Z">
        <w:r w:rsidRPr="0050652E">
          <w:rPr>
            <w:rFonts w:hint="cs"/>
            <w:rtl/>
          </w:rPr>
          <w:t xml:space="preserve">ويقتصر تجاوز كثافة تدفق القدرة </w:t>
        </w:r>
        <w:r w:rsidRPr="0050652E">
          <w:t>(</w:t>
        </w:r>
        <w:proofErr w:type="spellStart"/>
        <w:r w:rsidRPr="0050652E">
          <w:t>pfd</w:t>
        </w:r>
        <w:proofErr w:type="spellEnd"/>
        <w:r w:rsidRPr="0050652E">
          <w:t>)</w:t>
        </w:r>
        <w:r w:rsidRPr="0050652E">
          <w:rPr>
            <w:rFonts w:hint="cs"/>
            <w:rtl/>
          </w:rPr>
          <w:t xml:space="preserve"> هذا على التخصيصات المقدمة من إدارة تعمل ب</w:t>
        </w:r>
      </w:ins>
      <w:ins w:id="15" w:author="Aly, Abdullah" w:date="2018-08-09T11:07:00Z">
        <w:r w:rsidRPr="0050652E">
          <w:rPr>
            <w:rFonts w:hint="cs"/>
            <w:rtl/>
          </w:rPr>
          <w:t>ا</w:t>
        </w:r>
      </w:ins>
      <w:ins w:id="16" w:author="Aly, Abdullah" w:date="2018-08-09T11:02:00Z">
        <w:r w:rsidRPr="0050652E">
          <w:rPr>
            <w:rFonts w:hint="cs"/>
            <w:rtl/>
          </w:rPr>
          <w:t>ل</w:t>
        </w:r>
      </w:ins>
      <w:ins w:id="17" w:author="Riz, Imad " w:date="2018-08-13T12:13:00Z">
        <w:r>
          <w:rPr>
            <w:rFonts w:hint="cs"/>
            <w:rtl/>
          </w:rPr>
          <w:t>أ</w:t>
        </w:r>
      </w:ins>
      <w:ins w:id="18" w:author="Aly, Abdullah" w:date="2018-08-09T11:02:00Z">
        <w:r w:rsidRPr="0050652E">
          <w:rPr>
            <w:rFonts w:hint="cs"/>
            <w:rtl/>
          </w:rPr>
          <w:t>صالة عن نفسها.</w:t>
        </w:r>
      </w:ins>
    </w:p>
    <w:p w14:paraId="4E20C857" w14:textId="77777777" w:rsidR="00B91DAD" w:rsidRPr="00F05F2D" w:rsidRDefault="00016DBA" w:rsidP="00824978">
      <w:pPr>
        <w:pStyle w:val="FootnoteText"/>
        <w:keepNext/>
        <w:tabs>
          <w:tab w:val="clear" w:pos="372"/>
          <w:tab w:val="clear" w:pos="1134"/>
        </w:tabs>
        <w:rPr>
          <w:ins w:id="19" w:author="Aly, Abdullah" w:date="2018-07-23T15:11:00Z"/>
          <w:rtl/>
        </w:rPr>
      </w:pPr>
      <w:ins w:id="20" w:author="Aly, Abdullah" w:date="2018-08-09T11:02:00Z">
        <w:r w:rsidRPr="0050652E">
          <w:rPr>
            <w:rFonts w:hint="eastAsia"/>
            <w:rtl/>
          </w:rPr>
          <w:t>يجب</w:t>
        </w:r>
        <w:r w:rsidRPr="0050652E">
          <w:rPr>
            <w:rtl/>
          </w:rPr>
          <w:t xml:space="preserve"> عدم تجاوز الحد البالغ </w:t>
        </w:r>
      </w:ins>
      <w:proofErr w:type="gramStart"/>
      <w:ins w:id="21" w:author="Aly, Abdullah" w:date="2018-08-09T11:06:00Z">
        <w:r w:rsidRPr="00B86A2A">
          <w:t>dB(</w:t>
        </w:r>
        <w:proofErr w:type="gramEnd"/>
        <w:r w:rsidRPr="00B86A2A">
          <w:t>W/(m</w:t>
        </w:r>
        <w:r w:rsidRPr="005539B6">
          <w:rPr>
            <w:spacing w:val="-3"/>
            <w:vertAlign w:val="superscript"/>
            <w:lang w:eastAsia="ja-JP"/>
          </w:rPr>
          <w:t>2</w:t>
        </w:r>
        <w:r w:rsidRPr="00B86A2A">
          <w:t xml:space="preserve"> · 27 MHz))</w:t>
        </w:r>
        <w:r w:rsidRPr="0050652E">
          <w:t xml:space="preserve"> 103,6</w:t>
        </w:r>
        <w:r w:rsidRPr="00B86A2A">
          <w:t>−</w:t>
        </w:r>
      </w:ins>
      <w:ins w:id="22" w:author="Aly, Abdullah" w:date="2018-08-09T11:02:00Z">
        <w:r w:rsidRPr="0050652E">
          <w:rPr>
            <w:rtl/>
          </w:rPr>
          <w:t xml:space="preserve"> على المناطق الحدودية وأي أراضي أخرى تخضع لولاية أي إدارة أخرى. </w:t>
        </w:r>
      </w:ins>
      <w:ins w:id="23" w:author="Aly, Abdullah" w:date="2018-08-09T11:03:00Z">
        <w:r w:rsidRPr="0050652E">
          <w:rPr>
            <w:rFonts w:hint="eastAsia"/>
            <w:rtl/>
          </w:rPr>
          <w:t>وفي</w:t>
        </w:r>
      </w:ins>
      <w:ins w:id="24" w:author="Aly, Abdullah" w:date="2018-08-09T11:09:00Z">
        <w:r w:rsidRPr="0050652E">
          <w:rPr>
            <w:rFonts w:hint="eastAsia"/>
            <w:rtl/>
          </w:rPr>
          <w:t> </w:t>
        </w:r>
      </w:ins>
      <w:ins w:id="25" w:author="Aly, Abdullah" w:date="2018-08-09T11:03:00Z">
        <w:r w:rsidRPr="0050652E">
          <w:rPr>
            <w:rFonts w:hint="eastAsia"/>
            <w:rtl/>
          </w:rPr>
          <w:t>حالة</w:t>
        </w:r>
        <w:r w:rsidRPr="0050652E">
          <w:rPr>
            <w:rtl/>
          </w:rPr>
          <w:t xml:space="preserve"> </w:t>
        </w:r>
        <w:r w:rsidRPr="0050652E">
          <w:rPr>
            <w:rFonts w:hint="eastAsia"/>
            <w:rtl/>
          </w:rPr>
          <w:t>إبلاغ</w:t>
        </w:r>
        <w:r w:rsidRPr="0050652E">
          <w:rPr>
            <w:rtl/>
          </w:rPr>
          <w:t xml:space="preserve"> </w:t>
        </w:r>
        <w:r w:rsidRPr="0050652E">
          <w:rPr>
            <w:rFonts w:hint="eastAsia"/>
            <w:rtl/>
          </w:rPr>
          <w:t>أي</w:t>
        </w:r>
        <w:r w:rsidRPr="0050652E">
          <w:rPr>
            <w:rtl/>
          </w:rPr>
          <w:t xml:space="preserve"> </w:t>
        </w:r>
        <w:r w:rsidRPr="0050652E">
          <w:rPr>
            <w:rFonts w:hint="eastAsia"/>
            <w:rtl/>
          </w:rPr>
          <w:t>إدارة</w:t>
        </w:r>
        <w:r w:rsidRPr="0050652E">
          <w:rPr>
            <w:rtl/>
          </w:rPr>
          <w:t xml:space="preserve"> </w:t>
        </w:r>
        <w:r w:rsidRPr="0050652E">
          <w:rPr>
            <w:rFonts w:hint="eastAsia"/>
            <w:rtl/>
          </w:rPr>
          <w:t>عن</w:t>
        </w:r>
        <w:r w:rsidRPr="0050652E">
          <w:rPr>
            <w:rtl/>
          </w:rPr>
          <w:t xml:space="preserve"> </w:t>
        </w:r>
        <w:r w:rsidRPr="0050652E">
          <w:rPr>
            <w:rFonts w:hint="eastAsia"/>
            <w:rtl/>
          </w:rPr>
          <w:t>تجاوز</w:t>
        </w:r>
        <w:r w:rsidRPr="0050652E">
          <w:rPr>
            <w:rtl/>
          </w:rPr>
          <w:t xml:space="preserve"> </w:t>
        </w:r>
        <w:r w:rsidRPr="0050652E">
          <w:rPr>
            <w:rFonts w:hint="eastAsia"/>
            <w:rtl/>
          </w:rPr>
          <w:t>هذا</w:t>
        </w:r>
        <w:r w:rsidRPr="0050652E">
          <w:rPr>
            <w:rtl/>
          </w:rPr>
          <w:t xml:space="preserve"> الحد في أراضي تخضع لولايتها، </w:t>
        </w:r>
      </w:ins>
      <w:ins w:id="26" w:author="Aly, Abdullah" w:date="2018-08-09T11:10:00Z">
        <w:r w:rsidRPr="0050652E">
          <w:rPr>
            <w:rFonts w:hint="cs"/>
            <w:rtl/>
          </w:rPr>
          <w:t>ف</w:t>
        </w:r>
      </w:ins>
      <w:ins w:id="27" w:author="Aly, Abdullah" w:date="2018-08-09T11:03:00Z">
        <w:r w:rsidRPr="0050652E">
          <w:rPr>
            <w:rFonts w:hint="eastAsia"/>
            <w:rtl/>
          </w:rPr>
          <w:t>إن</w:t>
        </w:r>
        <w:r w:rsidRPr="0050652E">
          <w:rPr>
            <w:rtl/>
          </w:rPr>
          <w:t xml:space="preserve"> على الإدارة التي تشغل تخصيصات مع تجاوز لكثافة </w:t>
        </w:r>
        <w:proofErr w:type="spellStart"/>
        <w:r w:rsidRPr="0050652E">
          <w:t>pfd</w:t>
        </w:r>
      </w:ins>
      <w:proofErr w:type="spellEnd"/>
      <w:ins w:id="28" w:author="Aly, Abdullah" w:date="2018-08-09T11:04:00Z">
        <w:r w:rsidRPr="0050652E">
          <w:rPr>
            <w:rtl/>
          </w:rPr>
          <w:t xml:space="preserve"> أن </w:t>
        </w:r>
        <w:r w:rsidRPr="0050652E">
          <w:rPr>
            <w:rFonts w:hint="eastAsia"/>
            <w:rtl/>
          </w:rPr>
          <w:t>تخ</w:t>
        </w:r>
      </w:ins>
      <w:ins w:id="29" w:author="Aly, Abdullah" w:date="2018-08-09T11:11:00Z">
        <w:r w:rsidRPr="0050652E">
          <w:rPr>
            <w:rFonts w:hint="eastAsia"/>
            <w:rtl/>
          </w:rPr>
          <w:t>فض</w:t>
        </w:r>
      </w:ins>
      <w:ins w:id="30" w:author="Aly, Abdullah" w:date="2018-08-09T11:04:00Z">
        <w:r w:rsidRPr="0050652E">
          <w:rPr>
            <w:rtl/>
          </w:rPr>
          <w:t xml:space="preserve"> على الفور، بمجرد استلام تقرير تجاوز الكثافة </w:t>
        </w:r>
        <w:proofErr w:type="spellStart"/>
        <w:r w:rsidRPr="0050652E">
          <w:t>pfd</w:t>
        </w:r>
        <w:proofErr w:type="spellEnd"/>
        <w:r w:rsidRPr="0050652E">
          <w:rPr>
            <w:rFonts w:hint="eastAsia"/>
            <w:rtl/>
          </w:rPr>
          <w:t>،</w:t>
        </w:r>
        <w:r w:rsidRPr="0050652E">
          <w:rPr>
            <w:rtl/>
          </w:rPr>
          <w:t xml:space="preserve"> هذا التجاوز إلى </w:t>
        </w:r>
      </w:ins>
      <w:ins w:id="31" w:author="Aly, Abdullah" w:date="2018-08-09T11:12:00Z">
        <w:r w:rsidRPr="0050652E">
          <w:rPr>
            <w:rFonts w:hint="cs"/>
            <w:rtl/>
          </w:rPr>
          <w:t>مستوى</w:t>
        </w:r>
      </w:ins>
      <w:ins w:id="32" w:author="Aly, Abdullah" w:date="2018-08-09T11:05:00Z">
        <w:r w:rsidRPr="0050652E">
          <w:rPr>
            <w:rtl/>
          </w:rPr>
          <w:t xml:space="preserve"> مقب</w:t>
        </w:r>
        <w:r w:rsidRPr="0050652E">
          <w:rPr>
            <w:rFonts w:hint="eastAsia"/>
            <w:rtl/>
          </w:rPr>
          <w:t>و</w:t>
        </w:r>
      </w:ins>
      <w:ins w:id="33" w:author="Aly, Abdullah" w:date="2018-08-09T11:12:00Z">
        <w:r w:rsidRPr="0050652E">
          <w:rPr>
            <w:rFonts w:hint="cs"/>
            <w:rtl/>
          </w:rPr>
          <w:t>ل</w:t>
        </w:r>
      </w:ins>
      <w:ins w:id="34" w:author="Aly, Abdullah" w:date="2018-08-09T11:05:00Z">
        <w:r w:rsidRPr="0050652E">
          <w:rPr>
            <w:rtl/>
          </w:rPr>
          <w:t xml:space="preserve"> فوق أراضي الإدارة الت</w:t>
        </w:r>
        <w:r w:rsidRPr="0050652E">
          <w:rPr>
            <w:rFonts w:hint="eastAsia"/>
            <w:rtl/>
          </w:rPr>
          <w:t>ي</w:t>
        </w:r>
        <w:r w:rsidRPr="0050652E">
          <w:rPr>
            <w:rtl/>
          </w:rPr>
          <w:t xml:space="preserve"> </w:t>
        </w:r>
        <w:r w:rsidRPr="0050652E">
          <w:rPr>
            <w:rFonts w:hint="eastAsia"/>
            <w:rtl/>
          </w:rPr>
          <w:t>أبلغت</w:t>
        </w:r>
        <w:r w:rsidRPr="0050652E">
          <w:rPr>
            <w:rtl/>
          </w:rPr>
          <w:t xml:space="preserve"> </w:t>
        </w:r>
        <w:r w:rsidRPr="0050652E">
          <w:rPr>
            <w:rFonts w:hint="eastAsia"/>
            <w:rtl/>
          </w:rPr>
          <w:t>عن</w:t>
        </w:r>
        <w:r w:rsidRPr="0050652E">
          <w:rPr>
            <w:rtl/>
          </w:rPr>
          <w:t xml:space="preserve"> </w:t>
        </w:r>
        <w:r w:rsidRPr="0050652E">
          <w:rPr>
            <w:rFonts w:hint="eastAsia"/>
            <w:rtl/>
          </w:rPr>
          <w:t>تجاوز</w:t>
        </w:r>
        <w:r w:rsidRPr="0050652E">
          <w:rPr>
            <w:rtl/>
          </w:rPr>
          <w:t xml:space="preserve"> </w:t>
        </w:r>
        <w:r w:rsidRPr="0050652E">
          <w:rPr>
            <w:rFonts w:hint="eastAsia"/>
            <w:rtl/>
          </w:rPr>
          <w:t>كثافة</w:t>
        </w:r>
        <w:r w:rsidRPr="0050652E">
          <w:rPr>
            <w:rtl/>
          </w:rPr>
          <w:t xml:space="preserve"> تدفق </w:t>
        </w:r>
        <w:proofErr w:type="gramStart"/>
        <w:r w:rsidRPr="0050652E">
          <w:rPr>
            <w:rFonts w:hint="eastAsia"/>
            <w:rtl/>
          </w:rPr>
          <w:t>القدرة</w:t>
        </w:r>
        <w:r w:rsidRPr="0050652E">
          <w:rPr>
            <w:rtl/>
          </w:rPr>
          <w:t>.</w:t>
        </w:r>
        <w:r w:rsidRPr="00B86A2A">
          <w:rPr>
            <w:sz w:val="16"/>
            <w:szCs w:val="22"/>
          </w:rPr>
          <w:t>(</w:t>
        </w:r>
        <w:proofErr w:type="gramEnd"/>
        <w:r w:rsidRPr="00B86A2A">
          <w:rPr>
            <w:sz w:val="16"/>
            <w:szCs w:val="22"/>
          </w:rPr>
          <w:t>WRC</w:t>
        </w:r>
        <w:r w:rsidRPr="00B86A2A">
          <w:rPr>
            <w:sz w:val="16"/>
            <w:szCs w:val="22"/>
          </w:rPr>
          <w:noBreakHyphen/>
          <w:t>19)    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5F26" w14:textId="77777777" w:rsidR="00281F5F" w:rsidRDefault="00281F5F" w:rsidP="002919E1"/>
  <w:p w14:paraId="48770E0B" w14:textId="77777777" w:rsidR="00281F5F" w:rsidRDefault="00281F5F" w:rsidP="002919E1"/>
  <w:p w14:paraId="1A62A2A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DEB33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82-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9E8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FAA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946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22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3EAD4185"/>
    <w:multiLevelType w:val="hybridMultilevel"/>
    <w:tmpl w:val="D57CAECC"/>
    <w:lvl w:ilvl="0" w:tplc="B3C4F384">
      <w:start w:val="1"/>
      <w:numFmt w:val="decimal"/>
      <w:lvlText w:val="%1"/>
      <w:lvlJc w:val="left"/>
      <w:pPr>
        <w:ind w:left="1500" w:hanging="114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16D8E"/>
    <w:multiLevelType w:val="hybridMultilevel"/>
    <w:tmpl w:val="DB167214"/>
    <w:lvl w:ilvl="0" w:tplc="A4A604D6">
      <w:start w:val="1"/>
      <w:numFmt w:val="decimal"/>
      <w:lvlText w:val="%1"/>
      <w:lvlJc w:val="left"/>
      <w:pPr>
        <w:ind w:left="1500" w:hanging="114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16DBA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11E"/>
    <w:rsid w:val="001B0F78"/>
    <w:rsid w:val="001B5953"/>
    <w:rsid w:val="001D746E"/>
    <w:rsid w:val="001E135A"/>
    <w:rsid w:val="001E190C"/>
    <w:rsid w:val="001E51EE"/>
    <w:rsid w:val="001E54F6"/>
    <w:rsid w:val="001E5A8C"/>
    <w:rsid w:val="00201A0A"/>
    <w:rsid w:val="00202D0D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55DB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39C"/>
    <w:rsid w:val="003E1D90"/>
    <w:rsid w:val="00400CD4"/>
    <w:rsid w:val="00402886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264D"/>
    <w:rsid w:val="004F2C70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193B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0701A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87F40"/>
    <w:rsid w:val="00794B15"/>
    <w:rsid w:val="007A0802"/>
    <w:rsid w:val="007A3267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0008"/>
    <w:rsid w:val="0085569D"/>
    <w:rsid w:val="00855B59"/>
    <w:rsid w:val="00856256"/>
    <w:rsid w:val="0085774F"/>
    <w:rsid w:val="008614B8"/>
    <w:rsid w:val="008657CB"/>
    <w:rsid w:val="00873857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0700D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AF554E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A2C"/>
    <w:rsid w:val="00BA7D44"/>
    <w:rsid w:val="00BD6291"/>
    <w:rsid w:val="00BD6EF3"/>
    <w:rsid w:val="00BE69C3"/>
    <w:rsid w:val="00C06814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DF62B7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8DEFDD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DB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Annexref0">
    <w:name w:val="Annex_ref"/>
    <w:basedOn w:val="Normal"/>
    <w:qFormat/>
    <w:rsid w:val="00AC3DD8"/>
    <w:p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lang w:val="fr-FR"/>
    </w:rPr>
  </w:style>
  <w:style w:type="table" w:customStyle="1" w:styleId="TableGrid1">
    <w:name w:val="Table Grid1"/>
    <w:basedOn w:val="TableNormal"/>
    <w:next w:val="TableGrid"/>
    <w:rsid w:val="00016DBA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R16-WRC19-C-0082!!MSW-A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09F3-4B6F-49F2-933C-7008F9F19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C9E87-1CB0-4FC6-B71C-E800DFFD1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4FD5F2-719A-471C-8195-EA2680A731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61A854-8319-43AA-84A0-0D9206F3A35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84D29F3-415E-439B-892C-A4EE04D9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852</Words>
  <Characters>4331</Characters>
  <Application>Microsoft Office Word</Application>
  <DocSecurity>0</DocSecurity>
  <Lines>87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R16-WRC19-C-0082!!MSW-A</vt:lpstr>
    </vt:vector>
  </TitlesOfParts>
  <Manager>General Secretariat - Pool</Manager>
  <Company>International Telecommunication Union (ITU)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R16-WRC19-C-0082!!MSW-A</dc:title>
  <dc:creator>Documents Proposals Manager (DPM)</dc:creator>
  <cp:keywords>DPM_v2019.10.15.2_prod</cp:keywords>
  <cp:lastModifiedBy>Riz, Imad</cp:lastModifiedBy>
  <cp:revision>4</cp:revision>
  <cp:lastPrinted>2019-10-25T07:14:00Z</cp:lastPrinted>
  <dcterms:created xsi:type="dcterms:W3CDTF">2019-10-24T16:38:00Z</dcterms:created>
  <dcterms:modified xsi:type="dcterms:W3CDTF">2019-10-25T07:15:00Z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