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622560" w14:paraId="5C92E532" w14:textId="77777777" w:rsidTr="00E649DF">
        <w:trPr>
          <w:cantSplit/>
        </w:trPr>
        <w:tc>
          <w:tcPr>
            <w:tcW w:w="6379" w:type="dxa"/>
          </w:tcPr>
          <w:p w14:paraId="44446D3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652" w:type="dxa"/>
          </w:tcPr>
          <w:p w14:paraId="101DA6C1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5F59536" wp14:editId="696A334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4BBC0D6" w14:textId="77777777" w:rsidTr="00E649DF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0A6F9A0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14:paraId="76743FA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195DAB2" w14:textId="77777777" w:rsidTr="00E649D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1E1CEA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14:paraId="1EC1884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48195C5" w14:textId="77777777" w:rsidTr="00E649DF">
        <w:trPr>
          <w:cantSplit/>
          <w:trHeight w:val="23"/>
        </w:trPr>
        <w:tc>
          <w:tcPr>
            <w:tcW w:w="6379" w:type="dxa"/>
          </w:tcPr>
          <w:p w14:paraId="6CF39C6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652" w:type="dxa"/>
          </w:tcPr>
          <w:p w14:paraId="58C40F0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89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13)(</w:t>
            </w:r>
            <w:proofErr w:type="gramEnd"/>
            <w:r>
              <w:rPr>
                <w:rFonts w:ascii="Verdana" w:hAnsi="Verdana"/>
                <w:b/>
                <w:sz w:val="20"/>
              </w:rPr>
              <w:t>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0930DF1" w14:textId="77777777" w:rsidTr="00E649DF">
        <w:trPr>
          <w:cantSplit/>
          <w:trHeight w:val="23"/>
        </w:trPr>
        <w:tc>
          <w:tcPr>
            <w:tcW w:w="6379" w:type="dxa"/>
          </w:tcPr>
          <w:p w14:paraId="2A5BAE0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52" w:type="dxa"/>
          </w:tcPr>
          <w:p w14:paraId="1A3078B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0535F4F" w14:textId="77777777" w:rsidTr="00E649DF">
        <w:trPr>
          <w:cantSplit/>
          <w:trHeight w:val="23"/>
        </w:trPr>
        <w:tc>
          <w:tcPr>
            <w:tcW w:w="6379" w:type="dxa"/>
          </w:tcPr>
          <w:p w14:paraId="348AC91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652" w:type="dxa"/>
          </w:tcPr>
          <w:p w14:paraId="4B52535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C5C2C1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97C307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96334FB" w14:textId="77777777">
        <w:trPr>
          <w:cantSplit/>
        </w:trPr>
        <w:tc>
          <w:tcPr>
            <w:tcW w:w="10031" w:type="dxa"/>
            <w:gridSpan w:val="2"/>
          </w:tcPr>
          <w:p w14:paraId="7714F0B5" w14:textId="1B5DC5B9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="00E579DD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="00E579DD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="00E579DD">
              <w:rPr>
                <w:lang w:eastAsia="zh-CN"/>
              </w:rPr>
              <w:br/>
            </w:r>
            <w:bookmarkStart w:id="4" w:name="_GoBack"/>
            <w:bookmarkEnd w:id="4"/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 w14:paraId="549F2C8B" w14:textId="77777777">
        <w:trPr>
          <w:cantSplit/>
        </w:trPr>
        <w:tc>
          <w:tcPr>
            <w:tcW w:w="10031" w:type="dxa"/>
            <w:gridSpan w:val="2"/>
          </w:tcPr>
          <w:p w14:paraId="6DF46A4E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401AE5D8" w14:textId="77777777">
        <w:trPr>
          <w:cantSplit/>
        </w:trPr>
        <w:tc>
          <w:tcPr>
            <w:tcW w:w="10031" w:type="dxa"/>
            <w:gridSpan w:val="2"/>
          </w:tcPr>
          <w:p w14:paraId="797CB439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AF0D9C9" w14:textId="77777777">
        <w:trPr>
          <w:cantSplit/>
        </w:trPr>
        <w:tc>
          <w:tcPr>
            <w:tcW w:w="10031" w:type="dxa"/>
            <w:gridSpan w:val="2"/>
          </w:tcPr>
          <w:p w14:paraId="62F0621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5AA3EEAD" w14:textId="28A91035" w:rsidR="00622560" w:rsidRDefault="00BE39DD" w:rsidP="003E5931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8009F">
        <w:rPr>
          <w:rFonts w:hint="eastAsia"/>
          <w:szCs w:val="24"/>
          <w:lang w:val="en-US" w:eastAsia="zh-CN"/>
        </w:rPr>
        <w:t>号</w:t>
      </w:r>
      <w:r w:rsidRPr="0098009F">
        <w:rPr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2AF00619" w14:textId="77899B63" w:rsidR="00E649DF" w:rsidRPr="001E6EC8" w:rsidRDefault="00E649DF" w:rsidP="001E6EC8">
      <w:pPr>
        <w:pStyle w:val="Title4"/>
        <w:rPr>
          <w:rFonts w:eastAsia="Times New Roman"/>
        </w:rPr>
      </w:pPr>
      <w:proofErr w:type="spellStart"/>
      <w:r w:rsidRPr="001E6EC8">
        <w:rPr>
          <w:rFonts w:ascii="SimSun" w:hAnsi="SimSun" w:cs="SimSun" w:hint="eastAsia"/>
        </w:rPr>
        <w:t>部分</w:t>
      </w:r>
      <w:proofErr w:type="spellEnd"/>
      <w:r w:rsidRPr="001E6EC8">
        <w:rPr>
          <w:rFonts w:eastAsia="Times New Roman"/>
        </w:rPr>
        <w:t>5 – NOC</w:t>
      </w:r>
      <w:proofErr w:type="spellStart"/>
      <w:r w:rsidRPr="001E6EC8">
        <w:rPr>
          <w:rFonts w:ascii="SimSun" w:hAnsi="SimSun" w:cs="SimSun" w:hint="eastAsia"/>
        </w:rPr>
        <w:t>不修改</w:t>
      </w:r>
      <w:proofErr w:type="spellEnd"/>
      <w:r w:rsidRPr="001E6EC8">
        <w:rPr>
          <w:rFonts w:eastAsia="Times New Roman"/>
        </w:rPr>
        <w:t>31.8-33.4 GHz</w:t>
      </w:r>
      <w:r w:rsidRPr="001E6EC8">
        <w:rPr>
          <w:rFonts w:ascii="SimSun" w:hAnsi="SimSun" w:cs="SimSun" w:hint="eastAsia"/>
        </w:rPr>
        <w:t>、</w:t>
      </w:r>
      <w:r w:rsidRPr="001E6EC8">
        <w:rPr>
          <w:rFonts w:eastAsia="Times New Roman"/>
        </w:rPr>
        <w:t>47-47.2 GHz</w:t>
      </w:r>
      <w:r w:rsidRPr="001E6EC8">
        <w:rPr>
          <w:rFonts w:ascii="SimSun" w:hAnsi="SimSun" w:cs="SimSun" w:hint="eastAsia"/>
        </w:rPr>
        <w:t>、</w:t>
      </w:r>
      <w:r w:rsidR="001E6EC8">
        <w:rPr>
          <w:rFonts w:ascii="SimSun" w:hAnsi="SimSun" w:cs="SimSun"/>
        </w:rPr>
        <w:br/>
      </w:r>
      <w:r w:rsidRPr="001E6EC8">
        <w:rPr>
          <w:rFonts w:eastAsia="Times New Roman"/>
        </w:rPr>
        <w:t>71-76 GHz</w:t>
      </w:r>
      <w:r w:rsidRPr="001E6EC8">
        <w:rPr>
          <w:rFonts w:ascii="SimSun" w:hAnsi="SimSun" w:cs="SimSun" w:hint="eastAsia"/>
        </w:rPr>
        <w:t>和</w:t>
      </w:r>
      <w:r w:rsidRPr="001E6EC8">
        <w:rPr>
          <w:rFonts w:eastAsia="Times New Roman"/>
        </w:rPr>
        <w:t>81-86 GHz</w:t>
      </w:r>
      <w:proofErr w:type="spellStart"/>
      <w:r w:rsidRPr="001E6EC8">
        <w:rPr>
          <w:rFonts w:ascii="SimSun" w:hAnsi="SimSun" w:cs="SimSun" w:hint="eastAsia"/>
        </w:rPr>
        <w:t>频段</w:t>
      </w:r>
      <w:proofErr w:type="spellEnd"/>
    </w:p>
    <w:p w14:paraId="5526C127" w14:textId="77777777" w:rsidR="00E649DF" w:rsidRDefault="00E649DF" w:rsidP="00E649DF">
      <w:pPr>
        <w:pStyle w:val="Headingb"/>
      </w:pPr>
      <w:r>
        <w:rPr>
          <w:rFonts w:hint="eastAsia"/>
          <w:lang w:eastAsia="zh-CN"/>
        </w:rPr>
        <w:t>引言</w:t>
      </w:r>
    </w:p>
    <w:p w14:paraId="4ACCDE5E" w14:textId="3494F7D3" w:rsidR="00E649DF" w:rsidRDefault="00E649DF" w:rsidP="00E649DF">
      <w:pPr>
        <w:ind w:firstLineChars="200" w:firstLine="480"/>
      </w:pPr>
      <w:r>
        <w:rPr>
          <w:rFonts w:hint="eastAsia"/>
          <w:lang w:eastAsia="zh-CN"/>
        </w:rPr>
        <w:t>以上所列南部非洲发展共同体（</w:t>
      </w:r>
      <w:r>
        <w:rPr>
          <w:rFonts w:hint="eastAsia"/>
          <w:lang w:eastAsia="zh-CN"/>
        </w:rPr>
        <w:t>SADC</w:t>
      </w:r>
      <w:r>
        <w:rPr>
          <w:rFonts w:hint="eastAsia"/>
          <w:lang w:eastAsia="zh-CN"/>
        </w:rPr>
        <w:t>）各主管部门支持</w:t>
      </w:r>
      <w:r>
        <w:rPr>
          <w:rFonts w:hint="eastAsia"/>
          <w:lang w:eastAsia="zh-CN"/>
        </w:rPr>
        <w:t>NOC</w:t>
      </w:r>
      <w:r>
        <w:rPr>
          <w:rFonts w:hint="eastAsia"/>
          <w:lang w:eastAsia="zh-CN"/>
        </w:rPr>
        <w:t>不修改</w:t>
      </w:r>
      <w:r>
        <w:t>31.8</w:t>
      </w:r>
      <w:r w:rsidR="00056C4A">
        <w:noBreakHyphen/>
      </w:r>
      <w:r>
        <w:t>33.4 GHz</w:t>
      </w:r>
      <w:r>
        <w:rPr>
          <w:rFonts w:hint="eastAsia"/>
          <w:lang w:eastAsia="zh-CN"/>
        </w:rPr>
        <w:t>、</w:t>
      </w:r>
      <w:r>
        <w:t>47</w:t>
      </w:r>
      <w:r w:rsidR="00056C4A">
        <w:noBreakHyphen/>
      </w:r>
      <w:r>
        <w:t>47.2 GHz</w:t>
      </w:r>
      <w:r>
        <w:rPr>
          <w:rFonts w:hint="eastAsia"/>
          <w:lang w:eastAsia="zh-CN"/>
        </w:rPr>
        <w:t>、</w:t>
      </w:r>
      <w:r>
        <w:t>71</w:t>
      </w:r>
      <w:r w:rsidR="00056C4A">
        <w:noBreakHyphen/>
      </w:r>
      <w:r>
        <w:t>76 GHz</w:t>
      </w:r>
      <w:r>
        <w:rPr>
          <w:rFonts w:hint="eastAsia"/>
          <w:lang w:eastAsia="zh-CN"/>
        </w:rPr>
        <w:t>和</w:t>
      </w:r>
      <w:r>
        <w:t>81</w:t>
      </w:r>
      <w:r w:rsidR="00056C4A">
        <w:noBreakHyphen/>
      </w:r>
      <w:r>
        <w:t>86 GHz</w:t>
      </w:r>
      <w:r>
        <w:rPr>
          <w:rFonts w:hint="eastAsia"/>
          <w:lang w:eastAsia="zh-CN"/>
        </w:rPr>
        <w:t>频段。</w:t>
      </w:r>
    </w:p>
    <w:p w14:paraId="5E084DC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F9C601F" w14:textId="77777777" w:rsidR="00F56974" w:rsidRDefault="00BE39DD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D207222" w14:textId="77777777" w:rsidR="00F56974" w:rsidRDefault="00BE39DD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50C75958" w14:textId="77777777" w:rsidR="00F56974" w:rsidRDefault="00BE39DD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ABB5A64" w14:textId="77777777" w:rsidR="002D2EDD" w:rsidRDefault="00BE39DD">
      <w:pPr>
        <w:pStyle w:val="Proposal"/>
      </w:pPr>
      <w:r>
        <w:rPr>
          <w:u w:val="single"/>
        </w:rPr>
        <w:t>NOC</w:t>
      </w:r>
      <w:r>
        <w:tab/>
        <w:t>AGL/BOT/SWZ/LSO/MDG/MWI/MAU/MOZ/NMB/COD/SEY/AFS/TZA/ZMB/ZWE/89A13A5/1</w:t>
      </w:r>
      <w:r>
        <w:rPr>
          <w:vanish/>
          <w:color w:val="7F7F7F" w:themeColor="text1" w:themeTint="80"/>
          <w:vertAlign w:val="superscript"/>
        </w:rPr>
        <w:t>#49935</w:t>
      </w:r>
    </w:p>
    <w:p w14:paraId="50876480" w14:textId="77777777" w:rsidR="00C3020F" w:rsidRPr="00E24021" w:rsidRDefault="00BE39DD" w:rsidP="00C3020F">
      <w:pPr>
        <w:pStyle w:val="Tabletitle"/>
      </w:pPr>
      <w:r w:rsidRPr="00E24021">
        <w:t>29.9-34.2 GHz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E649DF" w14:paraId="75C52915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781F" w14:textId="77777777" w:rsidR="00E649DF" w:rsidRDefault="00E649DF" w:rsidP="001C675E">
            <w:pPr>
              <w:pStyle w:val="Tablehead"/>
              <w:rPr>
                <w:lang w:val="en-US"/>
              </w:rPr>
            </w:pPr>
            <w:proofErr w:type="spellStart"/>
            <w:r w:rsidRPr="002B337B">
              <w:t>划分给以下业务</w:t>
            </w:r>
            <w:proofErr w:type="spellEnd"/>
          </w:p>
        </w:tc>
      </w:tr>
      <w:tr w:rsidR="00E649DF" w14:paraId="1B2443BB" w14:textId="77777777" w:rsidTr="001C675E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F328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rFonts w:hint="eastAsia"/>
                <w:lang w:val="en-US" w:eastAsia="zh-CN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07FD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7988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rFonts w:hint="eastAsia"/>
                <w:lang w:val="en-US" w:eastAsia="zh-CN"/>
              </w:rPr>
              <w:t>区</w:t>
            </w:r>
          </w:p>
        </w:tc>
      </w:tr>
      <w:tr w:rsidR="00E649DF" w14:paraId="62F8D700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10EF" w14:textId="77777777" w:rsidR="00E649DF" w:rsidRPr="002608E0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31.8-32</w:t>
            </w:r>
            <w:r w:rsidRPr="002608E0">
              <w:rPr>
                <w:lang w:eastAsia="zh-CN"/>
              </w:rPr>
              <w:tab/>
            </w:r>
            <w:proofErr w:type="gramStart"/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  <w:proofErr w:type="gramEnd"/>
          </w:p>
          <w:p w14:paraId="16617CEA" w14:textId="77777777" w:rsidR="00E649DF" w:rsidRPr="00BE0201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3501D98D" w14:textId="77777777" w:rsidR="00E649DF" w:rsidRPr="002608E0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（深空）（空对地）</w:t>
            </w:r>
          </w:p>
          <w:p w14:paraId="2303C713" w14:textId="77777777" w:rsidR="00E649DF" w:rsidRDefault="00E649DF" w:rsidP="00555639">
            <w:pPr>
              <w:pStyle w:val="TableTextS5"/>
              <w:tabs>
                <w:tab w:val="clear" w:pos="3119"/>
                <w:tab w:val="left" w:pos="2993"/>
              </w:tabs>
              <w:rPr>
                <w:color w:val="000000"/>
                <w:lang w:val="en-AU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proofErr w:type="gramStart"/>
            <w:r w:rsidRPr="002608E0">
              <w:t>5.547  5.547B</w:t>
            </w:r>
            <w:proofErr w:type="gramEnd"/>
            <w:r w:rsidRPr="002608E0">
              <w:t xml:space="preserve">  5.548</w:t>
            </w:r>
          </w:p>
        </w:tc>
      </w:tr>
      <w:tr w:rsidR="00E649DF" w14:paraId="56D54746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168E" w14:textId="77777777" w:rsidR="00E649DF" w:rsidRPr="002608E0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32-32.3</w:t>
            </w:r>
            <w:r w:rsidRPr="002608E0">
              <w:rPr>
                <w:lang w:eastAsia="zh-CN"/>
              </w:rPr>
              <w:tab/>
            </w:r>
            <w:proofErr w:type="gramStart"/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  <w:proofErr w:type="gramEnd"/>
          </w:p>
          <w:p w14:paraId="31373395" w14:textId="77777777" w:rsidR="00E649DF" w:rsidRPr="00BE0201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2DC2A77B" w14:textId="77777777" w:rsidR="00E649DF" w:rsidRPr="002608E0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（深空）（空对地）</w:t>
            </w:r>
          </w:p>
          <w:p w14:paraId="1F9FF70C" w14:textId="77777777" w:rsidR="00E649DF" w:rsidRDefault="00E649DF" w:rsidP="00555639">
            <w:pPr>
              <w:pStyle w:val="TableTextS5"/>
              <w:tabs>
                <w:tab w:val="clear" w:pos="3119"/>
                <w:tab w:val="left" w:pos="2979"/>
              </w:tabs>
              <w:rPr>
                <w:color w:val="000000"/>
                <w:lang w:val="en-AU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proofErr w:type="gramStart"/>
            <w:r w:rsidRPr="002608E0">
              <w:t>5.547  5.547C</w:t>
            </w:r>
            <w:proofErr w:type="gramEnd"/>
            <w:r w:rsidRPr="002608E0">
              <w:t xml:space="preserve">  5.548</w:t>
            </w:r>
          </w:p>
        </w:tc>
      </w:tr>
      <w:tr w:rsidR="00E649DF" w14:paraId="1DBBF798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1FF2" w14:textId="77777777" w:rsidR="00E649DF" w:rsidRPr="002608E0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32.3-33</w:t>
            </w:r>
            <w:r w:rsidRPr="002608E0">
              <w:rPr>
                <w:lang w:eastAsia="zh-CN"/>
              </w:rPr>
              <w:tab/>
            </w:r>
            <w:proofErr w:type="gramStart"/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  <w:proofErr w:type="gramEnd"/>
          </w:p>
          <w:p w14:paraId="050266C0" w14:textId="77777777" w:rsidR="00E649DF" w:rsidRPr="00BE0201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卫星间</w:t>
            </w:r>
          </w:p>
          <w:p w14:paraId="482C9370" w14:textId="77777777" w:rsidR="00E649DF" w:rsidRPr="00BE0201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712118A9" w14:textId="77777777" w:rsidR="00E649DF" w:rsidRDefault="00E649DF" w:rsidP="00555639">
            <w:pPr>
              <w:pStyle w:val="TableTextS5"/>
              <w:tabs>
                <w:tab w:val="clear" w:pos="3119"/>
                <w:tab w:val="left" w:pos="3004"/>
              </w:tabs>
              <w:rPr>
                <w:color w:val="000000"/>
                <w:lang w:val="en-AU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proofErr w:type="gramStart"/>
            <w:r w:rsidRPr="002608E0">
              <w:t>5.547  5.547D</w:t>
            </w:r>
            <w:proofErr w:type="gramEnd"/>
            <w:r w:rsidRPr="002608E0">
              <w:t xml:space="preserve">  5.548</w:t>
            </w:r>
          </w:p>
        </w:tc>
      </w:tr>
      <w:tr w:rsidR="00E649DF" w14:paraId="3D63B616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40C9" w14:textId="77777777" w:rsidR="00E649DF" w:rsidRPr="002608E0" w:rsidRDefault="00E649DF" w:rsidP="001C675E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rStyle w:val="Tablefreq"/>
              </w:rPr>
              <w:t>33-33.4</w:t>
            </w:r>
            <w:r w:rsidRPr="002608E0">
              <w:tab/>
            </w:r>
            <w:proofErr w:type="gramStart"/>
            <w:r w:rsidRPr="00BE0201">
              <w:rPr>
                <w:rStyle w:val="capS5"/>
              </w:rPr>
              <w:t>固定</w:t>
            </w:r>
            <w:r w:rsidRPr="002608E0">
              <w:t xml:space="preserve">  5.547A</w:t>
            </w:r>
            <w:proofErr w:type="gramEnd"/>
          </w:p>
          <w:p w14:paraId="23C02C33" w14:textId="77777777" w:rsidR="00E649DF" w:rsidRPr="00BE0201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tab/>
            </w:r>
            <w:r w:rsidRPr="002608E0">
              <w:tab/>
            </w:r>
            <w:r w:rsidRPr="00BE0201">
              <w:rPr>
                <w:rStyle w:val="capS5"/>
              </w:rPr>
              <w:t>无线电导航</w:t>
            </w:r>
          </w:p>
          <w:p w14:paraId="1E6C5774" w14:textId="77777777" w:rsidR="00E649DF" w:rsidRDefault="00E649DF" w:rsidP="00555639">
            <w:pPr>
              <w:pStyle w:val="TableTextS5"/>
              <w:tabs>
                <w:tab w:val="clear" w:pos="3119"/>
                <w:tab w:val="left" w:pos="2979"/>
              </w:tabs>
              <w:rPr>
                <w:b/>
                <w:color w:val="000000"/>
                <w:lang w:val="en-AU"/>
              </w:rPr>
            </w:pPr>
            <w:r w:rsidRPr="002608E0">
              <w:tab/>
            </w:r>
            <w:r w:rsidRPr="002608E0">
              <w:tab/>
            </w:r>
            <w:proofErr w:type="gramStart"/>
            <w:r w:rsidRPr="002608E0">
              <w:t>5.547  5</w:t>
            </w:r>
            <w:proofErr w:type="gramEnd"/>
            <w:r w:rsidRPr="002608E0">
              <w:t>.547E</w:t>
            </w:r>
          </w:p>
        </w:tc>
      </w:tr>
    </w:tbl>
    <w:p w14:paraId="752768D9" w14:textId="707510F2" w:rsidR="002D2EDD" w:rsidRDefault="00BE39D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649DF">
        <w:rPr>
          <w:lang w:eastAsia="zh-CN"/>
        </w:rPr>
        <w:t>SADC</w:t>
      </w:r>
      <w:r w:rsidR="00E649DF">
        <w:rPr>
          <w:rFonts w:hint="eastAsia"/>
          <w:lang w:eastAsia="zh-CN"/>
        </w:rPr>
        <w:t>各主管部门支持</w:t>
      </w:r>
      <w:r w:rsidR="00E649DF" w:rsidRPr="000D592F">
        <w:rPr>
          <w:rFonts w:hint="eastAsia"/>
          <w:u w:val="single"/>
          <w:lang w:eastAsia="zh-CN"/>
        </w:rPr>
        <w:t>NOC</w:t>
      </w:r>
      <w:r w:rsidR="00E649DF">
        <w:rPr>
          <w:rFonts w:hint="eastAsia"/>
          <w:lang w:eastAsia="zh-CN"/>
        </w:rPr>
        <w:t>不修改</w:t>
      </w:r>
      <w:r w:rsidR="00E649DF">
        <w:rPr>
          <w:lang w:eastAsia="zh-CN"/>
        </w:rPr>
        <w:t>31.8-33.4 GHz</w:t>
      </w:r>
      <w:r w:rsidR="00E649DF">
        <w:rPr>
          <w:rFonts w:hint="eastAsia"/>
          <w:lang w:eastAsia="zh-CN"/>
        </w:rPr>
        <w:t>，因为与其他业务进行共同不可行（</w:t>
      </w:r>
      <w:r w:rsidR="00E649DF">
        <w:rPr>
          <w:rFonts w:hint="eastAsia"/>
          <w:lang w:eastAsia="zh-CN"/>
        </w:rPr>
        <w:t>CPM</w:t>
      </w:r>
      <w:r w:rsidR="00E649DF">
        <w:rPr>
          <w:rFonts w:hint="eastAsia"/>
          <w:lang w:eastAsia="zh-CN"/>
        </w:rPr>
        <w:t>报告中的唯一选项）。</w:t>
      </w:r>
    </w:p>
    <w:p w14:paraId="03EE51AF" w14:textId="77777777" w:rsidR="002D2EDD" w:rsidRDefault="00BE39DD">
      <w:pPr>
        <w:pStyle w:val="Proposal"/>
      </w:pPr>
      <w:r>
        <w:rPr>
          <w:u w:val="single"/>
        </w:rPr>
        <w:t>NOC</w:t>
      </w:r>
      <w:r>
        <w:tab/>
        <w:t>AGL/BOT/SWZ/LSO/MDG/MWI/MAU/MOZ/NMB/COD/SEY/AFS/TZA/ZMB/ZWE/89A13A5/2</w:t>
      </w:r>
      <w:r>
        <w:rPr>
          <w:vanish/>
          <w:color w:val="7F7F7F" w:themeColor="text1" w:themeTint="80"/>
          <w:vertAlign w:val="superscript"/>
        </w:rPr>
        <w:t>#49937</w:t>
      </w:r>
    </w:p>
    <w:p w14:paraId="68C05BFF" w14:textId="77777777" w:rsidR="00C3020F" w:rsidRPr="00E24021" w:rsidRDefault="00BE39DD" w:rsidP="00C3020F">
      <w:pPr>
        <w:pStyle w:val="Tabletitle"/>
      </w:pPr>
      <w:r w:rsidRPr="00E24021">
        <w:t>40-47.5 GHz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099"/>
        <w:gridCol w:w="3100"/>
      </w:tblGrid>
      <w:tr w:rsidR="00E649DF" w14:paraId="0DB060BF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85D1" w14:textId="77777777" w:rsidR="00E649DF" w:rsidRDefault="00E649DF" w:rsidP="001C675E">
            <w:pPr>
              <w:pStyle w:val="Tablehead"/>
              <w:rPr>
                <w:lang w:val="en-US"/>
              </w:rPr>
            </w:pPr>
            <w:proofErr w:type="spellStart"/>
            <w:r w:rsidRPr="002B337B">
              <w:t>划分给以下业务</w:t>
            </w:r>
            <w:proofErr w:type="spellEnd"/>
          </w:p>
        </w:tc>
      </w:tr>
      <w:tr w:rsidR="00E649DF" w14:paraId="7B2262B5" w14:textId="77777777" w:rsidTr="001C675E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2D3E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rFonts w:hint="eastAsia"/>
                <w:lang w:val="en-US" w:eastAsia="zh-CN"/>
              </w:rPr>
              <w:t>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83A8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9F98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rFonts w:hint="eastAsia"/>
                <w:lang w:val="en-US" w:eastAsia="zh-CN"/>
              </w:rPr>
              <w:t>区</w:t>
            </w:r>
          </w:p>
        </w:tc>
      </w:tr>
      <w:tr w:rsidR="00E649DF" w14:paraId="0D044452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A772" w14:textId="4D0F6F11" w:rsidR="00E649DF" w:rsidRPr="00742073" w:rsidRDefault="00E649DF" w:rsidP="00555639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</w:rPr>
            </w:pPr>
            <w:r w:rsidRPr="00742073">
              <w:rPr>
                <w:rStyle w:val="Tablefreq"/>
              </w:rPr>
              <w:t>47-47.2</w:t>
            </w:r>
            <w:r w:rsidRPr="00742073">
              <w:tab/>
            </w:r>
            <w:r w:rsidRPr="00BE0201">
              <w:rPr>
                <w:rStyle w:val="capS5"/>
              </w:rPr>
              <w:t>业余</w:t>
            </w:r>
          </w:p>
          <w:p w14:paraId="18F1BD9F" w14:textId="77777777" w:rsidR="00E649DF" w:rsidRDefault="00E649DF" w:rsidP="00D367AD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  <w:lang w:val="fr-FR"/>
              </w:rPr>
            </w:pPr>
            <w:r w:rsidRPr="00742073">
              <w:rPr>
                <w:b/>
                <w:bCs/>
              </w:rPr>
              <w:tab/>
            </w:r>
            <w:r w:rsidRPr="00742073">
              <w:rPr>
                <w:b/>
                <w:bCs/>
              </w:rPr>
              <w:tab/>
            </w:r>
            <w:r w:rsidRPr="00BE0201">
              <w:rPr>
                <w:rStyle w:val="capS5"/>
              </w:rPr>
              <w:t>卫星业余</w:t>
            </w:r>
          </w:p>
        </w:tc>
      </w:tr>
    </w:tbl>
    <w:p w14:paraId="36963308" w14:textId="722DE6BF" w:rsidR="002D2EDD" w:rsidRDefault="00BE39D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649DF">
        <w:rPr>
          <w:lang w:eastAsia="zh-CN"/>
        </w:rPr>
        <w:t>SADC</w:t>
      </w:r>
      <w:r w:rsidR="00E649DF">
        <w:rPr>
          <w:rFonts w:hint="eastAsia"/>
          <w:lang w:eastAsia="zh-CN"/>
        </w:rPr>
        <w:t>各主管部门支持</w:t>
      </w:r>
      <w:r w:rsidR="00E649DF">
        <w:rPr>
          <w:u w:val="single"/>
          <w:lang w:eastAsia="zh-CN"/>
        </w:rPr>
        <w:t>NOC</w:t>
      </w:r>
      <w:r w:rsidR="00E649DF">
        <w:rPr>
          <w:rFonts w:hint="eastAsia"/>
          <w:lang w:eastAsia="zh-CN"/>
        </w:rPr>
        <w:t>不修改</w:t>
      </w:r>
      <w:r w:rsidR="00E649DF">
        <w:rPr>
          <w:lang w:eastAsia="zh-CN"/>
        </w:rPr>
        <w:t>47-47.2 GHz</w:t>
      </w:r>
      <w:r w:rsidR="00E649DF">
        <w:rPr>
          <w:rFonts w:hint="eastAsia"/>
          <w:lang w:eastAsia="zh-CN"/>
        </w:rPr>
        <w:t>，因为这一频段未来将用于</w:t>
      </w:r>
      <w:r w:rsidR="00E649DF">
        <w:rPr>
          <w:lang w:eastAsia="zh-CN"/>
        </w:rPr>
        <w:t>ARS</w:t>
      </w:r>
      <w:r w:rsidR="00E649DF">
        <w:rPr>
          <w:rFonts w:hint="eastAsia"/>
          <w:lang w:eastAsia="zh-CN"/>
        </w:rPr>
        <w:t>和</w:t>
      </w:r>
      <w:r w:rsidR="00E649DF">
        <w:rPr>
          <w:lang w:eastAsia="zh-CN"/>
        </w:rPr>
        <w:t>ARSS</w:t>
      </w:r>
      <w:r w:rsidR="00E649DF">
        <w:rPr>
          <w:rFonts w:hint="eastAsia"/>
          <w:lang w:eastAsia="zh-CN"/>
        </w:rPr>
        <w:t>，必须受到保护。</w:t>
      </w:r>
    </w:p>
    <w:p w14:paraId="3B309B3D" w14:textId="77777777" w:rsidR="002D2EDD" w:rsidRDefault="00BE39DD">
      <w:pPr>
        <w:pStyle w:val="Proposal"/>
      </w:pPr>
      <w:r>
        <w:rPr>
          <w:u w:val="single"/>
        </w:rPr>
        <w:lastRenderedPageBreak/>
        <w:t>NOC</w:t>
      </w:r>
      <w:r>
        <w:tab/>
        <w:t>AGL/BOT/SWZ/LSO/MDG/MWI/MAU/MOZ/NMB/COD/SEY/AFS/TZA/ZMB/ZWE/89A13A5/3</w:t>
      </w:r>
      <w:r>
        <w:rPr>
          <w:vanish/>
          <w:color w:val="7F7F7F" w:themeColor="text1" w:themeTint="80"/>
          <w:vertAlign w:val="superscript"/>
        </w:rPr>
        <w:t>#49946</w:t>
      </w:r>
    </w:p>
    <w:p w14:paraId="52C04B20" w14:textId="77777777" w:rsidR="00C3020F" w:rsidRPr="00E24021" w:rsidRDefault="00BE39DD" w:rsidP="00C3020F">
      <w:pPr>
        <w:pStyle w:val="Tabletitle"/>
        <w:rPr>
          <w:lang w:eastAsia="zh-CN"/>
        </w:rPr>
      </w:pPr>
      <w:r w:rsidRPr="00E24021">
        <w:rPr>
          <w:lang w:eastAsia="zh-CN"/>
        </w:rPr>
        <w:t>66-81 GHz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8"/>
        <w:gridCol w:w="3101"/>
        <w:gridCol w:w="3101"/>
      </w:tblGrid>
      <w:tr w:rsidR="00E649DF" w14:paraId="7EE56D4E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E770" w14:textId="77777777" w:rsidR="00E649DF" w:rsidRDefault="00E649DF" w:rsidP="001C675E">
            <w:pPr>
              <w:pStyle w:val="Tablehead"/>
              <w:rPr>
                <w:lang w:val="en-US"/>
              </w:rPr>
            </w:pPr>
            <w:proofErr w:type="spellStart"/>
            <w:r w:rsidRPr="002B337B">
              <w:t>划分给以下业务</w:t>
            </w:r>
            <w:proofErr w:type="spellEnd"/>
          </w:p>
        </w:tc>
      </w:tr>
      <w:tr w:rsidR="00E649DF" w14:paraId="0FE46A66" w14:textId="77777777" w:rsidTr="001C675E">
        <w:trPr>
          <w:cantSplit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3D53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rFonts w:hint="eastAsia"/>
                <w:lang w:val="en-US" w:eastAsia="zh-CN"/>
              </w:rPr>
              <w:t>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79E2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C00D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rFonts w:hint="eastAsia"/>
                <w:lang w:val="en-US" w:eastAsia="zh-CN"/>
              </w:rPr>
              <w:t>区</w:t>
            </w:r>
          </w:p>
        </w:tc>
      </w:tr>
      <w:tr w:rsidR="00E649DF" w14:paraId="0EE4A90F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7CF5" w14:textId="77777777" w:rsidR="00E649DF" w:rsidRPr="008E2DCC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71-74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4E109BCB" w14:textId="77777777" w:rsidR="00E649DF" w:rsidRPr="008E2DCC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8E2DCC">
              <w:rPr>
                <w:lang w:eastAsia="zh-CN"/>
              </w:rPr>
              <w:t>（空对地）</w:t>
            </w:r>
          </w:p>
          <w:p w14:paraId="6E359DF3" w14:textId="77777777" w:rsidR="00E649DF" w:rsidRPr="00BE0201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19F96000" w14:textId="66A8C18E" w:rsidR="00E649DF" w:rsidRDefault="00BE39DD" w:rsidP="00BE39DD">
            <w:pPr>
              <w:pStyle w:val="TableTextS5"/>
              <w:tabs>
                <w:tab w:val="clear" w:pos="3119"/>
                <w:tab w:val="left" w:pos="2985"/>
              </w:tabs>
              <w:spacing w:before="20" w:after="30"/>
              <w:rPr>
                <w:color w:val="000000"/>
                <w:lang w:val="en-US" w:eastAsia="zh-CN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="00E649DF" w:rsidRPr="00BE0201">
              <w:rPr>
                <w:rStyle w:val="capS5"/>
              </w:rPr>
              <w:t>卫星移动</w:t>
            </w:r>
            <w:r w:rsidR="00E649DF" w:rsidRPr="008E2DCC">
              <w:rPr>
                <w:lang w:eastAsia="zh-CN"/>
              </w:rPr>
              <w:t>（空对地）</w:t>
            </w:r>
          </w:p>
        </w:tc>
      </w:tr>
      <w:tr w:rsidR="00E649DF" w14:paraId="648D3CD4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5BBE" w14:textId="77777777" w:rsidR="00E649DF" w:rsidRPr="008E2DCC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74-76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416A8A2D" w14:textId="027D6260" w:rsidR="00E649DF" w:rsidRPr="008E2DCC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4C1BCB">
              <w:rPr>
                <w:rStyle w:val="capS5"/>
              </w:rPr>
              <w:t>卫星</w:t>
            </w:r>
            <w:r w:rsidR="004C1BCB" w:rsidRPr="004C1BCB">
              <w:rPr>
                <w:rStyle w:val="capS5"/>
              </w:rPr>
              <w:t>固定</w:t>
            </w:r>
            <w:r w:rsidRPr="004C1BCB">
              <w:rPr>
                <w:lang w:eastAsia="zh-CN"/>
              </w:rPr>
              <w:t>（空对地）</w:t>
            </w:r>
          </w:p>
          <w:p w14:paraId="2F43A775" w14:textId="77777777" w:rsidR="00E649DF" w:rsidRPr="00BE0201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517BF571" w14:textId="77777777" w:rsidR="00E649DF" w:rsidRPr="00BE0201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广播</w:t>
            </w:r>
          </w:p>
          <w:p w14:paraId="1B83C3E6" w14:textId="77777777" w:rsidR="00E649DF" w:rsidRPr="00BE0201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卫星广播</w:t>
            </w:r>
          </w:p>
          <w:p w14:paraId="28FF0BD9" w14:textId="77777777" w:rsidR="00E649DF" w:rsidRPr="008E2DCC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14:paraId="5B764DA3" w14:textId="77777777" w:rsidR="00E649DF" w:rsidRDefault="00E649DF" w:rsidP="00555639">
            <w:pPr>
              <w:pStyle w:val="TableTextS5"/>
              <w:tabs>
                <w:tab w:val="clear" w:pos="3119"/>
                <w:tab w:val="left" w:pos="2993"/>
              </w:tabs>
              <w:spacing w:before="30" w:after="30"/>
              <w:rPr>
                <w:rStyle w:val="Artref"/>
                <w:lang w:val="fr-FR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5.561</w:t>
            </w:r>
          </w:p>
        </w:tc>
      </w:tr>
    </w:tbl>
    <w:p w14:paraId="360EEDE8" w14:textId="5B026135" w:rsidR="002D2EDD" w:rsidRDefault="00BE39D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649DF">
        <w:rPr>
          <w:lang w:eastAsia="zh-CN"/>
        </w:rPr>
        <w:t>SADC</w:t>
      </w:r>
      <w:r w:rsidR="00E649DF">
        <w:rPr>
          <w:rFonts w:hint="eastAsia"/>
          <w:lang w:eastAsia="zh-CN"/>
        </w:rPr>
        <w:t>各主管部门支持</w:t>
      </w:r>
      <w:r w:rsidR="00E649DF">
        <w:rPr>
          <w:u w:val="single"/>
          <w:lang w:eastAsia="zh-CN"/>
        </w:rPr>
        <w:t>NOC</w:t>
      </w:r>
      <w:r w:rsidR="00E649DF">
        <w:rPr>
          <w:rFonts w:hint="eastAsia"/>
          <w:lang w:eastAsia="zh-CN"/>
        </w:rPr>
        <w:t>不修改</w:t>
      </w:r>
      <w:r w:rsidR="00E649DF">
        <w:rPr>
          <w:lang w:eastAsia="zh-CN"/>
        </w:rPr>
        <w:t>71-76 GHz</w:t>
      </w:r>
      <w:r w:rsidR="00E649DF">
        <w:rPr>
          <w:rFonts w:hint="eastAsia"/>
          <w:lang w:eastAsia="zh-CN"/>
        </w:rPr>
        <w:t>频段，因为为支持</w:t>
      </w:r>
      <w:r w:rsidR="00E649DF">
        <w:rPr>
          <w:rFonts w:hint="eastAsia"/>
          <w:lang w:eastAsia="zh-CN"/>
        </w:rPr>
        <w:t>IMT-</w:t>
      </w:r>
      <w:r w:rsidR="00E649DF">
        <w:rPr>
          <w:lang w:eastAsia="zh-CN"/>
        </w:rPr>
        <w:t>2020</w:t>
      </w:r>
      <w:r w:rsidR="00E649DF">
        <w:rPr>
          <w:rFonts w:hint="eastAsia"/>
          <w:lang w:eastAsia="zh-CN"/>
        </w:rPr>
        <w:t>，这一频段被广泛用于回传链路。另外，</w:t>
      </w:r>
      <w:bookmarkStart w:id="10" w:name="_Hlk22301551"/>
      <w:r w:rsidR="00E649DF">
        <w:rPr>
          <w:rFonts w:hint="eastAsia"/>
          <w:lang w:eastAsia="zh-CN"/>
        </w:rPr>
        <w:t>与邻频段</w:t>
      </w:r>
      <w:r w:rsidR="00E649DF">
        <w:rPr>
          <w:lang w:eastAsia="zh-CN"/>
        </w:rPr>
        <w:t>76-81 GHz</w:t>
      </w:r>
      <w:r w:rsidR="00E649DF">
        <w:rPr>
          <w:rFonts w:hint="eastAsia"/>
          <w:lang w:eastAsia="zh-CN"/>
        </w:rPr>
        <w:t>中的汽车雷达的兼容有问题</w:t>
      </w:r>
      <w:bookmarkEnd w:id="10"/>
      <w:r w:rsidR="00E649DF">
        <w:rPr>
          <w:rFonts w:hint="eastAsia"/>
          <w:lang w:eastAsia="zh-CN"/>
        </w:rPr>
        <w:t>。</w:t>
      </w:r>
    </w:p>
    <w:p w14:paraId="75C9AA9B" w14:textId="77777777" w:rsidR="002D2EDD" w:rsidRDefault="00BE39DD">
      <w:pPr>
        <w:pStyle w:val="Proposal"/>
      </w:pPr>
      <w:r>
        <w:rPr>
          <w:u w:val="single"/>
        </w:rPr>
        <w:t>NOC</w:t>
      </w:r>
      <w:r>
        <w:tab/>
        <w:t>AGL/BOT/SWZ/LSO/MDG/MWI/MAU/MOZ/NMB/COD/SEY/AFS/TZA/ZMB/ZWE/89A13A5/4</w:t>
      </w:r>
      <w:r>
        <w:rPr>
          <w:vanish/>
          <w:color w:val="7F7F7F" w:themeColor="text1" w:themeTint="80"/>
          <w:vertAlign w:val="superscript"/>
        </w:rPr>
        <w:t>#49948</w:t>
      </w:r>
    </w:p>
    <w:p w14:paraId="54A2E788" w14:textId="77777777" w:rsidR="00C3020F" w:rsidRPr="00E24021" w:rsidRDefault="00BE39DD" w:rsidP="00C3020F">
      <w:pPr>
        <w:pStyle w:val="Tabletitle"/>
        <w:rPr>
          <w:lang w:eastAsia="zh-CN"/>
        </w:rPr>
      </w:pPr>
      <w:r w:rsidRPr="00E24021">
        <w:rPr>
          <w:lang w:eastAsia="zh-CN"/>
        </w:rPr>
        <w:t>81-86 GHz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7"/>
        <w:gridCol w:w="3099"/>
        <w:gridCol w:w="3104"/>
      </w:tblGrid>
      <w:tr w:rsidR="00E649DF" w14:paraId="08DD2C2D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833" w14:textId="77777777" w:rsidR="00E649DF" w:rsidRDefault="00E649DF" w:rsidP="001C675E">
            <w:pPr>
              <w:pStyle w:val="Tablehead"/>
              <w:rPr>
                <w:lang w:val="en-US"/>
              </w:rPr>
            </w:pPr>
            <w:proofErr w:type="spellStart"/>
            <w:r w:rsidRPr="002B337B">
              <w:t>划分给以下业务</w:t>
            </w:r>
            <w:proofErr w:type="spellEnd"/>
          </w:p>
        </w:tc>
      </w:tr>
      <w:tr w:rsidR="00E649DF" w14:paraId="246833D2" w14:textId="77777777" w:rsidTr="001C675E">
        <w:trPr>
          <w:cantSplit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6030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t>1</w:t>
            </w:r>
            <w:r>
              <w:t>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E0DC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t>2</w:t>
            </w:r>
            <w:r>
              <w:t>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4671" w14:textId="77777777" w:rsidR="00E649DF" w:rsidRDefault="00E649DF" w:rsidP="001C675E">
            <w:pPr>
              <w:pStyle w:val="Tablehead"/>
              <w:rPr>
                <w:lang w:val="en-US"/>
              </w:rPr>
            </w:pPr>
            <w:r>
              <w:t>3</w:t>
            </w:r>
            <w:r>
              <w:t>区</w:t>
            </w:r>
          </w:p>
        </w:tc>
      </w:tr>
      <w:tr w:rsidR="00E649DF" w14:paraId="0C48DC1C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FCD" w14:textId="77777777" w:rsidR="00E649DF" w:rsidRPr="007A4D2B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81-84</w:t>
            </w:r>
            <w:r w:rsidRPr="00482B8F">
              <w:rPr>
                <w:lang w:eastAsia="zh-CN"/>
              </w:rPr>
              <w:tab/>
            </w:r>
            <w:proofErr w:type="gramStart"/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  <w:r>
              <w:rPr>
                <w:rFonts w:hint="eastAsia"/>
                <w:lang w:eastAsia="zh-CN"/>
              </w:rPr>
              <w:t xml:space="preserve">  </w:t>
            </w:r>
            <w:r w:rsidRPr="00F9016D">
              <w:rPr>
                <w:lang w:eastAsia="zh-CN"/>
              </w:rPr>
              <w:t>5.338A</w:t>
            </w:r>
            <w:proofErr w:type="gramEnd"/>
          </w:p>
          <w:p w14:paraId="1B030460" w14:textId="77777777" w:rsidR="00E649DF" w:rsidRPr="00482B8F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卫星固定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482B8F">
              <w:rPr>
                <w:lang w:eastAsia="zh-CN"/>
              </w:rPr>
              <w:t>）</w:t>
            </w:r>
          </w:p>
          <w:p w14:paraId="5DCB95BD" w14:textId="77777777" w:rsidR="00E649DF" w:rsidRPr="007F6BCC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663C5CB5" w14:textId="77777777" w:rsidR="00E649DF" w:rsidRPr="00482B8F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卫星移动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482B8F">
              <w:rPr>
                <w:lang w:eastAsia="zh-CN"/>
              </w:rPr>
              <w:t>）</w:t>
            </w:r>
          </w:p>
          <w:p w14:paraId="34BD7EEB" w14:textId="77777777" w:rsidR="00E649DF" w:rsidRPr="007F6BCC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64BADE2D" w14:textId="77777777" w:rsidR="00E649DF" w:rsidRPr="00482B8F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C14CFD">
              <w:rPr>
                <w:lang w:eastAsia="zh-CN"/>
              </w:rPr>
              <w:t>空间研究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空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地</w:t>
            </w:r>
            <w:r w:rsidRPr="00482B8F">
              <w:rPr>
                <w:lang w:eastAsia="zh-CN"/>
              </w:rPr>
              <w:t>）</w:t>
            </w:r>
          </w:p>
          <w:p w14:paraId="6FEA5842" w14:textId="77777777" w:rsidR="00E649DF" w:rsidRDefault="00E649DF" w:rsidP="00555639">
            <w:pPr>
              <w:pStyle w:val="TableTextS5"/>
              <w:keepNext/>
              <w:tabs>
                <w:tab w:val="clear" w:pos="3119"/>
                <w:tab w:val="left" w:pos="2993"/>
              </w:tabs>
              <w:rPr>
                <w:rStyle w:val="Artref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proofErr w:type="gramStart"/>
            <w:r w:rsidRPr="00C155FC">
              <w:rPr>
                <w:rStyle w:val="Artref"/>
              </w:rPr>
              <w:t>5.149  5</w:t>
            </w:r>
            <w:proofErr w:type="gramEnd"/>
            <w:r w:rsidRPr="00C155FC">
              <w:rPr>
                <w:rStyle w:val="Artref"/>
              </w:rPr>
              <w:t>.561A</w:t>
            </w:r>
          </w:p>
        </w:tc>
      </w:tr>
      <w:tr w:rsidR="00E649DF" w14:paraId="3373AE66" w14:textId="77777777" w:rsidTr="001C675E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C2A9" w14:textId="77777777" w:rsidR="00E649DF" w:rsidRPr="007A4D2B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84-86</w:t>
            </w:r>
            <w:r w:rsidRPr="00482B8F">
              <w:rPr>
                <w:lang w:eastAsia="zh-CN"/>
              </w:rPr>
              <w:tab/>
            </w:r>
            <w:proofErr w:type="gramStart"/>
            <w:r w:rsidRPr="007F6BCC">
              <w:rPr>
                <w:rFonts w:eastAsia="SimHei"/>
                <w:b/>
                <w:bCs/>
                <w:lang w:eastAsia="zh-CN"/>
              </w:rPr>
              <w:t>固定</w:t>
            </w:r>
            <w:r w:rsidRPr="007A4D2B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F9016D">
              <w:rPr>
                <w:lang w:eastAsia="zh-CN"/>
              </w:rPr>
              <w:t>5.338A</w:t>
            </w:r>
            <w:proofErr w:type="gramEnd"/>
          </w:p>
          <w:p w14:paraId="03A8B8D9" w14:textId="77777777" w:rsidR="00E649DF" w:rsidRPr="00482B8F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卫星固定</w:t>
            </w:r>
            <w:r w:rsidRPr="00482B8F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482B8F">
              <w:rPr>
                <w:lang w:eastAsia="zh-CN"/>
              </w:rPr>
              <w:t>）</w:t>
            </w:r>
            <w:r w:rsidRPr="00482B8F">
              <w:rPr>
                <w:lang w:eastAsia="zh-CN"/>
              </w:rPr>
              <w:t xml:space="preserve">  5.561B</w:t>
            </w:r>
          </w:p>
          <w:p w14:paraId="7AC7FC13" w14:textId="77777777" w:rsidR="00E649DF" w:rsidRPr="007F6BCC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651E5B49" w14:textId="77777777" w:rsidR="00E649DF" w:rsidRPr="007F6BCC" w:rsidRDefault="00E649DF" w:rsidP="001C675E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58A0FF6C" w14:textId="77777777" w:rsidR="00E649DF" w:rsidRDefault="00E649DF" w:rsidP="00555639">
            <w:pPr>
              <w:pStyle w:val="TableTextS5"/>
              <w:tabs>
                <w:tab w:val="clear" w:pos="3119"/>
                <w:tab w:val="left" w:pos="3004"/>
              </w:tabs>
              <w:rPr>
                <w:rStyle w:val="Artref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C155FC">
              <w:rPr>
                <w:rStyle w:val="Artref"/>
                <w:lang w:eastAsia="zh-CN"/>
              </w:rPr>
              <w:t>5.149</w:t>
            </w:r>
          </w:p>
        </w:tc>
      </w:tr>
    </w:tbl>
    <w:p w14:paraId="4FD2C758" w14:textId="77777777" w:rsidR="00E649DF" w:rsidRPr="008375FE" w:rsidRDefault="00BE39DD" w:rsidP="00E649DF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649DF">
        <w:rPr>
          <w:lang w:eastAsia="zh-CN"/>
        </w:rPr>
        <w:t>SADC</w:t>
      </w:r>
      <w:r w:rsidR="00E649DF">
        <w:rPr>
          <w:rFonts w:hint="eastAsia"/>
          <w:lang w:eastAsia="zh-CN"/>
        </w:rPr>
        <w:t>各主管部门支持</w:t>
      </w:r>
      <w:r w:rsidR="00E649DF">
        <w:rPr>
          <w:u w:val="single"/>
          <w:lang w:eastAsia="zh-CN"/>
        </w:rPr>
        <w:t>NOC</w:t>
      </w:r>
      <w:r w:rsidR="00E649DF">
        <w:rPr>
          <w:rFonts w:hint="eastAsia"/>
          <w:lang w:eastAsia="zh-CN"/>
        </w:rPr>
        <w:t>不修改</w:t>
      </w:r>
      <w:r w:rsidR="00E649DF" w:rsidRPr="00D1182C">
        <w:rPr>
          <w:lang w:eastAsia="zh-CN"/>
        </w:rPr>
        <w:t>81-86 GHz</w:t>
      </w:r>
      <w:r w:rsidR="00E649DF" w:rsidRPr="00D1182C">
        <w:rPr>
          <w:rFonts w:hint="eastAsia"/>
          <w:lang w:eastAsia="zh-CN"/>
        </w:rPr>
        <w:t>频段，</w:t>
      </w:r>
      <w:r w:rsidR="00E649DF">
        <w:rPr>
          <w:rFonts w:hint="eastAsia"/>
          <w:lang w:eastAsia="zh-CN"/>
        </w:rPr>
        <w:t>因为为支持</w:t>
      </w:r>
      <w:r w:rsidR="00E649DF">
        <w:rPr>
          <w:rFonts w:hint="eastAsia"/>
          <w:lang w:eastAsia="zh-CN"/>
        </w:rPr>
        <w:t>IMT-2020</w:t>
      </w:r>
      <w:r w:rsidR="00E649DF">
        <w:rPr>
          <w:rFonts w:hint="eastAsia"/>
          <w:lang w:eastAsia="zh-CN"/>
        </w:rPr>
        <w:t>，该频段被广泛用于回传链路。另外，与邻频段</w:t>
      </w:r>
      <w:r w:rsidR="00E649DF">
        <w:rPr>
          <w:lang w:eastAsia="zh-CN"/>
        </w:rPr>
        <w:t>76-81 GHz</w:t>
      </w:r>
      <w:r w:rsidR="00E649DF">
        <w:rPr>
          <w:rFonts w:hint="eastAsia"/>
          <w:lang w:eastAsia="zh-CN"/>
        </w:rPr>
        <w:t>中的汽车雷达的兼容有问题。</w:t>
      </w:r>
    </w:p>
    <w:p w14:paraId="64364E36" w14:textId="77777777" w:rsidR="00E649DF" w:rsidRDefault="00E649DF" w:rsidP="00E649DF">
      <w:pPr>
        <w:rPr>
          <w:lang w:eastAsia="zh-CN"/>
        </w:rPr>
      </w:pPr>
    </w:p>
    <w:p w14:paraId="0899238D" w14:textId="6EE4CC38" w:rsidR="002D2EDD" w:rsidRDefault="00E649DF" w:rsidP="00E649DF">
      <w:pPr>
        <w:jc w:val="center"/>
      </w:pPr>
      <w:r>
        <w:t>______________</w:t>
      </w:r>
    </w:p>
    <w:sectPr w:rsidR="002D2EDD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A47B7" w14:textId="77777777" w:rsidR="00B6115E" w:rsidRDefault="00B6115E">
      <w:r>
        <w:separator/>
      </w:r>
    </w:p>
  </w:endnote>
  <w:endnote w:type="continuationSeparator" w:id="0">
    <w:p w14:paraId="1ABC687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53A4" w14:textId="7156A10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35558">
      <w:rPr>
        <w:lang w:val="en-US"/>
      </w:rPr>
      <w:t>P:\CHI\ITU-R\CONF-R\CMR19\000\089ADD13ADD05C.docx</w:t>
    </w:r>
    <w:r>
      <w:fldChar w:fldCharType="end"/>
    </w:r>
    <w:r w:rsidR="00B35558">
      <w:t>(462225)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6078" w14:textId="675287A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35558">
      <w:rPr>
        <w:lang w:val="en-US"/>
      </w:rPr>
      <w:t>P:\CHI\ITU-R\CONF-R\CMR19\000\089ADD13ADD05C.docx</w:t>
    </w:r>
    <w:r>
      <w:fldChar w:fldCharType="end"/>
    </w:r>
    <w:r w:rsidR="00B35558">
      <w:t>(462225)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EB9C" w14:textId="77777777" w:rsidR="00B6115E" w:rsidRDefault="00B6115E">
      <w:r>
        <w:t>____________________</w:t>
      </w:r>
    </w:p>
  </w:footnote>
  <w:footnote w:type="continuationSeparator" w:id="0">
    <w:p w14:paraId="08F1A297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A750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A76BF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89(Add.</w:t>
    </w:r>
    <w:proofErr w:type="gramStart"/>
    <w:r w:rsidR="00C929E0">
      <w:t>13)(</w:t>
    </w:r>
    <w:proofErr w:type="gramEnd"/>
    <w:r w:rsidR="00C929E0">
      <w:t>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6C4A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6EC8"/>
    <w:rsid w:val="001F4EA6"/>
    <w:rsid w:val="00214959"/>
    <w:rsid w:val="0022272C"/>
    <w:rsid w:val="002260A6"/>
    <w:rsid w:val="0023592E"/>
    <w:rsid w:val="002742B3"/>
    <w:rsid w:val="002A4C9C"/>
    <w:rsid w:val="002B509B"/>
    <w:rsid w:val="002D2EDD"/>
    <w:rsid w:val="002E2A59"/>
    <w:rsid w:val="002E4507"/>
    <w:rsid w:val="002F2E7C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658A"/>
    <w:rsid w:val="00437869"/>
    <w:rsid w:val="00465A34"/>
    <w:rsid w:val="004B4C76"/>
    <w:rsid w:val="004C1BCB"/>
    <w:rsid w:val="004C4554"/>
    <w:rsid w:val="004D2DEC"/>
    <w:rsid w:val="004F2BE6"/>
    <w:rsid w:val="00527E8A"/>
    <w:rsid w:val="00542E85"/>
    <w:rsid w:val="00555639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3759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009F"/>
    <w:rsid w:val="00994FFE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5558"/>
    <w:rsid w:val="00B50377"/>
    <w:rsid w:val="00B6115E"/>
    <w:rsid w:val="00B711CC"/>
    <w:rsid w:val="00B851D4"/>
    <w:rsid w:val="00B868FC"/>
    <w:rsid w:val="00B95072"/>
    <w:rsid w:val="00BB26CD"/>
    <w:rsid w:val="00BE39D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367AD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579DD"/>
    <w:rsid w:val="00E649DF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E039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TableTextS5Char">
    <w:name w:val="Table_TextS5 Char"/>
    <w:link w:val="TableTextS5"/>
    <w:rsid w:val="00E649DF"/>
    <w:rPr>
      <w:rFonts w:ascii="Times New Roman" w:hAnsi="Times New Roman"/>
      <w:lang w:val="en-GB" w:eastAsia="en-US"/>
    </w:rPr>
  </w:style>
  <w:style w:type="character" w:customStyle="1" w:styleId="capS5">
    <w:name w:val="cap_S5"/>
    <w:basedOn w:val="DefaultParagraphFont"/>
    <w:uiPriority w:val="1"/>
    <w:qFormat/>
    <w:rsid w:val="00E649DF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acdb39e-a62e-4ba4-a3ba-57738d3355a7">DPM</DPM_x0020_Author>
    <DPM_x0020_File_x0020_name xmlns="1acdb39e-a62e-4ba4-a3ba-57738d3355a7">R16-WRC19-C-0089!A13-A5!MSW-C</DPM_x0020_File_x0020_name>
    <DPM_x0020_Version xmlns="1acdb39e-a62e-4ba4-a3ba-57738d3355a7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acdb39e-a62e-4ba4-a3ba-57738d3355a7" targetNamespace="http://schemas.microsoft.com/office/2006/metadata/properties" ma:root="true" ma:fieldsID="d41af5c836d734370eb92e7ee5f83852" ns2:_="" ns3:_="">
    <xsd:import namespace="996b2e75-67fd-4955-a3b0-5ab9934cb50b"/>
    <xsd:import namespace="1acdb39e-a62e-4ba4-a3ba-57738d3355a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db39e-a62e-4ba4-a3ba-57738d3355a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db39e-a62e-4ba4-a3ba-57738d335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acdb39e-a62e-4ba4-a3ba-57738d335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811</Words>
  <Characters>964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R16-WRC19-C-0089!A13-A5!MSW-C</dc:title>
  <dc:subject>World Radiocommunication Conference - 2019</dc:subject>
  <dc:creator>Documents Proposals Manager (DPM)</dc:creator>
  <cp:keywords>DPM_v2019.10.14.1_prod</cp:keywords>
  <dc:description/>
  <cp:lastModifiedBy>LI, Ziqian</cp:lastModifiedBy>
  <cp:revision>15</cp:revision>
  <cp:lastPrinted>2006-07-03T06:56:00Z</cp:lastPrinted>
  <dcterms:created xsi:type="dcterms:W3CDTF">2019-10-19T10:15:00Z</dcterms:created>
  <dcterms:modified xsi:type="dcterms:W3CDTF">2019-10-20T07:28:00Z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