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9068E8E" w14:textId="77777777">
        <w:trPr>
          <w:cantSplit/>
        </w:trPr>
        <w:tc>
          <w:tcPr>
            <w:tcW w:w="6911" w:type="dxa"/>
          </w:tcPr>
          <w:p w14:paraId="50F61FB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D2B8128" w14:textId="77777777" w:rsidR="00A066F1" w:rsidRDefault="005F04D8" w:rsidP="003B2284">
            <w:pPr>
              <w:spacing w:before="0" w:line="240" w:lineRule="atLeast"/>
              <w:jc w:val="right"/>
            </w:pPr>
            <w:r>
              <w:rPr>
                <w:noProof/>
                <w:lang w:val="en-US" w:eastAsia="zh-CN"/>
              </w:rPr>
              <w:drawing>
                <wp:inline distT="0" distB="0" distL="0" distR="0" wp14:anchorId="311498C8" wp14:editId="7E35FEB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5E3B580" w14:textId="77777777">
        <w:trPr>
          <w:cantSplit/>
        </w:trPr>
        <w:tc>
          <w:tcPr>
            <w:tcW w:w="6911" w:type="dxa"/>
            <w:tcBorders>
              <w:bottom w:val="single" w:sz="12" w:space="0" w:color="auto"/>
            </w:tcBorders>
          </w:tcPr>
          <w:p w14:paraId="6B97D22C"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A66D41A" w14:textId="77777777" w:rsidR="00A066F1" w:rsidRPr="00617BE4" w:rsidRDefault="00A066F1" w:rsidP="00A066F1">
            <w:pPr>
              <w:spacing w:before="0" w:line="240" w:lineRule="atLeast"/>
              <w:rPr>
                <w:rFonts w:ascii="Verdana" w:hAnsi="Verdana"/>
                <w:szCs w:val="24"/>
              </w:rPr>
            </w:pPr>
          </w:p>
        </w:tc>
      </w:tr>
      <w:tr w:rsidR="00A066F1" w:rsidRPr="00C324A8" w14:paraId="36826EB8" w14:textId="77777777">
        <w:trPr>
          <w:cantSplit/>
        </w:trPr>
        <w:tc>
          <w:tcPr>
            <w:tcW w:w="6911" w:type="dxa"/>
            <w:tcBorders>
              <w:top w:val="single" w:sz="12" w:space="0" w:color="auto"/>
            </w:tcBorders>
          </w:tcPr>
          <w:p w14:paraId="5BB6B0FC"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AB0AA50" w14:textId="77777777" w:rsidR="00A066F1" w:rsidRPr="00C324A8" w:rsidRDefault="00A066F1" w:rsidP="00A066F1">
            <w:pPr>
              <w:spacing w:before="0" w:line="240" w:lineRule="atLeast"/>
              <w:rPr>
                <w:rFonts w:ascii="Verdana" w:hAnsi="Verdana"/>
                <w:sz w:val="20"/>
              </w:rPr>
            </w:pPr>
          </w:p>
        </w:tc>
      </w:tr>
      <w:tr w:rsidR="00A066F1" w:rsidRPr="00C324A8" w14:paraId="07BF4DF5" w14:textId="77777777">
        <w:trPr>
          <w:cantSplit/>
          <w:trHeight w:val="23"/>
        </w:trPr>
        <w:tc>
          <w:tcPr>
            <w:tcW w:w="6911" w:type="dxa"/>
            <w:shd w:val="clear" w:color="auto" w:fill="auto"/>
          </w:tcPr>
          <w:p w14:paraId="44DE506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FBF44C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Document 92</w:t>
            </w:r>
            <w:r w:rsidR="00A066F1" w:rsidRPr="00841216">
              <w:rPr>
                <w:rFonts w:ascii="Verdana" w:hAnsi="Verdana"/>
                <w:b/>
                <w:sz w:val="20"/>
              </w:rPr>
              <w:t>-</w:t>
            </w:r>
            <w:r w:rsidR="005E10C9" w:rsidRPr="00841216">
              <w:rPr>
                <w:rFonts w:ascii="Verdana" w:hAnsi="Verdana"/>
                <w:b/>
                <w:sz w:val="20"/>
              </w:rPr>
              <w:t>E</w:t>
            </w:r>
          </w:p>
        </w:tc>
      </w:tr>
      <w:tr w:rsidR="00A066F1" w:rsidRPr="00C324A8" w14:paraId="70300FD8" w14:textId="77777777">
        <w:trPr>
          <w:cantSplit/>
          <w:trHeight w:val="23"/>
        </w:trPr>
        <w:tc>
          <w:tcPr>
            <w:tcW w:w="6911" w:type="dxa"/>
            <w:shd w:val="clear" w:color="auto" w:fill="auto"/>
          </w:tcPr>
          <w:p w14:paraId="511E6F8B"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7AA028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11 October 2019</w:t>
            </w:r>
          </w:p>
        </w:tc>
      </w:tr>
      <w:tr w:rsidR="00A066F1" w:rsidRPr="00C324A8" w14:paraId="287955C3" w14:textId="77777777">
        <w:trPr>
          <w:cantSplit/>
          <w:trHeight w:val="23"/>
        </w:trPr>
        <w:tc>
          <w:tcPr>
            <w:tcW w:w="6911" w:type="dxa"/>
            <w:shd w:val="clear" w:color="auto" w:fill="auto"/>
          </w:tcPr>
          <w:p w14:paraId="7EDCB5A5"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4317599"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7912A614" w14:textId="77777777" w:rsidTr="00025864">
        <w:trPr>
          <w:cantSplit/>
          <w:trHeight w:val="23"/>
        </w:trPr>
        <w:tc>
          <w:tcPr>
            <w:tcW w:w="10031" w:type="dxa"/>
            <w:gridSpan w:val="2"/>
            <w:shd w:val="clear" w:color="auto" w:fill="auto"/>
          </w:tcPr>
          <w:p w14:paraId="51DBD1F6" w14:textId="77777777" w:rsidR="00A066F1" w:rsidRPr="00C324A8" w:rsidRDefault="00A066F1" w:rsidP="00A066F1">
            <w:pPr>
              <w:tabs>
                <w:tab w:val="left" w:pos="993"/>
              </w:tabs>
              <w:spacing w:before="0"/>
              <w:rPr>
                <w:rFonts w:ascii="Verdana" w:hAnsi="Verdana"/>
                <w:b/>
                <w:sz w:val="20"/>
              </w:rPr>
            </w:pPr>
          </w:p>
        </w:tc>
      </w:tr>
      <w:tr w:rsidR="00E55816" w:rsidRPr="00C324A8" w14:paraId="7A1DF2D3" w14:textId="77777777" w:rsidTr="00025864">
        <w:trPr>
          <w:cantSplit/>
          <w:trHeight w:val="23"/>
        </w:trPr>
        <w:tc>
          <w:tcPr>
            <w:tcW w:w="10031" w:type="dxa"/>
            <w:gridSpan w:val="2"/>
            <w:shd w:val="clear" w:color="auto" w:fill="auto"/>
          </w:tcPr>
          <w:p w14:paraId="5B7A33B1" w14:textId="77777777" w:rsidR="00E55816" w:rsidRDefault="00884D60" w:rsidP="00E55816">
            <w:pPr>
              <w:pStyle w:val="Source"/>
            </w:pPr>
            <w:r>
              <w:t>India (Republic of)</w:t>
            </w:r>
          </w:p>
        </w:tc>
      </w:tr>
      <w:tr w:rsidR="00E55816" w:rsidRPr="00C324A8" w14:paraId="25B9233C" w14:textId="77777777" w:rsidTr="00025864">
        <w:trPr>
          <w:cantSplit/>
          <w:trHeight w:val="23"/>
        </w:trPr>
        <w:tc>
          <w:tcPr>
            <w:tcW w:w="10031" w:type="dxa"/>
            <w:gridSpan w:val="2"/>
            <w:shd w:val="clear" w:color="auto" w:fill="auto"/>
          </w:tcPr>
          <w:p w14:paraId="69F98D93" w14:textId="77777777" w:rsidR="00E55816" w:rsidRDefault="007D5320" w:rsidP="00E55816">
            <w:pPr>
              <w:pStyle w:val="Title1"/>
            </w:pPr>
            <w:r>
              <w:t>Proposals for the work of the conference</w:t>
            </w:r>
          </w:p>
        </w:tc>
      </w:tr>
      <w:tr w:rsidR="00E55816" w:rsidRPr="00C324A8" w14:paraId="17CD9070" w14:textId="77777777" w:rsidTr="00025864">
        <w:trPr>
          <w:cantSplit/>
          <w:trHeight w:val="23"/>
        </w:trPr>
        <w:tc>
          <w:tcPr>
            <w:tcW w:w="10031" w:type="dxa"/>
            <w:gridSpan w:val="2"/>
            <w:shd w:val="clear" w:color="auto" w:fill="auto"/>
          </w:tcPr>
          <w:p w14:paraId="4A897EAD" w14:textId="77777777" w:rsidR="00E55816" w:rsidRDefault="00E55816" w:rsidP="00E55816">
            <w:pPr>
              <w:pStyle w:val="Title2"/>
            </w:pPr>
          </w:p>
        </w:tc>
      </w:tr>
      <w:tr w:rsidR="00A538A6" w:rsidRPr="00C324A8" w14:paraId="3826A198" w14:textId="77777777" w:rsidTr="00025864">
        <w:trPr>
          <w:cantSplit/>
          <w:trHeight w:val="23"/>
        </w:trPr>
        <w:tc>
          <w:tcPr>
            <w:tcW w:w="10031" w:type="dxa"/>
            <w:gridSpan w:val="2"/>
            <w:shd w:val="clear" w:color="auto" w:fill="auto"/>
          </w:tcPr>
          <w:p w14:paraId="442AC725" w14:textId="77777777" w:rsidR="00A538A6" w:rsidRDefault="004B13CB" w:rsidP="004B13CB">
            <w:pPr>
              <w:pStyle w:val="Agendaitem"/>
            </w:pPr>
            <w:r>
              <w:t>Agenda item 1.14</w:t>
            </w:r>
          </w:p>
        </w:tc>
      </w:tr>
    </w:tbl>
    <w:bookmarkEnd w:id="5"/>
    <w:bookmarkEnd w:id="6"/>
    <w:p w14:paraId="3D12252D" w14:textId="77777777" w:rsidR="005118F7" w:rsidRPr="00EC5386" w:rsidRDefault="0068274A" w:rsidP="00181FCF">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7C290AD5" w14:textId="65A45A25" w:rsidR="00BA1384" w:rsidRPr="00C87049" w:rsidRDefault="00BA1384" w:rsidP="001C0ADA">
      <w:pPr>
        <w:pStyle w:val="Heading1"/>
        <w:rPr>
          <w:lang w:val="en-US"/>
        </w:rPr>
      </w:pPr>
      <w:r w:rsidRPr="00C87049">
        <w:rPr>
          <w:lang w:val="en-US"/>
        </w:rPr>
        <w:t>1</w:t>
      </w:r>
      <w:r w:rsidRPr="00C87049">
        <w:rPr>
          <w:lang w:val="en-US"/>
        </w:rPr>
        <w:tab/>
        <w:t>Background</w:t>
      </w:r>
    </w:p>
    <w:p w14:paraId="4D918543" w14:textId="2D194CC2" w:rsidR="00BA1384" w:rsidRPr="00BA1384" w:rsidRDefault="00C87049" w:rsidP="00BA1384">
      <w:pPr>
        <w:rPr>
          <w:lang w:val="en-NZ"/>
        </w:rPr>
      </w:pPr>
      <w:r>
        <w:rPr>
          <w:lang w:val="en-NZ"/>
        </w:rPr>
        <w:t>WRC-19 a</w:t>
      </w:r>
      <w:r w:rsidR="00BA1384" w:rsidRPr="00BA1384">
        <w:rPr>
          <w:lang w:val="en-NZ"/>
        </w:rPr>
        <w:t>genda item 1.14 aims to study any spectrum needs for gateway and fixed terminal links for High Altitude Platform Stations (HAPS) to provide broadband connectivity in remote areas, including mountainous, coastal and sandy desert areas.</w:t>
      </w:r>
    </w:p>
    <w:p w14:paraId="62B24D27" w14:textId="77777777" w:rsidR="00BA1384" w:rsidRPr="00BA1384" w:rsidRDefault="00BA1384" w:rsidP="00BA1384">
      <w:r w:rsidRPr="004C0C48">
        <w:rPr>
          <w:lang w:val="en-NZ"/>
        </w:rPr>
        <w:t xml:space="preserve">HAPS is defined in No. </w:t>
      </w:r>
      <w:r w:rsidRPr="004C0C48">
        <w:rPr>
          <w:b/>
          <w:lang w:val="en-NZ"/>
        </w:rPr>
        <w:t>1.66A</w:t>
      </w:r>
      <w:r w:rsidR="005835AD" w:rsidRPr="004C0C48">
        <w:rPr>
          <w:b/>
          <w:lang w:val="en-NZ"/>
        </w:rPr>
        <w:t xml:space="preserve"> </w:t>
      </w:r>
      <w:r w:rsidR="005835AD" w:rsidRPr="004C0C48">
        <w:rPr>
          <w:lang w:val="en-NZ"/>
        </w:rPr>
        <w:t>of the Radio Regulations</w:t>
      </w:r>
      <w:r w:rsidRPr="004C0C48">
        <w:rPr>
          <w:lang w:val="en-NZ"/>
        </w:rPr>
        <w:t xml:space="preserve"> as “</w:t>
      </w:r>
      <w:r w:rsidRPr="004C0C48">
        <w:rPr>
          <w:i/>
          <w:lang w:val="en-NZ"/>
        </w:rPr>
        <w:t>A station located on an object at an</w:t>
      </w:r>
      <w:r w:rsidRPr="00BA1384">
        <w:rPr>
          <w:i/>
          <w:lang w:val="en-NZ"/>
        </w:rPr>
        <w:t xml:space="preserve"> altitude of 20 to 50 km and at a specified, nominal, fixed point relative to the Earth</w:t>
      </w:r>
      <w:r w:rsidRPr="00BA1384">
        <w:rPr>
          <w:lang w:val="en-NZ"/>
        </w:rPr>
        <w:t xml:space="preserve">”. </w:t>
      </w:r>
      <w:r w:rsidRPr="00BA1384">
        <w:t xml:space="preserve">Under this agenda item, additional spectrum needs for gateway and fixed terminal links for HAPS have been considered pursuant to Resolution </w:t>
      </w:r>
      <w:r w:rsidRPr="00BA1384">
        <w:rPr>
          <w:b/>
          <w:bCs/>
        </w:rPr>
        <w:t>160 (WRC</w:t>
      </w:r>
      <w:r w:rsidRPr="00BA1384">
        <w:rPr>
          <w:b/>
          <w:bCs/>
        </w:rPr>
        <w:noBreakHyphen/>
        <w:t>15)</w:t>
      </w:r>
      <w:r w:rsidRPr="00BA1384">
        <w:t>.</w:t>
      </w:r>
    </w:p>
    <w:p w14:paraId="6D46CDFF" w14:textId="77777777" w:rsidR="00BA1384" w:rsidRPr="00BA1384" w:rsidRDefault="00BA1384" w:rsidP="00BA1384">
      <w:r w:rsidRPr="00BA1384">
        <w:t>The sharing studies conducted by ITU-R considered the following frequency ranges:</w:t>
      </w:r>
    </w:p>
    <w:p w14:paraId="5059A101" w14:textId="77777777" w:rsidR="00BA1384" w:rsidRPr="00BA1384" w:rsidRDefault="00BA1384" w:rsidP="001C0ADA">
      <w:pPr>
        <w:pStyle w:val="enumlev1"/>
      </w:pPr>
      <w:r w:rsidRPr="00BA1384">
        <w:t>–</w:t>
      </w:r>
      <w:r w:rsidRPr="00BA1384">
        <w:tab/>
        <w:t>6 440-6 520 MHz;</w:t>
      </w:r>
    </w:p>
    <w:p w14:paraId="19827676" w14:textId="77777777" w:rsidR="00BA1384" w:rsidRPr="00BA1384" w:rsidRDefault="00BA1384" w:rsidP="001C0ADA">
      <w:pPr>
        <w:pStyle w:val="enumlev1"/>
      </w:pPr>
      <w:r w:rsidRPr="00BA1384">
        <w:t>–</w:t>
      </w:r>
      <w:r w:rsidRPr="00BA1384">
        <w:tab/>
        <w:t>21.4-22 GHz (Region 2 only);</w:t>
      </w:r>
    </w:p>
    <w:p w14:paraId="3D075134" w14:textId="77777777" w:rsidR="00BA1384" w:rsidRPr="00BA1384" w:rsidRDefault="00BA1384" w:rsidP="001C0ADA">
      <w:pPr>
        <w:pStyle w:val="enumlev1"/>
      </w:pPr>
      <w:r w:rsidRPr="00BA1384">
        <w:t>–</w:t>
      </w:r>
      <w:r w:rsidRPr="00BA1384">
        <w:tab/>
        <w:t>24.25-27.5 GHz (Region 2 only);</w:t>
      </w:r>
    </w:p>
    <w:p w14:paraId="5CC3048A" w14:textId="77777777" w:rsidR="00BA1384" w:rsidRPr="00BA1384" w:rsidRDefault="00BA1384" w:rsidP="001C0ADA">
      <w:pPr>
        <w:pStyle w:val="enumlev1"/>
      </w:pPr>
      <w:r w:rsidRPr="00BA1384">
        <w:t>–</w:t>
      </w:r>
      <w:r w:rsidRPr="00BA1384">
        <w:tab/>
        <w:t>27.9-28.2 GHz and 31-31.3 GHz;</w:t>
      </w:r>
    </w:p>
    <w:p w14:paraId="40921B5E" w14:textId="77777777" w:rsidR="00BA1384" w:rsidRPr="00BA1384" w:rsidRDefault="00BA1384" w:rsidP="001C0ADA">
      <w:pPr>
        <w:pStyle w:val="enumlev1"/>
      </w:pPr>
      <w:r w:rsidRPr="00BA1384">
        <w:t>–</w:t>
      </w:r>
      <w:r w:rsidRPr="00BA1384">
        <w:tab/>
        <w:t>38-39.5 GHz;</w:t>
      </w:r>
    </w:p>
    <w:p w14:paraId="4030BAF1" w14:textId="77777777" w:rsidR="00BA1384" w:rsidRPr="00BA1384" w:rsidRDefault="00BA1384" w:rsidP="001C0ADA">
      <w:pPr>
        <w:pStyle w:val="enumlev1"/>
      </w:pPr>
      <w:r w:rsidRPr="00BA1384">
        <w:t>–</w:t>
      </w:r>
      <w:r w:rsidRPr="00BA1384">
        <w:tab/>
        <w:t>47.2-47.5 GHz and 47.9-48.2 GHz.</w:t>
      </w:r>
    </w:p>
    <w:p w14:paraId="4B39146C" w14:textId="77777777" w:rsidR="00F00534" w:rsidRDefault="00F00534">
      <w:pPr>
        <w:tabs>
          <w:tab w:val="clear" w:pos="1134"/>
          <w:tab w:val="clear" w:pos="1871"/>
          <w:tab w:val="clear" w:pos="2268"/>
        </w:tabs>
        <w:overflowPunct/>
        <w:autoSpaceDE/>
        <w:autoSpaceDN/>
        <w:adjustRightInd/>
        <w:spacing w:before="0"/>
        <w:textAlignment w:val="auto"/>
        <w:rPr>
          <w:b/>
          <w:sz w:val="28"/>
        </w:rPr>
      </w:pPr>
      <w:r>
        <w:br w:type="page"/>
      </w:r>
    </w:p>
    <w:p w14:paraId="28808891" w14:textId="0DE5FD74" w:rsidR="00BA1384" w:rsidRDefault="00BA1384" w:rsidP="00BC1F7D">
      <w:pPr>
        <w:pStyle w:val="Heading1"/>
        <w:spacing w:after="120"/>
      </w:pPr>
      <w:r w:rsidRPr="004C0C48">
        <w:t>2</w:t>
      </w:r>
      <w:r w:rsidRPr="004C0C48">
        <w:tab/>
        <w:t>Views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652"/>
        <w:gridCol w:w="1134"/>
        <w:gridCol w:w="5387"/>
      </w:tblGrid>
      <w:tr w:rsidR="00A74FA3" w14:paraId="4770F465" w14:textId="77777777" w:rsidTr="00A74FA3">
        <w:trPr>
          <w:jc w:val="center"/>
        </w:trPr>
        <w:tc>
          <w:tcPr>
            <w:tcW w:w="1183" w:type="dxa"/>
          </w:tcPr>
          <w:p w14:paraId="4CFAF2C2" w14:textId="06A3E0C8" w:rsidR="00A74FA3" w:rsidRDefault="00A74FA3" w:rsidP="00F00534">
            <w:pPr>
              <w:pStyle w:val="Tablehead"/>
            </w:pPr>
            <w:r w:rsidRPr="00BA1384">
              <w:t>Alternative</w:t>
            </w:r>
            <w:r>
              <w:t xml:space="preserve"> </w:t>
            </w:r>
          </w:p>
        </w:tc>
        <w:tc>
          <w:tcPr>
            <w:tcW w:w="1652" w:type="dxa"/>
          </w:tcPr>
          <w:p w14:paraId="232A2BB3" w14:textId="26B4AC6D" w:rsidR="00A74FA3" w:rsidRPr="00BA1384" w:rsidRDefault="00A74FA3" w:rsidP="00F00534">
            <w:pPr>
              <w:pStyle w:val="Tablehead"/>
            </w:pPr>
            <w:r>
              <w:t>M</w:t>
            </w:r>
            <w:r w:rsidRPr="00BA1384">
              <w:t>ethod</w:t>
            </w:r>
          </w:p>
        </w:tc>
        <w:tc>
          <w:tcPr>
            <w:tcW w:w="1134" w:type="dxa"/>
          </w:tcPr>
          <w:p w14:paraId="523FDC89" w14:textId="2A448EE2" w:rsidR="00A74FA3" w:rsidRDefault="00A74FA3" w:rsidP="00F00534">
            <w:pPr>
              <w:pStyle w:val="Tablehead"/>
            </w:pPr>
            <w:r w:rsidRPr="00BA1384">
              <w:t>Option</w:t>
            </w:r>
          </w:p>
        </w:tc>
        <w:tc>
          <w:tcPr>
            <w:tcW w:w="5387" w:type="dxa"/>
          </w:tcPr>
          <w:p w14:paraId="76FC485C" w14:textId="3C5FE54D" w:rsidR="00A74FA3" w:rsidRDefault="00A74FA3" w:rsidP="00F00534">
            <w:pPr>
              <w:pStyle w:val="Tablehead"/>
            </w:pPr>
            <w:r w:rsidRPr="00BA1384">
              <w:t>Rem</w:t>
            </w:r>
            <w:bookmarkStart w:id="7" w:name="_GoBack"/>
            <w:bookmarkEnd w:id="7"/>
            <w:r w:rsidRPr="00BA1384">
              <w:t>ark</w:t>
            </w:r>
            <w:r>
              <w:t>s</w:t>
            </w:r>
          </w:p>
        </w:tc>
      </w:tr>
      <w:tr w:rsidR="00A74FA3" w14:paraId="5E0012F9" w14:textId="77777777" w:rsidTr="00A74FA3">
        <w:trPr>
          <w:jc w:val="center"/>
        </w:trPr>
        <w:tc>
          <w:tcPr>
            <w:tcW w:w="1183" w:type="dxa"/>
          </w:tcPr>
          <w:p w14:paraId="535CB403" w14:textId="3FD132AF" w:rsidR="00A74FA3" w:rsidRDefault="00A74FA3" w:rsidP="00A74FA3">
            <w:pPr>
              <w:pStyle w:val="Tabletext"/>
              <w:jc w:val="center"/>
            </w:pPr>
            <w:r>
              <w:t>–</w:t>
            </w:r>
          </w:p>
        </w:tc>
        <w:tc>
          <w:tcPr>
            <w:tcW w:w="1652" w:type="dxa"/>
          </w:tcPr>
          <w:p w14:paraId="2DB2A411" w14:textId="4FF19CB0" w:rsidR="00A74FA3" w:rsidRDefault="00A74FA3" w:rsidP="00A74FA3">
            <w:pPr>
              <w:pStyle w:val="Tabletext"/>
              <w:jc w:val="center"/>
            </w:pPr>
            <w:r>
              <w:t>A</w:t>
            </w:r>
          </w:p>
        </w:tc>
        <w:tc>
          <w:tcPr>
            <w:tcW w:w="1134" w:type="dxa"/>
          </w:tcPr>
          <w:p w14:paraId="2672B175" w14:textId="23DB4354" w:rsidR="00A74FA3" w:rsidRDefault="00A74FA3" w:rsidP="00A74FA3">
            <w:pPr>
              <w:pStyle w:val="Tabletext"/>
              <w:jc w:val="center"/>
            </w:pPr>
            <w:r>
              <w:t>–</w:t>
            </w:r>
          </w:p>
        </w:tc>
        <w:tc>
          <w:tcPr>
            <w:tcW w:w="5387" w:type="dxa"/>
          </w:tcPr>
          <w:p w14:paraId="190E8B3B" w14:textId="3E66C851" w:rsidR="00A74FA3" w:rsidRDefault="00A74FA3" w:rsidP="00A74FA3">
            <w:pPr>
              <w:pStyle w:val="Tabletext"/>
            </w:pPr>
            <w:r w:rsidRPr="00BA1384">
              <w:t>No change in the RR. Frequency bands 6 440-6 520 MHz</w:t>
            </w:r>
          </w:p>
        </w:tc>
      </w:tr>
      <w:tr w:rsidR="00A74FA3" w14:paraId="0DFEF093" w14:textId="77777777" w:rsidTr="00A74FA3">
        <w:trPr>
          <w:jc w:val="center"/>
        </w:trPr>
        <w:tc>
          <w:tcPr>
            <w:tcW w:w="1183" w:type="dxa"/>
          </w:tcPr>
          <w:p w14:paraId="43E4D1AB" w14:textId="57924B0D" w:rsidR="00A74FA3" w:rsidRDefault="00A74FA3" w:rsidP="00A74FA3">
            <w:pPr>
              <w:pStyle w:val="Tabletext"/>
              <w:jc w:val="center"/>
            </w:pPr>
            <w:r>
              <w:t>–</w:t>
            </w:r>
          </w:p>
        </w:tc>
        <w:tc>
          <w:tcPr>
            <w:tcW w:w="1652" w:type="dxa"/>
          </w:tcPr>
          <w:p w14:paraId="54B96FD2" w14:textId="0314F3F1" w:rsidR="00A74FA3" w:rsidRDefault="00A74FA3" w:rsidP="00A74FA3">
            <w:pPr>
              <w:pStyle w:val="Tabletext"/>
              <w:jc w:val="center"/>
            </w:pPr>
            <w:r>
              <w:t>A</w:t>
            </w:r>
          </w:p>
        </w:tc>
        <w:tc>
          <w:tcPr>
            <w:tcW w:w="1134" w:type="dxa"/>
          </w:tcPr>
          <w:p w14:paraId="3C4C6696" w14:textId="394CDCA5" w:rsidR="00A74FA3" w:rsidRDefault="00A74FA3" w:rsidP="00A74FA3">
            <w:pPr>
              <w:pStyle w:val="Tabletext"/>
              <w:jc w:val="center"/>
            </w:pPr>
            <w:r>
              <w:t>–</w:t>
            </w:r>
          </w:p>
        </w:tc>
        <w:tc>
          <w:tcPr>
            <w:tcW w:w="5387" w:type="dxa"/>
          </w:tcPr>
          <w:p w14:paraId="5A085DAF" w14:textId="6161533C" w:rsidR="00A74FA3" w:rsidRDefault="00A74FA3" w:rsidP="00A74FA3">
            <w:pPr>
              <w:pStyle w:val="Tabletext"/>
            </w:pPr>
            <w:r w:rsidRPr="00BA1384">
              <w:t>No change in the RR. Frequency bands 6 560-6 640 MHz</w:t>
            </w:r>
          </w:p>
        </w:tc>
      </w:tr>
      <w:tr w:rsidR="00A74FA3" w14:paraId="4157357F" w14:textId="77777777" w:rsidTr="00A74FA3">
        <w:trPr>
          <w:jc w:val="center"/>
        </w:trPr>
        <w:tc>
          <w:tcPr>
            <w:tcW w:w="1183" w:type="dxa"/>
          </w:tcPr>
          <w:p w14:paraId="085FDD65" w14:textId="225605A5" w:rsidR="00A74FA3" w:rsidRDefault="00A74FA3" w:rsidP="00A74FA3">
            <w:pPr>
              <w:pStyle w:val="Tabletext"/>
              <w:jc w:val="center"/>
            </w:pPr>
            <w:r>
              <w:t>–</w:t>
            </w:r>
          </w:p>
        </w:tc>
        <w:tc>
          <w:tcPr>
            <w:tcW w:w="1652" w:type="dxa"/>
          </w:tcPr>
          <w:p w14:paraId="4C726E32" w14:textId="55DF1C85" w:rsidR="00A74FA3" w:rsidRDefault="00A74FA3" w:rsidP="00A74FA3">
            <w:pPr>
              <w:pStyle w:val="Tabletext"/>
              <w:jc w:val="center"/>
            </w:pPr>
            <w:r>
              <w:t>A</w:t>
            </w:r>
          </w:p>
        </w:tc>
        <w:tc>
          <w:tcPr>
            <w:tcW w:w="1134" w:type="dxa"/>
          </w:tcPr>
          <w:p w14:paraId="60BD22B0" w14:textId="6903A8DF" w:rsidR="00A74FA3" w:rsidRDefault="00A74FA3" w:rsidP="00A74FA3">
            <w:pPr>
              <w:pStyle w:val="Tabletext"/>
              <w:jc w:val="center"/>
            </w:pPr>
            <w:r>
              <w:t>–</w:t>
            </w:r>
          </w:p>
        </w:tc>
        <w:tc>
          <w:tcPr>
            <w:tcW w:w="5387" w:type="dxa"/>
          </w:tcPr>
          <w:p w14:paraId="52E8A037" w14:textId="0837FEE4" w:rsidR="00A74FA3" w:rsidRDefault="00A74FA3" w:rsidP="00A74FA3">
            <w:pPr>
              <w:pStyle w:val="Tabletext"/>
            </w:pPr>
            <w:r w:rsidRPr="00BA1384">
              <w:t>No change in the RR. Frequency bands 27.9-28.2 GHz</w:t>
            </w:r>
          </w:p>
        </w:tc>
      </w:tr>
      <w:tr w:rsidR="00A74FA3" w14:paraId="0C0442DD" w14:textId="77777777" w:rsidTr="00A74FA3">
        <w:trPr>
          <w:jc w:val="center"/>
        </w:trPr>
        <w:tc>
          <w:tcPr>
            <w:tcW w:w="1183" w:type="dxa"/>
          </w:tcPr>
          <w:p w14:paraId="73E29011" w14:textId="59234F33" w:rsidR="00A74FA3" w:rsidRDefault="00A74FA3" w:rsidP="00A74FA3">
            <w:pPr>
              <w:pStyle w:val="Tabletext"/>
              <w:jc w:val="center"/>
            </w:pPr>
            <w:r>
              <w:t>–</w:t>
            </w:r>
          </w:p>
        </w:tc>
        <w:tc>
          <w:tcPr>
            <w:tcW w:w="1652" w:type="dxa"/>
          </w:tcPr>
          <w:p w14:paraId="075BE763" w14:textId="6B560E75" w:rsidR="00A74FA3" w:rsidRDefault="00A74FA3" w:rsidP="00A74FA3">
            <w:pPr>
              <w:pStyle w:val="Tabletext"/>
              <w:jc w:val="center"/>
            </w:pPr>
            <w:r>
              <w:t>A</w:t>
            </w:r>
          </w:p>
        </w:tc>
        <w:tc>
          <w:tcPr>
            <w:tcW w:w="1134" w:type="dxa"/>
          </w:tcPr>
          <w:p w14:paraId="55BDC30D" w14:textId="5CFA3F51" w:rsidR="00A74FA3" w:rsidRDefault="00A74FA3" w:rsidP="00A74FA3">
            <w:pPr>
              <w:pStyle w:val="Tabletext"/>
              <w:jc w:val="center"/>
            </w:pPr>
            <w:r>
              <w:t>–</w:t>
            </w:r>
          </w:p>
        </w:tc>
        <w:tc>
          <w:tcPr>
            <w:tcW w:w="5387" w:type="dxa"/>
          </w:tcPr>
          <w:p w14:paraId="6BF0B2B2" w14:textId="27D050E4" w:rsidR="00A74FA3" w:rsidRPr="00BA1384" w:rsidRDefault="00A74FA3" w:rsidP="00A74FA3">
            <w:pPr>
              <w:pStyle w:val="Tabletext"/>
            </w:pPr>
            <w:r w:rsidRPr="00BA1384">
              <w:t>No change in the RR. Frequency bands 31-31.3 GHz</w:t>
            </w:r>
          </w:p>
        </w:tc>
      </w:tr>
      <w:tr w:rsidR="00A74FA3" w14:paraId="60C07526" w14:textId="77777777" w:rsidTr="00A74FA3">
        <w:trPr>
          <w:jc w:val="center"/>
        </w:trPr>
        <w:tc>
          <w:tcPr>
            <w:tcW w:w="1183" w:type="dxa"/>
          </w:tcPr>
          <w:p w14:paraId="5FD1EC6B" w14:textId="3AA24393" w:rsidR="00A74FA3" w:rsidRDefault="00A74FA3" w:rsidP="00A74FA3">
            <w:pPr>
              <w:pStyle w:val="Tabletext"/>
              <w:jc w:val="center"/>
            </w:pPr>
            <w:r>
              <w:t>–</w:t>
            </w:r>
          </w:p>
        </w:tc>
        <w:tc>
          <w:tcPr>
            <w:tcW w:w="1652" w:type="dxa"/>
          </w:tcPr>
          <w:p w14:paraId="046721E2" w14:textId="5F757DD0" w:rsidR="00A74FA3" w:rsidRDefault="00A74FA3" w:rsidP="00A74FA3">
            <w:pPr>
              <w:pStyle w:val="Tabletext"/>
              <w:jc w:val="center"/>
            </w:pPr>
            <w:r>
              <w:t>A</w:t>
            </w:r>
          </w:p>
        </w:tc>
        <w:tc>
          <w:tcPr>
            <w:tcW w:w="1134" w:type="dxa"/>
          </w:tcPr>
          <w:p w14:paraId="1367A083" w14:textId="6BC87616" w:rsidR="00A74FA3" w:rsidRDefault="00A74FA3" w:rsidP="00A74FA3">
            <w:pPr>
              <w:pStyle w:val="Tabletext"/>
              <w:jc w:val="center"/>
            </w:pPr>
            <w:r>
              <w:t>–</w:t>
            </w:r>
          </w:p>
        </w:tc>
        <w:tc>
          <w:tcPr>
            <w:tcW w:w="5387" w:type="dxa"/>
          </w:tcPr>
          <w:p w14:paraId="09857AB0" w14:textId="7DBC017B" w:rsidR="00A74FA3" w:rsidRPr="00BA1384" w:rsidRDefault="00A74FA3" w:rsidP="00A74FA3">
            <w:pPr>
              <w:pStyle w:val="Tabletext"/>
            </w:pPr>
            <w:r w:rsidRPr="00BA1384">
              <w:t>No change in the RR. Frequency bands 38-39.5 GHz</w:t>
            </w:r>
          </w:p>
        </w:tc>
      </w:tr>
      <w:tr w:rsidR="00A74FA3" w14:paraId="6AE00F07" w14:textId="77777777" w:rsidTr="00A74FA3">
        <w:trPr>
          <w:jc w:val="center"/>
        </w:trPr>
        <w:tc>
          <w:tcPr>
            <w:tcW w:w="1183" w:type="dxa"/>
          </w:tcPr>
          <w:p w14:paraId="48656BBA" w14:textId="7E073564" w:rsidR="00A74FA3" w:rsidRDefault="00A74FA3" w:rsidP="00A74FA3">
            <w:pPr>
              <w:pStyle w:val="Tabletext"/>
              <w:jc w:val="center"/>
            </w:pPr>
            <w:r>
              <w:t>–</w:t>
            </w:r>
          </w:p>
        </w:tc>
        <w:tc>
          <w:tcPr>
            <w:tcW w:w="1652" w:type="dxa"/>
          </w:tcPr>
          <w:p w14:paraId="19C1AE45" w14:textId="39687033" w:rsidR="00A74FA3" w:rsidRDefault="00A74FA3" w:rsidP="00A74FA3">
            <w:pPr>
              <w:pStyle w:val="Tabletext"/>
              <w:jc w:val="center"/>
            </w:pPr>
            <w:r>
              <w:t>A</w:t>
            </w:r>
          </w:p>
        </w:tc>
        <w:tc>
          <w:tcPr>
            <w:tcW w:w="1134" w:type="dxa"/>
          </w:tcPr>
          <w:p w14:paraId="75E2927D" w14:textId="038B8032" w:rsidR="00A74FA3" w:rsidRDefault="00A74FA3" w:rsidP="00A74FA3">
            <w:pPr>
              <w:pStyle w:val="Tabletext"/>
              <w:jc w:val="center"/>
            </w:pPr>
            <w:r>
              <w:t>–</w:t>
            </w:r>
          </w:p>
        </w:tc>
        <w:tc>
          <w:tcPr>
            <w:tcW w:w="5387" w:type="dxa"/>
          </w:tcPr>
          <w:p w14:paraId="101AB009" w14:textId="540AB70D" w:rsidR="00A74FA3" w:rsidRPr="00BA1384" w:rsidRDefault="00A74FA3" w:rsidP="00A74FA3">
            <w:pPr>
              <w:pStyle w:val="Tabletext"/>
            </w:pPr>
            <w:r w:rsidRPr="00BA1384">
              <w:t>No change in the RR. Frequency bands 47.2-47.5 GHz / 47.9-48.2 GHz</w:t>
            </w:r>
          </w:p>
        </w:tc>
      </w:tr>
    </w:tbl>
    <w:p w14:paraId="2E996C48" w14:textId="77777777" w:rsidR="00BA1384" w:rsidRPr="00BA1384" w:rsidRDefault="00BA1384" w:rsidP="001C0ADA">
      <w:pPr>
        <w:pStyle w:val="Heading1"/>
        <w:rPr>
          <w:lang w:val="en-US"/>
        </w:rPr>
      </w:pPr>
      <w:r w:rsidRPr="00BA1384">
        <w:rPr>
          <w:lang w:val="en-US"/>
        </w:rPr>
        <w:t>3</w:t>
      </w:r>
      <w:r w:rsidRPr="00BA1384">
        <w:rPr>
          <w:lang w:val="en-US"/>
        </w:rPr>
        <w:tab/>
        <w:t>Proposal</w:t>
      </w:r>
      <w:r w:rsidRPr="00BA1384">
        <w:rPr>
          <w:lang w:val="en-US"/>
        </w:rPr>
        <w:tab/>
        <w:t>NOC</w:t>
      </w:r>
    </w:p>
    <w:p w14:paraId="4EDBD50E" w14:textId="2271E917" w:rsidR="00BA1384" w:rsidRPr="00BA1384" w:rsidRDefault="00BA1384" w:rsidP="00BA1384">
      <w:r w:rsidRPr="00BA1384">
        <w:rPr>
          <w:b/>
        </w:rPr>
        <w:t xml:space="preserve">Reasons: </w:t>
      </w:r>
      <w:r>
        <w:rPr>
          <w:b/>
        </w:rPr>
        <w:tab/>
      </w:r>
      <w:r w:rsidRPr="00BA1384">
        <w:rPr>
          <w:lang w:val="en-NZ"/>
        </w:rPr>
        <w:t>For utili</w:t>
      </w:r>
      <w:r w:rsidR="00277C04">
        <w:rPr>
          <w:lang w:val="en-NZ"/>
        </w:rPr>
        <w:t>z</w:t>
      </w:r>
      <w:r w:rsidRPr="00BA1384">
        <w:rPr>
          <w:lang w:val="en-NZ"/>
        </w:rPr>
        <w:t xml:space="preserve">ation of HAPS application India has already identified 27.9-28.2 GHz and </w:t>
      </w:r>
      <w:r w:rsidRPr="004C0C48">
        <w:rPr>
          <w:lang w:val="en-NZ"/>
        </w:rPr>
        <w:t xml:space="preserve">31.0-31.3 GHz bands through footnote </w:t>
      </w:r>
      <w:r w:rsidR="00A1237D" w:rsidRPr="004C0C48">
        <w:rPr>
          <w:lang w:val="en-NZ"/>
        </w:rPr>
        <w:t xml:space="preserve">RR Nos. </w:t>
      </w:r>
      <w:r w:rsidRPr="004C0C48">
        <w:rPr>
          <w:b/>
          <w:bCs/>
          <w:lang w:val="en-NZ"/>
        </w:rPr>
        <w:t>5.537A</w:t>
      </w:r>
      <w:r w:rsidRPr="004C0C48">
        <w:rPr>
          <w:lang w:val="en-NZ"/>
        </w:rPr>
        <w:t xml:space="preserve"> and </w:t>
      </w:r>
      <w:r w:rsidRPr="004C0C48">
        <w:rPr>
          <w:b/>
          <w:bCs/>
          <w:lang w:val="en-NZ"/>
        </w:rPr>
        <w:t>5.543A</w:t>
      </w:r>
      <w:r w:rsidRPr="004C0C48">
        <w:rPr>
          <w:lang w:val="en-NZ"/>
        </w:rPr>
        <w:t>.</w:t>
      </w:r>
    </w:p>
    <w:p w14:paraId="62895E30" w14:textId="77777777" w:rsidR="00241FA2" w:rsidRDefault="00241FA2" w:rsidP="00EF71B6"/>
    <w:p w14:paraId="4AEF4B0D" w14:textId="77777777" w:rsidR="00187BD9" w:rsidRPr="00BA1384" w:rsidRDefault="00187BD9" w:rsidP="00187BD9">
      <w:pPr>
        <w:tabs>
          <w:tab w:val="clear" w:pos="1134"/>
          <w:tab w:val="clear" w:pos="1871"/>
          <w:tab w:val="clear" w:pos="2268"/>
        </w:tabs>
        <w:overflowPunct/>
        <w:autoSpaceDE/>
        <w:autoSpaceDN/>
        <w:adjustRightInd/>
        <w:spacing w:before="0"/>
        <w:textAlignment w:val="auto"/>
        <w:rPr>
          <w:lang w:val="en-US"/>
        </w:rPr>
      </w:pPr>
      <w:r w:rsidRPr="00BA1384">
        <w:rPr>
          <w:lang w:val="en-US"/>
        </w:rPr>
        <w:br w:type="page"/>
      </w:r>
    </w:p>
    <w:p w14:paraId="591F15FA" w14:textId="77777777" w:rsidR="008B2E84" w:rsidRDefault="0068274A" w:rsidP="008B2E84">
      <w:pPr>
        <w:pStyle w:val="ArtNo"/>
        <w:spacing w:before="0"/>
        <w:rPr>
          <w:lang w:val="en-AU"/>
        </w:rPr>
      </w:pPr>
      <w:bookmarkStart w:id="8" w:name="_Toc451865291"/>
      <w:r w:rsidRPr="006D07BF">
        <w:t>ARTICLE</w:t>
      </w:r>
      <w:r>
        <w:rPr>
          <w:lang w:val="en-AU"/>
        </w:rPr>
        <w:t xml:space="preserve"> </w:t>
      </w:r>
      <w:r>
        <w:rPr>
          <w:rStyle w:val="href"/>
          <w:rFonts w:eastAsiaTheme="majorEastAsia"/>
          <w:color w:val="000000"/>
          <w:lang w:val="en-AU"/>
        </w:rPr>
        <w:t>5</w:t>
      </w:r>
      <w:bookmarkEnd w:id="8"/>
    </w:p>
    <w:p w14:paraId="189AF303" w14:textId="77777777" w:rsidR="008B2E84" w:rsidRDefault="0068274A"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0B696FBE" w14:textId="77777777" w:rsidR="008B2E84" w:rsidRPr="00B25B23" w:rsidRDefault="0068274A"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6F08198" w14:textId="77777777" w:rsidR="00865A5E" w:rsidRDefault="0068274A">
      <w:pPr>
        <w:pStyle w:val="Proposal"/>
      </w:pPr>
      <w:r>
        <w:rPr>
          <w:u w:val="single"/>
        </w:rPr>
        <w:t>NOC</w:t>
      </w:r>
      <w:r>
        <w:tab/>
        <w:t>IND/92A14/1</w:t>
      </w:r>
    </w:p>
    <w:p w14:paraId="33A89F8D" w14:textId="77777777" w:rsidR="00B4508D" w:rsidRPr="002B657C" w:rsidRDefault="0068274A" w:rsidP="003E393F">
      <w:pPr>
        <w:pStyle w:val="Tabletitle"/>
      </w:pPr>
      <w:r w:rsidRPr="007915C9">
        <w:t>5 570-</w:t>
      </w:r>
      <w:r>
        <w:t>6 700</w:t>
      </w:r>
      <w:r w:rsidRPr="007915C9">
        <w:t xml:space="preserve"> MHz</w:t>
      </w:r>
    </w:p>
    <w:p w14:paraId="66FDBD4F" w14:textId="77777777" w:rsidR="00865A5E" w:rsidRDefault="00865A5E">
      <w:pPr>
        <w:pStyle w:val="Reasons"/>
      </w:pPr>
    </w:p>
    <w:p w14:paraId="2F547EC7" w14:textId="77777777" w:rsidR="00865A5E" w:rsidRDefault="0068274A">
      <w:pPr>
        <w:pStyle w:val="Proposal"/>
      </w:pPr>
      <w:r>
        <w:rPr>
          <w:u w:val="single"/>
        </w:rPr>
        <w:t>NOC</w:t>
      </w:r>
      <w:r>
        <w:tab/>
        <w:t>IND/92A14/2</w:t>
      </w:r>
    </w:p>
    <w:p w14:paraId="57907487" w14:textId="77777777" w:rsidR="004852CC" w:rsidRDefault="0068274A" w:rsidP="004852CC">
      <w:pPr>
        <w:pStyle w:val="Tabletitle"/>
      </w:pPr>
      <w:r w:rsidRPr="00A45B2F">
        <w:t>24.75-29.9 GHz</w:t>
      </w:r>
    </w:p>
    <w:p w14:paraId="5BD34FE2" w14:textId="77777777" w:rsidR="00865A5E" w:rsidRDefault="00865A5E">
      <w:pPr>
        <w:pStyle w:val="Reasons"/>
      </w:pPr>
    </w:p>
    <w:p w14:paraId="54AC8012" w14:textId="77777777" w:rsidR="00865A5E" w:rsidRDefault="0068274A">
      <w:pPr>
        <w:pStyle w:val="Proposal"/>
      </w:pPr>
      <w:r>
        <w:rPr>
          <w:u w:val="single"/>
        </w:rPr>
        <w:t>NOC</w:t>
      </w:r>
      <w:r>
        <w:tab/>
        <w:t>IND/92A14/3</w:t>
      </w:r>
    </w:p>
    <w:p w14:paraId="78BA0CC0" w14:textId="77777777" w:rsidR="004852CC" w:rsidRPr="002B657C" w:rsidRDefault="0068274A" w:rsidP="003E393F">
      <w:pPr>
        <w:pStyle w:val="Tabletitle"/>
      </w:pPr>
      <w:r w:rsidRPr="00586C75">
        <w:t>29.9-34.2 GHz</w:t>
      </w:r>
    </w:p>
    <w:p w14:paraId="14881644" w14:textId="77777777" w:rsidR="00865A5E" w:rsidRDefault="00865A5E">
      <w:pPr>
        <w:pStyle w:val="Reasons"/>
      </w:pPr>
    </w:p>
    <w:p w14:paraId="43CAF390" w14:textId="77777777" w:rsidR="00865A5E" w:rsidRDefault="0068274A">
      <w:pPr>
        <w:pStyle w:val="Proposal"/>
      </w:pPr>
      <w:r>
        <w:rPr>
          <w:u w:val="single"/>
        </w:rPr>
        <w:t>NOC</w:t>
      </w:r>
      <w:r>
        <w:tab/>
        <w:t>IND/92A14/4</w:t>
      </w:r>
    </w:p>
    <w:p w14:paraId="5BEEB261" w14:textId="77777777" w:rsidR="004852CC" w:rsidRPr="002B657C" w:rsidRDefault="0068274A" w:rsidP="003E393F">
      <w:pPr>
        <w:pStyle w:val="Tabletitle"/>
      </w:pPr>
      <w:r w:rsidRPr="00586C75">
        <w:t>34.2-40 GHz</w:t>
      </w:r>
    </w:p>
    <w:p w14:paraId="6F3E0F9F" w14:textId="77777777" w:rsidR="00865A5E" w:rsidRDefault="00865A5E">
      <w:pPr>
        <w:pStyle w:val="Reasons"/>
      </w:pPr>
    </w:p>
    <w:p w14:paraId="3AEA458B" w14:textId="77777777" w:rsidR="00865A5E" w:rsidRDefault="0068274A">
      <w:pPr>
        <w:pStyle w:val="Proposal"/>
      </w:pPr>
      <w:r>
        <w:rPr>
          <w:u w:val="single"/>
        </w:rPr>
        <w:t>NOC</w:t>
      </w:r>
      <w:r>
        <w:tab/>
        <w:t>IND/92A14/5</w:t>
      </w:r>
    </w:p>
    <w:p w14:paraId="487AA5DC" w14:textId="77777777" w:rsidR="004852CC" w:rsidRPr="002B657C" w:rsidRDefault="0068274A" w:rsidP="003E393F">
      <w:pPr>
        <w:pStyle w:val="Tabletitle"/>
      </w:pPr>
      <w:r w:rsidRPr="001B1CC0">
        <w:t>40-47.5 GHz</w:t>
      </w:r>
    </w:p>
    <w:p w14:paraId="2439C3E3" w14:textId="77777777" w:rsidR="00865A5E" w:rsidRDefault="00865A5E">
      <w:pPr>
        <w:pStyle w:val="Reasons"/>
      </w:pPr>
    </w:p>
    <w:p w14:paraId="571CA292" w14:textId="77777777" w:rsidR="00865A5E" w:rsidRDefault="0068274A">
      <w:pPr>
        <w:pStyle w:val="Proposal"/>
      </w:pPr>
      <w:r>
        <w:rPr>
          <w:u w:val="single"/>
        </w:rPr>
        <w:t>NOC</w:t>
      </w:r>
      <w:r>
        <w:tab/>
        <w:t>IND/92A14/6</w:t>
      </w:r>
    </w:p>
    <w:p w14:paraId="0095A358" w14:textId="77777777" w:rsidR="004852CC" w:rsidRPr="002B657C" w:rsidRDefault="0068274A" w:rsidP="003E393F">
      <w:pPr>
        <w:pStyle w:val="Tabletitle"/>
      </w:pPr>
      <w:r>
        <w:t>47.5-51.4 GHz</w:t>
      </w:r>
    </w:p>
    <w:p w14:paraId="07A81474" w14:textId="77777777" w:rsidR="00865A5E" w:rsidRDefault="00865A5E">
      <w:pPr>
        <w:pStyle w:val="Reasons"/>
      </w:pPr>
    </w:p>
    <w:p w14:paraId="5625636F" w14:textId="77777777" w:rsidR="00865A5E" w:rsidRDefault="0068274A">
      <w:pPr>
        <w:pStyle w:val="Proposal"/>
      </w:pPr>
      <w:r>
        <w:rPr>
          <w:u w:val="single"/>
        </w:rPr>
        <w:t>NOC</w:t>
      </w:r>
      <w:r>
        <w:tab/>
        <w:t>IND/92A14/7</w:t>
      </w:r>
      <w:r>
        <w:rPr>
          <w:vanish/>
          <w:color w:val="7F7F7F" w:themeColor="text1" w:themeTint="80"/>
          <w:vertAlign w:val="superscript"/>
        </w:rPr>
        <w:t>#49797</w:t>
      </w:r>
    </w:p>
    <w:p w14:paraId="73646EA1" w14:textId="77777777" w:rsidR="001962A2" w:rsidRPr="0042498F" w:rsidRDefault="0068274A" w:rsidP="00130FDA">
      <w:pPr>
        <w:pStyle w:val="ResNo"/>
        <w:rPr>
          <w:rFonts w:eastAsiaTheme="minorEastAsia"/>
        </w:rPr>
      </w:pPr>
      <w:r w:rsidRPr="0042498F">
        <w:rPr>
          <w:rFonts w:eastAsiaTheme="minorEastAsia"/>
        </w:rPr>
        <w:t>RESOLUTION 122 (rev.WRC</w:t>
      </w:r>
      <w:r w:rsidRPr="0042498F">
        <w:rPr>
          <w:rFonts w:eastAsiaTheme="minorEastAsia"/>
        </w:rPr>
        <w:noBreakHyphen/>
        <w:t>07)</w:t>
      </w:r>
    </w:p>
    <w:p w14:paraId="6EF4FBCA" w14:textId="77777777" w:rsidR="001962A2" w:rsidRPr="0042498F" w:rsidRDefault="0068274A" w:rsidP="00130FDA">
      <w:pPr>
        <w:pStyle w:val="Restitle"/>
      </w:pPr>
      <w:r w:rsidRPr="0042498F">
        <w:t>Use of the bands 47.2-47.5 GHz and 47.9-48.2 GHz by high altitude platform stations in the fixed service and by other services</w:t>
      </w:r>
    </w:p>
    <w:p w14:paraId="476C6467" w14:textId="77777777" w:rsidR="00865A5E" w:rsidRDefault="00865A5E">
      <w:pPr>
        <w:pStyle w:val="Reasons"/>
      </w:pPr>
    </w:p>
    <w:p w14:paraId="24548C2D" w14:textId="77777777" w:rsidR="00865A5E" w:rsidRDefault="0068274A">
      <w:pPr>
        <w:pStyle w:val="Proposal"/>
      </w:pPr>
      <w:r>
        <w:rPr>
          <w:u w:val="single"/>
        </w:rPr>
        <w:t>NOC</w:t>
      </w:r>
      <w:r>
        <w:tab/>
        <w:t>IND/92A14/8</w:t>
      </w:r>
      <w:r>
        <w:rPr>
          <w:vanish/>
          <w:color w:val="7F7F7F" w:themeColor="text1" w:themeTint="80"/>
          <w:vertAlign w:val="superscript"/>
        </w:rPr>
        <w:t>#49765</w:t>
      </w:r>
    </w:p>
    <w:p w14:paraId="5A925C22" w14:textId="77777777" w:rsidR="001962A2" w:rsidRPr="0042498F" w:rsidRDefault="0068274A" w:rsidP="00130FDA">
      <w:pPr>
        <w:pStyle w:val="ResNo"/>
      </w:pPr>
      <w:r w:rsidRPr="0042498F">
        <w:t xml:space="preserve">RESOLUTION </w:t>
      </w:r>
      <w:r w:rsidRPr="0042498F">
        <w:rPr>
          <w:rStyle w:val="href"/>
          <w:rFonts w:eastAsiaTheme="minorHAnsi"/>
          <w:szCs w:val="28"/>
        </w:rPr>
        <w:t>145</w:t>
      </w:r>
      <w:r w:rsidRPr="0042498F">
        <w:t xml:space="preserve"> (Rev.WRC</w:t>
      </w:r>
      <w:r w:rsidRPr="0042498F">
        <w:noBreakHyphen/>
        <w:t>12)</w:t>
      </w:r>
    </w:p>
    <w:p w14:paraId="3BE570A0" w14:textId="77777777" w:rsidR="001962A2" w:rsidRPr="0042498F" w:rsidRDefault="0068274A" w:rsidP="00130FDA">
      <w:pPr>
        <w:pStyle w:val="Restitle"/>
        <w:rPr>
          <w:bCs/>
          <w:u w:val="single"/>
        </w:rPr>
      </w:pPr>
      <w:r w:rsidRPr="0042498F">
        <w:t xml:space="preserve">Use of the bands 27.9-28.2 GHz and 31-31.3 GHz by </w:t>
      </w:r>
      <w:r w:rsidRPr="0042498F">
        <w:br/>
        <w:t>high altitude platform stations in the fixed service</w:t>
      </w:r>
    </w:p>
    <w:p w14:paraId="6C1E6FA8" w14:textId="77777777" w:rsidR="00865A5E" w:rsidRDefault="00865A5E">
      <w:pPr>
        <w:pStyle w:val="Reasons"/>
      </w:pPr>
    </w:p>
    <w:p w14:paraId="66AE6F73" w14:textId="77777777" w:rsidR="00865A5E" w:rsidRDefault="0068274A">
      <w:pPr>
        <w:pStyle w:val="Proposal"/>
      </w:pPr>
      <w:r>
        <w:rPr>
          <w:u w:val="single"/>
        </w:rPr>
        <w:t>NOC</w:t>
      </w:r>
      <w:r>
        <w:tab/>
        <w:t>IND/92A14/9</w:t>
      </w:r>
      <w:r>
        <w:rPr>
          <w:vanish/>
          <w:color w:val="7F7F7F" w:themeColor="text1" w:themeTint="80"/>
          <w:vertAlign w:val="superscript"/>
        </w:rPr>
        <w:t>#49729</w:t>
      </w:r>
    </w:p>
    <w:p w14:paraId="4CF66C83" w14:textId="77777777" w:rsidR="001962A2" w:rsidRPr="0042498F" w:rsidRDefault="0068274A" w:rsidP="00130FDA">
      <w:pPr>
        <w:pStyle w:val="ResNo"/>
      </w:pPr>
      <w:r w:rsidRPr="0042498F">
        <w:t xml:space="preserve">RESOLUTION </w:t>
      </w:r>
      <w:r w:rsidRPr="0042498F">
        <w:rPr>
          <w:rStyle w:val="href"/>
          <w:rFonts w:eastAsiaTheme="minorHAnsi"/>
        </w:rPr>
        <w:t>150</w:t>
      </w:r>
      <w:r w:rsidRPr="0042498F">
        <w:t xml:space="preserve"> (WRC</w:t>
      </w:r>
      <w:r w:rsidRPr="0042498F">
        <w:noBreakHyphen/>
        <w:t>12)</w:t>
      </w:r>
    </w:p>
    <w:p w14:paraId="24ADC059" w14:textId="77777777" w:rsidR="001962A2" w:rsidRPr="0042498F" w:rsidRDefault="0068274A" w:rsidP="00130FDA">
      <w:pPr>
        <w:pStyle w:val="Restitle"/>
        <w:rPr>
          <w:lang w:eastAsia="ja-JP"/>
        </w:rPr>
      </w:pPr>
      <w:r w:rsidRPr="0042498F">
        <w:t xml:space="preserve">Use of the bands 6 440-6 520 MHz and 6 560-6 640 MHz by gateway links </w:t>
      </w:r>
      <w:r w:rsidRPr="0042498F">
        <w:br/>
      </w:r>
      <w:r w:rsidRPr="0042498F">
        <w:rPr>
          <w:lang w:eastAsia="ja-JP"/>
        </w:rPr>
        <w:t>for high-altitude platform stations in the fixed service</w:t>
      </w:r>
    </w:p>
    <w:p w14:paraId="38B8D93E" w14:textId="77777777" w:rsidR="00865A5E" w:rsidRDefault="00865A5E">
      <w:pPr>
        <w:pStyle w:val="Reasons"/>
      </w:pPr>
    </w:p>
    <w:p w14:paraId="2673013B" w14:textId="77777777" w:rsidR="00865A5E" w:rsidRDefault="0068274A">
      <w:pPr>
        <w:pStyle w:val="Proposal"/>
      </w:pPr>
      <w:r>
        <w:t>SUP</w:t>
      </w:r>
      <w:r>
        <w:tab/>
        <w:t>IND/92A14/10</w:t>
      </w:r>
      <w:r>
        <w:rPr>
          <w:vanish/>
          <w:color w:val="7F7F7F" w:themeColor="text1" w:themeTint="80"/>
          <w:vertAlign w:val="superscript"/>
        </w:rPr>
        <w:t>#49813</w:t>
      </w:r>
    </w:p>
    <w:p w14:paraId="250308E1" w14:textId="77777777" w:rsidR="001962A2" w:rsidRPr="0042498F" w:rsidRDefault="0068274A" w:rsidP="00130FDA">
      <w:pPr>
        <w:pStyle w:val="ResNo"/>
      </w:pPr>
      <w:r w:rsidRPr="0042498F">
        <w:t xml:space="preserve">RESOLUTION 160 (WRC-15) </w:t>
      </w:r>
    </w:p>
    <w:p w14:paraId="00786E6B" w14:textId="77777777" w:rsidR="001962A2" w:rsidRPr="0042498F" w:rsidRDefault="0068274A" w:rsidP="00130FDA">
      <w:pPr>
        <w:pStyle w:val="Restitle"/>
      </w:pPr>
      <w:r w:rsidRPr="0042498F">
        <w:t>Facilitating access to broadband applications delivered by high-altitude platform stations</w:t>
      </w:r>
    </w:p>
    <w:p w14:paraId="2730A7B5" w14:textId="77777777" w:rsidR="00865A5E" w:rsidRDefault="00865A5E">
      <w:pPr>
        <w:pStyle w:val="Reasons"/>
      </w:pPr>
    </w:p>
    <w:p w14:paraId="779CC72D" w14:textId="77777777" w:rsidR="001C0ADA" w:rsidRDefault="001C0ADA">
      <w:pPr>
        <w:jc w:val="center"/>
      </w:pPr>
      <w:r>
        <w:t>______________</w:t>
      </w:r>
    </w:p>
    <w:sectPr w:rsidR="001C0AD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9A902" w14:textId="77777777" w:rsidR="00B9219D" w:rsidRDefault="00B9219D">
      <w:r>
        <w:separator/>
      </w:r>
    </w:p>
  </w:endnote>
  <w:endnote w:type="continuationSeparator" w:id="0">
    <w:p w14:paraId="7D34731B" w14:textId="77777777" w:rsidR="00B9219D" w:rsidRDefault="00B9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79C2" w14:textId="77777777" w:rsidR="00E45D05" w:rsidRDefault="00E45D05">
    <w:pPr>
      <w:framePr w:wrap="around" w:vAnchor="text" w:hAnchor="margin" w:xAlign="right" w:y="1"/>
    </w:pPr>
    <w:r>
      <w:fldChar w:fldCharType="begin"/>
    </w:r>
    <w:r>
      <w:instrText xml:space="preserve">PAGE  </w:instrText>
    </w:r>
    <w:r>
      <w:fldChar w:fldCharType="separate"/>
    </w:r>
    <w:r w:rsidR="004C0C48">
      <w:rPr>
        <w:noProof/>
      </w:rPr>
      <w:t>4</w:t>
    </w:r>
    <w:r>
      <w:fldChar w:fldCharType="end"/>
    </w:r>
  </w:p>
  <w:p w14:paraId="549FCBBC" w14:textId="618F15C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04015">
      <w:rPr>
        <w:noProof/>
        <w:lang w:val="en-US"/>
      </w:rPr>
      <w:t>P:\ENG\ITU-R\CONF-R\CMR19\000\092ADD14E.docx</w:t>
    </w:r>
    <w:r>
      <w:fldChar w:fldCharType="end"/>
    </w:r>
    <w:r w:rsidRPr="0041348E">
      <w:rPr>
        <w:lang w:val="en-US"/>
      </w:rPr>
      <w:tab/>
    </w:r>
    <w:r>
      <w:fldChar w:fldCharType="begin"/>
    </w:r>
    <w:r>
      <w:instrText xml:space="preserve"> SAVEDATE \@ DD.MM.YY </w:instrText>
    </w:r>
    <w:r>
      <w:fldChar w:fldCharType="separate"/>
    </w:r>
    <w:r w:rsidR="00404015">
      <w:rPr>
        <w:noProof/>
      </w:rPr>
      <w:t>17.10.19</w:t>
    </w:r>
    <w:r>
      <w:fldChar w:fldCharType="end"/>
    </w:r>
    <w:r w:rsidRPr="0041348E">
      <w:rPr>
        <w:lang w:val="en-US"/>
      </w:rPr>
      <w:tab/>
    </w:r>
    <w:r>
      <w:fldChar w:fldCharType="begin"/>
    </w:r>
    <w:r>
      <w:instrText xml:space="preserve"> PRINTDATE \@ DD.MM.YY </w:instrText>
    </w:r>
    <w:r>
      <w:fldChar w:fldCharType="separate"/>
    </w:r>
    <w:r w:rsidR="00404015">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21F5" w14:textId="4F1F8113" w:rsidR="00E45D05" w:rsidRDefault="00E45D05" w:rsidP="009B1EA1">
    <w:pPr>
      <w:pStyle w:val="Footer"/>
    </w:pPr>
    <w:r>
      <w:fldChar w:fldCharType="begin"/>
    </w:r>
    <w:r w:rsidRPr="0041348E">
      <w:rPr>
        <w:lang w:val="en-US"/>
      </w:rPr>
      <w:instrText xml:space="preserve"> FILENAME \p  \* MERGEFORMAT </w:instrText>
    </w:r>
    <w:r>
      <w:fldChar w:fldCharType="separate"/>
    </w:r>
    <w:r w:rsidR="00404015">
      <w:rPr>
        <w:lang w:val="en-US"/>
      </w:rPr>
      <w:t>P:\ENG\ITU-R\CONF-R\CMR19\000\092ADD14E.docx</w:t>
    </w:r>
    <w:r>
      <w:fldChar w:fldCharType="end"/>
    </w:r>
    <w:r w:rsidR="001C0ADA">
      <w:t xml:space="preserve"> (462223)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8E8F" w14:textId="661CB3D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404015">
      <w:rPr>
        <w:lang w:val="en-US"/>
      </w:rPr>
      <w:t>P:\ENG\ITU-R\CONF-R\CMR19\000\092ADD14E.docx</w:t>
    </w:r>
    <w:r>
      <w:fldChar w:fldCharType="end"/>
    </w:r>
    <w:r w:rsidR="00B1714D">
      <w:t xml:space="preserve"> (462223)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C02D" w14:textId="77777777" w:rsidR="00B9219D" w:rsidRDefault="00B9219D">
      <w:r>
        <w:rPr>
          <w:b/>
        </w:rPr>
        <w:t>_______________</w:t>
      </w:r>
    </w:p>
  </w:footnote>
  <w:footnote w:type="continuationSeparator" w:id="0">
    <w:p w14:paraId="58ACA006" w14:textId="77777777" w:rsidR="00B9219D" w:rsidRDefault="00B9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8D98" w14:textId="77777777" w:rsidR="00E45D05" w:rsidRDefault="00A066F1" w:rsidP="00187BD9">
    <w:pPr>
      <w:pStyle w:val="Header"/>
    </w:pPr>
    <w:r>
      <w:fldChar w:fldCharType="begin"/>
    </w:r>
    <w:r>
      <w:instrText xml:space="preserve"> PAGE  \* MERGEFORMAT </w:instrText>
    </w:r>
    <w:r>
      <w:fldChar w:fldCharType="separate"/>
    </w:r>
    <w:r w:rsidR="001D4C64">
      <w:rPr>
        <w:noProof/>
      </w:rPr>
      <w:t>4</w:t>
    </w:r>
    <w:r>
      <w:fldChar w:fldCharType="end"/>
    </w:r>
  </w:p>
  <w:p w14:paraId="4CA2D064"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92(Add.14)</w:t>
    </w:r>
    <w:bookmarkEnd w:id="11"/>
    <w:bookmarkEnd w:id="12"/>
    <w:bookmarkEnd w:id="13"/>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7CF8"/>
    <w:rsid w:val="000D154B"/>
    <w:rsid w:val="000D2DAF"/>
    <w:rsid w:val="000E463E"/>
    <w:rsid w:val="000F73FF"/>
    <w:rsid w:val="00114CF7"/>
    <w:rsid w:val="00116C7A"/>
    <w:rsid w:val="00123B68"/>
    <w:rsid w:val="00126F2E"/>
    <w:rsid w:val="00146F6F"/>
    <w:rsid w:val="00187BD9"/>
    <w:rsid w:val="00190B55"/>
    <w:rsid w:val="001C0ADA"/>
    <w:rsid w:val="001C3B5F"/>
    <w:rsid w:val="001D058F"/>
    <w:rsid w:val="001D4C64"/>
    <w:rsid w:val="002009EA"/>
    <w:rsid w:val="00202756"/>
    <w:rsid w:val="00202CA0"/>
    <w:rsid w:val="00216B6D"/>
    <w:rsid w:val="00241FA2"/>
    <w:rsid w:val="00271316"/>
    <w:rsid w:val="00277C04"/>
    <w:rsid w:val="002B349C"/>
    <w:rsid w:val="002C54E9"/>
    <w:rsid w:val="002D58BE"/>
    <w:rsid w:val="002F4747"/>
    <w:rsid w:val="00302605"/>
    <w:rsid w:val="00361B37"/>
    <w:rsid w:val="00377BD3"/>
    <w:rsid w:val="00384088"/>
    <w:rsid w:val="003852CE"/>
    <w:rsid w:val="0039169B"/>
    <w:rsid w:val="003A2D7C"/>
    <w:rsid w:val="003A7F8C"/>
    <w:rsid w:val="003B2284"/>
    <w:rsid w:val="003B532E"/>
    <w:rsid w:val="003D0F8B"/>
    <w:rsid w:val="003E0DB6"/>
    <w:rsid w:val="00404015"/>
    <w:rsid w:val="00407D61"/>
    <w:rsid w:val="0041348E"/>
    <w:rsid w:val="00420873"/>
    <w:rsid w:val="00492075"/>
    <w:rsid w:val="004969AD"/>
    <w:rsid w:val="004A26C4"/>
    <w:rsid w:val="004B13CB"/>
    <w:rsid w:val="004C0C48"/>
    <w:rsid w:val="004D26EA"/>
    <w:rsid w:val="004D2BFB"/>
    <w:rsid w:val="004D555D"/>
    <w:rsid w:val="004D5D5C"/>
    <w:rsid w:val="004F3DC0"/>
    <w:rsid w:val="0050139F"/>
    <w:rsid w:val="0055140B"/>
    <w:rsid w:val="005835AD"/>
    <w:rsid w:val="005964AB"/>
    <w:rsid w:val="005C099A"/>
    <w:rsid w:val="005C31A5"/>
    <w:rsid w:val="005E10C9"/>
    <w:rsid w:val="005E290B"/>
    <w:rsid w:val="005E61DD"/>
    <w:rsid w:val="005F04D8"/>
    <w:rsid w:val="006023DF"/>
    <w:rsid w:val="00615426"/>
    <w:rsid w:val="00616219"/>
    <w:rsid w:val="00645B7D"/>
    <w:rsid w:val="00657DE0"/>
    <w:rsid w:val="0068274A"/>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C68DD"/>
    <w:rsid w:val="007D5320"/>
    <w:rsid w:val="00800972"/>
    <w:rsid w:val="00804475"/>
    <w:rsid w:val="00811633"/>
    <w:rsid w:val="00814037"/>
    <w:rsid w:val="00841216"/>
    <w:rsid w:val="00842AF0"/>
    <w:rsid w:val="0086171E"/>
    <w:rsid w:val="00865A5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237D"/>
    <w:rsid w:val="00A141AF"/>
    <w:rsid w:val="00A16D29"/>
    <w:rsid w:val="00A30305"/>
    <w:rsid w:val="00A31D2D"/>
    <w:rsid w:val="00A4600A"/>
    <w:rsid w:val="00A538A6"/>
    <w:rsid w:val="00A54C25"/>
    <w:rsid w:val="00A710E7"/>
    <w:rsid w:val="00A7372E"/>
    <w:rsid w:val="00A74FA3"/>
    <w:rsid w:val="00A93B85"/>
    <w:rsid w:val="00AA0B18"/>
    <w:rsid w:val="00AA3C65"/>
    <w:rsid w:val="00AA666F"/>
    <w:rsid w:val="00AA7838"/>
    <w:rsid w:val="00AD7914"/>
    <w:rsid w:val="00AE514B"/>
    <w:rsid w:val="00B1714D"/>
    <w:rsid w:val="00B40888"/>
    <w:rsid w:val="00B639E9"/>
    <w:rsid w:val="00B817CD"/>
    <w:rsid w:val="00B81A7D"/>
    <w:rsid w:val="00B85EFD"/>
    <w:rsid w:val="00B9219D"/>
    <w:rsid w:val="00B94AD0"/>
    <w:rsid w:val="00BA1384"/>
    <w:rsid w:val="00BB3A95"/>
    <w:rsid w:val="00BC1F7D"/>
    <w:rsid w:val="00BD6CCE"/>
    <w:rsid w:val="00C0018F"/>
    <w:rsid w:val="00C16A5A"/>
    <w:rsid w:val="00C20466"/>
    <w:rsid w:val="00C214ED"/>
    <w:rsid w:val="00C234E6"/>
    <w:rsid w:val="00C324A8"/>
    <w:rsid w:val="00C54517"/>
    <w:rsid w:val="00C56F70"/>
    <w:rsid w:val="00C57B91"/>
    <w:rsid w:val="00C64CD8"/>
    <w:rsid w:val="00C82695"/>
    <w:rsid w:val="00C87049"/>
    <w:rsid w:val="00C97C68"/>
    <w:rsid w:val="00CA1A47"/>
    <w:rsid w:val="00CA3DFC"/>
    <w:rsid w:val="00CB44E5"/>
    <w:rsid w:val="00CC247A"/>
    <w:rsid w:val="00CE388F"/>
    <w:rsid w:val="00CE5E47"/>
    <w:rsid w:val="00CF020F"/>
    <w:rsid w:val="00CF245A"/>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80563"/>
    <w:rsid w:val="00E976C1"/>
    <w:rsid w:val="00EA12E5"/>
    <w:rsid w:val="00EB55C6"/>
    <w:rsid w:val="00EF1932"/>
    <w:rsid w:val="00EF71B6"/>
    <w:rsid w:val="00F00534"/>
    <w:rsid w:val="00F02766"/>
    <w:rsid w:val="00F05BD4"/>
    <w:rsid w:val="00F06473"/>
    <w:rsid w:val="00F6155B"/>
    <w:rsid w:val="00F65C19"/>
    <w:rsid w:val="00F965E3"/>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8231C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table" w:styleId="TableGrid">
    <w:name w:val="Table Grid"/>
    <w:basedOn w:val="TableNormal"/>
    <w:rsid w:val="00F0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9B00-9ABC-45E1-A8A0-F4E4F3AD233C}">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2695D238-309E-436E-96D6-3D54BF9FFF2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996b2e75-67fd-4955-a3b0-5ab9934cb50b"/>
    <ds:schemaRef ds:uri="http://purl.org/dc/elements/1.1/"/>
    <ds:schemaRef ds:uri="http://schemas.openxmlformats.org/package/2006/metadata/core-properti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90979A-04C3-405E-A8AA-1128023F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431</Words>
  <Characters>2330</Characters>
  <Application>Microsoft Office Word</Application>
  <DocSecurity>0</DocSecurity>
  <Lines>118</Lines>
  <Paragraphs>66</Paragraphs>
  <ScaleCrop>false</ScaleCrop>
  <HeadingPairs>
    <vt:vector size="2" baseType="variant">
      <vt:variant>
        <vt:lpstr>Title</vt:lpstr>
      </vt:variant>
      <vt:variant>
        <vt:i4>1</vt:i4>
      </vt:variant>
    </vt:vector>
  </HeadingPairs>
  <TitlesOfParts>
    <vt:vector size="1" baseType="lpstr">
      <vt:lpstr>R16-WRC19-C-0092!A14!MSW-E</vt:lpstr>
    </vt:vector>
  </TitlesOfParts>
  <Manager>General Secretariat - Pool</Manager>
  <Company>International Telecommunication Union (ITU)</Company>
  <LinksUpToDate>false</LinksUpToDate>
  <CharactersWithSpaces>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R16-WRC19-C-0092!A14!MSW-E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2019-10-17T14:34:00Z</cp:lastPrinted>
  <dcterms:created xsi:type="dcterms:W3CDTF">2019-10-16T09:26:00Z</dcterms:created>
  <dcterms:modified xsi:type="dcterms:W3CDTF">2019-10-17T14:35:00Z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