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8681F71" w14:textId="77777777" w:rsidTr="0050008E">
        <w:trPr>
          <w:cantSplit/>
        </w:trPr>
        <w:tc>
          <w:tcPr>
            <w:tcW w:w="6911" w:type="dxa"/>
          </w:tcPr>
          <w:p w14:paraId="65253FB6" w14:textId="77777777" w:rsidR="00BB1D82" w:rsidRPr="00930FFD" w:rsidRDefault="00851625" w:rsidP="0045328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610A04D4" w14:textId="77777777" w:rsidR="00BB1D82" w:rsidRPr="002A6F8F" w:rsidRDefault="000A55AE" w:rsidP="00453285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FCA954F" wp14:editId="59CEC3F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78653F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8B1781" w14:textId="77777777" w:rsidR="00BB1D82" w:rsidRPr="002A6F8F" w:rsidRDefault="00BB1D82" w:rsidP="0045328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C118774" w14:textId="77777777" w:rsidR="00BB1D82" w:rsidRPr="002A6F8F" w:rsidRDefault="00BB1D82" w:rsidP="0045328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72B3E99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4F267B" w14:textId="77777777" w:rsidR="00BB1D82" w:rsidRPr="002A6F8F" w:rsidRDefault="00BB1D82" w:rsidP="0045328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842609" w14:textId="77777777" w:rsidR="00BB1D82" w:rsidRPr="002A6F8F" w:rsidRDefault="00BB1D82" w:rsidP="0045328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308C18D" w14:textId="77777777" w:rsidTr="00BB1D82">
        <w:trPr>
          <w:cantSplit/>
        </w:trPr>
        <w:tc>
          <w:tcPr>
            <w:tcW w:w="6911" w:type="dxa"/>
          </w:tcPr>
          <w:p w14:paraId="7B14C973" w14:textId="77777777" w:rsidR="00BB1D82" w:rsidRPr="00930FFD" w:rsidRDefault="006D4724" w:rsidP="0045328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7813630" w14:textId="77777777" w:rsidR="00BB1D82" w:rsidRPr="002A6F8F" w:rsidRDefault="006D4724" w:rsidP="0045328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14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92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0FB283B0" w14:textId="77777777" w:rsidTr="00BB1D82">
        <w:trPr>
          <w:cantSplit/>
        </w:trPr>
        <w:tc>
          <w:tcPr>
            <w:tcW w:w="6911" w:type="dxa"/>
          </w:tcPr>
          <w:p w14:paraId="61F63090" w14:textId="77777777" w:rsidR="00690C7B" w:rsidRPr="00930FFD" w:rsidRDefault="00690C7B" w:rsidP="0045328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CB1E532" w14:textId="77777777" w:rsidR="00690C7B" w:rsidRPr="002A6F8F" w:rsidRDefault="00690C7B" w:rsidP="0045328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11 octobre 2019</w:t>
            </w:r>
          </w:p>
        </w:tc>
      </w:tr>
      <w:tr w:rsidR="00690C7B" w:rsidRPr="002A6F8F" w14:paraId="2D5B723A" w14:textId="77777777" w:rsidTr="00BB1D82">
        <w:trPr>
          <w:cantSplit/>
        </w:trPr>
        <w:tc>
          <w:tcPr>
            <w:tcW w:w="6911" w:type="dxa"/>
          </w:tcPr>
          <w:p w14:paraId="4E72A637" w14:textId="77777777" w:rsidR="00690C7B" w:rsidRPr="002A6F8F" w:rsidRDefault="00690C7B" w:rsidP="0045328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F5F7D6D" w14:textId="77777777" w:rsidR="00690C7B" w:rsidRPr="002A6F8F" w:rsidRDefault="00690C7B" w:rsidP="0045328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4D92F893" w14:textId="77777777" w:rsidTr="00C11970">
        <w:trPr>
          <w:cantSplit/>
        </w:trPr>
        <w:tc>
          <w:tcPr>
            <w:tcW w:w="10031" w:type="dxa"/>
            <w:gridSpan w:val="2"/>
          </w:tcPr>
          <w:p w14:paraId="2839D451" w14:textId="77777777" w:rsidR="00690C7B" w:rsidRPr="002A6F8F" w:rsidRDefault="00690C7B" w:rsidP="0045328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403C3F3" w14:textId="77777777" w:rsidTr="0050008E">
        <w:trPr>
          <w:cantSplit/>
        </w:trPr>
        <w:tc>
          <w:tcPr>
            <w:tcW w:w="10031" w:type="dxa"/>
            <w:gridSpan w:val="2"/>
          </w:tcPr>
          <w:p w14:paraId="1A56EE61" w14:textId="77777777" w:rsidR="00690C7B" w:rsidRPr="002A6F8F" w:rsidRDefault="00690C7B" w:rsidP="00453285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Inde (République de l')</w:t>
            </w:r>
          </w:p>
        </w:tc>
      </w:tr>
      <w:tr w:rsidR="00690C7B" w:rsidRPr="002A6F8F" w14:paraId="44791C69" w14:textId="77777777" w:rsidTr="0050008E">
        <w:trPr>
          <w:cantSplit/>
        </w:trPr>
        <w:tc>
          <w:tcPr>
            <w:tcW w:w="10031" w:type="dxa"/>
            <w:gridSpan w:val="2"/>
          </w:tcPr>
          <w:p w14:paraId="6F810A68" w14:textId="77777777" w:rsidR="00690C7B" w:rsidRPr="00346561" w:rsidRDefault="00690C7B" w:rsidP="00453285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346561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432535D7" w14:textId="77777777" w:rsidTr="0050008E">
        <w:trPr>
          <w:cantSplit/>
        </w:trPr>
        <w:tc>
          <w:tcPr>
            <w:tcW w:w="10031" w:type="dxa"/>
            <w:gridSpan w:val="2"/>
          </w:tcPr>
          <w:p w14:paraId="7543BFE2" w14:textId="77777777" w:rsidR="00690C7B" w:rsidRPr="00346561" w:rsidRDefault="00690C7B" w:rsidP="00453285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666DDF95" w14:textId="77777777" w:rsidTr="0050008E">
        <w:trPr>
          <w:cantSplit/>
        </w:trPr>
        <w:tc>
          <w:tcPr>
            <w:tcW w:w="10031" w:type="dxa"/>
            <w:gridSpan w:val="2"/>
          </w:tcPr>
          <w:p w14:paraId="058F52F3" w14:textId="77777777" w:rsidR="00690C7B" w:rsidRDefault="00690C7B" w:rsidP="00453285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1.14 de l'ordre du jour</w:t>
            </w:r>
          </w:p>
        </w:tc>
      </w:tr>
    </w:tbl>
    <w:bookmarkEnd w:id="4"/>
    <w:p w14:paraId="202756E2" w14:textId="79BED189" w:rsidR="001C0E40" w:rsidRPr="00404314" w:rsidRDefault="007E589F" w:rsidP="002A5884">
      <w:pPr>
        <w:spacing w:before="240"/>
      </w:pPr>
      <w:r w:rsidRPr="009B46DD">
        <w:t>1.14</w:t>
      </w:r>
      <w:r w:rsidRPr="009B46DD">
        <w:tab/>
        <w:t xml:space="preserve">examiner, sur la base des études de l'UIT-R conformément à la Résolution </w:t>
      </w:r>
      <w:r w:rsidRPr="009B46DD">
        <w:rPr>
          <w:b/>
          <w:bCs/>
        </w:rPr>
        <w:t>160 (CMR</w:t>
      </w:r>
      <w:r w:rsidR="00453285">
        <w:rPr>
          <w:b/>
          <w:bCs/>
        </w:rPr>
        <w:noBreakHyphen/>
      </w:r>
      <w:r w:rsidRPr="009B46DD">
        <w:rPr>
          <w:b/>
          <w:bCs/>
        </w:rPr>
        <w:t>15)</w:t>
      </w:r>
      <w:r w:rsidRPr="009B46DD">
        <w:t>, des mesures réglementaires appropriées pour les stations placées sur des plates-formes à haute altitude (HAPS), dans le cadre des attributions existantes au service fixe;</w:t>
      </w:r>
    </w:p>
    <w:p w14:paraId="39E8315E" w14:textId="5BE366DD" w:rsidR="00346561" w:rsidRPr="00346561" w:rsidRDefault="00346561" w:rsidP="00453285">
      <w:pPr>
        <w:pStyle w:val="Heading1"/>
      </w:pPr>
      <w:r w:rsidRPr="00346561">
        <w:t>1</w:t>
      </w:r>
      <w:r w:rsidRPr="00346561">
        <w:tab/>
      </w:r>
      <w:r w:rsidR="00447A9E">
        <w:t>Considérations générales</w:t>
      </w:r>
    </w:p>
    <w:p w14:paraId="203CEA54" w14:textId="2EEB6D7C" w:rsidR="003A583E" w:rsidRDefault="00447A9E" w:rsidP="00453285">
      <w:pPr>
        <w:rPr>
          <w:lang w:val="fr-CH"/>
        </w:rPr>
      </w:pPr>
      <w:r>
        <w:rPr>
          <w:lang w:val="fr-CH"/>
        </w:rPr>
        <w:t>Le point 1.14 de l'ordre du jour de la CMR-19 vise à étudier les éventuels</w:t>
      </w:r>
      <w:r>
        <w:rPr>
          <w:color w:val="000000"/>
        </w:rPr>
        <w:t xml:space="preserve"> besoins de spectre pour les liaisons des terminaux passerelles et des terminaux fixes pour les stations placées sur des plates</w:t>
      </w:r>
      <w:r w:rsidR="00CE52FE">
        <w:rPr>
          <w:color w:val="000000"/>
        </w:rPr>
        <w:noBreakHyphen/>
      </w:r>
      <w:r>
        <w:rPr>
          <w:color w:val="000000"/>
        </w:rPr>
        <w:t>formes à haute altitude (HAPS</w:t>
      </w:r>
      <w:r w:rsidR="002825FA">
        <w:rPr>
          <w:color w:val="000000"/>
        </w:rPr>
        <w:t>),</w:t>
      </w:r>
      <w:r>
        <w:rPr>
          <w:color w:val="000000"/>
        </w:rPr>
        <w:t xml:space="preserve"> afin d'assurer une connectivité large bande </w:t>
      </w:r>
      <w:r w:rsidR="00346561" w:rsidRPr="00346561">
        <w:rPr>
          <w:lang w:val="fr-CH"/>
        </w:rPr>
        <w:t>dans les zones isolées, notamment dans les zones montagneuses, côtières et désertiques sablonneuses</w:t>
      </w:r>
      <w:r w:rsidR="00346561">
        <w:rPr>
          <w:lang w:val="fr-CH"/>
        </w:rPr>
        <w:t>.</w:t>
      </w:r>
    </w:p>
    <w:p w14:paraId="53F86A8B" w14:textId="23E7CD79" w:rsidR="00346561" w:rsidRPr="00447A9E" w:rsidRDefault="00447A9E" w:rsidP="00453285">
      <w:pPr>
        <w:rPr>
          <w:lang w:val="fr-CH"/>
        </w:rPr>
      </w:pPr>
      <w:r>
        <w:rPr>
          <w:lang w:val="fr-CH"/>
        </w:rPr>
        <w:t>U</w:t>
      </w:r>
      <w:r w:rsidR="00346561" w:rsidRPr="00346561">
        <w:rPr>
          <w:lang w:val="fr-CH"/>
        </w:rPr>
        <w:t xml:space="preserve">ne station HAPS est définie au numéro </w:t>
      </w:r>
      <w:r w:rsidR="00346561" w:rsidRPr="00346561">
        <w:rPr>
          <w:b/>
          <w:bCs/>
          <w:lang w:val="fr-CH"/>
        </w:rPr>
        <w:t>1.66A</w:t>
      </w:r>
      <w:r w:rsidR="00346561" w:rsidRPr="00346561">
        <w:rPr>
          <w:lang w:val="fr-CH"/>
        </w:rPr>
        <w:t xml:space="preserve"> du Règlement des radiocommunications comme étant </w:t>
      </w:r>
      <w:r w:rsidR="00453285" w:rsidRPr="002A5884">
        <w:rPr>
          <w:lang w:val="fr-CH"/>
        </w:rPr>
        <w:t>«</w:t>
      </w:r>
      <w:r w:rsidR="00346561" w:rsidRPr="00447A9E">
        <w:rPr>
          <w:i/>
          <w:lang w:val="fr-CH"/>
        </w:rPr>
        <w:t>une station installée sur un objet placé à une altitude comprise entre 20 et 50 km et en un point spécifié, nominal, fixe par rapport à la Terre</w:t>
      </w:r>
      <w:r w:rsidR="00453285" w:rsidRPr="002A5884">
        <w:rPr>
          <w:iCs/>
          <w:lang w:val="fr-CH"/>
        </w:rPr>
        <w:t>»</w:t>
      </w:r>
      <w:r>
        <w:rPr>
          <w:lang w:val="fr-CH"/>
        </w:rPr>
        <w:t xml:space="preserve">. </w:t>
      </w:r>
      <w:r w:rsidRPr="00447A9E">
        <w:rPr>
          <w:lang w:val="fr-CH"/>
        </w:rPr>
        <w:t>Au titre de ce point de l'ordre du jour, les besoins de spectre addition</w:t>
      </w:r>
      <w:r>
        <w:rPr>
          <w:lang w:val="fr-CH"/>
        </w:rPr>
        <w:t xml:space="preserve">nels pour les liaisons des terminaux passerelles et des terminaux fixes pour les stations HAPS ont été examinés conformément à la Résolution </w:t>
      </w:r>
      <w:r w:rsidR="00346561" w:rsidRPr="00447A9E">
        <w:rPr>
          <w:b/>
          <w:bCs/>
          <w:lang w:val="fr-CH"/>
        </w:rPr>
        <w:t>160 (</w:t>
      </w:r>
      <w:r>
        <w:rPr>
          <w:b/>
          <w:bCs/>
          <w:lang w:val="fr-CH"/>
        </w:rPr>
        <w:t>CMR</w:t>
      </w:r>
      <w:r w:rsidR="00346561" w:rsidRPr="00447A9E">
        <w:rPr>
          <w:b/>
          <w:bCs/>
          <w:lang w:val="fr-CH"/>
        </w:rPr>
        <w:noBreakHyphen/>
        <w:t>15)</w:t>
      </w:r>
      <w:r w:rsidR="00346561" w:rsidRPr="00447A9E">
        <w:rPr>
          <w:lang w:val="fr-CH"/>
        </w:rPr>
        <w:t>.</w:t>
      </w:r>
    </w:p>
    <w:p w14:paraId="7C1C47C9" w14:textId="18D3FD19" w:rsidR="00346561" w:rsidRPr="00447A9E" w:rsidRDefault="00447A9E" w:rsidP="00453285">
      <w:r w:rsidRPr="00447A9E">
        <w:t xml:space="preserve">Les études de partage menées à bien par l'UIT-R portaient sur les </w:t>
      </w:r>
      <w:r w:rsidR="00453285">
        <w:t>gammes</w:t>
      </w:r>
      <w:r w:rsidRPr="00447A9E">
        <w:t xml:space="preserve"> de fréq</w:t>
      </w:r>
      <w:r>
        <w:t>uences suivantes:</w:t>
      </w:r>
    </w:p>
    <w:p w14:paraId="63FADC6F" w14:textId="77777777" w:rsidR="00346561" w:rsidRPr="00447A9E" w:rsidRDefault="00346561" w:rsidP="00453285">
      <w:pPr>
        <w:pStyle w:val="enumlev1"/>
      </w:pPr>
      <w:r w:rsidRPr="00447A9E">
        <w:t>–</w:t>
      </w:r>
      <w:r w:rsidRPr="00447A9E">
        <w:tab/>
        <w:t>6 440-6 520 MHz;</w:t>
      </w:r>
    </w:p>
    <w:p w14:paraId="29E77640" w14:textId="47B8D1AB" w:rsidR="00346561" w:rsidRPr="00447A9E" w:rsidRDefault="00346561" w:rsidP="00453285">
      <w:pPr>
        <w:pStyle w:val="enumlev1"/>
      </w:pPr>
      <w:r w:rsidRPr="00447A9E">
        <w:t>–</w:t>
      </w:r>
      <w:r w:rsidRPr="00447A9E">
        <w:tab/>
        <w:t>21,4-22 GHz (R</w:t>
      </w:r>
      <w:r w:rsidR="00447A9E">
        <w:t>é</w:t>
      </w:r>
      <w:r w:rsidRPr="00447A9E">
        <w:t xml:space="preserve">gion 2 </w:t>
      </w:r>
      <w:r w:rsidR="00447A9E" w:rsidRPr="00447A9E">
        <w:t>uniquement</w:t>
      </w:r>
      <w:r w:rsidRPr="00447A9E">
        <w:t>);</w:t>
      </w:r>
    </w:p>
    <w:p w14:paraId="2FB04C9E" w14:textId="35972A13" w:rsidR="00346561" w:rsidRPr="00447A9E" w:rsidRDefault="00346561" w:rsidP="00453285">
      <w:pPr>
        <w:pStyle w:val="enumlev1"/>
      </w:pPr>
      <w:r w:rsidRPr="00447A9E">
        <w:t>–</w:t>
      </w:r>
      <w:r w:rsidRPr="00447A9E">
        <w:tab/>
        <w:t>24,25-27,5 GHz (R</w:t>
      </w:r>
      <w:r w:rsidR="00447A9E">
        <w:t>é</w:t>
      </w:r>
      <w:r w:rsidRPr="00447A9E">
        <w:t xml:space="preserve">gion 2 </w:t>
      </w:r>
      <w:r w:rsidR="00447A9E" w:rsidRPr="00447A9E">
        <w:t>uniquement</w:t>
      </w:r>
      <w:r w:rsidRPr="00447A9E">
        <w:t>);</w:t>
      </w:r>
    </w:p>
    <w:p w14:paraId="19781B4C" w14:textId="6266966A" w:rsidR="00346561" w:rsidRPr="00FD652F" w:rsidRDefault="00346561" w:rsidP="00453285">
      <w:pPr>
        <w:pStyle w:val="enumlev1"/>
      </w:pPr>
      <w:r w:rsidRPr="00FD652F">
        <w:t>–</w:t>
      </w:r>
      <w:r w:rsidRPr="00FD652F">
        <w:tab/>
        <w:t xml:space="preserve">27,9-28,2 GHz </w:t>
      </w:r>
      <w:r w:rsidR="00447A9E" w:rsidRPr="00FD652F">
        <w:t>et</w:t>
      </w:r>
      <w:r w:rsidRPr="00FD652F">
        <w:t xml:space="preserve"> 31-31,3 GHz;</w:t>
      </w:r>
    </w:p>
    <w:p w14:paraId="2FBBFA8B" w14:textId="4DB12FAC" w:rsidR="00346561" w:rsidRPr="00FD652F" w:rsidRDefault="00346561" w:rsidP="00453285">
      <w:pPr>
        <w:pStyle w:val="enumlev1"/>
      </w:pPr>
      <w:r w:rsidRPr="00FD652F">
        <w:t>–</w:t>
      </w:r>
      <w:r w:rsidRPr="00FD652F">
        <w:tab/>
        <w:t>38-39,5 GHz;</w:t>
      </w:r>
    </w:p>
    <w:p w14:paraId="5987685B" w14:textId="3DEE206D" w:rsidR="00346561" w:rsidRDefault="00346561" w:rsidP="00453285">
      <w:pPr>
        <w:pStyle w:val="enumlev1"/>
      </w:pPr>
      <w:r w:rsidRPr="00447A9E">
        <w:t>–</w:t>
      </w:r>
      <w:r w:rsidRPr="00447A9E">
        <w:tab/>
        <w:t xml:space="preserve">47,2-47,5 GHz </w:t>
      </w:r>
      <w:r w:rsidR="00447A9E" w:rsidRPr="00447A9E">
        <w:t>et</w:t>
      </w:r>
      <w:r w:rsidRPr="00447A9E">
        <w:t xml:space="preserve"> 47,9-48,2 GHz.</w:t>
      </w:r>
    </w:p>
    <w:p w14:paraId="735EBDE7" w14:textId="77777777" w:rsidR="002A5884" w:rsidRDefault="002A5884" w:rsidP="002A5884"/>
    <w:p w14:paraId="5113B54E" w14:textId="566E9C36" w:rsidR="00453285" w:rsidRDefault="00453285" w:rsidP="00453285">
      <w:pPr>
        <w:pStyle w:val="enumlev1"/>
      </w:pPr>
      <w:r>
        <w:br w:type="page"/>
      </w:r>
    </w:p>
    <w:p w14:paraId="2451CB35" w14:textId="421E4CB6" w:rsidR="00346561" w:rsidRDefault="00346561" w:rsidP="00453285">
      <w:pPr>
        <w:pStyle w:val="Heading1"/>
        <w:spacing w:after="120"/>
      </w:pPr>
      <w:r w:rsidRPr="00447A9E">
        <w:lastRenderedPageBreak/>
        <w:t>2</w:t>
      </w:r>
      <w:r w:rsidRPr="00447A9E">
        <w:tab/>
      </w:r>
      <w:r w:rsidR="00447A9E" w:rsidRPr="00447A9E">
        <w:t>Point d</w:t>
      </w:r>
      <w:r w:rsidR="00447A9E">
        <w:t>e vue</w:t>
      </w:r>
    </w:p>
    <w:tbl>
      <w:tblPr>
        <w:tblStyle w:val="TableGrid"/>
        <w:tblW w:w="9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1013"/>
        <w:gridCol w:w="992"/>
        <w:gridCol w:w="6864"/>
      </w:tblGrid>
      <w:tr w:rsidR="00453285" w14:paraId="488DE144" w14:textId="77777777" w:rsidTr="002A5884">
        <w:trPr>
          <w:jc w:val="center"/>
        </w:trPr>
        <w:tc>
          <w:tcPr>
            <w:tcW w:w="972" w:type="dxa"/>
          </w:tcPr>
          <w:p w14:paraId="1D11DADA" w14:textId="080815C4" w:rsidR="00453285" w:rsidRDefault="00453285" w:rsidP="005B5F58">
            <w:pPr>
              <w:pStyle w:val="Tablehead"/>
            </w:pPr>
            <w:r>
              <w:t xml:space="preserve">Variante </w:t>
            </w:r>
          </w:p>
        </w:tc>
        <w:tc>
          <w:tcPr>
            <w:tcW w:w="1013" w:type="dxa"/>
          </w:tcPr>
          <w:p w14:paraId="5105A92C" w14:textId="23912B73" w:rsidR="00453285" w:rsidRPr="00BA1384" w:rsidRDefault="00453285" w:rsidP="005B5F58">
            <w:pPr>
              <w:pStyle w:val="Tablehead"/>
            </w:pPr>
            <w:r>
              <w:t>Méthode</w:t>
            </w:r>
          </w:p>
        </w:tc>
        <w:tc>
          <w:tcPr>
            <w:tcW w:w="992" w:type="dxa"/>
          </w:tcPr>
          <w:p w14:paraId="6137DDDD" w14:textId="77777777" w:rsidR="00453285" w:rsidRDefault="00453285" w:rsidP="005B5F58">
            <w:pPr>
              <w:pStyle w:val="Tablehead"/>
            </w:pPr>
            <w:r w:rsidRPr="00BA1384">
              <w:t>Option</w:t>
            </w:r>
          </w:p>
        </w:tc>
        <w:tc>
          <w:tcPr>
            <w:tcW w:w="6864" w:type="dxa"/>
          </w:tcPr>
          <w:p w14:paraId="3747622B" w14:textId="1B64B3AA" w:rsidR="00453285" w:rsidRDefault="00453285" w:rsidP="005B5F58">
            <w:pPr>
              <w:pStyle w:val="Tablehead"/>
            </w:pPr>
            <w:r>
              <w:t>Remarque</w:t>
            </w:r>
          </w:p>
        </w:tc>
      </w:tr>
      <w:tr w:rsidR="00453285" w14:paraId="5311687C" w14:textId="77777777" w:rsidTr="002A5884">
        <w:trPr>
          <w:jc w:val="center"/>
        </w:trPr>
        <w:tc>
          <w:tcPr>
            <w:tcW w:w="972" w:type="dxa"/>
          </w:tcPr>
          <w:p w14:paraId="0607B8C9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7148AAA4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0BC75B8E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7A10015E" w14:textId="3E18BB50" w:rsidR="00453285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 de fréquences 6 440-6 520 MHz</w:t>
            </w:r>
          </w:p>
        </w:tc>
      </w:tr>
      <w:tr w:rsidR="00453285" w14:paraId="61BBA0A1" w14:textId="77777777" w:rsidTr="002A5884">
        <w:trPr>
          <w:jc w:val="center"/>
        </w:trPr>
        <w:tc>
          <w:tcPr>
            <w:tcW w:w="972" w:type="dxa"/>
          </w:tcPr>
          <w:p w14:paraId="5DE24845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4CFB5622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612432BD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44BB5513" w14:textId="573FFDBE" w:rsidR="00453285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 de fréquences 6 560-6 640 MHz</w:t>
            </w:r>
          </w:p>
        </w:tc>
      </w:tr>
      <w:tr w:rsidR="00453285" w14:paraId="54A2A1B3" w14:textId="77777777" w:rsidTr="002A5884">
        <w:trPr>
          <w:jc w:val="center"/>
        </w:trPr>
        <w:tc>
          <w:tcPr>
            <w:tcW w:w="972" w:type="dxa"/>
          </w:tcPr>
          <w:p w14:paraId="760E1B73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163FF840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2F237143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7DBCF226" w14:textId="107BD15A" w:rsidR="00453285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 de fréquences 27,9-28,2 GHz</w:t>
            </w:r>
          </w:p>
        </w:tc>
      </w:tr>
      <w:tr w:rsidR="00453285" w14:paraId="0F5D79E7" w14:textId="77777777" w:rsidTr="002A5884">
        <w:trPr>
          <w:jc w:val="center"/>
        </w:trPr>
        <w:tc>
          <w:tcPr>
            <w:tcW w:w="972" w:type="dxa"/>
          </w:tcPr>
          <w:p w14:paraId="7E2240A4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0316D402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1DD01118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522C7A52" w14:textId="7EDE245A" w:rsidR="00453285" w:rsidRPr="00BA1384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 de fréquences 31-31,3 GHz</w:t>
            </w:r>
          </w:p>
        </w:tc>
      </w:tr>
      <w:tr w:rsidR="00453285" w14:paraId="2C76FCB9" w14:textId="77777777" w:rsidTr="002A5884">
        <w:trPr>
          <w:jc w:val="center"/>
        </w:trPr>
        <w:tc>
          <w:tcPr>
            <w:tcW w:w="972" w:type="dxa"/>
          </w:tcPr>
          <w:p w14:paraId="101A4BCB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5BDA590D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62972B4D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5C65122C" w14:textId="08E4D0CE" w:rsidR="00453285" w:rsidRPr="00BA1384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 de fréquences 38-39,5 GHz</w:t>
            </w:r>
          </w:p>
        </w:tc>
      </w:tr>
      <w:tr w:rsidR="00453285" w14:paraId="77ED981C" w14:textId="77777777" w:rsidTr="002A5884">
        <w:trPr>
          <w:jc w:val="center"/>
        </w:trPr>
        <w:tc>
          <w:tcPr>
            <w:tcW w:w="972" w:type="dxa"/>
          </w:tcPr>
          <w:p w14:paraId="6BCA1DC5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013" w:type="dxa"/>
          </w:tcPr>
          <w:p w14:paraId="43E5033B" w14:textId="77777777" w:rsidR="00453285" w:rsidRDefault="00453285" w:rsidP="005B5F58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992" w:type="dxa"/>
          </w:tcPr>
          <w:p w14:paraId="43B9C13B" w14:textId="77777777" w:rsidR="00453285" w:rsidRDefault="00453285" w:rsidP="005B5F58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6864" w:type="dxa"/>
          </w:tcPr>
          <w:p w14:paraId="4836C342" w14:textId="4EA84227" w:rsidR="00453285" w:rsidRPr="00BA1384" w:rsidRDefault="00453285" w:rsidP="005B5F58">
            <w:pPr>
              <w:pStyle w:val="Tabletext"/>
            </w:pPr>
            <w:r w:rsidRPr="00447A9E">
              <w:t xml:space="preserve">Aucune modification du RR. </w:t>
            </w:r>
            <w:r w:rsidRPr="00FD652F">
              <w:t>Bande</w:t>
            </w:r>
            <w:r>
              <w:t>s</w:t>
            </w:r>
            <w:r w:rsidRPr="00FD652F">
              <w:t xml:space="preserve"> de fréquences 47,2-47,5 GHz/47,9-48,2 GHz</w:t>
            </w:r>
          </w:p>
        </w:tc>
      </w:tr>
    </w:tbl>
    <w:p w14:paraId="70ED7689" w14:textId="3CB15E87" w:rsidR="00346561" w:rsidRPr="00FD652F" w:rsidRDefault="00346561" w:rsidP="00453285">
      <w:pPr>
        <w:pStyle w:val="Heading1"/>
      </w:pPr>
      <w:r w:rsidRPr="00FD652F">
        <w:t>3</w:t>
      </w:r>
      <w:r w:rsidRPr="00FD652F">
        <w:tab/>
      </w:r>
      <w:r w:rsidR="00447A9E" w:rsidRPr="00FD652F">
        <w:t>Proposition</w:t>
      </w:r>
      <w:r w:rsidRPr="00FD652F">
        <w:tab/>
        <w:t>NOC</w:t>
      </w:r>
    </w:p>
    <w:p w14:paraId="60E94E25" w14:textId="58B61228" w:rsidR="00346561" w:rsidRDefault="006B7B2B" w:rsidP="00453285">
      <w:pPr>
        <w:pStyle w:val="Reasons"/>
      </w:pPr>
      <w:r w:rsidRPr="00447A9E">
        <w:rPr>
          <w:b/>
        </w:rPr>
        <w:t>Motifs</w:t>
      </w:r>
      <w:r w:rsidR="00346561" w:rsidRPr="00447A9E">
        <w:rPr>
          <w:b/>
        </w:rPr>
        <w:t>:</w:t>
      </w:r>
      <w:r w:rsidR="00346561" w:rsidRPr="00447A9E">
        <w:rPr>
          <w:b/>
        </w:rPr>
        <w:tab/>
      </w:r>
      <w:r w:rsidR="00FD652F" w:rsidRPr="00FD652F">
        <w:t>L'Inde figure déjà parmi les pays pour lesquels les</w:t>
      </w:r>
      <w:r w:rsidR="00FD652F" w:rsidRPr="00DA1310">
        <w:t xml:space="preserve"> bandes de fréquences</w:t>
      </w:r>
      <w:r w:rsidR="00FD652F" w:rsidRPr="00447A9E">
        <w:rPr>
          <w:b/>
        </w:rPr>
        <w:t xml:space="preserve"> </w:t>
      </w:r>
      <w:r w:rsidR="00FD652F" w:rsidRPr="00447A9E">
        <w:t xml:space="preserve">27,9-28,2 GHz et 31,0-31,3 GHz </w:t>
      </w:r>
      <w:r w:rsidR="00FD652F">
        <w:t>sont identifiées pour l'utilisation des applications HAPS aux renvois</w:t>
      </w:r>
      <w:r w:rsidR="00453285">
        <w:t xml:space="preserve"> </w:t>
      </w:r>
      <w:r w:rsidR="00FD652F" w:rsidRPr="00447A9E">
        <w:rPr>
          <w:b/>
          <w:bCs/>
        </w:rPr>
        <w:t>5.537A</w:t>
      </w:r>
      <w:r w:rsidR="00FD652F" w:rsidRPr="00447A9E">
        <w:t xml:space="preserve"> </w:t>
      </w:r>
      <w:r w:rsidR="00FD652F">
        <w:t>et</w:t>
      </w:r>
      <w:r w:rsidR="002A5884">
        <w:t> </w:t>
      </w:r>
      <w:r w:rsidR="00FD652F" w:rsidRPr="00447A9E">
        <w:rPr>
          <w:b/>
          <w:bCs/>
        </w:rPr>
        <w:t>5.543A</w:t>
      </w:r>
      <w:r w:rsidR="00FD652F">
        <w:t xml:space="preserve"> du Règlement des radiocommunications.</w:t>
      </w:r>
    </w:p>
    <w:p w14:paraId="15E0C3E8" w14:textId="77777777" w:rsidR="005937FF" w:rsidRPr="00447A9E" w:rsidRDefault="005937FF" w:rsidP="005937FF"/>
    <w:p w14:paraId="5BF66444" w14:textId="77777777" w:rsidR="0015203F" w:rsidRPr="00447A9E" w:rsidRDefault="0015203F" w:rsidP="004532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7A9E">
        <w:br w:type="page"/>
      </w:r>
    </w:p>
    <w:p w14:paraId="1671770C" w14:textId="77777777" w:rsidR="007F3F42" w:rsidRDefault="007E589F" w:rsidP="00453285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19F0C1E2" w14:textId="77777777" w:rsidR="007F3F42" w:rsidRDefault="007E589F" w:rsidP="00453285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444AA942" w14:textId="6EE47539" w:rsidR="00D73104" w:rsidRDefault="007E589F" w:rsidP="00453285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7F4C1E9E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IND/92A14/1</w:t>
      </w:r>
    </w:p>
    <w:p w14:paraId="263F84D7" w14:textId="77777777" w:rsidR="00EB19FF" w:rsidRPr="00447A9E" w:rsidRDefault="007E589F" w:rsidP="00453285">
      <w:pPr>
        <w:pStyle w:val="Tabletitle"/>
        <w:spacing w:before="120"/>
        <w:rPr>
          <w:color w:val="000000"/>
          <w:lang w:val="en-US"/>
        </w:rPr>
      </w:pPr>
      <w:r w:rsidRPr="00447A9E">
        <w:rPr>
          <w:color w:val="000000"/>
          <w:lang w:val="en-US"/>
        </w:rPr>
        <w:t>5 570-6 700 MHz</w:t>
      </w:r>
    </w:p>
    <w:p w14:paraId="35F10C28" w14:textId="77777777" w:rsidR="00DE4BEA" w:rsidRPr="00447A9E" w:rsidRDefault="00DE4BEA" w:rsidP="00453285">
      <w:pPr>
        <w:pStyle w:val="Reasons"/>
        <w:rPr>
          <w:lang w:val="en-US"/>
        </w:rPr>
      </w:pPr>
    </w:p>
    <w:p w14:paraId="7B6C38DD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IND/92A14/2</w:t>
      </w:r>
    </w:p>
    <w:p w14:paraId="01CE6A6E" w14:textId="77777777" w:rsidR="00EB19FF" w:rsidRPr="00447A9E" w:rsidRDefault="007E589F" w:rsidP="00453285">
      <w:pPr>
        <w:pStyle w:val="Tabletitle"/>
        <w:spacing w:before="120"/>
        <w:rPr>
          <w:color w:val="000000"/>
          <w:lang w:val="en-US"/>
        </w:rPr>
      </w:pPr>
      <w:r w:rsidRPr="00447A9E">
        <w:rPr>
          <w:color w:val="000000"/>
          <w:lang w:val="en-US"/>
        </w:rPr>
        <w:t>24,75-29,9 GHz</w:t>
      </w:r>
    </w:p>
    <w:p w14:paraId="24D31885" w14:textId="77777777" w:rsidR="00DE4BEA" w:rsidRPr="00447A9E" w:rsidRDefault="00DE4BEA" w:rsidP="00453285">
      <w:pPr>
        <w:pStyle w:val="Reasons"/>
        <w:rPr>
          <w:lang w:val="en-US"/>
        </w:rPr>
      </w:pPr>
    </w:p>
    <w:p w14:paraId="51605F09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IND/92A14/3</w:t>
      </w:r>
    </w:p>
    <w:p w14:paraId="792AC95D" w14:textId="77777777" w:rsidR="00EB19FF" w:rsidRPr="00447A9E" w:rsidRDefault="007E589F" w:rsidP="00453285">
      <w:pPr>
        <w:pStyle w:val="Tabletitle"/>
        <w:spacing w:before="120"/>
        <w:rPr>
          <w:color w:val="000000"/>
          <w:lang w:val="en-US"/>
        </w:rPr>
      </w:pPr>
      <w:r w:rsidRPr="00447A9E">
        <w:rPr>
          <w:color w:val="000000"/>
          <w:lang w:val="en-US"/>
        </w:rPr>
        <w:t>29,9-34,2 GHz</w:t>
      </w:r>
    </w:p>
    <w:p w14:paraId="0917C6C1" w14:textId="77777777" w:rsidR="00DE4BEA" w:rsidRPr="00447A9E" w:rsidRDefault="00DE4BEA" w:rsidP="00453285">
      <w:pPr>
        <w:pStyle w:val="Reasons"/>
        <w:rPr>
          <w:lang w:val="en-US"/>
        </w:rPr>
      </w:pPr>
    </w:p>
    <w:p w14:paraId="70309BF9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IND/92A14/4</w:t>
      </w:r>
    </w:p>
    <w:p w14:paraId="13DC92B3" w14:textId="77777777" w:rsidR="00EB19FF" w:rsidRPr="00447A9E" w:rsidRDefault="007E589F" w:rsidP="00453285">
      <w:pPr>
        <w:pStyle w:val="Tabletitle"/>
        <w:spacing w:before="120"/>
        <w:rPr>
          <w:color w:val="000000"/>
          <w:lang w:val="en-US"/>
        </w:rPr>
      </w:pPr>
      <w:r w:rsidRPr="00447A9E">
        <w:rPr>
          <w:color w:val="000000"/>
          <w:lang w:val="en-US"/>
        </w:rPr>
        <w:t>34,2-40 GHz</w:t>
      </w:r>
    </w:p>
    <w:p w14:paraId="1AD5F470" w14:textId="77777777" w:rsidR="00DE4BEA" w:rsidRPr="00447A9E" w:rsidRDefault="00DE4BEA" w:rsidP="00453285">
      <w:pPr>
        <w:pStyle w:val="Reasons"/>
        <w:rPr>
          <w:lang w:val="en-US"/>
        </w:rPr>
      </w:pPr>
    </w:p>
    <w:p w14:paraId="1D0F3FEF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IND/92A14/5</w:t>
      </w:r>
    </w:p>
    <w:p w14:paraId="6D148618" w14:textId="77777777" w:rsidR="00EB19FF" w:rsidRPr="00447A9E" w:rsidRDefault="007E589F" w:rsidP="00453285">
      <w:pPr>
        <w:pStyle w:val="Tabletitle"/>
        <w:spacing w:before="120"/>
        <w:rPr>
          <w:color w:val="000000"/>
          <w:lang w:val="en-US"/>
        </w:rPr>
      </w:pPr>
      <w:r w:rsidRPr="00447A9E">
        <w:rPr>
          <w:color w:val="000000"/>
          <w:lang w:val="en-US"/>
        </w:rPr>
        <w:t>40-47,5 GHz</w:t>
      </w:r>
    </w:p>
    <w:p w14:paraId="24D8E163" w14:textId="77777777" w:rsidR="00DE4BEA" w:rsidRPr="00447A9E" w:rsidRDefault="00DE4BEA" w:rsidP="00453285">
      <w:pPr>
        <w:pStyle w:val="Reasons"/>
        <w:rPr>
          <w:lang w:val="en-US"/>
        </w:rPr>
      </w:pPr>
    </w:p>
    <w:p w14:paraId="2F4B5EF2" w14:textId="77777777" w:rsidR="00DE4BEA" w:rsidRPr="00447A9E" w:rsidRDefault="007E589F" w:rsidP="00453285">
      <w:pPr>
        <w:pStyle w:val="Proposal"/>
        <w:rPr>
          <w:lang w:val="en-US"/>
        </w:rPr>
      </w:pPr>
      <w:r w:rsidRPr="00447A9E">
        <w:rPr>
          <w:u w:val="single"/>
          <w:lang w:val="en-US"/>
        </w:rPr>
        <w:t>NOC</w:t>
      </w:r>
      <w:r w:rsidRPr="00447A9E">
        <w:rPr>
          <w:lang w:val="en-US"/>
        </w:rPr>
        <w:tab/>
        <w:t>IND/92A14/6</w:t>
      </w:r>
    </w:p>
    <w:p w14:paraId="7986246E" w14:textId="77777777" w:rsidR="00EB19FF" w:rsidRDefault="007E589F" w:rsidP="00453285">
      <w:pPr>
        <w:pStyle w:val="Tabletitle"/>
        <w:spacing w:before="120"/>
        <w:rPr>
          <w:color w:val="000000"/>
        </w:rPr>
      </w:pPr>
      <w:r w:rsidRPr="00381B50">
        <w:rPr>
          <w:color w:val="000000"/>
          <w:lang w:val="fr-CH"/>
        </w:rPr>
        <w:t>47,5-51,4 GHz</w:t>
      </w:r>
    </w:p>
    <w:p w14:paraId="006FB359" w14:textId="77777777" w:rsidR="00DE4BEA" w:rsidRDefault="00DE4BEA" w:rsidP="00453285">
      <w:pPr>
        <w:pStyle w:val="Reasons"/>
      </w:pPr>
    </w:p>
    <w:p w14:paraId="58400604" w14:textId="77777777" w:rsidR="00DE4BEA" w:rsidRDefault="007E589F" w:rsidP="00453285">
      <w:pPr>
        <w:pStyle w:val="Proposal"/>
      </w:pPr>
      <w:r>
        <w:rPr>
          <w:u w:val="single"/>
        </w:rPr>
        <w:t>NOC</w:t>
      </w:r>
      <w:r>
        <w:tab/>
        <w:t>IND/92A14/7</w:t>
      </w:r>
      <w:r>
        <w:rPr>
          <w:vanish/>
          <w:color w:val="7F7F7F" w:themeColor="text1" w:themeTint="80"/>
          <w:vertAlign w:val="superscript"/>
        </w:rPr>
        <w:t>#49797</w:t>
      </w:r>
    </w:p>
    <w:p w14:paraId="2B33B97F" w14:textId="77777777" w:rsidR="007132E2" w:rsidRPr="00A1473A" w:rsidRDefault="007E589F" w:rsidP="00453285">
      <w:pPr>
        <w:pStyle w:val="ResNo"/>
        <w:rPr>
          <w:lang w:val="fr-CH"/>
        </w:rPr>
      </w:pPr>
      <w:r w:rsidRPr="00A1473A">
        <w:rPr>
          <w:lang w:val="fr-CH"/>
        </w:rPr>
        <w:t xml:space="preserve">RÉSOLUTION </w:t>
      </w:r>
      <w:r w:rsidRPr="00A1473A">
        <w:rPr>
          <w:rStyle w:val="href"/>
          <w:lang w:val="fr-CH"/>
        </w:rPr>
        <w:t>122</w:t>
      </w:r>
      <w:r w:rsidRPr="00A1473A">
        <w:rPr>
          <w:lang w:val="fr-CH"/>
        </w:rPr>
        <w:t xml:space="preserve"> (RÉV.CMR</w:t>
      </w:r>
      <w:r w:rsidRPr="00A1473A">
        <w:rPr>
          <w:lang w:val="fr-CH"/>
        </w:rPr>
        <w:noBreakHyphen/>
        <w:t>07)</w:t>
      </w:r>
    </w:p>
    <w:p w14:paraId="7A600D9B" w14:textId="77777777" w:rsidR="007132E2" w:rsidRPr="00A1473A" w:rsidRDefault="007E589F" w:rsidP="00453285">
      <w:pPr>
        <w:pStyle w:val="Restitle"/>
        <w:rPr>
          <w:lang w:val="fr-CH"/>
        </w:rPr>
      </w:pPr>
      <w:bookmarkStart w:id="9" w:name="_Toc450208598"/>
      <w:r w:rsidRPr="00A1473A">
        <w:rPr>
          <w:lang w:val="fr-CH"/>
        </w:rPr>
        <w:t xml:space="preserve">Utilisation des bandes 47,2-47,5 GHz et 47,9-48,2 GHz par des stations </w:t>
      </w:r>
      <w:r w:rsidRPr="00A1473A">
        <w:rPr>
          <w:lang w:val="fr-CH"/>
        </w:rPr>
        <w:br/>
        <w:t>du service fixe placées sur des plates-formes à haute altitude</w:t>
      </w:r>
      <w:r w:rsidRPr="00A1473A">
        <w:rPr>
          <w:lang w:val="fr-CH"/>
        </w:rPr>
        <w:br/>
        <w:t>et par d'autres services</w:t>
      </w:r>
      <w:bookmarkEnd w:id="9"/>
    </w:p>
    <w:p w14:paraId="51F6F6A8" w14:textId="77777777" w:rsidR="00DE4BEA" w:rsidRDefault="00DE4BEA" w:rsidP="00453285">
      <w:pPr>
        <w:pStyle w:val="Reasons"/>
      </w:pPr>
    </w:p>
    <w:p w14:paraId="0A6174E9" w14:textId="77777777" w:rsidR="00DE4BEA" w:rsidRDefault="007E589F" w:rsidP="00453285">
      <w:pPr>
        <w:pStyle w:val="Proposal"/>
      </w:pPr>
      <w:r>
        <w:rPr>
          <w:u w:val="single"/>
        </w:rPr>
        <w:lastRenderedPageBreak/>
        <w:t>NOC</w:t>
      </w:r>
      <w:r>
        <w:tab/>
        <w:t>IND/92A14/8</w:t>
      </w:r>
      <w:r>
        <w:rPr>
          <w:vanish/>
          <w:color w:val="7F7F7F" w:themeColor="text1" w:themeTint="80"/>
          <w:vertAlign w:val="superscript"/>
        </w:rPr>
        <w:t>#49765</w:t>
      </w:r>
    </w:p>
    <w:p w14:paraId="57CEB502" w14:textId="77777777" w:rsidR="007132E2" w:rsidRPr="00A1473A" w:rsidRDefault="007E589F" w:rsidP="00453285">
      <w:pPr>
        <w:pStyle w:val="ResNo"/>
        <w:rPr>
          <w:lang w:val="fr-CH"/>
        </w:rPr>
      </w:pPr>
      <w:r w:rsidRPr="00A1473A">
        <w:rPr>
          <w:lang w:val="fr-CH"/>
        </w:rPr>
        <w:t xml:space="preserve">RéSOLUTION </w:t>
      </w:r>
      <w:r w:rsidRPr="00A1473A">
        <w:rPr>
          <w:rStyle w:val="href"/>
          <w:rFonts w:eastAsiaTheme="minorHAnsi"/>
          <w:szCs w:val="28"/>
          <w:lang w:val="fr-CH"/>
        </w:rPr>
        <w:t>145</w:t>
      </w:r>
      <w:r w:rsidRPr="00A1473A">
        <w:rPr>
          <w:lang w:val="fr-CH"/>
        </w:rPr>
        <w:t xml:space="preserve"> (Rév.cmr</w:t>
      </w:r>
      <w:r w:rsidRPr="00A1473A">
        <w:rPr>
          <w:lang w:val="fr-CH"/>
        </w:rPr>
        <w:noBreakHyphen/>
        <w:t>12)</w:t>
      </w:r>
    </w:p>
    <w:p w14:paraId="3002E791" w14:textId="77777777" w:rsidR="007132E2" w:rsidRPr="00A1473A" w:rsidRDefault="007E589F" w:rsidP="00453285">
      <w:pPr>
        <w:pStyle w:val="Restitle"/>
        <w:rPr>
          <w:lang w:val="fr-CH" w:eastAsia="ko-KR"/>
        </w:rPr>
      </w:pPr>
      <w:r w:rsidRPr="00A1473A">
        <w:rPr>
          <w:lang w:val="fr-CH" w:eastAsia="ko-KR"/>
        </w:rPr>
        <w:t xml:space="preserve">Utilisation de la bande </w:t>
      </w:r>
      <w:r w:rsidRPr="00A1473A">
        <w:rPr>
          <w:lang w:val="fr-CH"/>
        </w:rPr>
        <w:t xml:space="preserve">27,9-28,2 GHz et 31-31,3 GHz </w:t>
      </w:r>
      <w:r w:rsidRPr="00A1473A">
        <w:rPr>
          <w:lang w:val="fr-CH" w:eastAsia="ko-KR"/>
        </w:rPr>
        <w:t xml:space="preserve">par des stations </w:t>
      </w:r>
      <w:r w:rsidRPr="00A1473A">
        <w:rPr>
          <w:lang w:val="fr-CH" w:eastAsia="ko-KR"/>
        </w:rPr>
        <w:br/>
        <w:t>placées sur des plates</w:t>
      </w:r>
      <w:r w:rsidRPr="00A1473A">
        <w:rPr>
          <w:lang w:val="fr-CH" w:eastAsia="ko-KR"/>
        </w:rPr>
        <w:noBreakHyphen/>
        <w:t>formes à haute altitude dans le service fixe</w:t>
      </w:r>
    </w:p>
    <w:p w14:paraId="7A7A7758" w14:textId="77777777" w:rsidR="00DE4BEA" w:rsidRDefault="00DE4BEA" w:rsidP="00453285">
      <w:pPr>
        <w:pStyle w:val="Reasons"/>
      </w:pPr>
    </w:p>
    <w:p w14:paraId="47416AB9" w14:textId="77777777" w:rsidR="00DE4BEA" w:rsidRDefault="007E589F" w:rsidP="00453285">
      <w:pPr>
        <w:pStyle w:val="Proposal"/>
      </w:pPr>
      <w:r>
        <w:rPr>
          <w:u w:val="single"/>
        </w:rPr>
        <w:t>NOC</w:t>
      </w:r>
      <w:r>
        <w:tab/>
        <w:t>IND/92A14/9</w:t>
      </w:r>
      <w:r>
        <w:rPr>
          <w:vanish/>
          <w:color w:val="7F7F7F" w:themeColor="text1" w:themeTint="80"/>
          <w:vertAlign w:val="superscript"/>
        </w:rPr>
        <w:t>#49729</w:t>
      </w:r>
    </w:p>
    <w:p w14:paraId="33A80982" w14:textId="77777777" w:rsidR="007132E2" w:rsidRPr="00A1473A" w:rsidRDefault="007E589F" w:rsidP="00453285">
      <w:pPr>
        <w:pStyle w:val="ResNo"/>
        <w:rPr>
          <w:lang w:eastAsia="ko-KR"/>
        </w:rPr>
      </w:pPr>
      <w:r w:rsidRPr="00A1473A">
        <w:rPr>
          <w:lang w:eastAsia="ko-KR"/>
        </w:rPr>
        <w:t>R</w:t>
      </w:r>
      <w:r w:rsidRPr="00A1473A">
        <w:t>É</w:t>
      </w:r>
      <w:r w:rsidRPr="00A1473A">
        <w:rPr>
          <w:lang w:eastAsia="ko-KR"/>
        </w:rPr>
        <w:t xml:space="preserve">SOLUTION </w:t>
      </w:r>
      <w:r w:rsidRPr="00A1473A">
        <w:rPr>
          <w:rStyle w:val="href"/>
        </w:rPr>
        <w:t>150</w:t>
      </w:r>
      <w:r w:rsidRPr="00A1473A">
        <w:rPr>
          <w:lang w:eastAsia="ko-KR"/>
        </w:rPr>
        <w:t xml:space="preserve"> (CMR</w:t>
      </w:r>
      <w:r w:rsidRPr="00A1473A">
        <w:rPr>
          <w:lang w:eastAsia="ko-KR"/>
        </w:rPr>
        <w:noBreakHyphen/>
        <w:t>12)</w:t>
      </w:r>
    </w:p>
    <w:p w14:paraId="508192F2" w14:textId="77777777" w:rsidR="007132E2" w:rsidRPr="00A1473A" w:rsidRDefault="007E589F" w:rsidP="00453285">
      <w:pPr>
        <w:pStyle w:val="Restitle"/>
      </w:pPr>
      <w:bookmarkStart w:id="10" w:name="_Toc450208616"/>
      <w:r w:rsidRPr="00A1473A">
        <w:rPr>
          <w:lang w:eastAsia="ko-KR"/>
        </w:rPr>
        <w:t xml:space="preserve">Utilisation des bandes 6 440-6 520 MHz et 6 560-6 640 MHz par </w:t>
      </w:r>
      <w:r w:rsidRPr="00A1473A">
        <w:rPr>
          <w:lang w:eastAsia="ko-KR"/>
        </w:rPr>
        <w:br/>
        <w:t>des liaisons passerelles de stations placées sur des plates</w:t>
      </w:r>
      <w:r w:rsidRPr="00A1473A">
        <w:rPr>
          <w:lang w:eastAsia="ko-KR"/>
        </w:rPr>
        <w:noBreakHyphen/>
        <w:t xml:space="preserve">formes </w:t>
      </w:r>
      <w:r w:rsidRPr="00A1473A">
        <w:rPr>
          <w:lang w:eastAsia="ko-KR"/>
        </w:rPr>
        <w:br/>
        <w:t>à haute altitude dans le service fixe</w:t>
      </w:r>
      <w:bookmarkEnd w:id="10"/>
    </w:p>
    <w:p w14:paraId="15EF3C23" w14:textId="77777777" w:rsidR="00DE4BEA" w:rsidRDefault="00DE4BEA" w:rsidP="00453285">
      <w:pPr>
        <w:pStyle w:val="Reasons"/>
      </w:pPr>
    </w:p>
    <w:p w14:paraId="15E2C59D" w14:textId="77777777" w:rsidR="00DE4BEA" w:rsidRDefault="007E589F" w:rsidP="00453285">
      <w:pPr>
        <w:pStyle w:val="Proposal"/>
      </w:pPr>
      <w:r>
        <w:t>SUP</w:t>
      </w:r>
      <w:r>
        <w:tab/>
        <w:t>IND/92A14/10</w:t>
      </w:r>
      <w:r>
        <w:rPr>
          <w:vanish/>
          <w:color w:val="7F7F7F" w:themeColor="text1" w:themeTint="80"/>
          <w:vertAlign w:val="superscript"/>
        </w:rPr>
        <w:t>#49813</w:t>
      </w:r>
    </w:p>
    <w:p w14:paraId="37C3C2AC" w14:textId="77777777" w:rsidR="007132E2" w:rsidRPr="00A1473A" w:rsidRDefault="007E589F" w:rsidP="00453285">
      <w:pPr>
        <w:pStyle w:val="ResNo"/>
      </w:pPr>
      <w:r w:rsidRPr="00A1473A">
        <w:rPr>
          <w:caps w:val="0"/>
        </w:rPr>
        <w:t xml:space="preserve">RÉSOLUTION </w:t>
      </w:r>
      <w:r w:rsidRPr="00A1473A">
        <w:rPr>
          <w:rStyle w:val="href"/>
        </w:rPr>
        <w:t>160</w:t>
      </w:r>
      <w:r w:rsidRPr="00A1473A">
        <w:rPr>
          <w:caps w:val="0"/>
        </w:rPr>
        <w:t xml:space="preserve"> (CMR-1</w:t>
      </w:r>
      <w:bookmarkStart w:id="11" w:name="_GoBack"/>
      <w:bookmarkEnd w:id="11"/>
      <w:r w:rsidRPr="00A1473A">
        <w:rPr>
          <w:caps w:val="0"/>
        </w:rPr>
        <w:t>5)</w:t>
      </w:r>
    </w:p>
    <w:p w14:paraId="6C100185" w14:textId="77777777" w:rsidR="007132E2" w:rsidRDefault="007E589F" w:rsidP="00453285">
      <w:pPr>
        <w:pStyle w:val="Restitle"/>
        <w:rPr>
          <w:lang w:val="fr-CH"/>
        </w:rPr>
      </w:pPr>
      <w:r w:rsidRPr="00A1473A">
        <w:rPr>
          <w:lang w:val="fr-CH"/>
        </w:rPr>
        <w:t xml:space="preserve">Faciliter l'accès aux applications large bande assurées par les stations </w:t>
      </w:r>
      <w:r w:rsidRPr="00A1473A">
        <w:rPr>
          <w:lang w:val="fr-CH"/>
        </w:rPr>
        <w:br/>
        <w:t>placées sur des plates-formes à haute altitude</w:t>
      </w:r>
    </w:p>
    <w:p w14:paraId="1174390C" w14:textId="77777777" w:rsidR="007E589F" w:rsidRDefault="007E589F" w:rsidP="00453285">
      <w:pPr>
        <w:pStyle w:val="Reasons"/>
      </w:pPr>
    </w:p>
    <w:p w14:paraId="32BD4373" w14:textId="77777777" w:rsidR="007E589F" w:rsidRDefault="007E589F" w:rsidP="00453285">
      <w:pPr>
        <w:jc w:val="center"/>
      </w:pPr>
      <w:r>
        <w:t>______________</w:t>
      </w:r>
    </w:p>
    <w:sectPr w:rsidR="007E589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BD9C5" w14:textId="77777777" w:rsidR="0070076C" w:rsidRDefault="0070076C">
      <w:r>
        <w:separator/>
      </w:r>
    </w:p>
  </w:endnote>
  <w:endnote w:type="continuationSeparator" w:id="0">
    <w:p w14:paraId="7DA57F3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CEC6" w14:textId="506E685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A5884">
      <w:rPr>
        <w:noProof/>
        <w:lang w:val="en-US"/>
      </w:rPr>
      <w:t>P:\FRA\ITU-R\CONF-R\CMR19\000\092ADD14F.docx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5884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5884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22C3" w14:textId="18064378" w:rsidR="00936D25" w:rsidRPr="007E589F" w:rsidRDefault="002A5884" w:rsidP="00CE52FE">
    <w:pPr>
      <w:pStyle w:val="Footer"/>
      <w:rPr>
        <w:lang w:val="en-GB"/>
      </w:rPr>
    </w:pPr>
    <w:r>
      <w:fldChar w:fldCharType="begin"/>
    </w:r>
    <w:r w:rsidRPr="002A588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P:\FRA\ITU-R\CONF-R\CMR19\000\092ADD14F.docx</w:t>
    </w:r>
    <w:r>
      <w:fldChar w:fldCharType="end"/>
    </w:r>
    <w:r w:rsidR="00CE52FE" w:rsidRPr="002A5884">
      <w:rPr>
        <w:lang w:val="en-US"/>
      </w:rPr>
      <w:t xml:space="preserve"> (462223)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4F8D" w14:textId="7F65119E" w:rsidR="00936D25" w:rsidRPr="007E589F" w:rsidRDefault="002A5884" w:rsidP="00CE52FE">
    <w:pPr>
      <w:pStyle w:val="Footer"/>
      <w:rPr>
        <w:lang w:val="en-GB"/>
      </w:rPr>
    </w:pPr>
    <w:r>
      <w:fldChar w:fldCharType="begin"/>
    </w:r>
    <w:r w:rsidRPr="002A588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P:\FRA\ITU-R\CONF-R\CMR19\000\092ADD14F.docx</w:t>
    </w:r>
    <w:r>
      <w:fldChar w:fldCharType="end"/>
    </w:r>
    <w:r w:rsidR="00CE52FE" w:rsidRPr="002A5884">
      <w:rPr>
        <w:lang w:val="en-US"/>
      </w:rPr>
      <w:t xml:space="preserve"> (462223)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160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F03A09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929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EC2382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92(Add.14)-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B89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C6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14F7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D2B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47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76A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2B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18B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8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32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825FA"/>
    <w:rsid w:val="002A4622"/>
    <w:rsid w:val="002A5884"/>
    <w:rsid w:val="002A6F8F"/>
    <w:rsid w:val="002B17E5"/>
    <w:rsid w:val="002C0EBF"/>
    <w:rsid w:val="002C28A4"/>
    <w:rsid w:val="002D7E0A"/>
    <w:rsid w:val="002E6B27"/>
    <w:rsid w:val="00315AFE"/>
    <w:rsid w:val="00343D1A"/>
    <w:rsid w:val="00346561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47A9E"/>
    <w:rsid w:val="00453285"/>
    <w:rsid w:val="00466211"/>
    <w:rsid w:val="00483196"/>
    <w:rsid w:val="004834A9"/>
    <w:rsid w:val="004D01FC"/>
    <w:rsid w:val="004E28C3"/>
    <w:rsid w:val="004F1F8E"/>
    <w:rsid w:val="00512A32"/>
    <w:rsid w:val="005343DA"/>
    <w:rsid w:val="00541436"/>
    <w:rsid w:val="00560874"/>
    <w:rsid w:val="00586CF2"/>
    <w:rsid w:val="005937FF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B7B2B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E589F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41FD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CE52FE"/>
    <w:rsid w:val="00D119A7"/>
    <w:rsid w:val="00D25FBA"/>
    <w:rsid w:val="00D32B28"/>
    <w:rsid w:val="00D42954"/>
    <w:rsid w:val="00D66EAC"/>
    <w:rsid w:val="00D730DF"/>
    <w:rsid w:val="00D772F0"/>
    <w:rsid w:val="00D77BDC"/>
    <w:rsid w:val="00DA1310"/>
    <w:rsid w:val="00DC402B"/>
    <w:rsid w:val="00DE0932"/>
    <w:rsid w:val="00DE4BEA"/>
    <w:rsid w:val="00E03A27"/>
    <w:rsid w:val="00E049F1"/>
    <w:rsid w:val="00E3545E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2A39"/>
    <w:rsid w:val="00FA3BBF"/>
    <w:rsid w:val="00FC41F8"/>
    <w:rsid w:val="00FD652F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0095F8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Heading10">
    <w:name w:val="Heading_1"/>
    <w:basedOn w:val="Normal"/>
    <w:rsid w:val="00346561"/>
    <w:pPr>
      <w:spacing w:line="480" w:lineRule="auto"/>
    </w:pPr>
    <w:rPr>
      <w:lang w:val="en-US"/>
    </w:rPr>
  </w:style>
  <w:style w:type="paragraph" w:customStyle="1" w:styleId="Heaing1">
    <w:name w:val="Heaing 1"/>
    <w:basedOn w:val="Headingb"/>
    <w:rsid w:val="003465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2146-DB04-4CFB-8C20-E113EE81298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B0A017-9ADB-4642-8AAA-39814FD6D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938174-87B1-4D56-9AD8-D9CD014F3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2943</Characters>
  <Application>Microsoft Office Word</Application>
  <DocSecurity>0</DocSecurity>
  <Lines>121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R16-WRC19-C-0092!A14!MSW-F</vt:lpstr>
    </vt:vector>
  </TitlesOfParts>
  <Manager>Secrétariat général - Pool</Manager>
  <Company>Union internationale des télécommunications (UIT)</Company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R16-WRC19-C-0092!A14!MSW-F</dc:title>
  <dc:subject>Conférence mondiale des radiocommunications - 2019</dc:subject>
  <dc:creator>Documents Proposals Manager (DPM)</dc:creator>
  <cp:keywords>DPM_v2019.10.15.2_prod</cp:keywords>
  <dc:description/>
  <cp:lastModifiedBy>Royer, Veronique</cp:lastModifiedBy>
  <cp:revision>5</cp:revision>
  <cp:lastPrinted>2019-10-20T13:34:00Z</cp:lastPrinted>
  <dcterms:created xsi:type="dcterms:W3CDTF">2019-10-18T13:39:00Z</dcterms:created>
  <dcterms:modified xsi:type="dcterms:W3CDTF">2019-10-20T13:35:00Z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