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AD558F" w14:paraId="00442BFA" w14:textId="77777777" w:rsidTr="00B00843">
        <w:trPr>
          <w:cantSplit/>
        </w:trPr>
        <w:tc>
          <w:tcPr>
            <w:tcW w:w="6911" w:type="dxa"/>
          </w:tcPr>
          <w:p w14:paraId="1893E81A" w14:textId="77777777" w:rsidR="0090121B" w:rsidRPr="00AD558F" w:rsidRDefault="005D46FB" w:rsidP="005E7021">
            <w:pPr>
              <w:spacing w:before="400" w:after="48"/>
              <w:rPr>
                <w:rFonts w:ascii="Verdana" w:hAnsi="Verdana"/>
                <w:position w:val="6"/>
              </w:rPr>
            </w:pPr>
            <w:r w:rsidRPr="00AD558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AD558F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AD558F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AD558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AD558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AD558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AD558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AD558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AD558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AD558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AD558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AD558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AD558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7D3BF573" w14:textId="31BD7DAA" w:rsidR="0090121B" w:rsidRPr="00AD558F" w:rsidRDefault="00DA71A3" w:rsidP="005E7021">
            <w:pPr>
              <w:spacing w:before="0"/>
              <w:jc w:val="right"/>
            </w:pPr>
            <w:r w:rsidRPr="00AD558F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435AA4E7" wp14:editId="07750FBB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D558F" w14:paraId="415C74DC" w14:textId="77777777" w:rsidTr="00B0084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57B836" w14:textId="77777777" w:rsidR="0090121B" w:rsidRPr="00AD558F" w:rsidRDefault="0090121B" w:rsidP="005E7021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A42D7C6" w14:textId="77777777" w:rsidR="0090121B" w:rsidRPr="00AD558F" w:rsidRDefault="0090121B" w:rsidP="005E702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AD558F" w14:paraId="2C45B0A1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2FC0307" w14:textId="77777777" w:rsidR="0090121B" w:rsidRPr="00AD558F" w:rsidRDefault="0090121B" w:rsidP="005E702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0CD49E" w14:textId="77777777" w:rsidR="0090121B" w:rsidRPr="00AD558F" w:rsidRDefault="0090121B" w:rsidP="005E7021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AD558F" w14:paraId="1557F0FA" w14:textId="77777777" w:rsidTr="0090121B">
        <w:trPr>
          <w:cantSplit/>
        </w:trPr>
        <w:tc>
          <w:tcPr>
            <w:tcW w:w="6911" w:type="dxa"/>
          </w:tcPr>
          <w:p w14:paraId="0895D44D" w14:textId="77777777" w:rsidR="0090121B" w:rsidRPr="00AD558F" w:rsidRDefault="001E7D42" w:rsidP="005E7021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AD558F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76FE5035" w14:textId="77777777" w:rsidR="0090121B" w:rsidRPr="00AD558F" w:rsidRDefault="00AE658F" w:rsidP="005E7021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AD558F">
              <w:rPr>
                <w:rFonts w:ascii="Verdana" w:hAnsi="Verdana"/>
                <w:b/>
                <w:sz w:val="18"/>
                <w:szCs w:val="18"/>
              </w:rPr>
              <w:t>Addéndum 14 al</w:t>
            </w:r>
            <w:r w:rsidRPr="00AD558F">
              <w:rPr>
                <w:rFonts w:ascii="Verdana" w:hAnsi="Verdana"/>
                <w:b/>
                <w:sz w:val="18"/>
                <w:szCs w:val="18"/>
              </w:rPr>
              <w:br/>
              <w:t>Documento 92</w:t>
            </w:r>
            <w:r w:rsidR="0090121B" w:rsidRPr="00AD558F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AD558F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AD558F" w14:paraId="4A29282B" w14:textId="77777777" w:rsidTr="0090121B">
        <w:trPr>
          <w:cantSplit/>
        </w:trPr>
        <w:tc>
          <w:tcPr>
            <w:tcW w:w="6911" w:type="dxa"/>
          </w:tcPr>
          <w:p w14:paraId="69C453B3" w14:textId="77777777" w:rsidR="000A5B9A" w:rsidRPr="00AD558F" w:rsidRDefault="000A5B9A" w:rsidP="005E7021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2BCBF2AA" w14:textId="77777777" w:rsidR="000A5B9A" w:rsidRPr="00AD558F" w:rsidRDefault="000A5B9A" w:rsidP="005E7021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D558F">
              <w:rPr>
                <w:rFonts w:ascii="Verdana" w:hAnsi="Verdana"/>
                <w:b/>
                <w:sz w:val="18"/>
                <w:szCs w:val="18"/>
              </w:rPr>
              <w:t>11 de octubre de 2019</w:t>
            </w:r>
          </w:p>
        </w:tc>
      </w:tr>
      <w:tr w:rsidR="000A5B9A" w:rsidRPr="00AD558F" w14:paraId="42F45D99" w14:textId="77777777" w:rsidTr="0090121B">
        <w:trPr>
          <w:cantSplit/>
        </w:trPr>
        <w:tc>
          <w:tcPr>
            <w:tcW w:w="6911" w:type="dxa"/>
          </w:tcPr>
          <w:p w14:paraId="27F6CD3E" w14:textId="77777777" w:rsidR="000A5B9A" w:rsidRPr="00AD558F" w:rsidRDefault="000A5B9A" w:rsidP="005E7021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22C9246" w14:textId="77777777" w:rsidR="000A5B9A" w:rsidRPr="00AD558F" w:rsidRDefault="000A5B9A" w:rsidP="005E7021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D558F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AD558F" w14:paraId="23859869" w14:textId="77777777" w:rsidTr="00B00843">
        <w:trPr>
          <w:cantSplit/>
        </w:trPr>
        <w:tc>
          <w:tcPr>
            <w:tcW w:w="10031" w:type="dxa"/>
            <w:gridSpan w:val="2"/>
          </w:tcPr>
          <w:p w14:paraId="33B78C14" w14:textId="77777777" w:rsidR="000A5B9A" w:rsidRPr="00AD558F" w:rsidRDefault="000A5B9A" w:rsidP="005E7021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AD558F" w14:paraId="1B5141F4" w14:textId="77777777" w:rsidTr="00B00843">
        <w:trPr>
          <w:cantSplit/>
        </w:trPr>
        <w:tc>
          <w:tcPr>
            <w:tcW w:w="10031" w:type="dxa"/>
            <w:gridSpan w:val="2"/>
          </w:tcPr>
          <w:p w14:paraId="5734B003" w14:textId="77777777" w:rsidR="000A5B9A" w:rsidRPr="00AD558F" w:rsidRDefault="000A5B9A" w:rsidP="005E7021">
            <w:pPr>
              <w:pStyle w:val="Source"/>
            </w:pPr>
            <w:bookmarkStart w:id="1" w:name="dsource" w:colFirst="0" w:colLast="0"/>
            <w:r w:rsidRPr="00AD558F">
              <w:t>India (República de la)</w:t>
            </w:r>
            <w:bookmarkStart w:id="2" w:name="_GoBack"/>
            <w:bookmarkEnd w:id="2"/>
          </w:p>
        </w:tc>
      </w:tr>
      <w:tr w:rsidR="000A5B9A" w:rsidRPr="00AD558F" w14:paraId="3A98D06B" w14:textId="77777777" w:rsidTr="00B00843">
        <w:trPr>
          <w:cantSplit/>
        </w:trPr>
        <w:tc>
          <w:tcPr>
            <w:tcW w:w="10031" w:type="dxa"/>
            <w:gridSpan w:val="2"/>
          </w:tcPr>
          <w:p w14:paraId="175BDF79" w14:textId="77777777" w:rsidR="000A5B9A" w:rsidRPr="00AD558F" w:rsidRDefault="000A5B9A" w:rsidP="005E7021">
            <w:pPr>
              <w:pStyle w:val="Title1"/>
            </w:pPr>
            <w:bookmarkStart w:id="3" w:name="dtitle1" w:colFirst="0" w:colLast="0"/>
            <w:bookmarkEnd w:id="1"/>
            <w:r w:rsidRPr="00AD558F">
              <w:t>Propuestas para los trabajos de la Conferencia</w:t>
            </w:r>
          </w:p>
        </w:tc>
      </w:tr>
      <w:tr w:rsidR="000A5B9A" w:rsidRPr="00AD558F" w14:paraId="3E032CBA" w14:textId="77777777" w:rsidTr="00B00843">
        <w:trPr>
          <w:cantSplit/>
        </w:trPr>
        <w:tc>
          <w:tcPr>
            <w:tcW w:w="10031" w:type="dxa"/>
            <w:gridSpan w:val="2"/>
          </w:tcPr>
          <w:p w14:paraId="138059D6" w14:textId="77777777" w:rsidR="000A5B9A" w:rsidRPr="00AD558F" w:rsidRDefault="000A5B9A" w:rsidP="005E7021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AD558F" w14:paraId="5E57A5D6" w14:textId="77777777" w:rsidTr="00B00843">
        <w:trPr>
          <w:cantSplit/>
        </w:trPr>
        <w:tc>
          <w:tcPr>
            <w:tcW w:w="10031" w:type="dxa"/>
            <w:gridSpan w:val="2"/>
          </w:tcPr>
          <w:p w14:paraId="1AD7A813" w14:textId="77777777" w:rsidR="000A5B9A" w:rsidRPr="00AD558F" w:rsidRDefault="000A5B9A" w:rsidP="005E7021">
            <w:pPr>
              <w:pStyle w:val="Agendaitem"/>
            </w:pPr>
            <w:bookmarkStart w:id="5" w:name="dtitle3" w:colFirst="0" w:colLast="0"/>
            <w:bookmarkEnd w:id="4"/>
            <w:r w:rsidRPr="00AD558F">
              <w:t>Punto 1.14 del orden del día</w:t>
            </w:r>
          </w:p>
        </w:tc>
      </w:tr>
    </w:tbl>
    <w:bookmarkEnd w:id="5"/>
    <w:p w14:paraId="6381E0C6" w14:textId="0E39036E" w:rsidR="00B00843" w:rsidRPr="00AD558F" w:rsidRDefault="00481B13" w:rsidP="005E7021">
      <w:r w:rsidRPr="00AD558F">
        <w:t>1.14</w:t>
      </w:r>
      <w:r w:rsidRPr="00AD558F">
        <w:tab/>
        <w:t>considerar, basándose en los estudios del UIT</w:t>
      </w:r>
      <w:r w:rsidRPr="00AD558F">
        <w:noBreakHyphen/>
        <w:t>R, de conformidad con la Resolución</w:t>
      </w:r>
      <w:r w:rsidR="00F54884" w:rsidRPr="00AD558F">
        <w:t> </w:t>
      </w:r>
      <w:r w:rsidRPr="00AD558F">
        <w:rPr>
          <w:b/>
          <w:bCs/>
        </w:rPr>
        <w:t>160</w:t>
      </w:r>
      <w:r w:rsidR="00F54884" w:rsidRPr="00AD558F">
        <w:rPr>
          <w:b/>
          <w:bCs/>
        </w:rPr>
        <w:t> </w:t>
      </w:r>
      <w:r w:rsidRPr="00AD558F">
        <w:rPr>
          <w:b/>
          <w:bCs/>
        </w:rPr>
        <w:t>(CMR-15),</w:t>
      </w:r>
      <w:r w:rsidRPr="00AD558F">
        <w:t xml:space="preserve"> medidas reglamentarias apropiadas para las estaciones en plataformas a</w:t>
      </w:r>
      <w:r w:rsidR="00F54884" w:rsidRPr="00AD558F">
        <w:t> </w:t>
      </w:r>
      <w:r w:rsidRPr="00AD558F">
        <w:t>gran altitud (HAPS), dentro de las atribuciones del servicio fijo existentes;</w:t>
      </w:r>
    </w:p>
    <w:p w14:paraId="7B7C95B1" w14:textId="6E4AE97C" w:rsidR="00481B13" w:rsidRPr="00AD558F" w:rsidRDefault="00481B13" w:rsidP="006629C8">
      <w:pPr>
        <w:pStyle w:val="Heading1"/>
      </w:pPr>
      <w:r w:rsidRPr="00AD558F">
        <w:t>1</w:t>
      </w:r>
      <w:r w:rsidRPr="00AD558F">
        <w:tab/>
      </w:r>
      <w:r w:rsidR="00C54237" w:rsidRPr="00AD558F">
        <w:t>Antecedentes</w:t>
      </w:r>
    </w:p>
    <w:p w14:paraId="08990A90" w14:textId="20C14AAB" w:rsidR="00363A65" w:rsidRPr="00AD558F" w:rsidRDefault="00C54237" w:rsidP="005E7021">
      <w:r w:rsidRPr="00AD558F">
        <w:t>El punto 1.14 del orden del día de la CMR-19 tiene como finalidad estudiar las necesidades de espectro de los enlaces de pasarela y de terminal fijo para</w:t>
      </w:r>
      <w:r w:rsidR="00481B13" w:rsidRPr="00AD558F">
        <w:t xml:space="preserve"> las estaciones en plataformas de gran altitud (HAPS) </w:t>
      </w:r>
      <w:r w:rsidRPr="00AD558F">
        <w:t>a fin de</w:t>
      </w:r>
      <w:r w:rsidR="00481B13" w:rsidRPr="00AD558F">
        <w:t xml:space="preserve"> proporcionar conectividad de banda ancha en zonas remotas, incluidas zonas montañosas, costeras y desérticas arenosas.</w:t>
      </w:r>
    </w:p>
    <w:p w14:paraId="1393DE2A" w14:textId="77777777" w:rsidR="006629C8" w:rsidRPr="00AD558F" w:rsidRDefault="00C54237" w:rsidP="005E7021">
      <w:r w:rsidRPr="00AD558F">
        <w:t>U</w:t>
      </w:r>
      <w:r w:rsidR="00481B13" w:rsidRPr="00AD558F">
        <w:t xml:space="preserve">na </w:t>
      </w:r>
      <w:r w:rsidR="006629C8" w:rsidRPr="00AD558F">
        <w:t>HAPS</w:t>
      </w:r>
      <w:r w:rsidR="006629C8" w:rsidRPr="00AD558F">
        <w:t xml:space="preserve"> </w:t>
      </w:r>
      <w:r w:rsidR="00481B13" w:rsidRPr="00AD558F">
        <w:t>se define en el número </w:t>
      </w:r>
      <w:r w:rsidR="00481B13" w:rsidRPr="00AD558F">
        <w:rPr>
          <w:b/>
          <w:bCs/>
        </w:rPr>
        <w:t>1.66A</w:t>
      </w:r>
      <w:r w:rsidR="00481B13" w:rsidRPr="00AD558F">
        <w:t xml:space="preserve"> del Reglamento de Radiocomunicaciones como </w:t>
      </w:r>
      <w:r w:rsidR="001063F2" w:rsidRPr="00AD558F">
        <w:t>«</w:t>
      </w:r>
      <w:r w:rsidR="00481B13" w:rsidRPr="00AD558F">
        <w:rPr>
          <w:i/>
          <w:iCs/>
        </w:rPr>
        <w:t>una estación situada sobre un objeto a una altitud de 20 a 50 km y en un punto nominal, fijo y especificado con respecto a la Tierra</w:t>
      </w:r>
      <w:r w:rsidR="001063F2" w:rsidRPr="00AD558F">
        <w:t>»</w:t>
      </w:r>
      <w:r w:rsidR="006629C8" w:rsidRPr="00AD558F">
        <w:t xml:space="preserve">. </w:t>
      </w:r>
      <w:r w:rsidRPr="00AD558F">
        <w:t xml:space="preserve">En el marco de este punto del orden del día, se han considerado las necesidades de espectro adicionales de los enlaces de pasarela y de terminal fijo para las HAPS con arreglo a lo dispuesto en la Resolución </w:t>
      </w:r>
      <w:r w:rsidRPr="00AD558F">
        <w:rPr>
          <w:b/>
          <w:bCs/>
        </w:rPr>
        <w:t>160 (CMR-15)</w:t>
      </w:r>
      <w:r w:rsidRPr="00AD558F">
        <w:t>.</w:t>
      </w:r>
    </w:p>
    <w:p w14:paraId="1D19C444" w14:textId="2ABEBCA3" w:rsidR="00481B13" w:rsidRPr="00AD558F" w:rsidRDefault="00C54237" w:rsidP="005E7021">
      <w:r w:rsidRPr="00AD558F">
        <w:t>En los estudios realizados por el UIT-R se consideraron las siguientes gamas de frecuencias:</w:t>
      </w:r>
    </w:p>
    <w:p w14:paraId="008B309C" w14:textId="77777777" w:rsidR="00481B13" w:rsidRPr="00AD558F" w:rsidRDefault="00481B13" w:rsidP="00622B4F">
      <w:pPr>
        <w:pStyle w:val="enumlev1"/>
      </w:pPr>
      <w:r w:rsidRPr="00AD558F">
        <w:t>–</w:t>
      </w:r>
      <w:r w:rsidRPr="00AD558F">
        <w:tab/>
        <w:t>6 440-6 520 MHz;</w:t>
      </w:r>
    </w:p>
    <w:p w14:paraId="76D48438" w14:textId="052472A6" w:rsidR="00481B13" w:rsidRPr="00AD558F" w:rsidRDefault="00481B13" w:rsidP="00622B4F">
      <w:pPr>
        <w:pStyle w:val="enumlev1"/>
      </w:pPr>
      <w:r w:rsidRPr="00AD558F">
        <w:t>–</w:t>
      </w:r>
      <w:r w:rsidRPr="00AD558F">
        <w:tab/>
        <w:t>21</w:t>
      </w:r>
      <w:r w:rsidR="00C54237" w:rsidRPr="00AD558F">
        <w:t>,</w:t>
      </w:r>
      <w:r w:rsidRPr="00AD558F">
        <w:t>4-22 GHz (Regi</w:t>
      </w:r>
      <w:r w:rsidR="00C54237" w:rsidRPr="00AD558F">
        <w:t>ó</w:t>
      </w:r>
      <w:r w:rsidRPr="00AD558F">
        <w:t xml:space="preserve">n 2 </w:t>
      </w:r>
      <w:r w:rsidR="00C54237" w:rsidRPr="00AD558F">
        <w:t>únicamente</w:t>
      </w:r>
      <w:r w:rsidRPr="00AD558F">
        <w:t>);</w:t>
      </w:r>
    </w:p>
    <w:p w14:paraId="51E15759" w14:textId="40C2E6BA" w:rsidR="00481B13" w:rsidRPr="00AD558F" w:rsidRDefault="00481B13" w:rsidP="00622B4F">
      <w:pPr>
        <w:pStyle w:val="enumlev1"/>
      </w:pPr>
      <w:r w:rsidRPr="00AD558F">
        <w:t>–</w:t>
      </w:r>
      <w:r w:rsidRPr="00AD558F">
        <w:tab/>
        <w:t>24</w:t>
      </w:r>
      <w:r w:rsidR="00C54237" w:rsidRPr="00AD558F">
        <w:t>,</w:t>
      </w:r>
      <w:r w:rsidRPr="00AD558F">
        <w:t>25-27</w:t>
      </w:r>
      <w:r w:rsidR="00C54237" w:rsidRPr="00AD558F">
        <w:t>,</w:t>
      </w:r>
      <w:r w:rsidRPr="00AD558F">
        <w:t>5 GHz (</w:t>
      </w:r>
      <w:r w:rsidR="00C54237" w:rsidRPr="00AD558F">
        <w:t>Región 2 únicamente</w:t>
      </w:r>
      <w:r w:rsidRPr="00AD558F">
        <w:t>);</w:t>
      </w:r>
    </w:p>
    <w:p w14:paraId="4CE0D237" w14:textId="7F06FED1" w:rsidR="00481B13" w:rsidRPr="00AD558F" w:rsidRDefault="00481B13" w:rsidP="00622B4F">
      <w:pPr>
        <w:pStyle w:val="enumlev1"/>
      </w:pPr>
      <w:r w:rsidRPr="00AD558F">
        <w:t>–</w:t>
      </w:r>
      <w:r w:rsidRPr="00AD558F">
        <w:tab/>
        <w:t>27</w:t>
      </w:r>
      <w:r w:rsidR="00C54237" w:rsidRPr="00AD558F">
        <w:t>,</w:t>
      </w:r>
      <w:r w:rsidRPr="00AD558F">
        <w:t>9-28</w:t>
      </w:r>
      <w:r w:rsidR="00C54237" w:rsidRPr="00AD558F">
        <w:t>,</w:t>
      </w:r>
      <w:r w:rsidRPr="00AD558F">
        <w:t xml:space="preserve">2 GHz </w:t>
      </w:r>
      <w:r w:rsidR="00C54237" w:rsidRPr="00AD558F">
        <w:t>y</w:t>
      </w:r>
      <w:r w:rsidRPr="00AD558F">
        <w:t xml:space="preserve"> 31-31</w:t>
      </w:r>
      <w:r w:rsidR="00C54237" w:rsidRPr="00AD558F">
        <w:t>,</w:t>
      </w:r>
      <w:r w:rsidRPr="00AD558F">
        <w:t>3 GHz;</w:t>
      </w:r>
    </w:p>
    <w:p w14:paraId="67ED5C7F" w14:textId="1D3D22BE" w:rsidR="00481B13" w:rsidRPr="00AD558F" w:rsidRDefault="00481B13" w:rsidP="00622B4F">
      <w:pPr>
        <w:pStyle w:val="enumlev1"/>
      </w:pPr>
      <w:r w:rsidRPr="00AD558F">
        <w:t>–</w:t>
      </w:r>
      <w:r w:rsidRPr="00AD558F">
        <w:tab/>
        <w:t>38-39</w:t>
      </w:r>
      <w:r w:rsidR="00C54237" w:rsidRPr="00AD558F">
        <w:t>,</w:t>
      </w:r>
      <w:r w:rsidRPr="00AD558F">
        <w:t>5 GHz;</w:t>
      </w:r>
    </w:p>
    <w:p w14:paraId="18027025" w14:textId="100D582C" w:rsidR="00481B13" w:rsidRPr="00AD558F" w:rsidRDefault="00481B13" w:rsidP="00622B4F">
      <w:pPr>
        <w:pStyle w:val="enumlev1"/>
      </w:pPr>
      <w:r w:rsidRPr="00AD558F">
        <w:t>–</w:t>
      </w:r>
      <w:r w:rsidRPr="00AD558F">
        <w:tab/>
        <w:t>47</w:t>
      </w:r>
      <w:r w:rsidR="00C54237" w:rsidRPr="00AD558F">
        <w:t>,</w:t>
      </w:r>
      <w:r w:rsidRPr="00AD558F">
        <w:t>2-47</w:t>
      </w:r>
      <w:r w:rsidR="00C54237" w:rsidRPr="00AD558F">
        <w:t>,</w:t>
      </w:r>
      <w:r w:rsidRPr="00AD558F">
        <w:t xml:space="preserve">5 GHz </w:t>
      </w:r>
      <w:r w:rsidR="00C54237" w:rsidRPr="00AD558F">
        <w:t>y</w:t>
      </w:r>
      <w:r w:rsidRPr="00AD558F">
        <w:t xml:space="preserve"> 47</w:t>
      </w:r>
      <w:r w:rsidR="00C54237" w:rsidRPr="00AD558F">
        <w:t>,</w:t>
      </w:r>
      <w:r w:rsidRPr="00AD558F">
        <w:t>9-48</w:t>
      </w:r>
      <w:r w:rsidR="00C54237" w:rsidRPr="00AD558F">
        <w:t>,</w:t>
      </w:r>
      <w:r w:rsidRPr="00AD558F">
        <w:t>2 GHz.</w:t>
      </w:r>
    </w:p>
    <w:p w14:paraId="6AFC4721" w14:textId="5237E73D" w:rsidR="00A4122C" w:rsidRPr="00AD558F" w:rsidRDefault="00A4122C" w:rsidP="00A4122C">
      <w:r w:rsidRPr="00AD558F">
        <w:br w:type="page"/>
      </w:r>
    </w:p>
    <w:p w14:paraId="4A0AB895" w14:textId="32F22F4C" w:rsidR="00F54884" w:rsidRPr="00AD558F" w:rsidRDefault="00481B13" w:rsidP="00A4122C">
      <w:pPr>
        <w:pStyle w:val="Heading1"/>
        <w:spacing w:after="120"/>
      </w:pPr>
      <w:r w:rsidRPr="00AD558F">
        <w:lastRenderedPageBreak/>
        <w:t>2</w:t>
      </w:r>
      <w:r w:rsidRPr="00AD558F">
        <w:tab/>
      </w:r>
      <w:r w:rsidR="00C54237" w:rsidRPr="00AD558F">
        <w:t>Puntos de vista</w:t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1064"/>
        <w:gridCol w:w="1672"/>
        <w:gridCol w:w="5624"/>
      </w:tblGrid>
      <w:tr w:rsidR="00622B4F" w:rsidRPr="00AD558F" w14:paraId="57FBAA59" w14:textId="77777777" w:rsidTr="00E51B21">
        <w:trPr>
          <w:jc w:val="center"/>
        </w:trPr>
        <w:tc>
          <w:tcPr>
            <w:tcW w:w="1279" w:type="dxa"/>
          </w:tcPr>
          <w:p w14:paraId="1235F81C" w14:textId="4DACBECE" w:rsidR="00885A94" w:rsidRPr="00AD558F" w:rsidRDefault="00885A94" w:rsidP="00A4122C">
            <w:pPr>
              <w:pStyle w:val="Tablehead"/>
            </w:pPr>
            <w:r w:rsidRPr="00AD558F">
              <w:t>Alternativa</w:t>
            </w:r>
          </w:p>
        </w:tc>
        <w:tc>
          <w:tcPr>
            <w:tcW w:w="1064" w:type="dxa"/>
          </w:tcPr>
          <w:p w14:paraId="3B7BF5B5" w14:textId="06727DD0" w:rsidR="00885A94" w:rsidRPr="00AD558F" w:rsidRDefault="00885A94" w:rsidP="00A4122C">
            <w:pPr>
              <w:pStyle w:val="Tablehead"/>
            </w:pPr>
            <w:r w:rsidRPr="00AD558F">
              <w:t>Método</w:t>
            </w:r>
          </w:p>
        </w:tc>
        <w:tc>
          <w:tcPr>
            <w:tcW w:w="1672" w:type="dxa"/>
          </w:tcPr>
          <w:p w14:paraId="1D8DE8B0" w14:textId="40AE3844" w:rsidR="00885A94" w:rsidRPr="00AD558F" w:rsidRDefault="00885A94" w:rsidP="00A4122C">
            <w:pPr>
              <w:pStyle w:val="Tablehead"/>
            </w:pPr>
            <w:r w:rsidRPr="00AD558F">
              <w:t>Opción</w:t>
            </w:r>
          </w:p>
        </w:tc>
        <w:tc>
          <w:tcPr>
            <w:tcW w:w="5624" w:type="dxa"/>
          </w:tcPr>
          <w:p w14:paraId="682469CC" w14:textId="4BE23945" w:rsidR="00885A94" w:rsidRPr="00AD558F" w:rsidRDefault="00885A94" w:rsidP="00A4122C">
            <w:pPr>
              <w:pStyle w:val="Tablehead"/>
            </w:pPr>
            <w:r w:rsidRPr="00AD558F">
              <w:t>Observación</w:t>
            </w:r>
          </w:p>
        </w:tc>
      </w:tr>
      <w:tr w:rsidR="00E51B21" w:rsidRPr="00AD558F" w14:paraId="27483341" w14:textId="77777777" w:rsidTr="00E51B21">
        <w:trPr>
          <w:jc w:val="center"/>
        </w:trPr>
        <w:tc>
          <w:tcPr>
            <w:tcW w:w="1279" w:type="dxa"/>
          </w:tcPr>
          <w:p w14:paraId="6CC3001B" w14:textId="2F6AF2B7" w:rsidR="00E51B21" w:rsidRPr="00AD558F" w:rsidRDefault="00E51B21" w:rsidP="00E51B21">
            <w:pPr>
              <w:pStyle w:val="Tabletext"/>
              <w:jc w:val="center"/>
            </w:pPr>
            <w:r w:rsidRPr="00AD558F">
              <w:t>–</w:t>
            </w:r>
          </w:p>
        </w:tc>
        <w:tc>
          <w:tcPr>
            <w:tcW w:w="1064" w:type="dxa"/>
          </w:tcPr>
          <w:p w14:paraId="0FE7FB9B" w14:textId="0EA60FF6" w:rsidR="00E51B21" w:rsidRPr="00AD558F" w:rsidRDefault="00E51B21" w:rsidP="00E51B21">
            <w:pPr>
              <w:pStyle w:val="Tabletext"/>
              <w:jc w:val="center"/>
            </w:pPr>
            <w:r w:rsidRPr="00AD558F">
              <w:t>A</w:t>
            </w:r>
          </w:p>
        </w:tc>
        <w:tc>
          <w:tcPr>
            <w:tcW w:w="1672" w:type="dxa"/>
          </w:tcPr>
          <w:p w14:paraId="51AC1D15" w14:textId="399B25DA" w:rsidR="00E51B21" w:rsidRPr="00AD558F" w:rsidRDefault="00E51B21" w:rsidP="00E51B21">
            <w:pPr>
              <w:pStyle w:val="Tabletext"/>
              <w:jc w:val="center"/>
            </w:pPr>
            <w:r w:rsidRPr="00AD558F">
              <w:t>–</w:t>
            </w:r>
          </w:p>
        </w:tc>
        <w:tc>
          <w:tcPr>
            <w:tcW w:w="5624" w:type="dxa"/>
          </w:tcPr>
          <w:p w14:paraId="52E49C2C" w14:textId="37838C83" w:rsidR="00E51B21" w:rsidRPr="00AD558F" w:rsidRDefault="00E51B21" w:rsidP="00E51B21">
            <w:pPr>
              <w:pStyle w:val="Tabletext"/>
            </w:pPr>
            <w:r w:rsidRPr="00AD558F">
              <w:t xml:space="preserve">Sin cambio en el RR. </w:t>
            </w:r>
            <w:r w:rsidRPr="00AD558F">
              <w:t>Bandas de frecuencias 6 440-6 520 MHz</w:t>
            </w:r>
          </w:p>
        </w:tc>
      </w:tr>
      <w:tr w:rsidR="00E51B21" w:rsidRPr="00AD558F" w14:paraId="6BB50453" w14:textId="77777777" w:rsidTr="00E51B21">
        <w:trPr>
          <w:jc w:val="center"/>
        </w:trPr>
        <w:tc>
          <w:tcPr>
            <w:tcW w:w="1279" w:type="dxa"/>
          </w:tcPr>
          <w:p w14:paraId="17E31457" w14:textId="2C487EEF" w:rsidR="00E51B21" w:rsidRPr="00AD558F" w:rsidRDefault="00E51B21" w:rsidP="00E51B21">
            <w:pPr>
              <w:pStyle w:val="Tabletext"/>
              <w:jc w:val="center"/>
            </w:pPr>
            <w:r w:rsidRPr="00AD558F">
              <w:t>–</w:t>
            </w:r>
          </w:p>
        </w:tc>
        <w:tc>
          <w:tcPr>
            <w:tcW w:w="1064" w:type="dxa"/>
          </w:tcPr>
          <w:p w14:paraId="7D900B45" w14:textId="13BF1455" w:rsidR="00E51B21" w:rsidRPr="00AD558F" w:rsidRDefault="00E51B21" w:rsidP="00E51B21">
            <w:pPr>
              <w:pStyle w:val="Tabletext"/>
              <w:jc w:val="center"/>
            </w:pPr>
            <w:r w:rsidRPr="00AD558F">
              <w:t>A</w:t>
            </w:r>
          </w:p>
        </w:tc>
        <w:tc>
          <w:tcPr>
            <w:tcW w:w="1672" w:type="dxa"/>
          </w:tcPr>
          <w:p w14:paraId="1A0D42B7" w14:textId="1B235834" w:rsidR="00E51B21" w:rsidRPr="00AD558F" w:rsidRDefault="00E51B21" w:rsidP="00E51B21">
            <w:pPr>
              <w:pStyle w:val="Tabletext"/>
              <w:jc w:val="center"/>
            </w:pPr>
            <w:r w:rsidRPr="00AD558F">
              <w:t>–</w:t>
            </w:r>
          </w:p>
        </w:tc>
        <w:tc>
          <w:tcPr>
            <w:tcW w:w="5624" w:type="dxa"/>
          </w:tcPr>
          <w:p w14:paraId="09C528A5" w14:textId="77349CB1" w:rsidR="00E51B21" w:rsidRPr="00AD558F" w:rsidRDefault="00E51B21" w:rsidP="00E51B21">
            <w:pPr>
              <w:pStyle w:val="Tabletext"/>
            </w:pPr>
            <w:r w:rsidRPr="00AD558F">
              <w:t>Sin cambio en el RR. Bandas de frecuencias 6 560-6 640 MHz</w:t>
            </w:r>
          </w:p>
        </w:tc>
      </w:tr>
      <w:tr w:rsidR="00E51B21" w:rsidRPr="00AD558F" w14:paraId="3CA20FA6" w14:textId="77777777" w:rsidTr="00E51B21">
        <w:trPr>
          <w:jc w:val="center"/>
        </w:trPr>
        <w:tc>
          <w:tcPr>
            <w:tcW w:w="1279" w:type="dxa"/>
          </w:tcPr>
          <w:p w14:paraId="1A73E1CF" w14:textId="7F858C7F" w:rsidR="00E51B21" w:rsidRPr="00AD558F" w:rsidRDefault="00E51B21" w:rsidP="00E51B21">
            <w:pPr>
              <w:pStyle w:val="Tabletext"/>
              <w:jc w:val="center"/>
            </w:pPr>
            <w:r w:rsidRPr="00AD558F">
              <w:t>–</w:t>
            </w:r>
          </w:p>
        </w:tc>
        <w:tc>
          <w:tcPr>
            <w:tcW w:w="1064" w:type="dxa"/>
          </w:tcPr>
          <w:p w14:paraId="6AAA8D33" w14:textId="247BAAB1" w:rsidR="00E51B21" w:rsidRPr="00AD558F" w:rsidRDefault="00E51B21" w:rsidP="00E51B21">
            <w:pPr>
              <w:pStyle w:val="Tabletext"/>
              <w:jc w:val="center"/>
            </w:pPr>
            <w:r w:rsidRPr="00AD558F">
              <w:t>A</w:t>
            </w:r>
          </w:p>
        </w:tc>
        <w:tc>
          <w:tcPr>
            <w:tcW w:w="1672" w:type="dxa"/>
          </w:tcPr>
          <w:p w14:paraId="2BF7D6EA" w14:textId="0ECA19DA" w:rsidR="00E51B21" w:rsidRPr="00AD558F" w:rsidRDefault="00E51B21" w:rsidP="00E51B21">
            <w:pPr>
              <w:pStyle w:val="Tabletext"/>
              <w:jc w:val="center"/>
            </w:pPr>
            <w:r w:rsidRPr="00AD558F">
              <w:t>–</w:t>
            </w:r>
          </w:p>
        </w:tc>
        <w:tc>
          <w:tcPr>
            <w:tcW w:w="5624" w:type="dxa"/>
          </w:tcPr>
          <w:p w14:paraId="5DFC8C5F" w14:textId="1A717CA0" w:rsidR="00E51B21" w:rsidRPr="00AD558F" w:rsidRDefault="00E51B21" w:rsidP="00E51B21">
            <w:pPr>
              <w:pStyle w:val="Tabletext"/>
            </w:pPr>
            <w:r w:rsidRPr="00AD558F">
              <w:t>Sin cambio en el RR. Bandas de frecuencias 27,9-28,2 GHz</w:t>
            </w:r>
          </w:p>
        </w:tc>
      </w:tr>
      <w:tr w:rsidR="00E51B21" w:rsidRPr="00AD558F" w14:paraId="149FA63F" w14:textId="77777777" w:rsidTr="00E51B21">
        <w:trPr>
          <w:jc w:val="center"/>
        </w:trPr>
        <w:tc>
          <w:tcPr>
            <w:tcW w:w="1279" w:type="dxa"/>
          </w:tcPr>
          <w:p w14:paraId="303F25CD" w14:textId="6420A3F8" w:rsidR="00E51B21" w:rsidRPr="00AD558F" w:rsidRDefault="00E51B21" w:rsidP="00E51B21">
            <w:pPr>
              <w:pStyle w:val="Tabletext"/>
              <w:jc w:val="center"/>
            </w:pPr>
            <w:r w:rsidRPr="00AD558F">
              <w:t>–</w:t>
            </w:r>
          </w:p>
        </w:tc>
        <w:tc>
          <w:tcPr>
            <w:tcW w:w="1064" w:type="dxa"/>
          </w:tcPr>
          <w:p w14:paraId="019A02CB" w14:textId="3750096A" w:rsidR="00E51B21" w:rsidRPr="00AD558F" w:rsidRDefault="00E51B21" w:rsidP="00E51B21">
            <w:pPr>
              <w:pStyle w:val="Tabletext"/>
              <w:jc w:val="center"/>
            </w:pPr>
            <w:r w:rsidRPr="00AD558F">
              <w:t>A</w:t>
            </w:r>
          </w:p>
        </w:tc>
        <w:tc>
          <w:tcPr>
            <w:tcW w:w="1672" w:type="dxa"/>
          </w:tcPr>
          <w:p w14:paraId="0C69C6A5" w14:textId="31648061" w:rsidR="00E51B21" w:rsidRPr="00AD558F" w:rsidRDefault="00E51B21" w:rsidP="00E51B21">
            <w:pPr>
              <w:pStyle w:val="Tabletext"/>
              <w:jc w:val="center"/>
            </w:pPr>
            <w:r w:rsidRPr="00AD558F">
              <w:t>–</w:t>
            </w:r>
          </w:p>
        </w:tc>
        <w:tc>
          <w:tcPr>
            <w:tcW w:w="5624" w:type="dxa"/>
          </w:tcPr>
          <w:p w14:paraId="50F65174" w14:textId="0EC6BDF3" w:rsidR="00E51B21" w:rsidRPr="00AD558F" w:rsidRDefault="00E51B21" w:rsidP="00E51B21">
            <w:pPr>
              <w:pStyle w:val="Tabletext"/>
            </w:pPr>
            <w:r w:rsidRPr="00AD558F">
              <w:t>Sin cambio en el RR. Bandas de frecuencias 31-31,3 GHz</w:t>
            </w:r>
          </w:p>
        </w:tc>
      </w:tr>
      <w:tr w:rsidR="00E51B21" w:rsidRPr="00AD558F" w14:paraId="7B999AF9" w14:textId="77777777" w:rsidTr="00E51B21">
        <w:trPr>
          <w:jc w:val="center"/>
        </w:trPr>
        <w:tc>
          <w:tcPr>
            <w:tcW w:w="1279" w:type="dxa"/>
          </w:tcPr>
          <w:p w14:paraId="4BB98B9D" w14:textId="3FE3A509" w:rsidR="00E51B21" w:rsidRPr="00AD558F" w:rsidRDefault="00E51B21" w:rsidP="00E51B21">
            <w:pPr>
              <w:pStyle w:val="Tabletext"/>
              <w:jc w:val="center"/>
            </w:pPr>
            <w:r w:rsidRPr="00AD558F">
              <w:t>–</w:t>
            </w:r>
          </w:p>
        </w:tc>
        <w:tc>
          <w:tcPr>
            <w:tcW w:w="1064" w:type="dxa"/>
          </w:tcPr>
          <w:p w14:paraId="282DDFE0" w14:textId="1485FB6E" w:rsidR="00E51B21" w:rsidRPr="00AD558F" w:rsidRDefault="00E51B21" w:rsidP="00E51B21">
            <w:pPr>
              <w:pStyle w:val="Tabletext"/>
              <w:jc w:val="center"/>
            </w:pPr>
            <w:r w:rsidRPr="00AD558F">
              <w:t>A</w:t>
            </w:r>
          </w:p>
        </w:tc>
        <w:tc>
          <w:tcPr>
            <w:tcW w:w="1672" w:type="dxa"/>
          </w:tcPr>
          <w:p w14:paraId="02F2660D" w14:textId="7BCA6E37" w:rsidR="00E51B21" w:rsidRPr="00AD558F" w:rsidRDefault="00E51B21" w:rsidP="00E51B21">
            <w:pPr>
              <w:pStyle w:val="Tabletext"/>
              <w:jc w:val="center"/>
            </w:pPr>
            <w:r w:rsidRPr="00AD558F">
              <w:t>–</w:t>
            </w:r>
          </w:p>
        </w:tc>
        <w:tc>
          <w:tcPr>
            <w:tcW w:w="5624" w:type="dxa"/>
          </w:tcPr>
          <w:p w14:paraId="2841B3C0" w14:textId="7971D31D" w:rsidR="00E51B21" w:rsidRPr="00AD558F" w:rsidRDefault="00E51B21" w:rsidP="00E51B21">
            <w:pPr>
              <w:pStyle w:val="Tabletext"/>
            </w:pPr>
            <w:r w:rsidRPr="00AD558F">
              <w:t>Sin cambio en el RR. Bandas de frecuencias 38-39,5 GHz</w:t>
            </w:r>
          </w:p>
        </w:tc>
      </w:tr>
      <w:tr w:rsidR="00E51B21" w:rsidRPr="00AD558F" w14:paraId="5624770F" w14:textId="77777777" w:rsidTr="00E51B21">
        <w:trPr>
          <w:jc w:val="center"/>
        </w:trPr>
        <w:tc>
          <w:tcPr>
            <w:tcW w:w="1279" w:type="dxa"/>
          </w:tcPr>
          <w:p w14:paraId="4EDB4B93" w14:textId="5DD814AF" w:rsidR="00E51B21" w:rsidRPr="00AD558F" w:rsidRDefault="00E51B21" w:rsidP="00E51B21">
            <w:pPr>
              <w:pStyle w:val="Tabletext"/>
              <w:jc w:val="center"/>
            </w:pPr>
            <w:r w:rsidRPr="00AD558F">
              <w:t>–</w:t>
            </w:r>
          </w:p>
        </w:tc>
        <w:tc>
          <w:tcPr>
            <w:tcW w:w="1064" w:type="dxa"/>
          </w:tcPr>
          <w:p w14:paraId="4DEF2FD3" w14:textId="730B6F38" w:rsidR="00E51B21" w:rsidRPr="00AD558F" w:rsidRDefault="00E51B21" w:rsidP="00E51B21">
            <w:pPr>
              <w:pStyle w:val="Tabletext"/>
              <w:jc w:val="center"/>
            </w:pPr>
            <w:r w:rsidRPr="00AD558F">
              <w:t>A</w:t>
            </w:r>
          </w:p>
        </w:tc>
        <w:tc>
          <w:tcPr>
            <w:tcW w:w="1672" w:type="dxa"/>
          </w:tcPr>
          <w:p w14:paraId="6C0AA14B" w14:textId="4EEF4ECA" w:rsidR="00E51B21" w:rsidRPr="00AD558F" w:rsidRDefault="00E51B21" w:rsidP="00E51B21">
            <w:pPr>
              <w:pStyle w:val="Tabletext"/>
              <w:jc w:val="center"/>
            </w:pPr>
            <w:r w:rsidRPr="00AD558F">
              <w:t>–</w:t>
            </w:r>
          </w:p>
        </w:tc>
        <w:tc>
          <w:tcPr>
            <w:tcW w:w="5624" w:type="dxa"/>
          </w:tcPr>
          <w:p w14:paraId="6EDAACCF" w14:textId="4CB2466B" w:rsidR="00E51B21" w:rsidRPr="00AD558F" w:rsidRDefault="00E51B21" w:rsidP="00E51B21">
            <w:pPr>
              <w:pStyle w:val="Tabletext"/>
            </w:pPr>
            <w:r w:rsidRPr="00AD558F">
              <w:t xml:space="preserve">Sin cambio en el RR. Bandas de frecuencias 47,2-47,5 GHz / </w:t>
            </w:r>
            <w:r w:rsidRPr="00AD558F">
              <w:br/>
              <w:t>47,9-48,2 GHz</w:t>
            </w:r>
          </w:p>
        </w:tc>
      </w:tr>
    </w:tbl>
    <w:p w14:paraId="2AEDE7E7" w14:textId="5A8E52CC" w:rsidR="00481B13" w:rsidRPr="00AD558F" w:rsidRDefault="00481B13" w:rsidP="00E51B21">
      <w:pPr>
        <w:pStyle w:val="Heading1"/>
      </w:pPr>
      <w:r w:rsidRPr="00AD558F">
        <w:t>3</w:t>
      </w:r>
      <w:r w:rsidRPr="00AD558F">
        <w:tab/>
        <w:t>Prop</w:t>
      </w:r>
      <w:r w:rsidR="005E7021" w:rsidRPr="00AD558F">
        <w:t>uesta</w:t>
      </w:r>
      <w:r w:rsidRPr="00AD558F">
        <w:tab/>
        <w:t>NOC</w:t>
      </w:r>
    </w:p>
    <w:p w14:paraId="03E66216" w14:textId="5D747867" w:rsidR="00481B13" w:rsidRPr="00AD558F" w:rsidRDefault="005E7021" w:rsidP="001B401B">
      <w:pPr>
        <w:pStyle w:val="Reasons"/>
      </w:pPr>
      <w:r w:rsidRPr="00AD558F">
        <w:rPr>
          <w:b/>
          <w:bCs/>
        </w:rPr>
        <w:t>Motivos</w:t>
      </w:r>
      <w:r w:rsidR="00481B13" w:rsidRPr="00AD558F">
        <w:t>:</w:t>
      </w:r>
      <w:r w:rsidR="00481B13" w:rsidRPr="00AD558F">
        <w:tab/>
      </w:r>
      <w:r w:rsidRPr="00AD558F">
        <w:rPr>
          <w:bCs/>
        </w:rPr>
        <w:t>Para la utilización de aplicaciones HAPS, la India ya ha identificado las bandas de frecuencias</w:t>
      </w:r>
      <w:r w:rsidRPr="00AD558F">
        <w:t xml:space="preserve"> </w:t>
      </w:r>
      <w:r w:rsidR="00481B13" w:rsidRPr="00AD558F">
        <w:t>27</w:t>
      </w:r>
      <w:r w:rsidRPr="00AD558F">
        <w:t>,</w:t>
      </w:r>
      <w:r w:rsidR="00481B13" w:rsidRPr="00AD558F">
        <w:t>9-28</w:t>
      </w:r>
      <w:r w:rsidRPr="00AD558F">
        <w:t>,</w:t>
      </w:r>
      <w:r w:rsidR="00481B13" w:rsidRPr="00AD558F">
        <w:t xml:space="preserve">2 GHz </w:t>
      </w:r>
      <w:r w:rsidRPr="00AD558F">
        <w:t>y</w:t>
      </w:r>
      <w:r w:rsidR="00481B13" w:rsidRPr="00AD558F">
        <w:t xml:space="preserve"> 31</w:t>
      </w:r>
      <w:r w:rsidRPr="00AD558F">
        <w:t>,</w:t>
      </w:r>
      <w:r w:rsidR="00481B13" w:rsidRPr="00AD558F">
        <w:t>0-31</w:t>
      </w:r>
      <w:r w:rsidRPr="00AD558F">
        <w:t>,</w:t>
      </w:r>
      <w:r w:rsidR="00481B13" w:rsidRPr="00AD558F">
        <w:t xml:space="preserve">3 GHz </w:t>
      </w:r>
      <w:r w:rsidRPr="00AD558F">
        <w:t xml:space="preserve">mediante las notas </w:t>
      </w:r>
      <w:r w:rsidR="00481B13" w:rsidRPr="00AD558F">
        <w:rPr>
          <w:b/>
        </w:rPr>
        <w:t>5.537A</w:t>
      </w:r>
      <w:r w:rsidR="00481B13" w:rsidRPr="00AD558F">
        <w:t xml:space="preserve"> </w:t>
      </w:r>
      <w:r w:rsidRPr="00AD558F">
        <w:t>y</w:t>
      </w:r>
      <w:r w:rsidR="00481B13" w:rsidRPr="00AD558F">
        <w:t xml:space="preserve"> </w:t>
      </w:r>
      <w:r w:rsidR="00481B13" w:rsidRPr="00AD558F">
        <w:rPr>
          <w:b/>
        </w:rPr>
        <w:t>5.543A</w:t>
      </w:r>
      <w:r w:rsidRPr="00AD558F">
        <w:rPr>
          <w:bCs/>
        </w:rPr>
        <w:t xml:space="preserve"> del RR</w:t>
      </w:r>
      <w:r w:rsidR="00481B13" w:rsidRPr="00AD558F">
        <w:t>.</w:t>
      </w:r>
    </w:p>
    <w:p w14:paraId="7236E8BD" w14:textId="77777777" w:rsidR="008750A8" w:rsidRPr="00AD558F" w:rsidRDefault="008750A8" w:rsidP="005E70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D558F">
        <w:br w:type="page"/>
      </w:r>
    </w:p>
    <w:p w14:paraId="3F8B7DDE" w14:textId="77777777" w:rsidR="00B00843" w:rsidRPr="00AD558F" w:rsidRDefault="00481B13" w:rsidP="007C4826">
      <w:pPr>
        <w:pStyle w:val="ArtNo"/>
      </w:pPr>
      <w:r w:rsidRPr="00AD558F">
        <w:lastRenderedPageBreak/>
        <w:t xml:space="preserve">ARTÍCULO </w:t>
      </w:r>
      <w:r w:rsidRPr="00AD558F">
        <w:rPr>
          <w:rStyle w:val="href"/>
        </w:rPr>
        <w:t>5</w:t>
      </w:r>
    </w:p>
    <w:p w14:paraId="65687401" w14:textId="77777777" w:rsidR="00B00843" w:rsidRPr="00AD558F" w:rsidRDefault="00481B13" w:rsidP="005E7021">
      <w:pPr>
        <w:pStyle w:val="Arttitle"/>
      </w:pPr>
      <w:r w:rsidRPr="00AD558F">
        <w:t>Atribuciones de frecuencia</w:t>
      </w:r>
    </w:p>
    <w:p w14:paraId="733739B4" w14:textId="77777777" w:rsidR="00B00843" w:rsidRPr="00AD558F" w:rsidRDefault="00481B13" w:rsidP="005E7021">
      <w:pPr>
        <w:pStyle w:val="Section1"/>
      </w:pPr>
      <w:r w:rsidRPr="00AD558F">
        <w:t>Sección IV – Cuadro de atribución de bandas de frecuencias</w:t>
      </w:r>
      <w:r w:rsidRPr="00AD558F">
        <w:br/>
      </w:r>
      <w:r w:rsidRPr="00AD558F">
        <w:rPr>
          <w:b w:val="0"/>
          <w:bCs/>
        </w:rPr>
        <w:t>(Véase el número</w:t>
      </w:r>
      <w:r w:rsidRPr="00AD558F">
        <w:t xml:space="preserve"> </w:t>
      </w:r>
      <w:r w:rsidRPr="00AD558F">
        <w:rPr>
          <w:rStyle w:val="Artref"/>
        </w:rPr>
        <w:t>2.1</w:t>
      </w:r>
      <w:r w:rsidRPr="00AD558F">
        <w:rPr>
          <w:b w:val="0"/>
          <w:bCs/>
        </w:rPr>
        <w:t>)</w:t>
      </w:r>
      <w:r w:rsidRPr="00AD558F">
        <w:br/>
      </w:r>
    </w:p>
    <w:p w14:paraId="28ADAB73" w14:textId="77777777" w:rsidR="002A18A1" w:rsidRPr="00AD558F" w:rsidRDefault="00481B13" w:rsidP="005E7021">
      <w:pPr>
        <w:pStyle w:val="Proposal"/>
      </w:pPr>
      <w:r w:rsidRPr="00AD558F">
        <w:rPr>
          <w:u w:val="single"/>
        </w:rPr>
        <w:t>NOC</w:t>
      </w:r>
      <w:r w:rsidRPr="00AD558F">
        <w:tab/>
        <w:t>IND/92A14/1</w:t>
      </w:r>
    </w:p>
    <w:p w14:paraId="29971466" w14:textId="77777777" w:rsidR="00B00843" w:rsidRPr="00AD558F" w:rsidRDefault="00481B13" w:rsidP="005E7021">
      <w:pPr>
        <w:pStyle w:val="Tabletitle"/>
      </w:pPr>
      <w:r w:rsidRPr="00AD558F">
        <w:t>5 570-6 700 MHz</w:t>
      </w:r>
    </w:p>
    <w:p w14:paraId="0F64B0AC" w14:textId="77777777" w:rsidR="002A18A1" w:rsidRPr="00AD558F" w:rsidRDefault="002A18A1" w:rsidP="005E7021">
      <w:pPr>
        <w:pStyle w:val="Reasons"/>
      </w:pPr>
    </w:p>
    <w:p w14:paraId="24DA7607" w14:textId="77777777" w:rsidR="002A18A1" w:rsidRPr="00AD558F" w:rsidRDefault="00481B13" w:rsidP="005E7021">
      <w:pPr>
        <w:pStyle w:val="Proposal"/>
      </w:pPr>
      <w:r w:rsidRPr="00AD558F">
        <w:rPr>
          <w:u w:val="single"/>
        </w:rPr>
        <w:t>NOC</w:t>
      </w:r>
      <w:r w:rsidRPr="00AD558F">
        <w:tab/>
        <w:t>IND/92A14/2</w:t>
      </w:r>
    </w:p>
    <w:p w14:paraId="6BEE9F37" w14:textId="77777777" w:rsidR="00B00843" w:rsidRPr="00AD558F" w:rsidRDefault="00481B13" w:rsidP="005E7021">
      <w:pPr>
        <w:pStyle w:val="Tabletitle"/>
      </w:pPr>
      <w:r w:rsidRPr="00AD558F">
        <w:t>24,75-29,9 GHz</w:t>
      </w:r>
    </w:p>
    <w:p w14:paraId="455331D5" w14:textId="77777777" w:rsidR="002A18A1" w:rsidRPr="00AD558F" w:rsidRDefault="002A18A1" w:rsidP="005E7021">
      <w:pPr>
        <w:pStyle w:val="Reasons"/>
      </w:pPr>
    </w:p>
    <w:p w14:paraId="23AB8136" w14:textId="77777777" w:rsidR="002A18A1" w:rsidRPr="00AD558F" w:rsidRDefault="00481B13" w:rsidP="005E7021">
      <w:pPr>
        <w:pStyle w:val="Proposal"/>
      </w:pPr>
      <w:r w:rsidRPr="00AD558F">
        <w:rPr>
          <w:u w:val="single"/>
        </w:rPr>
        <w:t>NOC</w:t>
      </w:r>
      <w:r w:rsidRPr="00AD558F">
        <w:tab/>
        <w:t>IND/92A14/3</w:t>
      </w:r>
    </w:p>
    <w:p w14:paraId="0588BD60" w14:textId="77777777" w:rsidR="00B00843" w:rsidRPr="00AD558F" w:rsidRDefault="00481B13" w:rsidP="005E7021">
      <w:pPr>
        <w:pStyle w:val="Tabletitle"/>
        <w:spacing w:before="120"/>
      </w:pPr>
      <w:r w:rsidRPr="00AD558F">
        <w:t>29,9-34,2 GHz</w:t>
      </w:r>
    </w:p>
    <w:p w14:paraId="37313173" w14:textId="77777777" w:rsidR="002A18A1" w:rsidRPr="00AD558F" w:rsidRDefault="002A18A1" w:rsidP="005E7021">
      <w:pPr>
        <w:pStyle w:val="Reasons"/>
      </w:pPr>
    </w:p>
    <w:p w14:paraId="7542C9D0" w14:textId="77777777" w:rsidR="002A18A1" w:rsidRPr="00AD558F" w:rsidRDefault="00481B13" w:rsidP="005E7021">
      <w:pPr>
        <w:pStyle w:val="Proposal"/>
      </w:pPr>
      <w:r w:rsidRPr="00AD558F">
        <w:rPr>
          <w:u w:val="single"/>
        </w:rPr>
        <w:t>NOC</w:t>
      </w:r>
      <w:r w:rsidRPr="00AD558F">
        <w:tab/>
        <w:t>IND/92A14/4</w:t>
      </w:r>
    </w:p>
    <w:p w14:paraId="1E4523E1" w14:textId="77777777" w:rsidR="00B00843" w:rsidRPr="00AD558F" w:rsidRDefault="00481B13" w:rsidP="005E7021">
      <w:pPr>
        <w:pStyle w:val="Tabletitle"/>
      </w:pPr>
      <w:r w:rsidRPr="00AD558F">
        <w:t>34,2-40 GHz</w:t>
      </w:r>
    </w:p>
    <w:p w14:paraId="612EFC6B" w14:textId="77777777" w:rsidR="002A18A1" w:rsidRPr="00AD558F" w:rsidRDefault="002A18A1" w:rsidP="005E7021">
      <w:pPr>
        <w:pStyle w:val="Reasons"/>
      </w:pPr>
    </w:p>
    <w:p w14:paraId="62967EF8" w14:textId="77777777" w:rsidR="002A18A1" w:rsidRPr="00AD558F" w:rsidRDefault="00481B13" w:rsidP="005E7021">
      <w:pPr>
        <w:pStyle w:val="Proposal"/>
      </w:pPr>
      <w:r w:rsidRPr="00AD558F">
        <w:rPr>
          <w:u w:val="single"/>
        </w:rPr>
        <w:t>NOC</w:t>
      </w:r>
      <w:r w:rsidRPr="00AD558F">
        <w:tab/>
        <w:t>IND/92A14/5</w:t>
      </w:r>
    </w:p>
    <w:p w14:paraId="4291D1BA" w14:textId="77777777" w:rsidR="00B00843" w:rsidRPr="00AD558F" w:rsidRDefault="00481B13" w:rsidP="005E7021">
      <w:pPr>
        <w:pStyle w:val="Tabletitle"/>
      </w:pPr>
      <w:r w:rsidRPr="00AD558F">
        <w:t>40-47,5 GHz</w:t>
      </w:r>
    </w:p>
    <w:p w14:paraId="29DDA0CD" w14:textId="77777777" w:rsidR="002A18A1" w:rsidRPr="00AD558F" w:rsidRDefault="002A18A1" w:rsidP="005E7021">
      <w:pPr>
        <w:pStyle w:val="Reasons"/>
      </w:pPr>
    </w:p>
    <w:p w14:paraId="366EA1FA" w14:textId="77777777" w:rsidR="002A18A1" w:rsidRPr="00AD558F" w:rsidRDefault="00481B13" w:rsidP="005E7021">
      <w:pPr>
        <w:pStyle w:val="Proposal"/>
      </w:pPr>
      <w:r w:rsidRPr="00AD558F">
        <w:rPr>
          <w:u w:val="single"/>
        </w:rPr>
        <w:t>NOC</w:t>
      </w:r>
      <w:r w:rsidRPr="00AD558F">
        <w:tab/>
        <w:t>IND/92A14/6</w:t>
      </w:r>
    </w:p>
    <w:p w14:paraId="4D48D4ED" w14:textId="77777777" w:rsidR="00B00843" w:rsidRPr="00AD558F" w:rsidRDefault="00481B13" w:rsidP="005E7021">
      <w:pPr>
        <w:pStyle w:val="Tabletitle"/>
        <w:spacing w:before="120"/>
      </w:pPr>
      <w:r w:rsidRPr="00AD558F">
        <w:t>47,5-51,4 GHz</w:t>
      </w:r>
    </w:p>
    <w:p w14:paraId="47F74D1A" w14:textId="77777777" w:rsidR="002A18A1" w:rsidRPr="00AD558F" w:rsidRDefault="002A18A1" w:rsidP="005E7021">
      <w:pPr>
        <w:pStyle w:val="Reasons"/>
      </w:pPr>
    </w:p>
    <w:p w14:paraId="7555C7CB" w14:textId="77777777" w:rsidR="002A18A1" w:rsidRPr="00AD558F" w:rsidRDefault="00481B13" w:rsidP="005E7021">
      <w:pPr>
        <w:pStyle w:val="Proposal"/>
      </w:pPr>
      <w:r w:rsidRPr="00AD558F">
        <w:rPr>
          <w:u w:val="single"/>
        </w:rPr>
        <w:t>NOC</w:t>
      </w:r>
      <w:r w:rsidRPr="00AD558F">
        <w:tab/>
        <w:t>IND/92A14/7</w:t>
      </w:r>
      <w:r w:rsidRPr="00AD558F">
        <w:rPr>
          <w:vanish/>
          <w:color w:val="7F7F7F" w:themeColor="text1" w:themeTint="80"/>
          <w:vertAlign w:val="superscript"/>
        </w:rPr>
        <w:t>#49797</w:t>
      </w:r>
    </w:p>
    <w:p w14:paraId="76DE9F6B" w14:textId="77777777" w:rsidR="00B00843" w:rsidRPr="00AD558F" w:rsidRDefault="00481B13" w:rsidP="005E7021">
      <w:pPr>
        <w:pStyle w:val="ResNo"/>
      </w:pPr>
      <w:r w:rsidRPr="00AD558F">
        <w:t xml:space="preserve">RESOLUCIÓN </w:t>
      </w:r>
      <w:r w:rsidRPr="00AD558F">
        <w:rPr>
          <w:rStyle w:val="href"/>
        </w:rPr>
        <w:t>122</w:t>
      </w:r>
      <w:r w:rsidRPr="00AD558F">
        <w:t xml:space="preserve"> (Rev.CMR-07)</w:t>
      </w:r>
    </w:p>
    <w:p w14:paraId="5596C2A2" w14:textId="77777777" w:rsidR="00B00843" w:rsidRPr="00AD558F" w:rsidRDefault="00481B13" w:rsidP="005E7021">
      <w:pPr>
        <w:pStyle w:val="Restitle"/>
      </w:pPr>
      <w:bookmarkStart w:id="6" w:name="_Toc328141282"/>
      <w:r w:rsidRPr="00AD558F">
        <w:t xml:space="preserve">Utilización de las bandas 47,2-47,5 GHz y 47,9-48,2 GHz </w:t>
      </w:r>
      <w:r w:rsidRPr="00AD558F">
        <w:br/>
        <w:t xml:space="preserve">por estaciones en plataformas a gran altitud </w:t>
      </w:r>
      <w:r w:rsidRPr="00AD558F">
        <w:br/>
        <w:t>del servicio fijo y por otros servicios</w:t>
      </w:r>
      <w:bookmarkEnd w:id="6"/>
    </w:p>
    <w:p w14:paraId="13B596F2" w14:textId="77777777" w:rsidR="002A18A1" w:rsidRPr="00AD558F" w:rsidRDefault="002A18A1" w:rsidP="005E7021">
      <w:pPr>
        <w:pStyle w:val="Reasons"/>
      </w:pPr>
    </w:p>
    <w:p w14:paraId="386C9071" w14:textId="77777777" w:rsidR="002A18A1" w:rsidRPr="00AD558F" w:rsidRDefault="00481B13" w:rsidP="005E7021">
      <w:pPr>
        <w:pStyle w:val="Proposal"/>
      </w:pPr>
      <w:r w:rsidRPr="00AD558F">
        <w:rPr>
          <w:u w:val="single"/>
        </w:rPr>
        <w:lastRenderedPageBreak/>
        <w:t>NOC</w:t>
      </w:r>
      <w:r w:rsidRPr="00AD558F">
        <w:tab/>
        <w:t>IND/92A14/8</w:t>
      </w:r>
      <w:r w:rsidRPr="00AD558F">
        <w:rPr>
          <w:vanish/>
          <w:color w:val="7F7F7F" w:themeColor="text1" w:themeTint="80"/>
          <w:vertAlign w:val="superscript"/>
        </w:rPr>
        <w:t>#49765</w:t>
      </w:r>
    </w:p>
    <w:p w14:paraId="37EE0050" w14:textId="77777777" w:rsidR="00B00843" w:rsidRPr="00AD558F" w:rsidRDefault="00481B13" w:rsidP="005E7021">
      <w:pPr>
        <w:pStyle w:val="ResNo"/>
      </w:pPr>
      <w:r w:rsidRPr="00AD558F">
        <w:t xml:space="preserve">RESOLUCIÓN </w:t>
      </w:r>
      <w:r w:rsidRPr="00AD558F">
        <w:rPr>
          <w:rStyle w:val="href"/>
          <w:szCs w:val="28"/>
        </w:rPr>
        <w:t>145</w:t>
      </w:r>
      <w:r w:rsidRPr="00AD558F">
        <w:t xml:space="preserve"> (Rev.CMR</w:t>
      </w:r>
      <w:r w:rsidRPr="00AD558F">
        <w:noBreakHyphen/>
        <w:t>12)</w:t>
      </w:r>
    </w:p>
    <w:p w14:paraId="408EDEEB" w14:textId="76989277" w:rsidR="00B00843" w:rsidRPr="00AD558F" w:rsidRDefault="00481B13" w:rsidP="005E7021">
      <w:pPr>
        <w:pStyle w:val="Restitle"/>
        <w:rPr>
          <w:bCs/>
          <w:u w:val="single"/>
        </w:rPr>
      </w:pPr>
      <w:r w:rsidRPr="00AD558F">
        <w:t xml:space="preserve">Utilización de las bandas 27,9-28,2 GHz y 31-31,3 GHz por </w:t>
      </w:r>
      <w:r w:rsidRPr="00AD558F">
        <w:br/>
        <w:t>estaciones en plataformas a gran altitud del servicio fijo</w:t>
      </w:r>
    </w:p>
    <w:p w14:paraId="440ABFC1" w14:textId="77777777" w:rsidR="002A18A1" w:rsidRPr="00AD558F" w:rsidRDefault="002A18A1" w:rsidP="005E7021">
      <w:pPr>
        <w:pStyle w:val="Reasons"/>
      </w:pPr>
    </w:p>
    <w:p w14:paraId="6B6B158B" w14:textId="77777777" w:rsidR="002A18A1" w:rsidRPr="00AD558F" w:rsidRDefault="00481B13" w:rsidP="005E7021">
      <w:pPr>
        <w:pStyle w:val="Proposal"/>
      </w:pPr>
      <w:r w:rsidRPr="00AD558F">
        <w:rPr>
          <w:u w:val="single"/>
        </w:rPr>
        <w:t>NOC</w:t>
      </w:r>
      <w:r w:rsidRPr="00AD558F">
        <w:tab/>
        <w:t>IND/92A14/9</w:t>
      </w:r>
      <w:r w:rsidRPr="00AD558F">
        <w:rPr>
          <w:vanish/>
          <w:color w:val="7F7F7F" w:themeColor="text1" w:themeTint="80"/>
          <w:vertAlign w:val="superscript"/>
        </w:rPr>
        <w:t>#49729</w:t>
      </w:r>
    </w:p>
    <w:p w14:paraId="06266BD0" w14:textId="77777777" w:rsidR="00B00843" w:rsidRPr="00AD558F" w:rsidRDefault="00481B13" w:rsidP="005E7021">
      <w:pPr>
        <w:pStyle w:val="ResNo"/>
        <w:rPr>
          <w:lang w:eastAsia="ko-KR"/>
        </w:rPr>
      </w:pPr>
      <w:r w:rsidRPr="00AD558F">
        <w:t>RESOLUCIÓN</w:t>
      </w:r>
      <w:r w:rsidRPr="00AD558F">
        <w:rPr>
          <w:lang w:eastAsia="ko-KR"/>
        </w:rPr>
        <w:t xml:space="preserve"> </w:t>
      </w:r>
      <w:r w:rsidRPr="00AD558F">
        <w:rPr>
          <w:rStyle w:val="href"/>
        </w:rPr>
        <w:t>150</w:t>
      </w:r>
      <w:r w:rsidRPr="00AD558F">
        <w:rPr>
          <w:lang w:eastAsia="ko-KR"/>
        </w:rPr>
        <w:t xml:space="preserve"> (CMR</w:t>
      </w:r>
      <w:r w:rsidRPr="00AD558F">
        <w:rPr>
          <w:lang w:eastAsia="ko-KR"/>
        </w:rPr>
        <w:noBreakHyphen/>
        <w:t>12)</w:t>
      </w:r>
    </w:p>
    <w:p w14:paraId="0B02B6D9" w14:textId="77777777" w:rsidR="00B00843" w:rsidRPr="00AD558F" w:rsidRDefault="00481B13" w:rsidP="005E7021">
      <w:pPr>
        <w:pStyle w:val="Restitle"/>
      </w:pPr>
      <w:bookmarkStart w:id="7" w:name="_Toc328141302"/>
      <w:bookmarkStart w:id="8" w:name="_Toc320536482"/>
      <w:r w:rsidRPr="00AD558F">
        <w:rPr>
          <w:lang w:eastAsia="ko-KR"/>
        </w:rPr>
        <w:t>Utilización de las bandas 6 440-6 520 MHz y 6 560-6 640 MHz por</w:t>
      </w:r>
      <w:r w:rsidRPr="00AD558F">
        <w:rPr>
          <w:lang w:eastAsia="ko-KR"/>
        </w:rPr>
        <w:br/>
        <w:t xml:space="preserve">enlaces de pasarela con estaciones </w:t>
      </w:r>
      <w:r w:rsidRPr="00AD558F">
        <w:rPr>
          <w:bCs/>
          <w:lang w:eastAsia="ko-KR"/>
        </w:rPr>
        <w:t>situadas en plataformas</w:t>
      </w:r>
      <w:r w:rsidRPr="00AD558F">
        <w:rPr>
          <w:bCs/>
          <w:lang w:eastAsia="ko-KR"/>
        </w:rPr>
        <w:br/>
        <w:t>a gran altitud</w:t>
      </w:r>
      <w:r w:rsidRPr="00AD558F">
        <w:t xml:space="preserve"> </w:t>
      </w:r>
      <w:r w:rsidRPr="00AD558F">
        <w:rPr>
          <w:lang w:eastAsia="ko-KR"/>
        </w:rPr>
        <w:t>del servicio fijo</w:t>
      </w:r>
      <w:bookmarkEnd w:id="7"/>
      <w:bookmarkEnd w:id="8"/>
    </w:p>
    <w:p w14:paraId="022D63B9" w14:textId="77777777" w:rsidR="002A18A1" w:rsidRPr="00AD558F" w:rsidRDefault="002A18A1" w:rsidP="005E7021">
      <w:pPr>
        <w:pStyle w:val="Reasons"/>
      </w:pPr>
    </w:p>
    <w:p w14:paraId="22576F39" w14:textId="77777777" w:rsidR="002A18A1" w:rsidRPr="00AD558F" w:rsidRDefault="00481B13" w:rsidP="005E7021">
      <w:pPr>
        <w:pStyle w:val="Proposal"/>
      </w:pPr>
      <w:r w:rsidRPr="00AD558F">
        <w:t>SUP</w:t>
      </w:r>
      <w:r w:rsidRPr="00AD558F">
        <w:tab/>
        <w:t>IND/92A14/10</w:t>
      </w:r>
      <w:r w:rsidRPr="00AD558F">
        <w:rPr>
          <w:vanish/>
          <w:color w:val="7F7F7F" w:themeColor="text1" w:themeTint="80"/>
          <w:vertAlign w:val="superscript"/>
        </w:rPr>
        <w:t>#49813</w:t>
      </w:r>
    </w:p>
    <w:p w14:paraId="0F52AE56" w14:textId="77777777" w:rsidR="00B00843" w:rsidRPr="00AD558F" w:rsidRDefault="00481B13" w:rsidP="005E7021">
      <w:pPr>
        <w:pStyle w:val="ResNo"/>
      </w:pPr>
      <w:r w:rsidRPr="00AD558F">
        <w:t>RESOLUCIÓN 160 (CMR-15)</w:t>
      </w:r>
    </w:p>
    <w:p w14:paraId="71F6CE70" w14:textId="77777777" w:rsidR="00B00843" w:rsidRPr="00AD558F" w:rsidRDefault="00481B13" w:rsidP="005E7021">
      <w:pPr>
        <w:pStyle w:val="Restitle"/>
      </w:pPr>
      <w:r w:rsidRPr="00AD558F">
        <w:t>Facilitación del acceso a aplicaciones de banda ancha transmitidas por estaciones en plataformas de gran altitud</w:t>
      </w:r>
    </w:p>
    <w:p w14:paraId="0815DB60" w14:textId="77777777" w:rsidR="00481B13" w:rsidRPr="00AD558F" w:rsidRDefault="00481B13" w:rsidP="005E7021">
      <w:pPr>
        <w:pStyle w:val="Reasons"/>
      </w:pPr>
    </w:p>
    <w:p w14:paraId="245A9D8B" w14:textId="5A803A31" w:rsidR="002A18A1" w:rsidRPr="00AD558F" w:rsidRDefault="00481B13" w:rsidP="005E7021">
      <w:pPr>
        <w:jc w:val="center"/>
      </w:pPr>
      <w:r w:rsidRPr="00AD558F">
        <w:t>______________</w:t>
      </w:r>
    </w:p>
    <w:sectPr w:rsidR="002A18A1" w:rsidRPr="00AD558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B0045" w14:textId="77777777" w:rsidR="00B00843" w:rsidRDefault="00B00843">
      <w:r>
        <w:separator/>
      </w:r>
    </w:p>
  </w:endnote>
  <w:endnote w:type="continuationSeparator" w:id="0">
    <w:p w14:paraId="06E423F6" w14:textId="77777777" w:rsidR="00B00843" w:rsidRDefault="00B0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2B39" w14:textId="77777777" w:rsidR="00B00843" w:rsidRDefault="00B008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AD204" w14:textId="57A91052" w:rsidR="00B00843" w:rsidRDefault="00B00843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P:\TRAD\S\ITU-R\CONF-R\CMR19\000\092ADD14S_montaje FP.docx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29C8">
      <w:rPr>
        <w:noProof/>
      </w:rPr>
      <w:t>17.10.19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D4824" w14:textId="5251B233" w:rsidR="00B00843" w:rsidRDefault="001F19AE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P:\ESP\ITU-R\CONF-R\CMR19\000\092ADD14S.docx</w:t>
    </w:r>
    <w:r>
      <w:fldChar w:fldCharType="end"/>
    </w:r>
    <w:r w:rsidRPr="00481B13">
      <w:rPr>
        <w:lang w:val="en-US"/>
      </w:rPr>
      <w:t xml:space="preserve"> (4</w:t>
    </w:r>
    <w:r>
      <w:rPr>
        <w:lang w:val="en-US"/>
      </w:rPr>
      <w:t>62223</w:t>
    </w:r>
    <w:r w:rsidRPr="00481B13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9DAFC" w14:textId="19C28FAC" w:rsidR="00B00843" w:rsidRDefault="008C322C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P:\ESP\ITU-R\CONF-R\CMR19\000\092ADD14S.docx</w:t>
    </w:r>
    <w:r>
      <w:fldChar w:fldCharType="end"/>
    </w:r>
    <w:r w:rsidRPr="00481B13">
      <w:rPr>
        <w:lang w:val="en-US"/>
      </w:rPr>
      <w:t xml:space="preserve"> (4</w:t>
    </w:r>
    <w:r>
      <w:rPr>
        <w:lang w:val="en-US"/>
      </w:rPr>
      <w:t>62223</w:t>
    </w:r>
    <w:r w:rsidRPr="00481B13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AEE65" w14:textId="77777777" w:rsidR="00B00843" w:rsidRDefault="00B00843">
      <w:r>
        <w:rPr>
          <w:b/>
        </w:rPr>
        <w:t>_______________</w:t>
      </w:r>
    </w:p>
  </w:footnote>
  <w:footnote w:type="continuationSeparator" w:id="0">
    <w:p w14:paraId="372A8CB7" w14:textId="77777777" w:rsidR="00B00843" w:rsidRDefault="00B0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C117" w14:textId="77777777" w:rsidR="00B00843" w:rsidRDefault="00B00843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FC667E" w14:textId="77777777" w:rsidR="00B00843" w:rsidRDefault="00B00843" w:rsidP="00C44E9E">
    <w:pPr>
      <w:pStyle w:val="Header"/>
      <w:rPr>
        <w:lang w:val="en-US"/>
      </w:rPr>
    </w:pPr>
    <w:r>
      <w:rPr>
        <w:lang w:val="en-US"/>
      </w:rPr>
      <w:t>CMR19/</w:t>
    </w:r>
    <w:r>
      <w:t>92(Add.14)-</w:t>
    </w:r>
    <w:r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B123A"/>
    <w:rsid w:val="000E5BF9"/>
    <w:rsid w:val="000F0E6D"/>
    <w:rsid w:val="001063F2"/>
    <w:rsid w:val="00121170"/>
    <w:rsid w:val="00123CC5"/>
    <w:rsid w:val="0015142D"/>
    <w:rsid w:val="001616DC"/>
    <w:rsid w:val="00163962"/>
    <w:rsid w:val="00191A97"/>
    <w:rsid w:val="0019729C"/>
    <w:rsid w:val="001A083F"/>
    <w:rsid w:val="001B401B"/>
    <w:rsid w:val="001C41FA"/>
    <w:rsid w:val="001E2B52"/>
    <w:rsid w:val="001E3F27"/>
    <w:rsid w:val="001E7D42"/>
    <w:rsid w:val="001F19AE"/>
    <w:rsid w:val="0023659C"/>
    <w:rsid w:val="00236D2A"/>
    <w:rsid w:val="0024569E"/>
    <w:rsid w:val="00255F12"/>
    <w:rsid w:val="00262C09"/>
    <w:rsid w:val="002A18A1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A22A7"/>
    <w:rsid w:val="003B1E8C"/>
    <w:rsid w:val="003C0613"/>
    <w:rsid w:val="003C2508"/>
    <w:rsid w:val="003D0AA3"/>
    <w:rsid w:val="003E2086"/>
    <w:rsid w:val="003F7F66"/>
    <w:rsid w:val="0041457D"/>
    <w:rsid w:val="00440B3A"/>
    <w:rsid w:val="0044375A"/>
    <w:rsid w:val="0045384C"/>
    <w:rsid w:val="00454553"/>
    <w:rsid w:val="00472A86"/>
    <w:rsid w:val="00481B13"/>
    <w:rsid w:val="004B124A"/>
    <w:rsid w:val="004B3095"/>
    <w:rsid w:val="004C590A"/>
    <w:rsid w:val="004D2C7C"/>
    <w:rsid w:val="004E07A4"/>
    <w:rsid w:val="005133B5"/>
    <w:rsid w:val="00524392"/>
    <w:rsid w:val="00532097"/>
    <w:rsid w:val="0058350F"/>
    <w:rsid w:val="00583C7E"/>
    <w:rsid w:val="0059098E"/>
    <w:rsid w:val="005D46FB"/>
    <w:rsid w:val="005E7021"/>
    <w:rsid w:val="005F2605"/>
    <w:rsid w:val="005F3B0E"/>
    <w:rsid w:val="005F3DB8"/>
    <w:rsid w:val="005F559C"/>
    <w:rsid w:val="00602857"/>
    <w:rsid w:val="006124AD"/>
    <w:rsid w:val="00622B4F"/>
    <w:rsid w:val="00624009"/>
    <w:rsid w:val="006629C8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A192E"/>
    <w:rsid w:val="007B410C"/>
    <w:rsid w:val="007C0B95"/>
    <w:rsid w:val="007C2317"/>
    <w:rsid w:val="007C4826"/>
    <w:rsid w:val="007D330A"/>
    <w:rsid w:val="00866AE6"/>
    <w:rsid w:val="008750A8"/>
    <w:rsid w:val="00885A94"/>
    <w:rsid w:val="008C322C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12F00"/>
    <w:rsid w:val="00A4122C"/>
    <w:rsid w:val="00A4450C"/>
    <w:rsid w:val="00A71A6F"/>
    <w:rsid w:val="00AA5E6C"/>
    <w:rsid w:val="00AD558F"/>
    <w:rsid w:val="00AE5677"/>
    <w:rsid w:val="00AE658F"/>
    <w:rsid w:val="00AF2F78"/>
    <w:rsid w:val="00B00843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54237"/>
    <w:rsid w:val="00C63EB5"/>
    <w:rsid w:val="00C87DA7"/>
    <w:rsid w:val="00CC01E0"/>
    <w:rsid w:val="00CD5FEE"/>
    <w:rsid w:val="00CE60D2"/>
    <w:rsid w:val="00CE7431"/>
    <w:rsid w:val="00D00CA8"/>
    <w:rsid w:val="00D0288A"/>
    <w:rsid w:val="00D34C05"/>
    <w:rsid w:val="00D72A5D"/>
    <w:rsid w:val="00DA71A3"/>
    <w:rsid w:val="00DC629B"/>
    <w:rsid w:val="00DE1C31"/>
    <w:rsid w:val="00E05BFF"/>
    <w:rsid w:val="00E262F1"/>
    <w:rsid w:val="00E3176A"/>
    <w:rsid w:val="00E36CE4"/>
    <w:rsid w:val="00E51B21"/>
    <w:rsid w:val="00E54754"/>
    <w:rsid w:val="00E56BD3"/>
    <w:rsid w:val="00E71D14"/>
    <w:rsid w:val="00EA77F0"/>
    <w:rsid w:val="00EF6555"/>
    <w:rsid w:val="00F32316"/>
    <w:rsid w:val="00F54884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B998742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3A22A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22A7"/>
    <w:rPr>
      <w:rFonts w:ascii="Segoe UI" w:hAnsi="Segoe UI" w:cs="Segoe UI"/>
      <w:sz w:val="18"/>
      <w:szCs w:val="18"/>
      <w:lang w:val="es-ES_tradnl" w:eastAsia="en-US"/>
    </w:rPr>
  </w:style>
  <w:style w:type="table" w:styleId="TableGrid">
    <w:name w:val="Table Grid"/>
    <w:basedOn w:val="TableNormal"/>
    <w:rsid w:val="0088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R16-WRC19-C-0092!A14!MSW-S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8219-C9AD-4F50-B668-7D6776FA28CD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elements/1.1/"/>
    <ds:schemaRef ds:uri="http://schemas.microsoft.com/office/infopath/2007/PartnerControls"/>
    <ds:schemaRef ds:uri="996b2e75-67fd-4955-a3b0-5ab9934cb50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1DC357-9DC9-4CB6-9431-D57FE362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522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R16-WRC19-C-0092!A14!MSW-S</vt:lpstr>
    </vt:vector>
  </TitlesOfParts>
  <Manager>Secretaría General - Pool</Manager>
  <Company>Unión Internacional de Telecomunicaciones (UIT)</Company>
  <LinksUpToDate>false</LinksUpToDate>
  <CharactersWithSpaces>3328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R16-WRC19-C-0092!A14!MSW-S</dc:title>
  <dc:subject>Conferencia Mundial de Radiocomunicaciones - 2019</dc:subject>
  <dc:creator>Documents Proposals Manager (DPM)</dc:creator>
  <cp:keywords>DPM_v2019.10.15.2_prod</cp:keywords>
  <dc:description/>
  <cp:lastModifiedBy>Spanish1</cp:lastModifiedBy>
  <cp:revision>25</cp:revision>
  <cp:lastPrinted>2019-10-16T10:06:00Z</cp:lastPrinted>
  <dcterms:created xsi:type="dcterms:W3CDTF">2019-10-17T08:44:00Z</dcterms:created>
  <dcterms:modified xsi:type="dcterms:W3CDTF">2019-10-17T16:56:00Z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