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463BC564" w14:textId="77777777" w:rsidTr="0050008E">
        <w:trPr>
          <w:cantSplit/>
        </w:trPr>
        <w:tc>
          <w:tcPr>
            <w:tcW w:w="6911" w:type="dxa"/>
          </w:tcPr>
          <w:p w14:paraId="1E3C6A17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EBEBBEA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C032CD3" wp14:editId="20DB832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D037D7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106EC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77E11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147B45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F1CC1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0A57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8AAD983" w14:textId="77777777" w:rsidTr="0090121B">
        <w:trPr>
          <w:cantSplit/>
        </w:trPr>
        <w:tc>
          <w:tcPr>
            <w:tcW w:w="6911" w:type="dxa"/>
          </w:tcPr>
          <w:p w14:paraId="36DE7B12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102438FC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15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92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3AEDD31B" w14:textId="77777777" w:rsidTr="0090121B">
        <w:trPr>
          <w:cantSplit/>
        </w:trPr>
        <w:tc>
          <w:tcPr>
            <w:tcW w:w="6911" w:type="dxa"/>
          </w:tcPr>
          <w:p w14:paraId="2D6758B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70C46F4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10 de octubre de 2019</w:t>
            </w:r>
          </w:p>
        </w:tc>
      </w:tr>
      <w:tr w:rsidR="000A5B9A" w:rsidRPr="0002785D" w14:paraId="422D3575" w14:textId="77777777" w:rsidTr="0090121B">
        <w:trPr>
          <w:cantSplit/>
        </w:trPr>
        <w:tc>
          <w:tcPr>
            <w:tcW w:w="6911" w:type="dxa"/>
          </w:tcPr>
          <w:p w14:paraId="50C8844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37869C7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607B2E5" w14:textId="77777777" w:rsidTr="006744FC">
        <w:trPr>
          <w:cantSplit/>
        </w:trPr>
        <w:tc>
          <w:tcPr>
            <w:tcW w:w="10031" w:type="dxa"/>
            <w:gridSpan w:val="2"/>
          </w:tcPr>
          <w:p w14:paraId="5B68942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2D99329" w14:textId="77777777" w:rsidTr="0050008E">
        <w:trPr>
          <w:cantSplit/>
        </w:trPr>
        <w:tc>
          <w:tcPr>
            <w:tcW w:w="10031" w:type="dxa"/>
            <w:gridSpan w:val="2"/>
          </w:tcPr>
          <w:p w14:paraId="0066CD2B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02785D" w14:paraId="49E8CDD7" w14:textId="77777777" w:rsidTr="0050008E">
        <w:trPr>
          <w:cantSplit/>
        </w:trPr>
        <w:tc>
          <w:tcPr>
            <w:tcW w:w="10031" w:type="dxa"/>
            <w:gridSpan w:val="2"/>
          </w:tcPr>
          <w:p w14:paraId="6FEF49A2" w14:textId="77777777" w:rsidR="000A5B9A" w:rsidRPr="00890F67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90F67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06186D81" w14:textId="77777777" w:rsidTr="0050008E">
        <w:trPr>
          <w:cantSplit/>
        </w:trPr>
        <w:tc>
          <w:tcPr>
            <w:tcW w:w="10031" w:type="dxa"/>
            <w:gridSpan w:val="2"/>
          </w:tcPr>
          <w:p w14:paraId="032D90CB" w14:textId="77777777" w:rsidR="000A5B9A" w:rsidRPr="00890F67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59548923" w14:textId="77777777" w:rsidTr="0050008E">
        <w:trPr>
          <w:cantSplit/>
        </w:trPr>
        <w:tc>
          <w:tcPr>
            <w:tcW w:w="10031" w:type="dxa"/>
            <w:gridSpan w:val="2"/>
          </w:tcPr>
          <w:p w14:paraId="722D925A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1.15 del orden del día</w:t>
            </w:r>
          </w:p>
        </w:tc>
      </w:tr>
    </w:tbl>
    <w:bookmarkEnd w:id="4"/>
    <w:p w14:paraId="1B1DD76A" w14:textId="77777777" w:rsidR="001C0E40" w:rsidRPr="00E9771B" w:rsidRDefault="00C768DE" w:rsidP="003A37B0">
      <w:r w:rsidRPr="00E8457B">
        <w:t>1.15</w:t>
      </w:r>
      <w:r w:rsidRPr="00E8457B">
        <w:tab/>
        <w:t>considerar la identificación de bandas de frecuencias para su utilización por las administraciones para las aplicaciones de los servicios móvil terrestre y fijo que funcionan en la gama de frecuencias 275-450 GHz, de conformidad con la Resolución </w:t>
      </w:r>
      <w:r w:rsidRPr="00E8457B">
        <w:rPr>
          <w:b/>
        </w:rPr>
        <w:t>767 (CMR-15)</w:t>
      </w:r>
      <w:r w:rsidRPr="00E8457B">
        <w:t>;</w:t>
      </w:r>
    </w:p>
    <w:p w14:paraId="6C7E26BF" w14:textId="77777777" w:rsidR="00890F67" w:rsidRPr="00890F67" w:rsidRDefault="00890F67" w:rsidP="00890F67">
      <w:pPr>
        <w:pStyle w:val="Headingb"/>
      </w:pPr>
      <w:r w:rsidRPr="00890F67">
        <w:t>Antecedentes</w:t>
      </w:r>
    </w:p>
    <w:p w14:paraId="3EA1656C" w14:textId="74EB8296" w:rsidR="00890F67" w:rsidRPr="00890F67" w:rsidRDefault="00890F67" w:rsidP="00890F67">
      <w:pPr>
        <w:rPr>
          <w:b/>
        </w:rPr>
      </w:pPr>
      <w:r w:rsidRPr="00890F67">
        <w:t>El punto 1.15 del orden del día de la CMR-19 tiene por objeto identificar la gama de frecuencias 275-450 GHz para aplicaciones de servicios activos. El objetivo de este punto del orden del día es identificar espectro para las aplicaciones del servicio móvil terrestre (SMT) y el servicio fijo (SF) en la gama de frecuencias 275</w:t>
      </w:r>
      <w:r w:rsidRPr="00890F67">
        <w:noBreakHyphen/>
        <w:t xml:space="preserve">450 GHz, manteniendo al mismo tiempo la protección de las aplicaciones existentes del servicio de exploración de la Tierra por satélite (SETS) (pasivo) y del servicio de radioastronomía (SRA), identificadas en el número </w:t>
      </w:r>
      <w:r w:rsidRPr="00890F67">
        <w:rPr>
          <w:b/>
          <w:bCs/>
        </w:rPr>
        <w:t xml:space="preserve">5.565 </w:t>
      </w:r>
      <w:r w:rsidRPr="00890F67">
        <w:t>del Reglamento de Radiocomunicaciones (RR).</w:t>
      </w:r>
    </w:p>
    <w:p w14:paraId="50BCB9C6" w14:textId="77777777" w:rsidR="00890F67" w:rsidRPr="00890F67" w:rsidRDefault="00890F67" w:rsidP="00890F67">
      <w:pPr>
        <w:pStyle w:val="Headingb"/>
      </w:pPr>
      <w:r w:rsidRPr="00890F67">
        <w:t>Propuestas</w:t>
      </w:r>
    </w:p>
    <w:p w14:paraId="62DDACDC" w14:textId="6D504649" w:rsidR="00363A65" w:rsidRDefault="00890F67" w:rsidP="00890F67">
      <w:r w:rsidRPr="00890F67">
        <w:t>Apoyamos el Método A del Informe de la RPC, consistente en no modificar el RR, puesto que satisface plenamente este punto del orden del día.</w:t>
      </w:r>
    </w:p>
    <w:p w14:paraId="3BA55967" w14:textId="19027861" w:rsidR="00890F67" w:rsidRDefault="00890F67" w:rsidP="00C768DE">
      <w:r w:rsidRPr="00890F67">
        <w:rPr>
          <w:b/>
          <w:bCs/>
        </w:rPr>
        <w:t>Motivos</w:t>
      </w:r>
      <w:r w:rsidRPr="00890F67">
        <w:t>:</w:t>
      </w:r>
      <w:r w:rsidRPr="00890F67">
        <w:tab/>
        <w:t xml:space="preserve">Si bien en la nota </w:t>
      </w:r>
      <w:r w:rsidRPr="00890F67">
        <w:rPr>
          <w:b/>
          <w:bCs/>
        </w:rPr>
        <w:t>5.565</w:t>
      </w:r>
      <w:r w:rsidRPr="00890F67">
        <w:t xml:space="preserve"> ya se brinda la posibilidad de utilizar la gama de frecuencias 275-450 GHz para servicios activos y se insta a las administraciones a adoptar todas las medidas posibles para proteger los servicios pasivos frente a la interferencia perjudicial, no se tiene en cuenta el resultado de los estudios de compatibilidad y no se proporciona la orientación pertinente en materia de identificación de bandas de frecuencias para el desarrollo de aplicaciones del SMT/SF, tal como se solicita en este punto del orden del día.</w:t>
      </w:r>
    </w:p>
    <w:p w14:paraId="6D3D6C54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871CEBF" w14:textId="77777777" w:rsidR="00B659C8" w:rsidRDefault="00C768DE">
      <w:pPr>
        <w:pStyle w:val="Proposal"/>
      </w:pPr>
      <w:r>
        <w:rPr>
          <w:u w:val="single"/>
        </w:rPr>
        <w:lastRenderedPageBreak/>
        <w:t>NOC</w:t>
      </w:r>
      <w:r>
        <w:tab/>
        <w:t>IND/92A15/1</w:t>
      </w:r>
    </w:p>
    <w:p w14:paraId="71155584" w14:textId="77777777" w:rsidR="00294F4B" w:rsidRPr="00534EC6" w:rsidRDefault="00C768DE" w:rsidP="007943B9">
      <w:pPr>
        <w:pStyle w:val="Volumetitle"/>
      </w:pPr>
      <w:r w:rsidRPr="00534EC6">
        <w:t>ARTÍCULOS</w:t>
      </w:r>
    </w:p>
    <w:p w14:paraId="5A7EAAE1" w14:textId="77777777" w:rsidR="00B659C8" w:rsidRDefault="00B659C8">
      <w:pPr>
        <w:pStyle w:val="Reasons"/>
      </w:pPr>
    </w:p>
    <w:p w14:paraId="486E5261" w14:textId="77777777" w:rsidR="00B659C8" w:rsidRDefault="00C768DE">
      <w:pPr>
        <w:pStyle w:val="Proposal"/>
      </w:pPr>
      <w:r>
        <w:t>NOC</w:t>
      </w:r>
    </w:p>
    <w:p w14:paraId="4B5B2882" w14:textId="77777777" w:rsidR="00144564" w:rsidRPr="00EA4A1D" w:rsidRDefault="00C768DE" w:rsidP="00144564">
      <w:pPr>
        <w:pStyle w:val="ChapNo"/>
      </w:pPr>
      <w:bookmarkStart w:id="5" w:name="_Toc451865287"/>
      <w:r w:rsidRPr="00EA4A1D">
        <w:t xml:space="preserve">CAPÍTULO </w:t>
      </w:r>
      <w:r w:rsidRPr="00EA4A1D">
        <w:rPr>
          <w:rStyle w:val="href"/>
        </w:rPr>
        <w:t>II</w:t>
      </w:r>
      <w:bookmarkEnd w:id="5"/>
    </w:p>
    <w:p w14:paraId="032DD1D5" w14:textId="77777777" w:rsidR="006537F1" w:rsidRDefault="00C768DE" w:rsidP="006537F1">
      <w:pPr>
        <w:pStyle w:val="Chaptitle"/>
      </w:pPr>
      <w:r w:rsidRPr="006537F1">
        <w:t>Frecuencias</w:t>
      </w:r>
    </w:p>
    <w:p w14:paraId="0FD77A40" w14:textId="77777777" w:rsidR="00B659C8" w:rsidRDefault="00B659C8">
      <w:pPr>
        <w:pStyle w:val="Reasons"/>
      </w:pPr>
    </w:p>
    <w:p w14:paraId="5879A0A0" w14:textId="77777777" w:rsidR="00B659C8" w:rsidRDefault="00C768DE">
      <w:pPr>
        <w:pStyle w:val="Proposal"/>
      </w:pPr>
      <w:r>
        <w:t>NOC</w:t>
      </w:r>
    </w:p>
    <w:p w14:paraId="4D13ED85" w14:textId="77777777" w:rsidR="006537F1" w:rsidRPr="006537F1" w:rsidRDefault="00C768DE" w:rsidP="00BE468A">
      <w:pPr>
        <w:pStyle w:val="ArtNo"/>
        <w:spacing w:before="0"/>
      </w:pPr>
      <w:r w:rsidRPr="006537F1">
        <w:t xml:space="preserve">ARTÍCULO </w:t>
      </w:r>
      <w:r w:rsidRPr="006537F1">
        <w:rPr>
          <w:rStyle w:val="href"/>
        </w:rPr>
        <w:t>5</w:t>
      </w:r>
    </w:p>
    <w:p w14:paraId="108BE787" w14:textId="77777777" w:rsidR="006537F1" w:rsidRPr="006537F1" w:rsidRDefault="00C768DE" w:rsidP="006537F1">
      <w:pPr>
        <w:pStyle w:val="Arttitle"/>
      </w:pPr>
      <w:r w:rsidRPr="006537F1">
        <w:t>Atribuciones de frecuencia</w:t>
      </w:r>
    </w:p>
    <w:p w14:paraId="623DE235" w14:textId="77777777" w:rsidR="00B659C8" w:rsidRDefault="00B659C8">
      <w:pPr>
        <w:pStyle w:val="Reasons"/>
      </w:pPr>
    </w:p>
    <w:p w14:paraId="7B1C05FC" w14:textId="77777777" w:rsidR="006537F1" w:rsidRPr="006537F1" w:rsidRDefault="00C768DE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7D1E829D" w14:textId="77777777" w:rsidR="00B659C8" w:rsidRPr="00890F67" w:rsidRDefault="00C768DE">
      <w:pPr>
        <w:pStyle w:val="Proposal"/>
        <w:rPr>
          <w:lang w:val="en-GB"/>
        </w:rPr>
      </w:pPr>
      <w:r w:rsidRPr="00890F67">
        <w:rPr>
          <w:u w:val="single"/>
          <w:lang w:val="en-GB"/>
        </w:rPr>
        <w:t>NOC</w:t>
      </w:r>
      <w:r w:rsidRPr="00890F67">
        <w:rPr>
          <w:lang w:val="en-GB"/>
        </w:rPr>
        <w:tab/>
        <w:t>IND/92A15/2</w:t>
      </w:r>
      <w:r w:rsidRPr="00890F67">
        <w:rPr>
          <w:vanish/>
          <w:color w:val="7F7F7F" w:themeColor="text1" w:themeTint="80"/>
          <w:vertAlign w:val="superscript"/>
          <w:lang w:val="en-GB"/>
        </w:rPr>
        <w:t>#49814</w:t>
      </w:r>
    </w:p>
    <w:p w14:paraId="1685BACC" w14:textId="77777777" w:rsidR="00713E3A" w:rsidRPr="00890F67" w:rsidRDefault="00C768DE" w:rsidP="004F2D3F">
      <w:pPr>
        <w:pStyle w:val="Tabletitle"/>
        <w:rPr>
          <w:lang w:val="en-GB"/>
        </w:rPr>
      </w:pPr>
      <w:r w:rsidRPr="00890F67">
        <w:rPr>
          <w:lang w:val="en-GB"/>
        </w:rPr>
        <w:t>248-3 000 GHz</w:t>
      </w:r>
    </w:p>
    <w:p w14:paraId="235BDE08" w14:textId="77777777" w:rsidR="00B659C8" w:rsidRPr="00890F67" w:rsidRDefault="00B659C8">
      <w:pPr>
        <w:pStyle w:val="Reasons"/>
        <w:rPr>
          <w:lang w:val="en-GB"/>
        </w:rPr>
      </w:pPr>
    </w:p>
    <w:p w14:paraId="16619C0B" w14:textId="77777777" w:rsidR="00B659C8" w:rsidRPr="00890F67" w:rsidRDefault="00C768DE">
      <w:pPr>
        <w:pStyle w:val="Proposal"/>
        <w:rPr>
          <w:lang w:val="en-GB"/>
        </w:rPr>
      </w:pPr>
      <w:r w:rsidRPr="00890F67">
        <w:rPr>
          <w:lang w:val="en-GB"/>
        </w:rPr>
        <w:t>SUP</w:t>
      </w:r>
      <w:r w:rsidRPr="00890F67">
        <w:rPr>
          <w:lang w:val="en-GB"/>
        </w:rPr>
        <w:tab/>
        <w:t>IND/92A15/3</w:t>
      </w:r>
      <w:r w:rsidRPr="00890F67">
        <w:rPr>
          <w:vanish/>
          <w:color w:val="7F7F7F" w:themeColor="text1" w:themeTint="80"/>
          <w:vertAlign w:val="superscript"/>
          <w:lang w:val="en-GB"/>
        </w:rPr>
        <w:t>#49832</w:t>
      </w:r>
    </w:p>
    <w:p w14:paraId="39AC223F" w14:textId="77777777" w:rsidR="00713E3A" w:rsidRDefault="00C768DE" w:rsidP="004F2D3F">
      <w:pPr>
        <w:pStyle w:val="ResNo"/>
      </w:pPr>
      <w:r>
        <w:t xml:space="preserve">RESOLUCIÓN </w:t>
      </w:r>
      <w:r>
        <w:rPr>
          <w:rStyle w:val="href"/>
          <w:caps w:val="0"/>
        </w:rPr>
        <w:t>767</w:t>
      </w:r>
      <w:r>
        <w:t xml:space="preserve"> (CMR-15)</w:t>
      </w:r>
    </w:p>
    <w:p w14:paraId="1BAA92F8" w14:textId="77777777" w:rsidR="00713E3A" w:rsidRDefault="00C768DE" w:rsidP="004F2D3F">
      <w:pPr>
        <w:pStyle w:val="Restitle"/>
      </w:pPr>
      <w:r>
        <w:t>Estudios relativos a la identificación de espectro para su utilización</w:t>
      </w:r>
      <w:r>
        <w:br/>
        <w:t>por las administraciones para aplicaciones de los servicios móvil</w:t>
      </w:r>
      <w:r>
        <w:br/>
        <w:t>terrestre y fijo que funcionan en la gama</w:t>
      </w:r>
      <w:r>
        <w:br/>
        <w:t>de frecuencias 275-450 GHz</w:t>
      </w:r>
    </w:p>
    <w:p w14:paraId="79D503E4" w14:textId="63C176C2" w:rsidR="00B659C8" w:rsidRDefault="00B659C8">
      <w:pPr>
        <w:pStyle w:val="Reasons"/>
      </w:pPr>
    </w:p>
    <w:p w14:paraId="4F5A0F57" w14:textId="77777777" w:rsidR="00C768DE" w:rsidRDefault="00C768DE">
      <w:pPr>
        <w:jc w:val="center"/>
      </w:pPr>
      <w:r>
        <w:t>______________</w:t>
      </w:r>
      <w:bookmarkStart w:id="6" w:name="_GoBack"/>
      <w:bookmarkEnd w:id="6"/>
    </w:p>
    <w:sectPr w:rsidR="00C768D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468F" w14:textId="77777777" w:rsidR="003C0613" w:rsidRDefault="003C0613">
      <w:r>
        <w:separator/>
      </w:r>
    </w:p>
  </w:endnote>
  <w:endnote w:type="continuationSeparator" w:id="0">
    <w:p w14:paraId="28451307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A28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D680B" w14:textId="476C1EC3" w:rsidR="0077084A" w:rsidRPr="00C768DE" w:rsidRDefault="0077084A">
    <w:pPr>
      <w:ind w:right="360"/>
    </w:pPr>
    <w:r>
      <w:fldChar w:fldCharType="begin"/>
    </w:r>
    <w:r w:rsidRPr="00C768DE">
      <w:instrText xml:space="preserve"> FILENAME \p  \* MERGEFORMAT </w:instrText>
    </w:r>
    <w:r>
      <w:fldChar w:fldCharType="separate"/>
    </w:r>
    <w:r w:rsidR="00C768DE" w:rsidRPr="00C768DE">
      <w:rPr>
        <w:noProof/>
      </w:rPr>
      <w:t>P:\ESP\ITU-R\CONF-R\CMR19\000\092ADD15S.docx</w:t>
    </w:r>
    <w:r>
      <w:fldChar w:fldCharType="end"/>
    </w:r>
    <w:r w:rsidRPr="00C768DE">
      <w:tab/>
    </w:r>
    <w:r>
      <w:fldChar w:fldCharType="begin"/>
    </w:r>
    <w:r>
      <w:instrText xml:space="preserve"> SAVEDATE \@ DD.MM.YY </w:instrText>
    </w:r>
    <w:r>
      <w:fldChar w:fldCharType="separate"/>
    </w:r>
    <w:r w:rsidR="0001463A">
      <w:rPr>
        <w:noProof/>
      </w:rPr>
      <w:t>23.10.19</w:t>
    </w:r>
    <w:r>
      <w:fldChar w:fldCharType="end"/>
    </w:r>
    <w:r w:rsidRPr="00C768DE">
      <w:tab/>
    </w:r>
    <w:r>
      <w:fldChar w:fldCharType="begin"/>
    </w:r>
    <w:r>
      <w:instrText xml:space="preserve"> PRINTDATE \@ DD.MM.YY </w:instrText>
    </w:r>
    <w:r>
      <w:fldChar w:fldCharType="separate"/>
    </w:r>
    <w:r w:rsidR="00C768DE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CF85" w14:textId="55E053B5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68DE">
      <w:rPr>
        <w:lang w:val="en-US"/>
      </w:rPr>
      <w:t>P:\ESP\ITU-R\CONF-R\CMR19\000\092ADD15S.docx</w:t>
    </w:r>
    <w:r>
      <w:fldChar w:fldCharType="end"/>
    </w:r>
    <w:r w:rsidR="00C768DE">
      <w:t xml:space="preserve"> (462220)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9EE0" w14:textId="664A14F3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68DE">
      <w:rPr>
        <w:lang w:val="en-US"/>
      </w:rPr>
      <w:t>P:\ESP\ITU-R\CONF-R\CMR19\000\092ADD15S.docx</w:t>
    </w:r>
    <w:r>
      <w:fldChar w:fldCharType="end"/>
    </w:r>
    <w:r w:rsidR="00C768DE">
      <w:t xml:space="preserve"> (462220)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3E2D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E06C3B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BC1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A5E5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92(Add.15)-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463A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90F67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659C8"/>
    <w:rsid w:val="00B8288C"/>
    <w:rsid w:val="00B86034"/>
    <w:rsid w:val="00BE2E80"/>
    <w:rsid w:val="00BE5EDD"/>
    <w:rsid w:val="00BE6A1F"/>
    <w:rsid w:val="00C126C4"/>
    <w:rsid w:val="00C44E9E"/>
    <w:rsid w:val="00C63EB5"/>
    <w:rsid w:val="00C768DE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3D7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5A52FA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ADDDD0-3581-4C62-892B-753A5776658E}">
  <ds:schemaRefs>
    <ds:schemaRef ds:uri="http://www.w3.org/XML/1998/namespace"/>
    <ds:schemaRef ds:uri="http://purl.org/dc/terms/"/>
    <ds:schemaRef ds:uri="http://purl.org/dc/dcmitype/"/>
    <ds:schemaRef ds:uri="996b2e75-67fd-4955-a3b0-5ab9934cb50b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9B017-82F7-4ED9-9F0E-CB77F68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R16-WRC19-C-0092!A15!MSW-S</vt:lpstr>
    </vt:vector>
  </TitlesOfParts>
  <Manager>Secretaría General - Pool</Manager>
  <Company>Unión Internacional de Telecomunicaciones (UIT)</Company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R16-WRC19-C-0092!A15!MSW-S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4</cp:revision>
  <cp:lastPrinted>2003-02-19T20:20:00Z</cp:lastPrinted>
  <dcterms:created xsi:type="dcterms:W3CDTF">2019-10-23T20:39:00Z</dcterms:created>
  <dcterms:modified xsi:type="dcterms:W3CDTF">2019-10-23T23:29:00Z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