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03E3F" w14:paraId="72CCB184" w14:textId="77777777" w:rsidTr="0050008E">
        <w:trPr>
          <w:cantSplit/>
        </w:trPr>
        <w:tc>
          <w:tcPr>
            <w:tcW w:w="6911" w:type="dxa"/>
          </w:tcPr>
          <w:p w14:paraId="397D86AA" w14:textId="77777777" w:rsidR="00BB1D82" w:rsidRPr="00F03E3F" w:rsidRDefault="00851625" w:rsidP="00DF371B">
            <w:pPr>
              <w:spacing w:before="400" w:after="48"/>
              <w:rPr>
                <w:rFonts w:ascii="Verdana" w:hAnsi="Verdana"/>
                <w:b/>
                <w:bCs/>
                <w:noProof/>
                <w:sz w:val="20"/>
              </w:rPr>
            </w:pPr>
            <w:r w:rsidRPr="00F03E3F">
              <w:rPr>
                <w:rFonts w:ascii="Verdana" w:hAnsi="Verdana"/>
                <w:b/>
                <w:bCs/>
                <w:noProof/>
                <w:sz w:val="20"/>
              </w:rPr>
              <w:t>Conférence mondiale des radiocommunications (CMR-1</w:t>
            </w:r>
            <w:r w:rsidR="00FD7AA3" w:rsidRPr="00F03E3F">
              <w:rPr>
                <w:rFonts w:ascii="Verdana" w:hAnsi="Verdana"/>
                <w:b/>
                <w:bCs/>
                <w:noProof/>
                <w:sz w:val="20"/>
              </w:rPr>
              <w:t>9</w:t>
            </w:r>
            <w:r w:rsidRPr="00F03E3F">
              <w:rPr>
                <w:rFonts w:ascii="Verdana" w:hAnsi="Verdana"/>
                <w:b/>
                <w:bCs/>
                <w:noProof/>
                <w:sz w:val="20"/>
              </w:rPr>
              <w:t>)</w:t>
            </w:r>
            <w:r w:rsidRPr="00F03E3F">
              <w:rPr>
                <w:rFonts w:ascii="Verdana" w:hAnsi="Verdana"/>
                <w:b/>
                <w:bCs/>
                <w:noProof/>
                <w:sz w:val="20"/>
              </w:rPr>
              <w:br/>
            </w:r>
            <w:r w:rsidR="00063A1F" w:rsidRPr="00F03E3F">
              <w:rPr>
                <w:rFonts w:ascii="Verdana" w:hAnsi="Verdana"/>
                <w:b/>
                <w:bCs/>
                <w:noProof/>
                <w:sz w:val="18"/>
                <w:szCs w:val="18"/>
              </w:rPr>
              <w:t xml:space="preserve">Charm el-Cheikh, </w:t>
            </w:r>
            <w:r w:rsidR="00081366" w:rsidRPr="00F03E3F">
              <w:rPr>
                <w:rFonts w:ascii="Verdana" w:hAnsi="Verdana"/>
                <w:b/>
                <w:bCs/>
                <w:noProof/>
                <w:sz w:val="18"/>
                <w:szCs w:val="18"/>
              </w:rPr>
              <w:t>É</w:t>
            </w:r>
            <w:r w:rsidR="00063A1F" w:rsidRPr="00F03E3F">
              <w:rPr>
                <w:rFonts w:ascii="Verdana" w:hAnsi="Verdana"/>
                <w:b/>
                <w:bCs/>
                <w:noProof/>
                <w:sz w:val="18"/>
                <w:szCs w:val="18"/>
              </w:rPr>
              <w:t>gypte</w:t>
            </w:r>
            <w:r w:rsidRPr="00F03E3F">
              <w:rPr>
                <w:rFonts w:ascii="Verdana" w:hAnsi="Verdana"/>
                <w:b/>
                <w:bCs/>
                <w:noProof/>
                <w:sz w:val="18"/>
                <w:szCs w:val="18"/>
              </w:rPr>
              <w:t>,</w:t>
            </w:r>
            <w:r w:rsidR="00E537FF" w:rsidRPr="00F03E3F">
              <w:rPr>
                <w:rFonts w:ascii="Verdana" w:hAnsi="Verdana"/>
                <w:b/>
                <w:bCs/>
                <w:noProof/>
                <w:sz w:val="18"/>
                <w:szCs w:val="18"/>
              </w:rPr>
              <w:t xml:space="preserve"> </w:t>
            </w:r>
            <w:r w:rsidRPr="00F03E3F">
              <w:rPr>
                <w:rFonts w:ascii="Verdana" w:hAnsi="Verdana"/>
                <w:b/>
                <w:bCs/>
                <w:noProof/>
                <w:sz w:val="18"/>
                <w:szCs w:val="18"/>
              </w:rPr>
              <w:t>2</w:t>
            </w:r>
            <w:r w:rsidR="00FD7AA3" w:rsidRPr="00F03E3F">
              <w:rPr>
                <w:rFonts w:ascii="Verdana" w:hAnsi="Verdana"/>
                <w:b/>
                <w:bCs/>
                <w:noProof/>
                <w:sz w:val="18"/>
                <w:szCs w:val="18"/>
              </w:rPr>
              <w:t xml:space="preserve">8 octobre </w:t>
            </w:r>
            <w:r w:rsidR="00F10064" w:rsidRPr="00F03E3F">
              <w:rPr>
                <w:rFonts w:ascii="Verdana" w:hAnsi="Verdana"/>
                <w:b/>
                <w:bCs/>
                <w:noProof/>
                <w:sz w:val="18"/>
                <w:szCs w:val="18"/>
              </w:rPr>
              <w:t>–</w:t>
            </w:r>
            <w:r w:rsidR="00FD7AA3" w:rsidRPr="00F03E3F">
              <w:rPr>
                <w:rFonts w:ascii="Verdana" w:hAnsi="Verdana"/>
                <w:b/>
                <w:bCs/>
                <w:noProof/>
                <w:sz w:val="18"/>
                <w:szCs w:val="18"/>
              </w:rPr>
              <w:t xml:space="preserve"> </w:t>
            </w:r>
            <w:r w:rsidRPr="00F03E3F">
              <w:rPr>
                <w:rFonts w:ascii="Verdana" w:hAnsi="Verdana"/>
                <w:b/>
                <w:bCs/>
                <w:noProof/>
                <w:sz w:val="18"/>
                <w:szCs w:val="18"/>
              </w:rPr>
              <w:t>2</w:t>
            </w:r>
            <w:r w:rsidR="00FD7AA3" w:rsidRPr="00F03E3F">
              <w:rPr>
                <w:rFonts w:ascii="Verdana" w:hAnsi="Verdana"/>
                <w:b/>
                <w:bCs/>
                <w:noProof/>
                <w:sz w:val="18"/>
                <w:szCs w:val="18"/>
              </w:rPr>
              <w:t>2</w:t>
            </w:r>
            <w:r w:rsidRPr="00F03E3F">
              <w:rPr>
                <w:rFonts w:ascii="Verdana" w:hAnsi="Verdana"/>
                <w:b/>
                <w:bCs/>
                <w:noProof/>
                <w:sz w:val="18"/>
                <w:szCs w:val="18"/>
              </w:rPr>
              <w:t xml:space="preserve"> novembre 201</w:t>
            </w:r>
            <w:r w:rsidR="00FD7AA3" w:rsidRPr="00F03E3F">
              <w:rPr>
                <w:rFonts w:ascii="Verdana" w:hAnsi="Verdana"/>
                <w:b/>
                <w:bCs/>
                <w:noProof/>
                <w:sz w:val="18"/>
                <w:szCs w:val="18"/>
              </w:rPr>
              <w:t>9</w:t>
            </w:r>
          </w:p>
        </w:tc>
        <w:tc>
          <w:tcPr>
            <w:tcW w:w="3120" w:type="dxa"/>
          </w:tcPr>
          <w:p w14:paraId="1FA407D1" w14:textId="77777777" w:rsidR="00BB1D82" w:rsidRPr="00F03E3F" w:rsidRDefault="000A55AE" w:rsidP="00DF371B">
            <w:pPr>
              <w:spacing w:before="0"/>
              <w:jc w:val="right"/>
              <w:rPr>
                <w:noProof/>
              </w:rPr>
            </w:pPr>
            <w:bookmarkStart w:id="0" w:name="ditulogo"/>
            <w:bookmarkEnd w:id="0"/>
            <w:r w:rsidRPr="00F03E3F">
              <w:rPr>
                <w:rFonts w:ascii="Verdana" w:hAnsi="Verdana"/>
                <w:b/>
                <w:bCs/>
                <w:noProof/>
                <w:lang w:eastAsia="zh-CN"/>
              </w:rPr>
              <w:drawing>
                <wp:inline distT="0" distB="0" distL="0" distR="0" wp14:anchorId="2FAD24ED" wp14:editId="206E565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03E3F" w14:paraId="6FA3FF3B" w14:textId="77777777" w:rsidTr="0050008E">
        <w:trPr>
          <w:cantSplit/>
        </w:trPr>
        <w:tc>
          <w:tcPr>
            <w:tcW w:w="6911" w:type="dxa"/>
            <w:tcBorders>
              <w:bottom w:val="single" w:sz="12" w:space="0" w:color="auto"/>
            </w:tcBorders>
          </w:tcPr>
          <w:p w14:paraId="31C317EE" w14:textId="77777777" w:rsidR="00BB1D82" w:rsidRPr="00F03E3F" w:rsidRDefault="00BB1D82" w:rsidP="00DF371B">
            <w:pPr>
              <w:spacing w:before="0" w:after="48"/>
              <w:rPr>
                <w:b/>
                <w:smallCaps/>
                <w:noProof/>
                <w:szCs w:val="24"/>
              </w:rPr>
            </w:pPr>
            <w:bookmarkStart w:id="1" w:name="dhead"/>
          </w:p>
        </w:tc>
        <w:tc>
          <w:tcPr>
            <w:tcW w:w="3120" w:type="dxa"/>
            <w:tcBorders>
              <w:bottom w:val="single" w:sz="12" w:space="0" w:color="auto"/>
            </w:tcBorders>
          </w:tcPr>
          <w:p w14:paraId="2479CC6C" w14:textId="77777777" w:rsidR="00BB1D82" w:rsidRPr="00F03E3F" w:rsidRDefault="00BB1D82" w:rsidP="00DF371B">
            <w:pPr>
              <w:spacing w:before="0"/>
              <w:rPr>
                <w:rFonts w:ascii="Verdana" w:hAnsi="Verdana"/>
                <w:noProof/>
                <w:szCs w:val="24"/>
              </w:rPr>
            </w:pPr>
          </w:p>
        </w:tc>
      </w:tr>
      <w:tr w:rsidR="00BB1D82" w:rsidRPr="00F03E3F" w14:paraId="327A7672" w14:textId="77777777" w:rsidTr="00BB1D82">
        <w:trPr>
          <w:cantSplit/>
        </w:trPr>
        <w:tc>
          <w:tcPr>
            <w:tcW w:w="6911" w:type="dxa"/>
            <w:tcBorders>
              <w:top w:val="single" w:sz="12" w:space="0" w:color="auto"/>
            </w:tcBorders>
          </w:tcPr>
          <w:p w14:paraId="01837CE3" w14:textId="77777777" w:rsidR="00BB1D82" w:rsidRPr="00F03E3F" w:rsidRDefault="00BB1D82" w:rsidP="00DF371B">
            <w:pPr>
              <w:spacing w:before="0" w:after="48"/>
              <w:rPr>
                <w:rFonts w:ascii="Verdana" w:hAnsi="Verdana"/>
                <w:b/>
                <w:smallCaps/>
                <w:noProof/>
                <w:sz w:val="20"/>
              </w:rPr>
            </w:pPr>
          </w:p>
        </w:tc>
        <w:tc>
          <w:tcPr>
            <w:tcW w:w="3120" w:type="dxa"/>
            <w:tcBorders>
              <w:top w:val="single" w:sz="12" w:space="0" w:color="auto"/>
            </w:tcBorders>
          </w:tcPr>
          <w:p w14:paraId="2C5ACD15" w14:textId="77777777" w:rsidR="00BB1D82" w:rsidRPr="00F03E3F" w:rsidRDefault="00BB1D82" w:rsidP="00DF371B">
            <w:pPr>
              <w:spacing w:before="0"/>
              <w:rPr>
                <w:rFonts w:ascii="Verdana" w:hAnsi="Verdana"/>
                <w:noProof/>
                <w:sz w:val="20"/>
              </w:rPr>
            </w:pPr>
          </w:p>
        </w:tc>
      </w:tr>
      <w:tr w:rsidR="00BB1D82" w:rsidRPr="00F03E3F" w14:paraId="31C35EB0" w14:textId="77777777" w:rsidTr="00BB1D82">
        <w:trPr>
          <w:cantSplit/>
        </w:trPr>
        <w:tc>
          <w:tcPr>
            <w:tcW w:w="6911" w:type="dxa"/>
          </w:tcPr>
          <w:p w14:paraId="1F1ED443" w14:textId="77777777" w:rsidR="00BB1D82" w:rsidRPr="00F03E3F" w:rsidRDefault="006D4724" w:rsidP="00DF371B">
            <w:pPr>
              <w:spacing w:before="0"/>
              <w:rPr>
                <w:rFonts w:ascii="Verdana" w:hAnsi="Verdana"/>
                <w:b/>
                <w:noProof/>
                <w:sz w:val="20"/>
              </w:rPr>
            </w:pPr>
            <w:r w:rsidRPr="00F03E3F">
              <w:rPr>
                <w:rFonts w:ascii="Verdana" w:hAnsi="Verdana"/>
                <w:b/>
                <w:noProof/>
                <w:sz w:val="20"/>
              </w:rPr>
              <w:t>SÉANCE PLÉNIÈRE</w:t>
            </w:r>
          </w:p>
        </w:tc>
        <w:tc>
          <w:tcPr>
            <w:tcW w:w="3120" w:type="dxa"/>
          </w:tcPr>
          <w:p w14:paraId="7CC1CC31" w14:textId="77777777" w:rsidR="00BB1D82" w:rsidRPr="00F03E3F" w:rsidRDefault="006D4724" w:rsidP="00DF371B">
            <w:pPr>
              <w:spacing w:before="0"/>
              <w:rPr>
                <w:rFonts w:ascii="Verdana" w:hAnsi="Verdana"/>
                <w:noProof/>
                <w:sz w:val="20"/>
              </w:rPr>
            </w:pPr>
            <w:r w:rsidRPr="00F03E3F">
              <w:rPr>
                <w:rFonts w:ascii="Verdana" w:hAnsi="Verdana"/>
                <w:b/>
                <w:noProof/>
                <w:sz w:val="20"/>
              </w:rPr>
              <w:t>Document 96</w:t>
            </w:r>
            <w:r w:rsidR="00BB1D82" w:rsidRPr="00F03E3F">
              <w:rPr>
                <w:rFonts w:ascii="Verdana" w:hAnsi="Verdana"/>
                <w:b/>
                <w:noProof/>
                <w:sz w:val="20"/>
              </w:rPr>
              <w:t>-</w:t>
            </w:r>
            <w:r w:rsidRPr="00F03E3F">
              <w:rPr>
                <w:rFonts w:ascii="Verdana" w:hAnsi="Verdana"/>
                <w:b/>
                <w:noProof/>
                <w:sz w:val="20"/>
              </w:rPr>
              <w:t>F</w:t>
            </w:r>
          </w:p>
        </w:tc>
      </w:tr>
      <w:bookmarkEnd w:id="1"/>
      <w:tr w:rsidR="00690C7B" w:rsidRPr="00F03E3F" w14:paraId="658CC4C4" w14:textId="77777777" w:rsidTr="00BB1D82">
        <w:trPr>
          <w:cantSplit/>
        </w:trPr>
        <w:tc>
          <w:tcPr>
            <w:tcW w:w="6911" w:type="dxa"/>
          </w:tcPr>
          <w:p w14:paraId="2F1450F1" w14:textId="77777777" w:rsidR="00690C7B" w:rsidRPr="00F03E3F" w:rsidRDefault="00690C7B" w:rsidP="00DF371B">
            <w:pPr>
              <w:spacing w:before="0"/>
              <w:rPr>
                <w:rFonts w:ascii="Verdana" w:hAnsi="Verdana"/>
                <w:b/>
                <w:noProof/>
                <w:sz w:val="20"/>
              </w:rPr>
            </w:pPr>
          </w:p>
        </w:tc>
        <w:tc>
          <w:tcPr>
            <w:tcW w:w="3120" w:type="dxa"/>
          </w:tcPr>
          <w:p w14:paraId="39720092" w14:textId="77777777" w:rsidR="00690C7B" w:rsidRPr="00F03E3F" w:rsidRDefault="00690C7B" w:rsidP="00DF371B">
            <w:pPr>
              <w:spacing w:before="0"/>
              <w:rPr>
                <w:rFonts w:ascii="Verdana" w:hAnsi="Verdana"/>
                <w:b/>
                <w:noProof/>
                <w:sz w:val="20"/>
              </w:rPr>
            </w:pPr>
            <w:r w:rsidRPr="00F03E3F">
              <w:rPr>
                <w:rFonts w:ascii="Verdana" w:hAnsi="Verdana"/>
                <w:b/>
                <w:noProof/>
                <w:sz w:val="20"/>
              </w:rPr>
              <w:t>9 octobre 2019</w:t>
            </w:r>
          </w:p>
        </w:tc>
      </w:tr>
      <w:tr w:rsidR="00690C7B" w:rsidRPr="00F03E3F" w14:paraId="0AB904C3" w14:textId="77777777" w:rsidTr="00BB1D82">
        <w:trPr>
          <w:cantSplit/>
        </w:trPr>
        <w:tc>
          <w:tcPr>
            <w:tcW w:w="6911" w:type="dxa"/>
          </w:tcPr>
          <w:p w14:paraId="64658A56" w14:textId="77777777" w:rsidR="00690C7B" w:rsidRPr="00F03E3F" w:rsidRDefault="00690C7B" w:rsidP="00DF371B">
            <w:pPr>
              <w:spacing w:before="0" w:after="48"/>
              <w:rPr>
                <w:rFonts w:ascii="Verdana" w:hAnsi="Verdana"/>
                <w:b/>
                <w:smallCaps/>
                <w:noProof/>
                <w:sz w:val="20"/>
              </w:rPr>
            </w:pPr>
          </w:p>
        </w:tc>
        <w:tc>
          <w:tcPr>
            <w:tcW w:w="3120" w:type="dxa"/>
          </w:tcPr>
          <w:p w14:paraId="2678FE1A" w14:textId="77777777" w:rsidR="00690C7B" w:rsidRPr="00F03E3F" w:rsidRDefault="00690C7B" w:rsidP="00DF371B">
            <w:pPr>
              <w:spacing w:before="0"/>
              <w:rPr>
                <w:rFonts w:ascii="Verdana" w:hAnsi="Verdana"/>
                <w:b/>
                <w:noProof/>
                <w:sz w:val="20"/>
              </w:rPr>
            </w:pPr>
            <w:r w:rsidRPr="00F03E3F">
              <w:rPr>
                <w:rFonts w:ascii="Verdana" w:hAnsi="Verdana"/>
                <w:b/>
                <w:noProof/>
                <w:sz w:val="20"/>
              </w:rPr>
              <w:t>Original: anglais</w:t>
            </w:r>
          </w:p>
        </w:tc>
      </w:tr>
      <w:tr w:rsidR="00690C7B" w:rsidRPr="00F03E3F" w14:paraId="348AB2F5" w14:textId="77777777" w:rsidTr="00C11970">
        <w:trPr>
          <w:cantSplit/>
        </w:trPr>
        <w:tc>
          <w:tcPr>
            <w:tcW w:w="10031" w:type="dxa"/>
            <w:gridSpan w:val="2"/>
          </w:tcPr>
          <w:p w14:paraId="76F87418" w14:textId="77777777" w:rsidR="00690C7B" w:rsidRPr="00F03E3F" w:rsidRDefault="00690C7B" w:rsidP="00DF371B">
            <w:pPr>
              <w:spacing w:before="0"/>
              <w:rPr>
                <w:rFonts w:ascii="Verdana" w:hAnsi="Verdana"/>
                <w:b/>
                <w:noProof/>
                <w:sz w:val="20"/>
              </w:rPr>
            </w:pPr>
          </w:p>
        </w:tc>
      </w:tr>
      <w:tr w:rsidR="00690C7B" w:rsidRPr="00F03E3F" w14:paraId="49C1DA74" w14:textId="77777777" w:rsidTr="0050008E">
        <w:trPr>
          <w:cantSplit/>
        </w:trPr>
        <w:tc>
          <w:tcPr>
            <w:tcW w:w="10031" w:type="dxa"/>
            <w:gridSpan w:val="2"/>
          </w:tcPr>
          <w:p w14:paraId="48002CC2" w14:textId="77777777" w:rsidR="00690C7B" w:rsidRPr="00F03E3F" w:rsidRDefault="00690C7B" w:rsidP="00DF371B">
            <w:pPr>
              <w:pStyle w:val="Source"/>
              <w:rPr>
                <w:noProof/>
              </w:rPr>
            </w:pPr>
            <w:bookmarkStart w:id="2" w:name="dsource" w:colFirst="0" w:colLast="0"/>
            <w:r w:rsidRPr="00F03E3F">
              <w:rPr>
                <w:noProof/>
              </w:rPr>
              <w:t>Luxembourg</w:t>
            </w:r>
          </w:p>
        </w:tc>
      </w:tr>
      <w:tr w:rsidR="00690C7B" w:rsidRPr="00F03E3F" w14:paraId="20243BB3" w14:textId="77777777" w:rsidTr="0050008E">
        <w:trPr>
          <w:cantSplit/>
        </w:trPr>
        <w:tc>
          <w:tcPr>
            <w:tcW w:w="10031" w:type="dxa"/>
            <w:gridSpan w:val="2"/>
          </w:tcPr>
          <w:p w14:paraId="2CE67506" w14:textId="77777777" w:rsidR="00690C7B" w:rsidRPr="00F03E3F" w:rsidRDefault="00690C7B" w:rsidP="00DF371B">
            <w:pPr>
              <w:pStyle w:val="Title1"/>
              <w:rPr>
                <w:noProof/>
              </w:rPr>
            </w:pPr>
            <w:bookmarkStart w:id="3" w:name="dtitle1" w:colFirst="0" w:colLast="0"/>
            <w:bookmarkEnd w:id="2"/>
            <w:r w:rsidRPr="00F03E3F">
              <w:rPr>
                <w:noProof/>
              </w:rPr>
              <w:t>Propositions pour les travaux de la conférence</w:t>
            </w:r>
          </w:p>
        </w:tc>
      </w:tr>
      <w:tr w:rsidR="00690C7B" w:rsidRPr="00F03E3F" w14:paraId="5C7FEC90" w14:textId="77777777" w:rsidTr="0050008E">
        <w:trPr>
          <w:cantSplit/>
        </w:trPr>
        <w:tc>
          <w:tcPr>
            <w:tcW w:w="10031" w:type="dxa"/>
            <w:gridSpan w:val="2"/>
          </w:tcPr>
          <w:p w14:paraId="291317AC" w14:textId="77777777" w:rsidR="00690C7B" w:rsidRPr="00F03E3F" w:rsidRDefault="00690C7B" w:rsidP="00DF371B">
            <w:pPr>
              <w:pStyle w:val="Title2"/>
              <w:rPr>
                <w:noProof/>
              </w:rPr>
            </w:pPr>
            <w:bookmarkStart w:id="4" w:name="dtitle2" w:colFirst="0" w:colLast="0"/>
            <w:bookmarkEnd w:id="3"/>
          </w:p>
        </w:tc>
      </w:tr>
      <w:tr w:rsidR="00690C7B" w:rsidRPr="00F03E3F" w14:paraId="389AAB95" w14:textId="77777777" w:rsidTr="0050008E">
        <w:trPr>
          <w:cantSplit/>
        </w:trPr>
        <w:tc>
          <w:tcPr>
            <w:tcW w:w="10031" w:type="dxa"/>
            <w:gridSpan w:val="2"/>
          </w:tcPr>
          <w:p w14:paraId="32A32A4D" w14:textId="77777777" w:rsidR="00690C7B" w:rsidRPr="00F03E3F" w:rsidRDefault="00690C7B" w:rsidP="00DF371B">
            <w:pPr>
              <w:pStyle w:val="Agendaitem"/>
              <w:rPr>
                <w:noProof/>
                <w:lang w:val="fr-FR"/>
              </w:rPr>
            </w:pPr>
            <w:bookmarkStart w:id="5" w:name="dtitle3" w:colFirst="0" w:colLast="0"/>
            <w:bookmarkEnd w:id="4"/>
            <w:r w:rsidRPr="00F03E3F">
              <w:rPr>
                <w:noProof/>
                <w:lang w:val="fr-FR"/>
              </w:rPr>
              <w:t>Point 1.2 de l'ordre du jour</w:t>
            </w:r>
          </w:p>
        </w:tc>
      </w:tr>
    </w:tbl>
    <w:bookmarkEnd w:id="5"/>
    <w:p w14:paraId="20B54447" w14:textId="77777777" w:rsidR="001C0E40" w:rsidRPr="00F03E3F" w:rsidRDefault="004E6721" w:rsidP="00DF371B">
      <w:pPr>
        <w:rPr>
          <w:noProof/>
        </w:rPr>
      </w:pPr>
      <w:r w:rsidRPr="00F03E3F">
        <w:rPr>
          <w:noProof/>
        </w:rPr>
        <w:t>1.2</w:t>
      </w:r>
      <w:r w:rsidRPr="00F03E3F">
        <w:rPr>
          <w:noProof/>
        </w:rPr>
        <w:tab/>
        <w:t xml:space="preserve">examiner les limites de puissance dans la bande pour les stations terriennes fonctionnant dans les services mobile par satellite, de météorologie par satellite et d'exploration de la Terre par satellite dans les bandes de fréquences 401-403 MHz et 399,9-400,05 MHz, conformément à la Résolution </w:t>
      </w:r>
      <w:r w:rsidRPr="00F03E3F">
        <w:rPr>
          <w:b/>
          <w:bCs/>
          <w:noProof/>
        </w:rPr>
        <w:t>765 (CMR-15)</w:t>
      </w:r>
      <w:r w:rsidRPr="00F03E3F">
        <w:rPr>
          <w:noProof/>
        </w:rPr>
        <w:t>;</w:t>
      </w:r>
    </w:p>
    <w:p w14:paraId="3A5D805F" w14:textId="519FCDA9" w:rsidR="00A55F72" w:rsidRPr="00F03E3F" w:rsidRDefault="00A55F72" w:rsidP="00DF371B">
      <w:pPr>
        <w:pStyle w:val="Headingb"/>
        <w:rPr>
          <w:noProof/>
        </w:rPr>
      </w:pPr>
      <w:r w:rsidRPr="00F03E3F">
        <w:rPr>
          <w:noProof/>
        </w:rPr>
        <w:t>Introduction</w:t>
      </w:r>
    </w:p>
    <w:p w14:paraId="30129C0C" w14:textId="3F2EC69F" w:rsidR="00A55F72" w:rsidRPr="00F03E3F" w:rsidRDefault="007804BE" w:rsidP="00DF371B">
      <w:pPr>
        <w:rPr>
          <w:noProof/>
        </w:rPr>
      </w:pPr>
      <w:r w:rsidRPr="00F03E3F">
        <w:rPr>
          <w:noProof/>
        </w:rPr>
        <w:t>Sur les 4 méthodes élaborées dans le cadre des travaux préparatoires sur le point</w:t>
      </w:r>
      <w:r w:rsidR="00A55F72" w:rsidRPr="00F03E3F">
        <w:rPr>
          <w:noProof/>
        </w:rPr>
        <w:t xml:space="preserve"> 1.2 </w:t>
      </w:r>
      <w:r w:rsidRPr="00F03E3F">
        <w:rPr>
          <w:noProof/>
        </w:rPr>
        <w:t xml:space="preserve">de l'ordre du jour de la CMR-19, 3 prévoient la possibilité de fixer une limite de puissance dans la bande pour les stations terriennes du service mobile par satellite exploitées dans la bande de fréquences </w:t>
      </w:r>
      <w:r w:rsidR="00A55F72" w:rsidRPr="00F03E3F">
        <w:rPr>
          <w:noProof/>
        </w:rPr>
        <w:t>399</w:t>
      </w:r>
      <w:r w:rsidR="0009528D" w:rsidRPr="00F03E3F">
        <w:rPr>
          <w:noProof/>
        </w:rPr>
        <w:t>,</w:t>
      </w:r>
      <w:r w:rsidR="00A55F72" w:rsidRPr="00F03E3F">
        <w:rPr>
          <w:noProof/>
        </w:rPr>
        <w:t>9</w:t>
      </w:r>
      <w:r w:rsidR="00B302F3">
        <w:rPr>
          <w:noProof/>
        </w:rPr>
        <w:noBreakHyphen/>
      </w:r>
      <w:r w:rsidR="00A55F72" w:rsidRPr="00F03E3F">
        <w:rPr>
          <w:noProof/>
        </w:rPr>
        <w:t>400</w:t>
      </w:r>
      <w:r w:rsidR="0009528D" w:rsidRPr="00F03E3F">
        <w:rPr>
          <w:noProof/>
        </w:rPr>
        <w:t>,</w:t>
      </w:r>
      <w:r w:rsidR="00A55F72" w:rsidRPr="00F03E3F">
        <w:rPr>
          <w:noProof/>
        </w:rPr>
        <w:t>05</w:t>
      </w:r>
      <w:r w:rsidR="0009528D" w:rsidRPr="00F03E3F">
        <w:rPr>
          <w:noProof/>
        </w:rPr>
        <w:t> </w:t>
      </w:r>
      <w:r w:rsidR="00A55F72" w:rsidRPr="00F03E3F">
        <w:rPr>
          <w:noProof/>
        </w:rPr>
        <w:t>MHz.</w:t>
      </w:r>
    </w:p>
    <w:p w14:paraId="54F9428A" w14:textId="5724D18C" w:rsidR="00A55F72" w:rsidRPr="00F03E3F" w:rsidRDefault="00916455" w:rsidP="00DF371B">
      <w:pPr>
        <w:rPr>
          <w:noProof/>
        </w:rPr>
      </w:pPr>
      <w:r w:rsidRPr="00F03E3F">
        <w:rPr>
          <w:noProof/>
        </w:rPr>
        <w:t>Si l'</w:t>
      </w:r>
      <w:r w:rsidR="00A55F72" w:rsidRPr="00F03E3F">
        <w:rPr>
          <w:noProof/>
        </w:rPr>
        <w:t xml:space="preserve">Administration </w:t>
      </w:r>
      <w:r w:rsidRPr="00F03E3F">
        <w:rPr>
          <w:noProof/>
        </w:rPr>
        <w:t xml:space="preserve">du Luxembourg est favorable à la mise en place de limites de puissance dans la bande, elle </w:t>
      </w:r>
      <w:r w:rsidR="00413435">
        <w:rPr>
          <w:noProof/>
        </w:rPr>
        <w:t>reconnaît</w:t>
      </w:r>
      <w:r w:rsidRPr="00F03E3F">
        <w:rPr>
          <w:noProof/>
        </w:rPr>
        <w:t xml:space="preserve"> toutefois que les valeurs de puissance (ou de p.i.r.e.)</w:t>
      </w:r>
      <w:r w:rsidR="008641E9" w:rsidRPr="008641E9">
        <w:rPr>
          <w:noProof/>
        </w:rPr>
        <w:t xml:space="preserve"> </w:t>
      </w:r>
      <w:r w:rsidR="008641E9" w:rsidRPr="00F03E3F">
        <w:rPr>
          <w:noProof/>
        </w:rPr>
        <w:t>minimale</w:t>
      </w:r>
      <w:r w:rsidRPr="00F03E3F">
        <w:rPr>
          <w:noProof/>
        </w:rPr>
        <w:t xml:space="preserve"> figurant dans la fiche de notification de son réseau à satellite existant dans cette bande – </w:t>
      </w:r>
      <w:r w:rsidR="00A55F72" w:rsidRPr="00F03E3F">
        <w:rPr>
          <w:noProof/>
        </w:rPr>
        <w:t>LXS-AIS</w:t>
      </w:r>
      <w:r w:rsidRPr="00F03E3F">
        <w:rPr>
          <w:noProof/>
        </w:rPr>
        <w:t xml:space="preserve"> – ne </w:t>
      </w:r>
      <w:r w:rsidR="00AA4A77" w:rsidRPr="00F03E3F">
        <w:rPr>
          <w:noProof/>
        </w:rPr>
        <w:t>sont pas conformes à ces limites</w:t>
      </w:r>
      <w:r w:rsidR="00A55F72" w:rsidRPr="00F03E3F">
        <w:rPr>
          <w:noProof/>
        </w:rPr>
        <w:t xml:space="preserve">. </w:t>
      </w:r>
      <w:r w:rsidR="00AA4A77" w:rsidRPr="00F03E3F">
        <w:rPr>
          <w:noProof/>
        </w:rPr>
        <w:t xml:space="preserve">Ce réseau a longtemps été utilisé pour des émissions à forte puissance, mais </w:t>
      </w:r>
      <w:r w:rsidR="006E11DE">
        <w:rPr>
          <w:noProof/>
        </w:rPr>
        <w:t>dernièrement, on a</w:t>
      </w:r>
      <w:r w:rsidR="00AA4A77" w:rsidRPr="00F03E3F">
        <w:rPr>
          <w:noProof/>
        </w:rPr>
        <w:t xml:space="preserve"> entrepris de se conformer à ces limites pour </w:t>
      </w:r>
      <w:r w:rsidR="006E11DE">
        <w:rPr>
          <w:noProof/>
        </w:rPr>
        <w:t>contribuer à ce que</w:t>
      </w:r>
      <w:r w:rsidR="00AA4A77" w:rsidRPr="00F03E3F">
        <w:rPr>
          <w:noProof/>
        </w:rPr>
        <w:t xml:space="preserve"> les travaux sur ce point de l'ordre du jour aboutissent</w:t>
      </w:r>
      <w:r w:rsidR="00A55F72" w:rsidRPr="00F03E3F">
        <w:rPr>
          <w:noProof/>
        </w:rPr>
        <w:t>.</w:t>
      </w:r>
    </w:p>
    <w:p w14:paraId="797A7B3A" w14:textId="715DDB9B" w:rsidR="00A55F72" w:rsidRPr="00F03E3F" w:rsidRDefault="00133B75" w:rsidP="00DF371B">
      <w:pPr>
        <w:rPr>
          <w:noProof/>
        </w:rPr>
      </w:pPr>
      <w:r w:rsidRPr="00F03E3F">
        <w:rPr>
          <w:noProof/>
        </w:rPr>
        <w:t>S'il est tout à fait possible de demander d</w:t>
      </w:r>
      <w:r w:rsidR="006E11DE">
        <w:rPr>
          <w:noProof/>
        </w:rPr>
        <w:t xml:space="preserve">'abaisser </w:t>
      </w:r>
      <w:r w:rsidRPr="00F03E3F">
        <w:rPr>
          <w:noProof/>
        </w:rPr>
        <w:t>les valeurs de puissance (ou de p.i.r.e.)</w:t>
      </w:r>
      <w:r w:rsidR="008641E9" w:rsidRPr="008641E9">
        <w:rPr>
          <w:noProof/>
        </w:rPr>
        <w:t xml:space="preserve"> </w:t>
      </w:r>
      <w:r w:rsidR="008641E9" w:rsidRPr="00F03E3F">
        <w:rPr>
          <w:noProof/>
        </w:rPr>
        <w:t>dans la bande</w:t>
      </w:r>
      <w:r w:rsidR="00A55F72" w:rsidRPr="00F03E3F">
        <w:rPr>
          <w:noProof/>
        </w:rPr>
        <w:t>,</w:t>
      </w:r>
      <w:r w:rsidRPr="00F03E3F">
        <w:rPr>
          <w:noProof/>
        </w:rPr>
        <w:t xml:space="preserve"> il est vrai qu'une telle </w:t>
      </w:r>
      <w:r w:rsidR="00A55F72" w:rsidRPr="00F03E3F">
        <w:rPr>
          <w:noProof/>
        </w:rPr>
        <w:t xml:space="preserve">modification </w:t>
      </w:r>
      <w:r w:rsidRPr="00F03E3F">
        <w:rPr>
          <w:noProof/>
        </w:rPr>
        <w:t xml:space="preserve">entraînerait une nouvelle date de réception et représenterait effectivement un désavantage </w:t>
      </w:r>
      <w:r w:rsidR="00EE1681" w:rsidRPr="00F03E3F">
        <w:rPr>
          <w:noProof/>
        </w:rPr>
        <w:t xml:space="preserve">pour l'exploitation du réseau </w:t>
      </w:r>
      <w:r w:rsidR="00A55F72" w:rsidRPr="00F03E3F">
        <w:rPr>
          <w:noProof/>
        </w:rPr>
        <w:t xml:space="preserve">LXS-AIS </w:t>
      </w:r>
      <w:r w:rsidR="00EE1681" w:rsidRPr="00F03E3F">
        <w:rPr>
          <w:noProof/>
        </w:rPr>
        <w:t xml:space="preserve">par rapport à l'exploitation d'autres réseaux existants, dont la date de réception </w:t>
      </w:r>
      <w:r w:rsidR="006E11DE">
        <w:rPr>
          <w:noProof/>
        </w:rPr>
        <w:t xml:space="preserve">de la notification </w:t>
      </w:r>
      <w:r w:rsidR="00EE1681" w:rsidRPr="00F03E3F">
        <w:rPr>
          <w:noProof/>
        </w:rPr>
        <w:t>est</w:t>
      </w:r>
      <w:r w:rsidR="008641E9">
        <w:rPr>
          <w:noProof/>
        </w:rPr>
        <w:t xml:space="preserve"> postérieure</w:t>
      </w:r>
      <w:r w:rsidR="00A55F72" w:rsidRPr="00F03E3F">
        <w:rPr>
          <w:noProof/>
        </w:rPr>
        <w:t xml:space="preserve">. </w:t>
      </w:r>
      <w:r w:rsidR="00EE1681" w:rsidRPr="00F03E3F">
        <w:rPr>
          <w:noProof/>
        </w:rPr>
        <w:t xml:space="preserve">S'il n'est pas permis d'apporter des </w:t>
      </w:r>
      <w:r w:rsidR="00A55F72" w:rsidRPr="00F03E3F">
        <w:rPr>
          <w:noProof/>
        </w:rPr>
        <w:t>modification</w:t>
      </w:r>
      <w:r w:rsidR="00EE1681" w:rsidRPr="00F03E3F">
        <w:rPr>
          <w:noProof/>
        </w:rPr>
        <w:t>s</w:t>
      </w:r>
      <w:r w:rsidR="00C85059" w:rsidRPr="00F03E3F">
        <w:rPr>
          <w:noProof/>
        </w:rPr>
        <w:t xml:space="preserve"> et que l'on</w:t>
      </w:r>
      <w:r w:rsidR="00A55F72" w:rsidRPr="00F03E3F">
        <w:rPr>
          <w:noProof/>
        </w:rPr>
        <w:t xml:space="preserve"> </w:t>
      </w:r>
      <w:r w:rsidR="00EE1681" w:rsidRPr="00F03E3F">
        <w:rPr>
          <w:noProof/>
        </w:rPr>
        <w:t>abaisse les valeurs de puissance</w:t>
      </w:r>
      <w:r w:rsidR="008641E9">
        <w:rPr>
          <w:noProof/>
        </w:rPr>
        <w:t xml:space="preserve"> </w:t>
      </w:r>
      <w:r w:rsidR="008641E9" w:rsidRPr="00F03E3F">
        <w:rPr>
          <w:noProof/>
        </w:rPr>
        <w:t>(p.i.r.e.)</w:t>
      </w:r>
      <w:r w:rsidR="008641E9">
        <w:rPr>
          <w:noProof/>
        </w:rPr>
        <w:t xml:space="preserve"> </w:t>
      </w:r>
      <w:r w:rsidR="00EE1681" w:rsidRPr="00F03E3F">
        <w:rPr>
          <w:noProof/>
        </w:rPr>
        <w:t>dans la bande</w:t>
      </w:r>
      <w:r w:rsidR="00A55F72" w:rsidRPr="00F03E3F">
        <w:rPr>
          <w:noProof/>
        </w:rPr>
        <w:t xml:space="preserve"> </w:t>
      </w:r>
      <w:r w:rsidR="00EE1681" w:rsidRPr="00F03E3F">
        <w:rPr>
          <w:noProof/>
        </w:rPr>
        <w:t>tout en conservant la date de réception initiale</w:t>
      </w:r>
      <w:r w:rsidR="00C85059" w:rsidRPr="00F03E3F">
        <w:rPr>
          <w:noProof/>
        </w:rPr>
        <w:t>,</w:t>
      </w:r>
      <w:r w:rsidR="00EE1681" w:rsidRPr="00F03E3F">
        <w:rPr>
          <w:noProof/>
        </w:rPr>
        <w:t xml:space="preserve"> </w:t>
      </w:r>
      <w:r w:rsidR="00B25560">
        <w:rPr>
          <w:noProof/>
        </w:rPr>
        <w:t>l'exploitation du</w:t>
      </w:r>
      <w:r w:rsidR="00EE1681" w:rsidRPr="00F03E3F">
        <w:rPr>
          <w:noProof/>
        </w:rPr>
        <w:t xml:space="preserve"> réseau </w:t>
      </w:r>
      <w:r w:rsidR="00A55F72" w:rsidRPr="00F03E3F">
        <w:rPr>
          <w:noProof/>
        </w:rPr>
        <w:t>LXS</w:t>
      </w:r>
      <w:r w:rsidR="00C21684">
        <w:rPr>
          <w:noProof/>
        </w:rPr>
        <w:noBreakHyphen/>
      </w:r>
      <w:r w:rsidR="00A55F72" w:rsidRPr="00F03E3F">
        <w:rPr>
          <w:noProof/>
        </w:rPr>
        <w:t xml:space="preserve">AIS </w:t>
      </w:r>
      <w:r w:rsidR="00C85059" w:rsidRPr="00F03E3F">
        <w:rPr>
          <w:noProof/>
        </w:rPr>
        <w:t xml:space="preserve">ne serait plus protégé </w:t>
      </w:r>
      <w:r w:rsidR="008641E9">
        <w:rPr>
          <w:noProof/>
        </w:rPr>
        <w:t>vis-à-vis des</w:t>
      </w:r>
      <w:r w:rsidR="00C85059" w:rsidRPr="00F03E3F">
        <w:rPr>
          <w:noProof/>
        </w:rPr>
        <w:t xml:space="preserve"> autres réseaux existants dans le cadre des nouvelles limites dans la bande </w:t>
      </w:r>
      <w:r w:rsidR="00A55F72" w:rsidRPr="00F03E3F">
        <w:rPr>
          <w:noProof/>
        </w:rPr>
        <w:t>(</w:t>
      </w:r>
      <w:r w:rsidR="00B25560">
        <w:rPr>
          <w:noProof/>
        </w:rPr>
        <w:t>si tant est que</w:t>
      </w:r>
      <w:r w:rsidR="00C85059" w:rsidRPr="00F03E3F">
        <w:rPr>
          <w:noProof/>
        </w:rPr>
        <w:t xml:space="preserve"> la Conférence décide effectivement d'adopter de telles limites</w:t>
      </w:r>
      <w:r w:rsidR="00A55F72" w:rsidRPr="00F03E3F">
        <w:rPr>
          <w:noProof/>
        </w:rPr>
        <w:t>).</w:t>
      </w:r>
    </w:p>
    <w:p w14:paraId="650926C4" w14:textId="008688DF" w:rsidR="003A583E" w:rsidRPr="00F03E3F" w:rsidRDefault="00C70640" w:rsidP="00DF371B">
      <w:pPr>
        <w:rPr>
          <w:noProof/>
        </w:rPr>
      </w:pPr>
      <w:r w:rsidRPr="00F03E3F">
        <w:rPr>
          <w:noProof/>
        </w:rPr>
        <w:t xml:space="preserve">Conformément au numéro </w:t>
      </w:r>
      <w:r w:rsidRPr="00F03E3F">
        <w:rPr>
          <w:b/>
          <w:bCs/>
          <w:noProof/>
        </w:rPr>
        <w:t>11.50</w:t>
      </w:r>
      <w:r w:rsidR="00A55F72" w:rsidRPr="00F03E3F">
        <w:rPr>
          <w:noProof/>
        </w:rPr>
        <w:t xml:space="preserve"> </w:t>
      </w:r>
      <w:r w:rsidRPr="00F03E3F">
        <w:rPr>
          <w:noProof/>
        </w:rPr>
        <w:t xml:space="preserve">du Règlement des radiocommunications, le </w:t>
      </w:r>
      <w:r w:rsidR="00A55F72" w:rsidRPr="00F03E3F">
        <w:rPr>
          <w:noProof/>
        </w:rPr>
        <w:t>Bureau examine périodiquement le Fichier de référence en vue d'en maintenir ou d'en améliorer la précision, en s'attachant tout particulièrement aux conclusions, de façon à les adapter à l'évolution de la situation concernant les attributions après chaque conférence.</w:t>
      </w:r>
    </w:p>
    <w:p w14:paraId="7BE5DA20" w14:textId="6BD90087" w:rsidR="00FD4CA9" w:rsidRPr="00F03E3F" w:rsidRDefault="0088332E" w:rsidP="00DF371B">
      <w:pPr>
        <w:rPr>
          <w:noProof/>
        </w:rPr>
      </w:pPr>
      <w:r w:rsidRPr="00F03E3F">
        <w:rPr>
          <w:noProof/>
        </w:rPr>
        <w:lastRenderedPageBreak/>
        <w:t>Aux termes du paragraphe</w:t>
      </w:r>
      <w:r w:rsidR="00C70640" w:rsidRPr="00F03E3F">
        <w:rPr>
          <w:noProof/>
        </w:rPr>
        <w:t xml:space="preserve"> </w:t>
      </w:r>
      <w:r w:rsidRPr="00F03E3F">
        <w:rPr>
          <w:noProof/>
        </w:rPr>
        <w:t xml:space="preserve">6 de la Règle de procédure </w:t>
      </w:r>
      <w:r w:rsidR="00B25560">
        <w:rPr>
          <w:noProof/>
        </w:rPr>
        <w:t>relative au</w:t>
      </w:r>
      <w:r w:rsidRPr="00F03E3F">
        <w:rPr>
          <w:noProof/>
        </w:rPr>
        <w:t xml:space="preserve"> numéro </w:t>
      </w:r>
      <w:r w:rsidRPr="00F03E3F">
        <w:rPr>
          <w:b/>
          <w:bCs/>
          <w:noProof/>
        </w:rPr>
        <w:t>11.50</w:t>
      </w:r>
      <w:r w:rsidRPr="00F03E3F">
        <w:rPr>
          <w:noProof/>
        </w:rPr>
        <w:t xml:space="preserve"> du RR, qui touche à </w:t>
      </w:r>
      <w:r w:rsidR="004E6721" w:rsidRPr="00F03E3F">
        <w:rPr>
          <w:noProof/>
        </w:rPr>
        <w:t>la modification des conditions applicables à une attribution sans que soit modifiée la catégorie d'attribution (restrictions réglementaires ou techniques additionnelles</w:t>
      </w:r>
      <w:r w:rsidRPr="00F03E3F">
        <w:rPr>
          <w:noProof/>
        </w:rPr>
        <w:t>, par exemple</w:t>
      </w:r>
      <w:r w:rsidR="004E6721" w:rsidRPr="00F03E3F">
        <w:rPr>
          <w:noProof/>
        </w:rPr>
        <w:t>), les conclusions initiales relatives à l'assignation inscrite concernée ne peuvent être maintenues qu</w:t>
      </w:r>
      <w:r w:rsidR="008641E9">
        <w:rPr>
          <w:noProof/>
        </w:rPr>
        <w:t>e sous réserve de</w:t>
      </w:r>
      <w:r w:rsidR="004E6721" w:rsidRPr="00F03E3F">
        <w:rPr>
          <w:noProof/>
        </w:rPr>
        <w:t xml:space="preserve"> conform</w:t>
      </w:r>
      <w:r w:rsidR="008641E9">
        <w:rPr>
          <w:noProof/>
        </w:rPr>
        <w:t xml:space="preserve">ité avec les </w:t>
      </w:r>
      <w:r w:rsidR="004E6721" w:rsidRPr="00F03E3F">
        <w:rPr>
          <w:noProof/>
        </w:rPr>
        <w:t>nouvelles conditions</w:t>
      </w:r>
      <w:r w:rsidR="00B302F3">
        <w:rPr>
          <w:rStyle w:val="CommentReference"/>
          <w:noProof/>
        </w:rPr>
        <w:t>.</w:t>
      </w:r>
    </w:p>
    <w:p w14:paraId="4E68DC0E" w14:textId="308884CD" w:rsidR="00FD4CA9" w:rsidRPr="00F03E3F" w:rsidRDefault="0088332E" w:rsidP="00DF371B">
      <w:pPr>
        <w:rPr>
          <w:bCs/>
          <w:noProof/>
        </w:rPr>
      </w:pPr>
      <w:r w:rsidRPr="00F03E3F">
        <w:rPr>
          <w:bCs/>
          <w:noProof/>
        </w:rPr>
        <w:t>Nous sommes d'avis que cette disposition</w:t>
      </w:r>
      <w:r w:rsidR="00FD4CA9" w:rsidRPr="00F03E3F">
        <w:rPr>
          <w:bCs/>
          <w:noProof/>
        </w:rPr>
        <w:t xml:space="preserve"> </w:t>
      </w:r>
      <w:r w:rsidRPr="00F03E3F">
        <w:rPr>
          <w:bCs/>
          <w:noProof/>
        </w:rPr>
        <w:t xml:space="preserve">signifie que la date de réception initiale </w:t>
      </w:r>
      <w:r w:rsidR="00B25560">
        <w:rPr>
          <w:bCs/>
          <w:noProof/>
        </w:rPr>
        <w:t>d'une</w:t>
      </w:r>
      <w:r w:rsidR="00622663" w:rsidRPr="00F03E3F">
        <w:rPr>
          <w:bCs/>
          <w:noProof/>
        </w:rPr>
        <w:t xml:space="preserve"> notification existante est maintenue lorsque les caractéristiques de cette dernière peuvent être adaptées </w:t>
      </w:r>
      <w:r w:rsidR="00B25560">
        <w:rPr>
          <w:bCs/>
          <w:noProof/>
        </w:rPr>
        <w:t>pour se conformer aux</w:t>
      </w:r>
      <w:r w:rsidR="00622663" w:rsidRPr="00F03E3F">
        <w:rPr>
          <w:bCs/>
          <w:noProof/>
        </w:rPr>
        <w:t xml:space="preserve"> décisions de la Conférence</w:t>
      </w:r>
      <w:r w:rsidR="00FD4CA9" w:rsidRPr="00F03E3F">
        <w:rPr>
          <w:bCs/>
          <w:noProof/>
        </w:rPr>
        <w:t>.</w:t>
      </w:r>
    </w:p>
    <w:p w14:paraId="27CEDFAD" w14:textId="4CA997A5" w:rsidR="00FD4CA9" w:rsidRPr="00F03E3F" w:rsidRDefault="00FD4CA9" w:rsidP="00DF371B">
      <w:pPr>
        <w:pStyle w:val="Headingb"/>
        <w:rPr>
          <w:noProof/>
        </w:rPr>
      </w:pPr>
      <w:r w:rsidRPr="00F03E3F">
        <w:rPr>
          <w:noProof/>
        </w:rPr>
        <w:t>Propos</w:t>
      </w:r>
      <w:r w:rsidR="00F03E3F" w:rsidRPr="00F03E3F">
        <w:rPr>
          <w:noProof/>
        </w:rPr>
        <w:t>ition</w:t>
      </w:r>
    </w:p>
    <w:p w14:paraId="34CD98BA" w14:textId="398116E3" w:rsidR="00FD4CA9" w:rsidRPr="00F03E3F" w:rsidRDefault="00F03E3F" w:rsidP="00DF371B">
      <w:pPr>
        <w:rPr>
          <w:noProof/>
        </w:rPr>
      </w:pPr>
      <w:r>
        <w:rPr>
          <w:noProof/>
        </w:rPr>
        <w:t>Au moment d'adopter</w:t>
      </w:r>
      <w:r w:rsidRPr="00F03E3F">
        <w:rPr>
          <w:noProof/>
        </w:rPr>
        <w:t xml:space="preserve"> de nouvelles limites de puissance dans la bande (ou</w:t>
      </w:r>
      <w:r w:rsidR="00EC546B">
        <w:rPr>
          <w:noProof/>
        </w:rPr>
        <w:t xml:space="preserve"> </w:t>
      </w:r>
      <w:r w:rsidRPr="00F03E3F">
        <w:rPr>
          <w:noProof/>
        </w:rPr>
        <w:t xml:space="preserve">limites de p.i.r.e.) dans la </w:t>
      </w:r>
      <w:r w:rsidR="00FD4CA9" w:rsidRPr="00F03E3F">
        <w:rPr>
          <w:noProof/>
        </w:rPr>
        <w:t>band</w:t>
      </w:r>
      <w:r w:rsidRPr="00F03E3F">
        <w:rPr>
          <w:noProof/>
        </w:rPr>
        <w:t>e</w:t>
      </w:r>
      <w:r w:rsidR="00FD4CA9" w:rsidRPr="00F03E3F">
        <w:rPr>
          <w:noProof/>
        </w:rPr>
        <w:t xml:space="preserve"> 399</w:t>
      </w:r>
      <w:r w:rsidR="0009528D" w:rsidRPr="00F03E3F">
        <w:rPr>
          <w:noProof/>
        </w:rPr>
        <w:t>,</w:t>
      </w:r>
      <w:r w:rsidR="00FD4CA9" w:rsidRPr="00F03E3F">
        <w:rPr>
          <w:noProof/>
        </w:rPr>
        <w:t>9-400</w:t>
      </w:r>
      <w:r w:rsidR="0009528D" w:rsidRPr="00F03E3F">
        <w:rPr>
          <w:noProof/>
        </w:rPr>
        <w:t>,</w:t>
      </w:r>
      <w:r w:rsidR="00FD4CA9" w:rsidRPr="00F03E3F">
        <w:rPr>
          <w:noProof/>
        </w:rPr>
        <w:t>05</w:t>
      </w:r>
      <w:r w:rsidR="0009528D" w:rsidRPr="00F03E3F">
        <w:rPr>
          <w:noProof/>
        </w:rPr>
        <w:t> </w:t>
      </w:r>
      <w:r w:rsidR="00FD4CA9" w:rsidRPr="00F03E3F">
        <w:rPr>
          <w:noProof/>
        </w:rPr>
        <w:t xml:space="preserve">MHz </w:t>
      </w:r>
      <w:r>
        <w:rPr>
          <w:noProof/>
        </w:rPr>
        <w:t>pour le service mobile par satellite,</w:t>
      </w:r>
      <w:r w:rsidR="00FD4CA9" w:rsidRPr="00F03E3F">
        <w:rPr>
          <w:noProof/>
        </w:rPr>
        <w:t xml:space="preserve"> </w:t>
      </w:r>
      <w:r w:rsidR="00EC546B">
        <w:rPr>
          <w:noProof/>
        </w:rPr>
        <w:t xml:space="preserve">il </w:t>
      </w:r>
      <w:r w:rsidR="00B25560">
        <w:rPr>
          <w:noProof/>
        </w:rPr>
        <w:t xml:space="preserve">devrait être autorisé de </w:t>
      </w:r>
      <w:r w:rsidR="00EC546B">
        <w:rPr>
          <w:noProof/>
        </w:rPr>
        <w:t xml:space="preserve">soumettre une modification visant à notifier </w:t>
      </w:r>
      <w:r>
        <w:rPr>
          <w:noProof/>
        </w:rPr>
        <w:t xml:space="preserve">des niveaux de puissance minimale </w:t>
      </w:r>
      <w:r w:rsidR="00FD4CA9" w:rsidRPr="00F03E3F">
        <w:rPr>
          <w:noProof/>
        </w:rPr>
        <w:t>(</w:t>
      </w:r>
      <w:r>
        <w:rPr>
          <w:noProof/>
        </w:rPr>
        <w:t xml:space="preserve">ou de </w:t>
      </w:r>
      <w:r w:rsidR="00FD4CA9" w:rsidRPr="00F03E3F">
        <w:rPr>
          <w:noProof/>
        </w:rPr>
        <w:t>p.</w:t>
      </w:r>
      <w:r>
        <w:rPr>
          <w:noProof/>
        </w:rPr>
        <w:t>i.r.e. minimale</w:t>
      </w:r>
      <w:r w:rsidR="00FD4CA9" w:rsidRPr="00F03E3F">
        <w:rPr>
          <w:noProof/>
        </w:rPr>
        <w:t xml:space="preserve">) </w:t>
      </w:r>
      <w:r w:rsidR="00D22F55">
        <w:rPr>
          <w:noProof/>
        </w:rPr>
        <w:t>conform</w:t>
      </w:r>
      <w:r w:rsidR="00EC546B">
        <w:rPr>
          <w:noProof/>
        </w:rPr>
        <w:t>es</w:t>
      </w:r>
      <w:r w:rsidR="00D22F55">
        <w:rPr>
          <w:noProof/>
        </w:rPr>
        <w:t xml:space="preserve"> aux nouvelles limites </w:t>
      </w:r>
      <w:r w:rsidR="00EC546B">
        <w:rPr>
          <w:noProof/>
        </w:rPr>
        <w:t>pour le</w:t>
      </w:r>
      <w:r w:rsidR="00D22F55">
        <w:rPr>
          <w:noProof/>
        </w:rPr>
        <w:t xml:space="preserve"> réseau à satellite </w:t>
      </w:r>
      <w:r w:rsidR="00FD4CA9" w:rsidRPr="00F03E3F">
        <w:rPr>
          <w:noProof/>
        </w:rPr>
        <w:t xml:space="preserve">LXS-AIS </w:t>
      </w:r>
      <w:r w:rsidR="00EC546B">
        <w:rPr>
          <w:noProof/>
        </w:rPr>
        <w:t>tout en maintenant</w:t>
      </w:r>
      <w:r w:rsidR="00D22F55">
        <w:rPr>
          <w:noProof/>
        </w:rPr>
        <w:t xml:space="preserve"> la date de réception initiale</w:t>
      </w:r>
      <w:r w:rsidR="00B25560">
        <w:rPr>
          <w:noProof/>
        </w:rPr>
        <w:t xml:space="preserve"> </w:t>
      </w:r>
      <w:r w:rsidR="00EC546B">
        <w:rPr>
          <w:noProof/>
        </w:rPr>
        <w:t>pour cette modification</w:t>
      </w:r>
      <w:r w:rsidR="00B25560">
        <w:rPr>
          <w:noProof/>
        </w:rPr>
        <w:t>,</w:t>
      </w:r>
      <w:r w:rsidR="00D22F55">
        <w:rPr>
          <w:noProof/>
        </w:rPr>
        <w:t xml:space="preserve"> afin que ce réseau continue de bénéficier de la même protection, ce qui serait conforme à la Règle de procédure relative au numéro </w:t>
      </w:r>
      <w:r w:rsidR="00FD4CA9" w:rsidRPr="00F03E3F">
        <w:rPr>
          <w:b/>
          <w:bCs/>
          <w:noProof/>
        </w:rPr>
        <w:t>11.50</w:t>
      </w:r>
      <w:r w:rsidR="00FD4CA9" w:rsidRPr="00F03E3F">
        <w:rPr>
          <w:noProof/>
        </w:rPr>
        <w:t xml:space="preserve"> (paragraph</w:t>
      </w:r>
      <w:r w:rsidR="00D22F55">
        <w:rPr>
          <w:noProof/>
        </w:rPr>
        <w:t>e</w:t>
      </w:r>
      <w:r w:rsidR="00FD4CA9" w:rsidRPr="00F03E3F">
        <w:rPr>
          <w:noProof/>
        </w:rPr>
        <w:t> 6)</w:t>
      </w:r>
      <w:r w:rsidR="00B25560">
        <w:rPr>
          <w:noProof/>
        </w:rPr>
        <w:t xml:space="preserve"> du RR</w:t>
      </w:r>
      <w:r w:rsidR="00FD4CA9" w:rsidRPr="00F03E3F">
        <w:rPr>
          <w:noProof/>
        </w:rPr>
        <w:t>.</w:t>
      </w:r>
    </w:p>
    <w:p w14:paraId="3C6F7FC7" w14:textId="77777777" w:rsidR="00FD4CA9" w:rsidRPr="00F03E3F" w:rsidRDefault="00FD4CA9" w:rsidP="00B302F3">
      <w:pPr>
        <w:pStyle w:val="Reasons"/>
        <w:rPr>
          <w:noProof/>
        </w:rPr>
      </w:pPr>
      <w:bookmarkStart w:id="6" w:name="_GoBack"/>
      <w:bookmarkEnd w:id="6"/>
    </w:p>
    <w:p w14:paraId="1C85CE63" w14:textId="77777777" w:rsidR="00FD4CA9" w:rsidRPr="00F03E3F" w:rsidRDefault="00FD4CA9" w:rsidP="00DF371B">
      <w:pPr>
        <w:jc w:val="center"/>
        <w:rPr>
          <w:noProof/>
        </w:rPr>
      </w:pPr>
      <w:r w:rsidRPr="00F03E3F">
        <w:rPr>
          <w:noProof/>
        </w:rPr>
        <w:t>______________</w:t>
      </w:r>
    </w:p>
    <w:sectPr w:rsidR="00FD4CA9" w:rsidRPr="00F03E3F">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7829F" w14:textId="77777777" w:rsidR="0070076C" w:rsidRDefault="0070076C">
      <w:r>
        <w:separator/>
      </w:r>
    </w:p>
  </w:endnote>
  <w:endnote w:type="continuationSeparator" w:id="0">
    <w:p w14:paraId="19A0026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D5747" w14:textId="20A166C3" w:rsidR="00936D25" w:rsidRDefault="00936D25">
    <w:pPr>
      <w:rPr>
        <w:lang w:val="en-US"/>
      </w:rPr>
    </w:pPr>
    <w:r>
      <w:fldChar w:fldCharType="begin"/>
    </w:r>
    <w:r>
      <w:rPr>
        <w:lang w:val="en-US"/>
      </w:rPr>
      <w:instrText xml:space="preserve"> FILENAME \p  \* MERGEFORMAT </w:instrText>
    </w:r>
    <w:r>
      <w:fldChar w:fldCharType="separate"/>
    </w:r>
    <w:r w:rsidR="003D2036">
      <w:rPr>
        <w:noProof/>
        <w:lang w:val="en-US"/>
      </w:rPr>
      <w:t>P:\FRA\ITU-R\CONF-R\CMR19\000\096F.docx</w:t>
    </w:r>
    <w:r>
      <w:fldChar w:fldCharType="end"/>
    </w:r>
    <w:r>
      <w:rPr>
        <w:lang w:val="en-US"/>
      </w:rPr>
      <w:tab/>
    </w:r>
    <w:r>
      <w:fldChar w:fldCharType="begin"/>
    </w:r>
    <w:r>
      <w:instrText xml:space="preserve"> SAVEDATE \@ DD.MM.YY </w:instrText>
    </w:r>
    <w:r>
      <w:fldChar w:fldCharType="separate"/>
    </w:r>
    <w:r w:rsidR="003D2036">
      <w:rPr>
        <w:noProof/>
      </w:rPr>
      <w:t>20.10.19</w:t>
    </w:r>
    <w:r>
      <w:fldChar w:fldCharType="end"/>
    </w:r>
    <w:r>
      <w:rPr>
        <w:lang w:val="en-US"/>
      </w:rPr>
      <w:tab/>
    </w:r>
    <w:r>
      <w:fldChar w:fldCharType="begin"/>
    </w:r>
    <w:r>
      <w:instrText xml:space="preserve"> PRINTDATE \@ DD.MM.YY </w:instrText>
    </w:r>
    <w:r>
      <w:fldChar w:fldCharType="separate"/>
    </w:r>
    <w:r w:rsidR="003D2036">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51A0A" w14:textId="1517B371" w:rsidR="00936D25" w:rsidRDefault="00735801" w:rsidP="00A876BD">
    <w:pPr>
      <w:pStyle w:val="Footer"/>
      <w:rPr>
        <w:lang w:val="en-US"/>
      </w:rPr>
    </w:pPr>
    <w:fldSimple w:instr=" FILENAME \p  \* MERGEFORMAT ">
      <w:r w:rsidR="003D2036">
        <w:t>P:\FRA\ITU-R\CONF-R\CMR19\000\096F.docx</w:t>
      </w:r>
    </w:fldSimple>
    <w:r w:rsidR="00A876BD">
      <w:t xml:space="preserve"> (462240)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B5AE" w14:textId="7A84C5BE" w:rsidR="00936D25" w:rsidRDefault="003D2036" w:rsidP="001A11F6">
    <w:pPr>
      <w:pStyle w:val="Footer"/>
      <w:rPr>
        <w:lang w:val="en-US"/>
      </w:rPr>
    </w:pPr>
    <w:r>
      <w:fldChar w:fldCharType="begin"/>
    </w:r>
    <w:r>
      <w:instrText xml:space="preserve"> FILENAME \p  \* MERGEFORMAT </w:instrText>
    </w:r>
    <w:r>
      <w:fldChar w:fldCharType="separate"/>
    </w:r>
    <w:r>
      <w:t>P:\FRA\ITU-R\CONF-R\CMR19\000\096F.docx</w:t>
    </w:r>
    <w:r>
      <w:fldChar w:fldCharType="end"/>
    </w:r>
    <w:r w:rsidR="00A876BD">
      <w:t xml:space="preserve"> (462240)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40574" w14:textId="77777777" w:rsidR="0070076C" w:rsidRDefault="0070076C">
      <w:r>
        <w:rPr>
          <w:b/>
        </w:rPr>
        <w:t>_______________</w:t>
      </w:r>
    </w:p>
  </w:footnote>
  <w:footnote w:type="continuationSeparator" w:id="0">
    <w:p w14:paraId="2C75AAAC"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C87E9"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CC6E403" w14:textId="77777777" w:rsidR="004F1F8E" w:rsidRDefault="004F1F8E" w:rsidP="00FD7AA3">
    <w:pPr>
      <w:pStyle w:val="Header"/>
    </w:pPr>
    <w:r>
      <w:t>CMR1</w:t>
    </w:r>
    <w:r w:rsidR="00FD7AA3">
      <w:t>9</w:t>
    </w:r>
    <w:r>
      <w:t>/</w:t>
    </w:r>
    <w:r w:rsidR="006A4B45">
      <w:t>96-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68A8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9C26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940A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E48E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E811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C41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6035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28ED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B8C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9EE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528D"/>
    <w:rsid w:val="000A4755"/>
    <w:rsid w:val="000A55AE"/>
    <w:rsid w:val="000B2E0C"/>
    <w:rsid w:val="000B3D0C"/>
    <w:rsid w:val="00106C71"/>
    <w:rsid w:val="001167B9"/>
    <w:rsid w:val="001267A0"/>
    <w:rsid w:val="00133B75"/>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35BC2"/>
    <w:rsid w:val="003606A6"/>
    <w:rsid w:val="0036650C"/>
    <w:rsid w:val="00393ACD"/>
    <w:rsid w:val="003A583E"/>
    <w:rsid w:val="003D04DC"/>
    <w:rsid w:val="003D2036"/>
    <w:rsid w:val="003E112B"/>
    <w:rsid w:val="003E1D1C"/>
    <w:rsid w:val="003E7B05"/>
    <w:rsid w:val="003F3719"/>
    <w:rsid w:val="003F6F2D"/>
    <w:rsid w:val="00413435"/>
    <w:rsid w:val="00466211"/>
    <w:rsid w:val="00483196"/>
    <w:rsid w:val="004834A9"/>
    <w:rsid w:val="0049282B"/>
    <w:rsid w:val="004B27FB"/>
    <w:rsid w:val="004D01FC"/>
    <w:rsid w:val="004E28C3"/>
    <w:rsid w:val="004E6721"/>
    <w:rsid w:val="004F1F8E"/>
    <w:rsid w:val="00512A32"/>
    <w:rsid w:val="005310F5"/>
    <w:rsid w:val="005343DA"/>
    <w:rsid w:val="00560874"/>
    <w:rsid w:val="00586CF2"/>
    <w:rsid w:val="005A7C75"/>
    <w:rsid w:val="005C3768"/>
    <w:rsid w:val="005C6C3F"/>
    <w:rsid w:val="005D1D11"/>
    <w:rsid w:val="00613635"/>
    <w:rsid w:val="0062093D"/>
    <w:rsid w:val="00622663"/>
    <w:rsid w:val="00637ECF"/>
    <w:rsid w:val="00647B59"/>
    <w:rsid w:val="00690C7B"/>
    <w:rsid w:val="006A4B45"/>
    <w:rsid w:val="006D4724"/>
    <w:rsid w:val="006E11DE"/>
    <w:rsid w:val="006F5FA2"/>
    <w:rsid w:val="0070076C"/>
    <w:rsid w:val="00701BAE"/>
    <w:rsid w:val="00721F04"/>
    <w:rsid w:val="00730E95"/>
    <w:rsid w:val="00735801"/>
    <w:rsid w:val="007426B9"/>
    <w:rsid w:val="00764342"/>
    <w:rsid w:val="00774362"/>
    <w:rsid w:val="00774453"/>
    <w:rsid w:val="007804BE"/>
    <w:rsid w:val="00786598"/>
    <w:rsid w:val="00790C74"/>
    <w:rsid w:val="007A04E8"/>
    <w:rsid w:val="007B2C34"/>
    <w:rsid w:val="00830086"/>
    <w:rsid w:val="00851625"/>
    <w:rsid w:val="00863C0A"/>
    <w:rsid w:val="008641E9"/>
    <w:rsid w:val="0088332E"/>
    <w:rsid w:val="008A3120"/>
    <w:rsid w:val="008A4B97"/>
    <w:rsid w:val="008C5B8E"/>
    <w:rsid w:val="008C5DD5"/>
    <w:rsid w:val="008D41BE"/>
    <w:rsid w:val="008D58D3"/>
    <w:rsid w:val="008E3BC9"/>
    <w:rsid w:val="008F2552"/>
    <w:rsid w:val="00911CA7"/>
    <w:rsid w:val="00916455"/>
    <w:rsid w:val="00923064"/>
    <w:rsid w:val="009263B9"/>
    <w:rsid w:val="00930FFD"/>
    <w:rsid w:val="00936D25"/>
    <w:rsid w:val="00941EA5"/>
    <w:rsid w:val="00964700"/>
    <w:rsid w:val="00966C16"/>
    <w:rsid w:val="0098732F"/>
    <w:rsid w:val="009A045F"/>
    <w:rsid w:val="009A6A2B"/>
    <w:rsid w:val="009C7E7C"/>
    <w:rsid w:val="009E4E71"/>
    <w:rsid w:val="00A00473"/>
    <w:rsid w:val="00A03C9B"/>
    <w:rsid w:val="00A15D7C"/>
    <w:rsid w:val="00A30BD1"/>
    <w:rsid w:val="00A37105"/>
    <w:rsid w:val="00A55F72"/>
    <w:rsid w:val="00A606C3"/>
    <w:rsid w:val="00A83B09"/>
    <w:rsid w:val="00A84541"/>
    <w:rsid w:val="00A876BD"/>
    <w:rsid w:val="00AA4A77"/>
    <w:rsid w:val="00AE36A0"/>
    <w:rsid w:val="00B00294"/>
    <w:rsid w:val="00B25560"/>
    <w:rsid w:val="00B302F3"/>
    <w:rsid w:val="00B3749C"/>
    <w:rsid w:val="00B64FD0"/>
    <w:rsid w:val="00BA5BD0"/>
    <w:rsid w:val="00BB1D82"/>
    <w:rsid w:val="00BD51C5"/>
    <w:rsid w:val="00BF26E7"/>
    <w:rsid w:val="00C21684"/>
    <w:rsid w:val="00C53FCA"/>
    <w:rsid w:val="00C70640"/>
    <w:rsid w:val="00C76BAF"/>
    <w:rsid w:val="00C814B9"/>
    <w:rsid w:val="00C85059"/>
    <w:rsid w:val="00CD516F"/>
    <w:rsid w:val="00D119A7"/>
    <w:rsid w:val="00D22F55"/>
    <w:rsid w:val="00D25FBA"/>
    <w:rsid w:val="00D32B28"/>
    <w:rsid w:val="00D42954"/>
    <w:rsid w:val="00D66EAC"/>
    <w:rsid w:val="00D730DF"/>
    <w:rsid w:val="00D772F0"/>
    <w:rsid w:val="00D77BDC"/>
    <w:rsid w:val="00DC402B"/>
    <w:rsid w:val="00DC40A6"/>
    <w:rsid w:val="00DE0932"/>
    <w:rsid w:val="00DF371B"/>
    <w:rsid w:val="00E03A27"/>
    <w:rsid w:val="00E049F1"/>
    <w:rsid w:val="00E37A25"/>
    <w:rsid w:val="00E537FF"/>
    <w:rsid w:val="00E6539B"/>
    <w:rsid w:val="00E70A31"/>
    <w:rsid w:val="00E723A7"/>
    <w:rsid w:val="00EA3F38"/>
    <w:rsid w:val="00EA5AB6"/>
    <w:rsid w:val="00EC546B"/>
    <w:rsid w:val="00EC7615"/>
    <w:rsid w:val="00ED16AA"/>
    <w:rsid w:val="00ED6B8D"/>
    <w:rsid w:val="00EE1681"/>
    <w:rsid w:val="00EE3D7B"/>
    <w:rsid w:val="00EF662E"/>
    <w:rsid w:val="00F03E3F"/>
    <w:rsid w:val="00F10064"/>
    <w:rsid w:val="00F148F1"/>
    <w:rsid w:val="00F711A7"/>
    <w:rsid w:val="00FA3BBF"/>
    <w:rsid w:val="00FC41F8"/>
    <w:rsid w:val="00FD4CA9"/>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B65C6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CommentReference">
    <w:name w:val="annotation reference"/>
    <w:basedOn w:val="DefaultParagraphFont"/>
    <w:semiHidden/>
    <w:unhideWhenUsed/>
    <w:rsid w:val="0088332E"/>
    <w:rPr>
      <w:sz w:val="16"/>
      <w:szCs w:val="16"/>
    </w:rPr>
  </w:style>
  <w:style w:type="paragraph" w:styleId="CommentText">
    <w:name w:val="annotation text"/>
    <w:basedOn w:val="Normal"/>
    <w:link w:val="CommentTextChar"/>
    <w:semiHidden/>
    <w:unhideWhenUsed/>
    <w:rsid w:val="0088332E"/>
    <w:rPr>
      <w:sz w:val="20"/>
    </w:rPr>
  </w:style>
  <w:style w:type="character" w:customStyle="1" w:styleId="CommentTextChar">
    <w:name w:val="Comment Text Char"/>
    <w:basedOn w:val="DefaultParagraphFont"/>
    <w:link w:val="CommentText"/>
    <w:semiHidden/>
    <w:rsid w:val="0088332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88332E"/>
    <w:rPr>
      <w:b/>
      <w:bCs/>
    </w:rPr>
  </w:style>
  <w:style w:type="character" w:customStyle="1" w:styleId="CommentSubjectChar">
    <w:name w:val="Comment Subject Char"/>
    <w:basedOn w:val="CommentTextChar"/>
    <w:link w:val="CommentSubject"/>
    <w:semiHidden/>
    <w:rsid w:val="0088332E"/>
    <w:rPr>
      <w:rFonts w:ascii="Times New Roman" w:hAnsi="Times New Roman"/>
      <w:b/>
      <w:bCs/>
      <w:lang w:val="fr-FR" w:eastAsia="en-US"/>
    </w:rPr>
  </w:style>
  <w:style w:type="paragraph" w:styleId="Revision">
    <w:name w:val="Revision"/>
    <w:hidden/>
    <w:uiPriority w:val="99"/>
    <w:semiHidden/>
    <w:rsid w:val="0088332E"/>
    <w:rPr>
      <w:rFonts w:ascii="Times New Roman" w:hAnsi="Times New Roman"/>
      <w:sz w:val="24"/>
      <w:lang w:val="fr-FR" w:eastAsia="en-US"/>
    </w:rPr>
  </w:style>
  <w:style w:type="paragraph" w:styleId="BalloonText">
    <w:name w:val="Balloon Text"/>
    <w:basedOn w:val="Normal"/>
    <w:link w:val="BalloonTextChar"/>
    <w:semiHidden/>
    <w:unhideWhenUsed/>
    <w:rsid w:val="0088332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8332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E90BC-DB47-4409-9C98-6EE7BCA80F98}">
  <ds:schemaRefs>
    <ds:schemaRef ds:uri="32a1a8c5-2265-4ebc-b7a0-2071e2c5c9bb"/>
    <ds:schemaRef ds:uri="http://purl.org/dc/terms/"/>
    <ds:schemaRef ds:uri="http://schemas.microsoft.com/office/2006/metadata/properties"/>
    <ds:schemaRef ds:uri="http://www.w3.org/XML/1998/namespace"/>
    <ds:schemaRef ds:uri="http://schemas.microsoft.com/office/2006/documentManagement/types"/>
    <ds:schemaRef ds:uri="996b2e75-67fd-4955-a3b0-5ab9934cb50b"/>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EDDEB09-9129-45E4-AAB9-7AD1AA920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9000F6E7-ED89-45C0-B425-3BE59732E015}">
  <ds:schemaRefs>
    <ds:schemaRef ds:uri="http://schemas.microsoft.com/sharepoint/v3/contenttype/forms"/>
  </ds:schemaRefs>
</ds:datastoreItem>
</file>

<file path=customXml/itemProps5.xml><?xml version="1.0" encoding="utf-8"?>
<ds:datastoreItem xmlns:ds="http://schemas.openxmlformats.org/officeDocument/2006/customXml" ds:itemID="{A837C5E2-E82A-4A7C-AF84-0DA2C88C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587</Words>
  <Characters>3290</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R16-WRC19-C-0096!!MSW-F</vt:lpstr>
    </vt:vector>
  </TitlesOfParts>
  <Manager>Secrétariat général - Pool</Manager>
  <Company>Union internationale des télécommunications (UIT)</Company>
  <LinksUpToDate>false</LinksUpToDate>
  <CharactersWithSpaces>3861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R16-WRC19-C-0096!!MSW-F</dc:title>
  <dc:subject>Conférence mondiale des radiocommunications - 2019</dc:subject>
  <dc:creator>Documents Proposals Manager (DPM)</dc:creator>
  <cp:keywords>DPM_v2019.10.15.2_prod</cp:keywords>
  <dc:description/>
  <cp:lastModifiedBy>French</cp:lastModifiedBy>
  <cp:revision>15</cp:revision>
  <cp:lastPrinted>2019-10-20T12:14:00Z</cp:lastPrinted>
  <dcterms:created xsi:type="dcterms:W3CDTF">2019-10-18T12:41:00Z</dcterms:created>
  <dcterms:modified xsi:type="dcterms:W3CDTF">2019-10-20T12:14:00Z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