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712F4" w14:paraId="70224612" w14:textId="77777777" w:rsidTr="001226EC">
        <w:trPr>
          <w:cantSplit/>
        </w:trPr>
        <w:tc>
          <w:tcPr>
            <w:tcW w:w="6771" w:type="dxa"/>
          </w:tcPr>
          <w:p w14:paraId="0397506B" w14:textId="77777777" w:rsidR="005651C9" w:rsidRPr="000712F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712F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712F4">
              <w:rPr>
                <w:rFonts w:ascii="Verdana" w:hAnsi="Verdana"/>
                <w:b/>
                <w:bCs/>
                <w:szCs w:val="22"/>
              </w:rPr>
              <w:t>9</w:t>
            </w:r>
            <w:r w:rsidRPr="000712F4">
              <w:rPr>
                <w:rFonts w:ascii="Verdana" w:hAnsi="Verdana"/>
                <w:b/>
                <w:bCs/>
                <w:szCs w:val="22"/>
              </w:rPr>
              <w:t>)</w:t>
            </w:r>
            <w:r w:rsidRPr="000712F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712F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712F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712F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712F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EF4CB25" w14:textId="77777777" w:rsidR="005651C9" w:rsidRPr="000712F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712F4">
              <w:rPr>
                <w:noProof/>
                <w:szCs w:val="22"/>
                <w:lang w:eastAsia="zh-CN"/>
              </w:rPr>
              <w:drawing>
                <wp:inline distT="0" distB="0" distL="0" distR="0" wp14:anchorId="70BAB76F" wp14:editId="461C09D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712F4" w14:paraId="49FC5C6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DE71580" w14:textId="77777777" w:rsidR="005651C9" w:rsidRPr="000712F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530BE2B" w14:textId="77777777" w:rsidR="005651C9" w:rsidRPr="000712F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712F4" w14:paraId="7586C09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1719AA8" w14:textId="77777777" w:rsidR="005651C9" w:rsidRPr="000712F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E47048F" w14:textId="77777777" w:rsidR="005651C9" w:rsidRPr="000712F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712F4" w14:paraId="771C8343" w14:textId="77777777" w:rsidTr="001226EC">
        <w:trPr>
          <w:cantSplit/>
        </w:trPr>
        <w:tc>
          <w:tcPr>
            <w:tcW w:w="6771" w:type="dxa"/>
          </w:tcPr>
          <w:p w14:paraId="4D96FDC7" w14:textId="77777777" w:rsidR="005651C9" w:rsidRPr="000712F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712F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49299A1" w14:textId="590913D5" w:rsidR="005651C9" w:rsidRPr="000712F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12F4">
              <w:rPr>
                <w:rFonts w:ascii="Verdana" w:hAnsi="Verdana"/>
                <w:b/>
                <w:bCs/>
                <w:sz w:val="18"/>
                <w:szCs w:val="18"/>
              </w:rPr>
              <w:t>Документ 9</w:t>
            </w:r>
            <w:r w:rsidR="00565354" w:rsidRPr="000712F4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5651C9" w:rsidRPr="000712F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712F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712F4" w14:paraId="78F61777" w14:textId="77777777" w:rsidTr="001226EC">
        <w:trPr>
          <w:cantSplit/>
        </w:trPr>
        <w:tc>
          <w:tcPr>
            <w:tcW w:w="6771" w:type="dxa"/>
          </w:tcPr>
          <w:p w14:paraId="1BE49003" w14:textId="77777777" w:rsidR="000F33D8" w:rsidRPr="000712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A758182" w14:textId="00943C30" w:rsidR="000F33D8" w:rsidRPr="000712F4" w:rsidRDefault="00565354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12F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0F33D8" w:rsidRPr="000712F4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2019 года</w:t>
            </w:r>
          </w:p>
        </w:tc>
      </w:tr>
      <w:tr w:rsidR="000F33D8" w:rsidRPr="000712F4" w14:paraId="074C25D3" w14:textId="77777777" w:rsidTr="001226EC">
        <w:trPr>
          <w:cantSplit/>
        </w:trPr>
        <w:tc>
          <w:tcPr>
            <w:tcW w:w="6771" w:type="dxa"/>
          </w:tcPr>
          <w:p w14:paraId="13EF15C3" w14:textId="77777777" w:rsidR="000F33D8" w:rsidRPr="000712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622921C" w14:textId="77777777" w:rsidR="000F33D8" w:rsidRPr="000712F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12F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712F4" w14:paraId="1C185329" w14:textId="77777777" w:rsidTr="004201F0">
        <w:trPr>
          <w:cantSplit/>
        </w:trPr>
        <w:tc>
          <w:tcPr>
            <w:tcW w:w="10031" w:type="dxa"/>
            <w:gridSpan w:val="2"/>
          </w:tcPr>
          <w:p w14:paraId="0F53C77A" w14:textId="77777777" w:rsidR="000F33D8" w:rsidRPr="000712F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712F4" w14:paraId="32BEFF02" w14:textId="77777777">
        <w:trPr>
          <w:cantSplit/>
        </w:trPr>
        <w:tc>
          <w:tcPr>
            <w:tcW w:w="10031" w:type="dxa"/>
            <w:gridSpan w:val="2"/>
          </w:tcPr>
          <w:p w14:paraId="6C3B1C71" w14:textId="6295732F" w:rsidR="000F33D8" w:rsidRPr="000712F4" w:rsidRDefault="00565354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712F4">
              <w:rPr>
                <w:szCs w:val="26"/>
              </w:rPr>
              <w:t>Люксембург</w:t>
            </w:r>
          </w:p>
        </w:tc>
      </w:tr>
      <w:tr w:rsidR="000F33D8" w:rsidRPr="000712F4" w14:paraId="79D2BEDE" w14:textId="77777777">
        <w:trPr>
          <w:cantSplit/>
        </w:trPr>
        <w:tc>
          <w:tcPr>
            <w:tcW w:w="10031" w:type="dxa"/>
            <w:gridSpan w:val="2"/>
          </w:tcPr>
          <w:p w14:paraId="6449AF30" w14:textId="2E950FEC" w:rsidR="000F33D8" w:rsidRPr="000712F4" w:rsidRDefault="00B33A4C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712F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712F4" w14:paraId="56AC2C22" w14:textId="77777777">
        <w:trPr>
          <w:cantSplit/>
        </w:trPr>
        <w:tc>
          <w:tcPr>
            <w:tcW w:w="10031" w:type="dxa"/>
            <w:gridSpan w:val="2"/>
          </w:tcPr>
          <w:p w14:paraId="24F14336" w14:textId="77777777" w:rsidR="000F33D8" w:rsidRPr="000712F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712F4" w14:paraId="18EA7712" w14:textId="77777777">
        <w:trPr>
          <w:cantSplit/>
        </w:trPr>
        <w:tc>
          <w:tcPr>
            <w:tcW w:w="10031" w:type="dxa"/>
            <w:gridSpan w:val="2"/>
          </w:tcPr>
          <w:p w14:paraId="2625F310" w14:textId="7234C282" w:rsidR="000F33D8" w:rsidRPr="000712F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712F4">
              <w:rPr>
                <w:lang w:val="ru-RU"/>
              </w:rPr>
              <w:t>Пункт 1.</w:t>
            </w:r>
            <w:r w:rsidR="00565354" w:rsidRPr="000712F4">
              <w:rPr>
                <w:lang w:val="ru-RU"/>
              </w:rPr>
              <w:t>2</w:t>
            </w:r>
            <w:r w:rsidRPr="000712F4">
              <w:rPr>
                <w:lang w:val="ru-RU"/>
              </w:rPr>
              <w:t xml:space="preserve"> повестки дня</w:t>
            </w:r>
          </w:p>
        </w:tc>
      </w:tr>
    </w:tbl>
    <w:bookmarkEnd w:id="6"/>
    <w:p w14:paraId="75E6A13D" w14:textId="7F53C3DA" w:rsidR="004201F0" w:rsidRPr="000712F4" w:rsidRDefault="004201F0" w:rsidP="004201F0">
      <w:pPr>
        <w:rPr>
          <w:szCs w:val="22"/>
        </w:rPr>
      </w:pPr>
      <w:r w:rsidRPr="000712F4">
        <w:t>1.5</w:t>
      </w:r>
      <w:r w:rsidRPr="000712F4">
        <w:tab/>
      </w:r>
      <w:r w:rsidR="00565354" w:rsidRPr="000712F4">
        <w:t xml:space="preserve">рассмотреть вопрос о </w:t>
      </w:r>
      <w:proofErr w:type="spellStart"/>
      <w:r w:rsidR="00565354" w:rsidRPr="000712F4">
        <w:t>внутриполосных</w:t>
      </w:r>
      <w:proofErr w:type="spellEnd"/>
      <w:r w:rsidR="00565354" w:rsidRPr="000712F4">
        <w:t xml:space="preserve">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 МГц в соответствии с Резолюцией </w:t>
      </w:r>
      <w:r w:rsidR="00565354" w:rsidRPr="000712F4">
        <w:rPr>
          <w:b/>
          <w:bCs/>
        </w:rPr>
        <w:t xml:space="preserve">765 </w:t>
      </w:r>
      <w:r w:rsidRPr="000712F4">
        <w:rPr>
          <w:b/>
          <w:bCs/>
        </w:rPr>
        <w:t>(ВКР</w:t>
      </w:r>
      <w:r w:rsidRPr="000712F4">
        <w:rPr>
          <w:b/>
          <w:bCs/>
        </w:rPr>
        <w:noBreakHyphen/>
        <w:t>15)</w:t>
      </w:r>
      <w:r w:rsidRPr="000712F4">
        <w:t>;</w:t>
      </w:r>
    </w:p>
    <w:p w14:paraId="2E030EF2" w14:textId="7CE5AD48" w:rsidR="009D0346" w:rsidRPr="000712F4" w:rsidRDefault="00565354" w:rsidP="00EA7B6B">
      <w:pPr>
        <w:pStyle w:val="Headingb"/>
        <w:rPr>
          <w:lang w:val="ru-RU" w:eastAsia="ko-KR"/>
        </w:rPr>
      </w:pPr>
      <w:r w:rsidRPr="000712F4">
        <w:rPr>
          <w:lang w:val="ru-RU" w:eastAsia="ko-KR"/>
        </w:rPr>
        <w:t>Введение</w:t>
      </w:r>
    </w:p>
    <w:p w14:paraId="0D8C490F" w14:textId="77777777" w:rsidR="00565354" w:rsidRPr="000712F4" w:rsidRDefault="00565354" w:rsidP="00565354">
      <w:r w:rsidRPr="000712F4">
        <w:t xml:space="preserve">В рамках подготовительной работы по пункту 1.2 повестки дня ВКР-19 в трех из четырех разработанных методов был предусмотрен потенциальный предел </w:t>
      </w:r>
      <w:proofErr w:type="spellStart"/>
      <w:r w:rsidRPr="000712F4">
        <w:t>внутриполосной</w:t>
      </w:r>
      <w:proofErr w:type="spellEnd"/>
      <w:r w:rsidRPr="000712F4">
        <w:t xml:space="preserve"> мощности для земных станций, работающих в подвижной спутниковой службе в полосе частот 399,9–400,05 МГц. </w:t>
      </w:r>
    </w:p>
    <w:p w14:paraId="59DB8B8E" w14:textId="77221109" w:rsidR="00565354" w:rsidRPr="000712F4" w:rsidRDefault="00565354" w:rsidP="00565354">
      <w:r w:rsidRPr="000712F4">
        <w:t xml:space="preserve">Администрация Люксембурга поддерживает введение таких пределов </w:t>
      </w:r>
      <w:proofErr w:type="spellStart"/>
      <w:r w:rsidRPr="000712F4">
        <w:t>внутриполосной</w:t>
      </w:r>
      <w:proofErr w:type="spellEnd"/>
      <w:r w:rsidRPr="000712F4">
        <w:t xml:space="preserve"> мощности, однако в то же время признает, что ее существующая спутниковая сеть LXS-AIS, по которой подана заявка на регистрацию в этой полосе, не имеет минимальных значений мощности (или </w:t>
      </w:r>
      <w:proofErr w:type="spellStart"/>
      <w:r w:rsidRPr="000712F4">
        <w:t>э.и.и.м</w:t>
      </w:r>
      <w:proofErr w:type="spellEnd"/>
      <w:r w:rsidRPr="000712F4">
        <w:t>.), соответствующих этим пределам. Ранее сеть использовалась для передач с высоким уровнем мощности, однако за последнее время была проведена подготовительная работа для обеспечения соответствия этим пределам в целях поддержки успешного результата работы в рамках этого пункта повестки дня.</w:t>
      </w:r>
    </w:p>
    <w:p w14:paraId="5685AEE3" w14:textId="207F6CEE" w:rsidR="00565354" w:rsidRPr="000712F4" w:rsidRDefault="00565354" w:rsidP="00565354">
      <w:r w:rsidRPr="000712F4">
        <w:t xml:space="preserve">Подача заявки на изменение при меньших значениях </w:t>
      </w:r>
      <w:proofErr w:type="spellStart"/>
      <w:r w:rsidRPr="000712F4">
        <w:t>внутриполосной</w:t>
      </w:r>
      <w:proofErr w:type="spellEnd"/>
      <w:r w:rsidRPr="000712F4">
        <w:t xml:space="preserve"> мощности (или </w:t>
      </w:r>
      <w:proofErr w:type="spellStart"/>
      <w:r w:rsidRPr="000712F4">
        <w:t>э.и.и.м</w:t>
      </w:r>
      <w:proofErr w:type="spellEnd"/>
      <w:r w:rsidRPr="000712F4">
        <w:t xml:space="preserve">.) является абсолютно допустимой, при этом также справедливо, что такому изменению будет присвоена новая дата получения, в результате чего условия работы LXS-AIS будут менее благоприятными по сравнению с условиями работы существующих систем, заявки на регистрацию по которым уже поданы и имеют более позднюю дату получения. В отсутствие возможности внести изменение, добавить меньшие значения </w:t>
      </w:r>
      <w:proofErr w:type="spellStart"/>
      <w:r w:rsidRPr="000712F4">
        <w:t>внутриполосной</w:t>
      </w:r>
      <w:proofErr w:type="spellEnd"/>
      <w:r w:rsidRPr="000712F4">
        <w:t xml:space="preserve"> мощности (или </w:t>
      </w:r>
      <w:proofErr w:type="spellStart"/>
      <w:r w:rsidRPr="000712F4">
        <w:t>э.и.и.м</w:t>
      </w:r>
      <w:proofErr w:type="spellEnd"/>
      <w:r w:rsidRPr="000712F4">
        <w:t xml:space="preserve">) и в то же время сохранить первоначальную дату получения, работа LXS-AIS в соответствии с поданной на регистрацию заявкой согласно вновь принятым пределам </w:t>
      </w:r>
      <w:proofErr w:type="spellStart"/>
      <w:r w:rsidRPr="000712F4">
        <w:t>внутриполосной</w:t>
      </w:r>
      <w:proofErr w:type="spellEnd"/>
      <w:r w:rsidRPr="000712F4">
        <w:t xml:space="preserve"> мощности (если Конференция действительно решит принять такие пределы) утратит какую-либо защиту по сравнению с работой существующих сетей, заявки по которым уже поданы.</w:t>
      </w:r>
    </w:p>
    <w:p w14:paraId="61930E4F" w14:textId="77777777" w:rsidR="00565354" w:rsidRPr="000712F4" w:rsidRDefault="00565354" w:rsidP="00565354">
      <w:pPr>
        <w:rPr>
          <w:bCs/>
        </w:rPr>
      </w:pPr>
      <w:r w:rsidRPr="000712F4">
        <w:rPr>
          <w:bCs/>
        </w:rPr>
        <w:t xml:space="preserve">В соответствии с п. </w:t>
      </w:r>
      <w:r w:rsidRPr="000712F4">
        <w:rPr>
          <w:b/>
        </w:rPr>
        <w:t>11.50</w:t>
      </w:r>
      <w:r w:rsidRPr="000712F4">
        <w:rPr>
          <w:bCs/>
        </w:rPr>
        <w:t xml:space="preserve"> Регламента радиосвязи Бюро должно периодически пересматривать Справочный регистр с целью поддержания или повышения его точности, придавая особое значение пересмотру заключений, с тем чтобы корректировать их в соответствии с изменяющейся ситуацией распределения частот после каждой конференции. </w:t>
      </w:r>
    </w:p>
    <w:p w14:paraId="6198D05A" w14:textId="77777777" w:rsidR="00565354" w:rsidRPr="000712F4" w:rsidRDefault="00565354" w:rsidP="00565354">
      <w:r w:rsidRPr="000712F4">
        <w:t xml:space="preserve">В пункте 6 Правил процедуры по п. </w:t>
      </w:r>
      <w:r w:rsidRPr="000712F4">
        <w:rPr>
          <w:b/>
          <w:bCs/>
        </w:rPr>
        <w:t>11.50</w:t>
      </w:r>
      <w:r w:rsidRPr="000712F4">
        <w:t xml:space="preserve"> РР, который касается изменения условий для распределения без изменения категории распределения (например, дополнительные </w:t>
      </w:r>
      <w:proofErr w:type="spellStart"/>
      <w:r w:rsidRPr="000712F4">
        <w:lastRenderedPageBreak/>
        <w:t>регламентарные</w:t>
      </w:r>
      <w:proofErr w:type="spellEnd"/>
      <w:r w:rsidRPr="000712F4">
        <w:t>/технические ограничения), предусмотрено, что первоначальные заключения по соответствующему зарегистрированному присвоению могут быть сохранены только в зависимости от соответствия новым условиям.</w:t>
      </w:r>
    </w:p>
    <w:p w14:paraId="3E7DFCDD" w14:textId="77777777" w:rsidR="00565354" w:rsidRPr="000712F4" w:rsidRDefault="00565354" w:rsidP="00565354">
      <w:pPr>
        <w:rPr>
          <w:bCs/>
        </w:rPr>
      </w:pPr>
      <w:r w:rsidRPr="000712F4">
        <w:rPr>
          <w:bCs/>
        </w:rPr>
        <w:t>Насколько мы понимаем, это положение предусматривает, что корректировка характеристик существующего заключения для приведения в соответствие с решениями Конференции не приводит к утрате первоначальной даты получения.</w:t>
      </w:r>
    </w:p>
    <w:p w14:paraId="4BD9654D" w14:textId="668711BD" w:rsidR="009D0346" w:rsidRPr="000712F4" w:rsidRDefault="00565354" w:rsidP="00EA7B6B">
      <w:pPr>
        <w:pStyle w:val="Headingb"/>
        <w:rPr>
          <w:lang w:val="ru-RU"/>
        </w:rPr>
      </w:pPr>
      <w:r w:rsidRPr="000712F4">
        <w:rPr>
          <w:lang w:val="ru-RU" w:eastAsia="ko-KR"/>
        </w:rPr>
        <w:t>Предложение</w:t>
      </w:r>
    </w:p>
    <w:p w14:paraId="6BB8F172" w14:textId="3856CEC8" w:rsidR="00565354" w:rsidRPr="000712F4" w:rsidRDefault="00565354" w:rsidP="009D0346">
      <w:r w:rsidRPr="000712F4">
        <w:t xml:space="preserve">При принятии новых пределов </w:t>
      </w:r>
      <w:proofErr w:type="spellStart"/>
      <w:r w:rsidRPr="000712F4">
        <w:t>внутриполосной</w:t>
      </w:r>
      <w:proofErr w:type="spellEnd"/>
      <w:r w:rsidRPr="000712F4">
        <w:t xml:space="preserve"> мощности (или пределов </w:t>
      </w:r>
      <w:proofErr w:type="spellStart"/>
      <w:r w:rsidRPr="000712F4">
        <w:t>э.и.и.м</w:t>
      </w:r>
      <w:proofErr w:type="spellEnd"/>
      <w:r w:rsidRPr="000712F4">
        <w:t>.) в полосе 399,9</w:t>
      </w:r>
      <w:r w:rsidR="00EA7B6B" w:rsidRPr="000712F4">
        <w:t>−</w:t>
      </w:r>
      <w:r w:rsidRPr="000712F4">
        <w:t xml:space="preserve">400,05 МГц для подвижной спутниковой службы следует обеспечить возможность внесения изменения для включения в заявку на регистрацию спутниковой сети LXS-AIS минимальных уровней мощности (или минимальной </w:t>
      </w:r>
      <w:proofErr w:type="spellStart"/>
      <w:r w:rsidRPr="000712F4">
        <w:t>э.и.и.м</w:t>
      </w:r>
      <w:proofErr w:type="spellEnd"/>
      <w:r w:rsidRPr="000712F4">
        <w:t>.) в соотве</w:t>
      </w:r>
      <w:bookmarkStart w:id="7" w:name="_GoBack"/>
      <w:bookmarkEnd w:id="7"/>
      <w:r w:rsidRPr="000712F4">
        <w:t xml:space="preserve">тствии с новыми пределами при сохранении первоначальной даты получения этого изменения в целях сохранения существующего уровня защиты по этой заявке. Это будет также соответствовать </w:t>
      </w:r>
      <w:proofErr w:type="spellStart"/>
      <w:r w:rsidRPr="000712F4">
        <w:t>ПрП</w:t>
      </w:r>
      <w:proofErr w:type="spellEnd"/>
      <w:r w:rsidRPr="000712F4">
        <w:t xml:space="preserve"> по п. </w:t>
      </w:r>
      <w:r w:rsidRPr="000712F4">
        <w:rPr>
          <w:b/>
          <w:bCs/>
        </w:rPr>
        <w:t>11.50</w:t>
      </w:r>
      <w:r w:rsidRPr="000712F4">
        <w:t xml:space="preserve"> РР (пункт 6).</w:t>
      </w:r>
    </w:p>
    <w:p w14:paraId="6A6EA1CA" w14:textId="77777777" w:rsidR="00EA7B6B" w:rsidRPr="000712F4" w:rsidRDefault="00EA7B6B" w:rsidP="00411C49">
      <w:pPr>
        <w:pStyle w:val="Reasons"/>
      </w:pPr>
    </w:p>
    <w:p w14:paraId="3141B493" w14:textId="77777777" w:rsidR="00EA7B6B" w:rsidRPr="000712F4" w:rsidRDefault="00EA7B6B">
      <w:pPr>
        <w:jc w:val="center"/>
      </w:pPr>
      <w:r w:rsidRPr="000712F4">
        <w:t>______________</w:t>
      </w:r>
    </w:p>
    <w:sectPr w:rsidR="00EA7B6B" w:rsidRPr="000712F4" w:rsidSect="00EA7B6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785F9" w14:textId="77777777" w:rsidR="00B902D7" w:rsidRDefault="00B902D7">
      <w:r>
        <w:separator/>
      </w:r>
    </w:p>
  </w:endnote>
  <w:endnote w:type="continuationSeparator" w:id="0">
    <w:p w14:paraId="13B4AF76" w14:textId="77777777" w:rsidR="00B902D7" w:rsidRDefault="00B9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35079" w14:textId="77777777" w:rsidR="00B33A4C" w:rsidRDefault="00B33A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42FEE9" w14:textId="611E937F" w:rsidR="00B33A4C" w:rsidRPr="00EA7B6B" w:rsidRDefault="00B33A4C">
    <w:pPr>
      <w:ind w:right="360"/>
      <w:rPr>
        <w:lang w:val="en-GB"/>
      </w:rPr>
    </w:pPr>
    <w:r>
      <w:fldChar w:fldCharType="begin"/>
    </w:r>
    <w:r w:rsidRPr="00EA7B6B">
      <w:rPr>
        <w:lang w:val="en-GB"/>
      </w:rPr>
      <w:instrText xml:space="preserve"> FILENAME \p  \* MERGEFORMAT </w:instrText>
    </w:r>
    <w:r>
      <w:fldChar w:fldCharType="separate"/>
    </w:r>
    <w:r w:rsidR="000712F4">
      <w:rPr>
        <w:noProof/>
        <w:lang w:val="en-GB"/>
      </w:rPr>
      <w:t>P:\RUS\ITU-R\CONF-R\CMR19\000\096R.docx</w:t>
    </w:r>
    <w:r>
      <w:fldChar w:fldCharType="end"/>
    </w:r>
    <w:r w:rsidRPr="00EA7B6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12F4">
      <w:rPr>
        <w:noProof/>
      </w:rPr>
      <w:t>27.10.19</w:t>
    </w:r>
    <w:r>
      <w:fldChar w:fldCharType="end"/>
    </w:r>
    <w:r w:rsidRPr="00EA7B6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12F4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46DA" w14:textId="32F1A244" w:rsidR="00B33A4C" w:rsidRPr="003F5B7A" w:rsidRDefault="00B33A4C" w:rsidP="00F33B22">
    <w:pPr>
      <w:pStyle w:val="Footer"/>
      <w:rPr>
        <w:lang w:val="en-US"/>
      </w:rPr>
    </w:pPr>
    <w:r>
      <w:fldChar w:fldCharType="begin"/>
    </w:r>
    <w:r w:rsidRPr="00EA7B6B">
      <w:instrText xml:space="preserve"> FILENAME \p  \* MERGEFORMAT </w:instrText>
    </w:r>
    <w:r>
      <w:fldChar w:fldCharType="separate"/>
    </w:r>
    <w:r w:rsidR="000712F4">
      <w:t>P:\RUS\ITU-R\CONF-R\CMR19\000\096R.docx</w:t>
    </w:r>
    <w:r>
      <w:fldChar w:fldCharType="end"/>
    </w:r>
    <w:r w:rsidRPr="003F5B7A">
      <w:rPr>
        <w:lang w:val="en-US"/>
      </w:rPr>
      <w:t xml:space="preserve"> </w:t>
    </w:r>
    <w:r>
      <w:t>(4622</w:t>
    </w:r>
    <w:r w:rsidR="00EA7B6B">
      <w:t>40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220A" w14:textId="214B6ECA" w:rsidR="00EA7B6B" w:rsidRPr="003F5B7A" w:rsidRDefault="00EA7B6B" w:rsidP="00EA7B6B">
    <w:pPr>
      <w:pStyle w:val="Footer"/>
      <w:rPr>
        <w:lang w:val="en-US"/>
      </w:rPr>
    </w:pPr>
    <w:r>
      <w:fldChar w:fldCharType="begin"/>
    </w:r>
    <w:r w:rsidRPr="00EA7B6B">
      <w:instrText xml:space="preserve"> FILENAME \p  \* MERGEFORMAT </w:instrText>
    </w:r>
    <w:r>
      <w:fldChar w:fldCharType="separate"/>
    </w:r>
    <w:r w:rsidR="000712F4">
      <w:t>P:\RUS\ITU-R\CONF-R\CMR19\000\096R.docx</w:t>
    </w:r>
    <w:r>
      <w:fldChar w:fldCharType="end"/>
    </w:r>
    <w:r w:rsidRPr="003F5B7A">
      <w:rPr>
        <w:lang w:val="en-US"/>
      </w:rPr>
      <w:t xml:space="preserve"> </w:t>
    </w:r>
    <w:r>
      <w:t>(462240)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009AE" w14:textId="77777777" w:rsidR="00B902D7" w:rsidRDefault="00B902D7">
      <w:r>
        <w:rPr>
          <w:b/>
        </w:rPr>
        <w:t>_______________</w:t>
      </w:r>
    </w:p>
  </w:footnote>
  <w:footnote w:type="continuationSeparator" w:id="0">
    <w:p w14:paraId="576766C3" w14:textId="77777777" w:rsidR="00B902D7" w:rsidRDefault="00B9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80B9" w14:textId="77777777" w:rsidR="00B33A4C" w:rsidRPr="00434A7C" w:rsidRDefault="00B33A4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7291A76" w14:textId="105E4A5D" w:rsidR="00B33A4C" w:rsidRDefault="00B33A4C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</w:t>
    </w:r>
    <w:r w:rsidR="00EA7B6B">
      <w:t>6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0D95"/>
    <w:rsid w:val="000712F4"/>
    <w:rsid w:val="000A0EF3"/>
    <w:rsid w:val="000A13EF"/>
    <w:rsid w:val="000A7139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A6EAC"/>
    <w:rsid w:val="003C583C"/>
    <w:rsid w:val="003F0078"/>
    <w:rsid w:val="003F5B7A"/>
    <w:rsid w:val="004201F0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5354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4F09"/>
    <w:rsid w:val="00657DE0"/>
    <w:rsid w:val="006621C2"/>
    <w:rsid w:val="00692C06"/>
    <w:rsid w:val="006A6E9B"/>
    <w:rsid w:val="00714A97"/>
    <w:rsid w:val="00763F4F"/>
    <w:rsid w:val="00775720"/>
    <w:rsid w:val="007917AE"/>
    <w:rsid w:val="007A08B5"/>
    <w:rsid w:val="00811633"/>
    <w:rsid w:val="00812452"/>
    <w:rsid w:val="00813C11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0346"/>
    <w:rsid w:val="009D3D63"/>
    <w:rsid w:val="009E5FC8"/>
    <w:rsid w:val="00A03521"/>
    <w:rsid w:val="00A117A3"/>
    <w:rsid w:val="00A138D0"/>
    <w:rsid w:val="00A141AF"/>
    <w:rsid w:val="00A2044F"/>
    <w:rsid w:val="00A4600A"/>
    <w:rsid w:val="00A57C04"/>
    <w:rsid w:val="00A61057"/>
    <w:rsid w:val="00A65C2A"/>
    <w:rsid w:val="00A710E7"/>
    <w:rsid w:val="00A81026"/>
    <w:rsid w:val="00A97EC0"/>
    <w:rsid w:val="00AA6FEC"/>
    <w:rsid w:val="00AC66E6"/>
    <w:rsid w:val="00B24E60"/>
    <w:rsid w:val="00B33A4C"/>
    <w:rsid w:val="00B468A6"/>
    <w:rsid w:val="00B75113"/>
    <w:rsid w:val="00B902D7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14C5"/>
    <w:rsid w:val="00C56E7A"/>
    <w:rsid w:val="00C613CE"/>
    <w:rsid w:val="00C779CE"/>
    <w:rsid w:val="00C916AF"/>
    <w:rsid w:val="00CC47C6"/>
    <w:rsid w:val="00CC4DE6"/>
    <w:rsid w:val="00CE5E47"/>
    <w:rsid w:val="00CF020F"/>
    <w:rsid w:val="00D006B6"/>
    <w:rsid w:val="00D53715"/>
    <w:rsid w:val="00DE2EBA"/>
    <w:rsid w:val="00E2253F"/>
    <w:rsid w:val="00E43E99"/>
    <w:rsid w:val="00E5155F"/>
    <w:rsid w:val="00E65919"/>
    <w:rsid w:val="00E67C04"/>
    <w:rsid w:val="00E751FD"/>
    <w:rsid w:val="00E976C1"/>
    <w:rsid w:val="00EA0C0C"/>
    <w:rsid w:val="00EA7B6B"/>
    <w:rsid w:val="00EB66F7"/>
    <w:rsid w:val="00F1578A"/>
    <w:rsid w:val="00F21A03"/>
    <w:rsid w:val="00F33B22"/>
    <w:rsid w:val="00F65316"/>
    <w:rsid w:val="00F65C19"/>
    <w:rsid w:val="00F761D2"/>
    <w:rsid w:val="00F97203"/>
    <w:rsid w:val="00FA447C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5F87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A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qFormat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941A02"/>
  </w:style>
  <w:style w:type="character" w:customStyle="1" w:styleId="ResNoChar">
    <w:name w:val="Res_No Char"/>
    <w:basedOn w:val="DefaultParagraphFont"/>
    <w:link w:val="ResNo"/>
    <w:qFormat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714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ECBF9C-6795-4D26-A555-6A68B8E0B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AC776-1ADB-4C55-A172-B65D9160D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2D928-BC96-4E82-A43B-547479FC113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5292FEE9-F082-461D-9C72-C09186787F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467</Words>
  <Characters>3213</Characters>
  <Application>Microsoft Office Word</Application>
  <DocSecurity>0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R16-WRC19-C-0092!A5!MSW-R</vt:lpstr>
    </vt:vector>
  </TitlesOfParts>
  <Manager>General Secretariat - Pool</Manager>
  <Company>International Telecommunication Union (ITU)</Company>
  <LinksUpToDate>false</LinksUpToDate>
  <CharactersWithSpaces>3663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R16-WRC19-C-0092!A5!MSW-R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5</cp:revision>
  <cp:lastPrinted>2019-10-27T14:33:00Z</cp:lastPrinted>
  <dcterms:created xsi:type="dcterms:W3CDTF">2019-10-27T11:48:00Z</dcterms:created>
  <dcterms:modified xsi:type="dcterms:W3CDTF">2019-10-27T14:33:00Z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