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617A469" w14:textId="77777777">
        <w:trPr>
          <w:cantSplit/>
        </w:trPr>
        <w:tc>
          <w:tcPr>
            <w:tcW w:w="6911" w:type="dxa"/>
          </w:tcPr>
          <w:p w14:paraId="44E16EE6"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7684479" w14:textId="77777777" w:rsidR="00A066F1" w:rsidRDefault="005F04D8" w:rsidP="003B2284">
            <w:pPr>
              <w:spacing w:before="0" w:line="240" w:lineRule="atLeast"/>
              <w:jc w:val="right"/>
            </w:pPr>
            <w:bookmarkStart w:id="0" w:name="ditulogo"/>
            <w:bookmarkEnd w:id="0"/>
            <w:r>
              <w:rPr>
                <w:noProof/>
                <w:lang w:val="en-US" w:eastAsia="zh-CN"/>
              </w:rPr>
              <w:drawing>
                <wp:inline distT="0" distB="0" distL="0" distR="0" wp14:anchorId="3071ADC5" wp14:editId="14242E3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5CF6BC4" w14:textId="77777777">
        <w:trPr>
          <w:cantSplit/>
        </w:trPr>
        <w:tc>
          <w:tcPr>
            <w:tcW w:w="6911" w:type="dxa"/>
            <w:tcBorders>
              <w:bottom w:val="single" w:sz="12" w:space="0" w:color="auto"/>
            </w:tcBorders>
          </w:tcPr>
          <w:p w14:paraId="240B0A71"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69C50AA" w14:textId="77777777" w:rsidR="00A066F1" w:rsidRPr="00617BE4" w:rsidRDefault="00A066F1" w:rsidP="00A066F1">
            <w:pPr>
              <w:spacing w:before="0" w:line="240" w:lineRule="atLeast"/>
              <w:rPr>
                <w:rFonts w:ascii="Verdana" w:hAnsi="Verdana"/>
                <w:szCs w:val="24"/>
              </w:rPr>
            </w:pPr>
          </w:p>
        </w:tc>
      </w:tr>
      <w:tr w:rsidR="00A066F1" w:rsidRPr="00C324A8" w14:paraId="63A2DBB0" w14:textId="77777777">
        <w:trPr>
          <w:cantSplit/>
        </w:trPr>
        <w:tc>
          <w:tcPr>
            <w:tcW w:w="6911" w:type="dxa"/>
            <w:tcBorders>
              <w:top w:val="single" w:sz="12" w:space="0" w:color="auto"/>
            </w:tcBorders>
          </w:tcPr>
          <w:p w14:paraId="4166082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253CB17" w14:textId="77777777" w:rsidR="00A066F1" w:rsidRPr="00C324A8" w:rsidRDefault="00A066F1" w:rsidP="00A066F1">
            <w:pPr>
              <w:spacing w:before="0" w:line="240" w:lineRule="atLeast"/>
              <w:rPr>
                <w:rFonts w:ascii="Verdana" w:hAnsi="Verdana"/>
                <w:sz w:val="20"/>
              </w:rPr>
            </w:pPr>
          </w:p>
        </w:tc>
      </w:tr>
      <w:tr w:rsidR="00A066F1" w:rsidRPr="00C324A8" w14:paraId="13C55B79" w14:textId="77777777">
        <w:trPr>
          <w:cantSplit/>
          <w:trHeight w:val="23"/>
        </w:trPr>
        <w:tc>
          <w:tcPr>
            <w:tcW w:w="6911" w:type="dxa"/>
            <w:shd w:val="clear" w:color="auto" w:fill="auto"/>
          </w:tcPr>
          <w:p w14:paraId="79D2E0D4"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2A08197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97</w:t>
            </w:r>
            <w:r w:rsidR="00A066F1" w:rsidRPr="00841216">
              <w:rPr>
                <w:rFonts w:ascii="Verdana" w:hAnsi="Verdana"/>
                <w:b/>
                <w:sz w:val="20"/>
              </w:rPr>
              <w:t>-</w:t>
            </w:r>
            <w:r w:rsidR="005E10C9" w:rsidRPr="00841216">
              <w:rPr>
                <w:rFonts w:ascii="Verdana" w:hAnsi="Verdana"/>
                <w:b/>
                <w:sz w:val="20"/>
              </w:rPr>
              <w:t>E</w:t>
            </w:r>
          </w:p>
        </w:tc>
      </w:tr>
      <w:tr w:rsidR="00A066F1" w:rsidRPr="00C324A8" w14:paraId="30E8C4E4" w14:textId="77777777">
        <w:trPr>
          <w:cantSplit/>
          <w:trHeight w:val="23"/>
        </w:trPr>
        <w:tc>
          <w:tcPr>
            <w:tcW w:w="6911" w:type="dxa"/>
            <w:shd w:val="clear" w:color="auto" w:fill="auto"/>
          </w:tcPr>
          <w:p w14:paraId="1552ECC1"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95159A5"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10 October 2019</w:t>
            </w:r>
          </w:p>
        </w:tc>
      </w:tr>
      <w:tr w:rsidR="00A066F1" w:rsidRPr="00C324A8" w14:paraId="51A3F688" w14:textId="77777777">
        <w:trPr>
          <w:cantSplit/>
          <w:trHeight w:val="23"/>
        </w:trPr>
        <w:tc>
          <w:tcPr>
            <w:tcW w:w="6911" w:type="dxa"/>
            <w:shd w:val="clear" w:color="auto" w:fill="auto"/>
          </w:tcPr>
          <w:p w14:paraId="6CD63046"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006D84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516D9A1" w14:textId="77777777" w:rsidTr="00025864">
        <w:trPr>
          <w:cantSplit/>
          <w:trHeight w:val="23"/>
        </w:trPr>
        <w:tc>
          <w:tcPr>
            <w:tcW w:w="10031" w:type="dxa"/>
            <w:gridSpan w:val="2"/>
            <w:shd w:val="clear" w:color="auto" w:fill="auto"/>
          </w:tcPr>
          <w:p w14:paraId="1A35980D" w14:textId="77777777" w:rsidR="00A066F1" w:rsidRPr="00C324A8" w:rsidRDefault="00A066F1" w:rsidP="00A066F1">
            <w:pPr>
              <w:tabs>
                <w:tab w:val="left" w:pos="993"/>
              </w:tabs>
              <w:spacing w:before="0"/>
              <w:rPr>
                <w:rFonts w:ascii="Verdana" w:hAnsi="Verdana"/>
                <w:b/>
                <w:sz w:val="20"/>
              </w:rPr>
            </w:pPr>
          </w:p>
        </w:tc>
      </w:tr>
      <w:tr w:rsidR="00E55816" w:rsidRPr="00C324A8" w14:paraId="471A6E96" w14:textId="77777777" w:rsidTr="00025864">
        <w:trPr>
          <w:cantSplit/>
          <w:trHeight w:val="23"/>
        </w:trPr>
        <w:tc>
          <w:tcPr>
            <w:tcW w:w="10031" w:type="dxa"/>
            <w:gridSpan w:val="2"/>
            <w:shd w:val="clear" w:color="auto" w:fill="auto"/>
          </w:tcPr>
          <w:p w14:paraId="28A7C417" w14:textId="1DA60C14" w:rsidR="00E55816" w:rsidRDefault="003C38E2" w:rsidP="00E55816">
            <w:pPr>
              <w:pStyle w:val="Source"/>
            </w:pPr>
            <w:r w:rsidRPr="003C38E2">
              <w:t>Angola (Republic of)/Botswana (Republic of)/Burundi (Republic of)/Comoros (Union of the)/Eswatini (Kingdom of)/Kenya (Republic of)/Lesotho (Kingdom of)/Madagascar (Republic of)/Malawi/Mauritius (Republic of)/Mozambique (Republic of)/Namibia (Republic of)/Uganda (Republic of)/Democratic Republic of the Congo/Rwanda (Republic of)/Seychelles (Republic of)/South Sudan (Republic of)/South Africa (Republic of)/Tanzania (United Republic of)/Zambia (Republic of)/Zimbabwe (Republic of)</w:t>
            </w:r>
          </w:p>
        </w:tc>
      </w:tr>
      <w:tr w:rsidR="00E55816" w:rsidRPr="00C324A8" w14:paraId="1EF2E9D4" w14:textId="77777777" w:rsidTr="00025864">
        <w:trPr>
          <w:cantSplit/>
          <w:trHeight w:val="23"/>
        </w:trPr>
        <w:tc>
          <w:tcPr>
            <w:tcW w:w="10031" w:type="dxa"/>
            <w:gridSpan w:val="2"/>
            <w:shd w:val="clear" w:color="auto" w:fill="auto"/>
          </w:tcPr>
          <w:p w14:paraId="5C114E3A" w14:textId="77777777" w:rsidR="00E55816" w:rsidRDefault="007D5320" w:rsidP="00E55816">
            <w:pPr>
              <w:pStyle w:val="Title1"/>
            </w:pPr>
            <w:r>
              <w:t>Proposals for the work of the conference</w:t>
            </w:r>
          </w:p>
        </w:tc>
      </w:tr>
      <w:tr w:rsidR="00E55816" w:rsidRPr="00C324A8" w14:paraId="102561CF" w14:textId="77777777" w:rsidTr="00025864">
        <w:trPr>
          <w:cantSplit/>
          <w:trHeight w:val="23"/>
        </w:trPr>
        <w:tc>
          <w:tcPr>
            <w:tcW w:w="10031" w:type="dxa"/>
            <w:gridSpan w:val="2"/>
            <w:shd w:val="clear" w:color="auto" w:fill="auto"/>
          </w:tcPr>
          <w:p w14:paraId="68012CED" w14:textId="3E741AD0" w:rsidR="00E55816" w:rsidRPr="009506DA" w:rsidRDefault="009506DA" w:rsidP="009506DA">
            <w:pPr>
              <w:pStyle w:val="Title2"/>
            </w:pPr>
            <w:r w:rsidRPr="009506DA">
              <w:t xml:space="preserve">Studies on frequency-related matters for identification of International Mobile Telecommunications in </w:t>
            </w:r>
            <w:r w:rsidRPr="009506DA">
              <w:br/>
              <w:t>bands in the 4-18 GH</w:t>
            </w:r>
            <w:r w:rsidR="00F94A6C">
              <w:rPr>
                <w:caps w:val="0"/>
              </w:rPr>
              <w:t>z</w:t>
            </w:r>
            <w:r w:rsidR="00EB3F77">
              <w:t xml:space="preserve"> </w:t>
            </w:r>
            <w:r w:rsidRPr="009506DA">
              <w:t>range</w:t>
            </w:r>
          </w:p>
        </w:tc>
      </w:tr>
      <w:tr w:rsidR="00A538A6" w:rsidRPr="00C324A8" w14:paraId="1B7FC8D5" w14:textId="77777777" w:rsidTr="00025864">
        <w:trPr>
          <w:cantSplit/>
          <w:trHeight w:val="23"/>
        </w:trPr>
        <w:tc>
          <w:tcPr>
            <w:tcW w:w="10031" w:type="dxa"/>
            <w:gridSpan w:val="2"/>
            <w:shd w:val="clear" w:color="auto" w:fill="auto"/>
          </w:tcPr>
          <w:p w14:paraId="0525F049" w14:textId="77777777" w:rsidR="00A538A6" w:rsidRDefault="004B13CB" w:rsidP="004B13CB">
            <w:pPr>
              <w:pStyle w:val="Agendaitem"/>
            </w:pPr>
            <w:r>
              <w:t xml:space="preserve">Agenda </w:t>
            </w:r>
            <w:r w:rsidRPr="00F90E9C">
              <w:rPr>
                <w:lang w:val="en-GB"/>
              </w:rPr>
              <w:t>item</w:t>
            </w:r>
            <w:r>
              <w:t xml:space="preserve"> 10</w:t>
            </w:r>
          </w:p>
        </w:tc>
      </w:tr>
    </w:tbl>
    <w:bookmarkEnd w:id="6"/>
    <w:bookmarkEnd w:id="7"/>
    <w:p w14:paraId="10486295" w14:textId="77777777" w:rsidR="005118F7" w:rsidRDefault="005227D1"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43FAA161" w14:textId="77777777" w:rsidR="009506DA" w:rsidRPr="009506DA" w:rsidRDefault="009506DA" w:rsidP="00255DE5">
      <w:pPr>
        <w:pStyle w:val="Heading1"/>
        <w:rPr>
          <w:rFonts w:eastAsia="SimSun"/>
          <w:lang w:val="en-US" w:eastAsia="zh-CN"/>
        </w:rPr>
      </w:pPr>
      <w:r w:rsidRPr="009506DA">
        <w:rPr>
          <w:rFonts w:eastAsia="SimSun"/>
          <w:lang w:val="en-US" w:eastAsia="zh-CN"/>
        </w:rPr>
        <w:t>1</w:t>
      </w:r>
      <w:r w:rsidRPr="009506DA">
        <w:rPr>
          <w:rFonts w:eastAsia="SimSun"/>
          <w:lang w:val="en-US" w:eastAsia="zh-CN"/>
        </w:rPr>
        <w:tab/>
        <w:t>Introduction</w:t>
      </w:r>
    </w:p>
    <w:p w14:paraId="010DE95F" w14:textId="77777777" w:rsidR="009506DA" w:rsidRDefault="009506DA" w:rsidP="009506DA">
      <w:pPr>
        <w:rPr>
          <w:lang w:eastAsia="zh-CN"/>
        </w:rPr>
      </w:pPr>
      <w:bookmarkStart w:id="8" w:name="OLE_LINK71"/>
      <w:bookmarkStart w:id="9" w:name="OLE_LINK72"/>
      <w:r w:rsidRPr="0001362A">
        <w:rPr>
          <w:lang w:eastAsia="zh-CN"/>
        </w:rPr>
        <w:t>Today’s world is powered by information. The opportunities created by Information and Communication Technology (ICT) development have been one of the main impacting factors on how society has been evolving in recent decades.</w:t>
      </w:r>
      <w:r w:rsidRPr="0001362A">
        <w:rPr>
          <w:rFonts w:hint="eastAsia"/>
          <w:lang w:eastAsia="zh-CN"/>
        </w:rPr>
        <w:t xml:space="preserve"> </w:t>
      </w:r>
      <w:r w:rsidRPr="0001362A">
        <w:rPr>
          <w:lang w:eastAsia="zh-CN"/>
        </w:rPr>
        <w:t xml:space="preserve">The use of the emerging technologies, including IMT-2020, will increase productivity, create new opportunities, and generate new services and employment, all of which can lead to greater well-being and further inclusiveness for the society. </w:t>
      </w:r>
    </w:p>
    <w:p w14:paraId="0DBEA0E8" w14:textId="77777777" w:rsidR="009506DA" w:rsidRDefault="009506DA" w:rsidP="009506DA">
      <w:pPr>
        <w:rPr>
          <w:lang w:eastAsia="zh-CN"/>
        </w:rPr>
      </w:pPr>
      <w:r w:rsidRPr="0001362A">
        <w:rPr>
          <w:lang w:eastAsia="zh-CN"/>
        </w:rPr>
        <w:t>IMT systems support various usage scenarios and applications, which includes enhanced Mobile Broadband (eMBB), massive Machine Type Communications (mMTC) and Ultra-Reliable Low-Latency Communications (URLLC).</w:t>
      </w:r>
      <w:r w:rsidRPr="0001362A">
        <w:rPr>
          <w:rFonts w:hint="eastAsia"/>
          <w:lang w:eastAsia="zh-CN"/>
        </w:rPr>
        <w:t xml:space="preserve"> </w:t>
      </w:r>
      <w:r w:rsidRPr="0001362A">
        <w:rPr>
          <w:lang w:eastAsia="zh-CN"/>
        </w:rPr>
        <w:t>These applications driven by IMT-2020 have been expanding into new market segments such as smart grid, e-health, intelligent transport systems (ITS), traffic control and safety. With the pace of global commercialization of IMT-2020, the market demand for IMT services and applications is increasing, and additional spectrum is required to facilitate new IMT-2020 application scenarios as well as to provide for increasing network capacities in coming years.</w:t>
      </w:r>
    </w:p>
    <w:p w14:paraId="652F8B05" w14:textId="77777777" w:rsidR="009506DA" w:rsidRDefault="009506DA" w:rsidP="009506DA">
      <w:pPr>
        <w:rPr>
          <w:lang w:eastAsia="zh-CN"/>
        </w:rPr>
      </w:pPr>
      <w:bookmarkStart w:id="10" w:name="OLE_LINK34"/>
      <w:bookmarkStart w:id="11" w:name="OLE_LINK33"/>
      <w:r w:rsidRPr="0001362A">
        <w:rPr>
          <w:lang w:eastAsia="zh-CN"/>
        </w:rPr>
        <w:lastRenderedPageBreak/>
        <w:t>Global</w:t>
      </w:r>
      <w:r>
        <w:rPr>
          <w:lang w:eastAsia="zh-CN"/>
        </w:rPr>
        <w:t xml:space="preserve"> </w:t>
      </w:r>
      <w:r>
        <w:rPr>
          <w:rFonts w:hint="eastAsia"/>
          <w:lang w:eastAsia="zh-CN"/>
        </w:rPr>
        <w:t>IMT</w:t>
      </w:r>
      <w:r>
        <w:rPr>
          <w:lang w:eastAsia="zh-CN"/>
        </w:rPr>
        <w:t xml:space="preserve"> spectrum</w:t>
      </w:r>
      <w:r w:rsidRPr="0001362A">
        <w:rPr>
          <w:lang w:eastAsia="zh-CN"/>
        </w:rPr>
        <w:t xml:space="preserve"> harmonization is essential </w:t>
      </w:r>
      <w:r>
        <w:rPr>
          <w:lang w:eastAsia="zh-CN"/>
        </w:rPr>
        <w:t>for</w:t>
      </w:r>
      <w:r w:rsidRPr="0001362A">
        <w:rPr>
          <w:lang w:eastAsia="zh-CN"/>
        </w:rPr>
        <w:t xml:space="preserve"> economies of scale, roaming and interoperability, and also coexistence with other services</w:t>
      </w:r>
      <w:r>
        <w:rPr>
          <w:lang w:eastAsia="zh-CN"/>
        </w:rPr>
        <w:t>, which is one of targets for ITU-R identifying IMT spectrum on top of Mobile Service Allocation</w:t>
      </w:r>
      <w:r w:rsidRPr="0001362A">
        <w:rPr>
          <w:lang w:eastAsia="zh-CN"/>
        </w:rPr>
        <w:t>.</w:t>
      </w:r>
      <w:bookmarkEnd w:id="10"/>
      <w:bookmarkEnd w:id="11"/>
      <w:r>
        <w:rPr>
          <w:lang w:eastAsia="zh-CN"/>
        </w:rPr>
        <w:t xml:space="preserve"> </w:t>
      </w:r>
    </w:p>
    <w:p w14:paraId="6BF520A2" w14:textId="77777777" w:rsidR="009506DA" w:rsidRPr="00947A01" w:rsidRDefault="009506DA" w:rsidP="009506DA">
      <w:pPr>
        <w:rPr>
          <w:lang w:eastAsia="zh-CN"/>
        </w:rPr>
      </w:pPr>
      <w:r w:rsidRPr="00947A01">
        <w:rPr>
          <w:lang w:eastAsia="zh-CN"/>
        </w:rPr>
        <w:t>The m</w:t>
      </w:r>
      <w:r w:rsidR="00F62BAB">
        <w:rPr>
          <w:lang w:eastAsia="zh-CN"/>
        </w:rPr>
        <w:t>illimetric wave (mmW) bands in agenda i</w:t>
      </w:r>
      <w:r w:rsidRPr="00947A01">
        <w:rPr>
          <w:lang w:eastAsia="zh-CN"/>
        </w:rPr>
        <w:t>tem 1.13 will become the key bands for the provision of ultra-high speed and high-capacity 5G services. As expected, 5G networks in the mmW bands will be mostly deployed as hotspots in big cities and other densely populated areas.</w:t>
      </w:r>
    </w:p>
    <w:p w14:paraId="35F1D8E5" w14:textId="106FD777" w:rsidR="009506DA" w:rsidRDefault="009506DA" w:rsidP="00114C2C">
      <w:pPr>
        <w:rPr>
          <w:lang w:eastAsia="zh-CN"/>
        </w:rPr>
      </w:pPr>
      <w:r w:rsidRPr="00947A01">
        <w:rPr>
          <w:lang w:eastAsia="zh-CN"/>
        </w:rPr>
        <w:t>However, in order to enable the full capabilities of 5G, including extended coverage, additional spectrum will be required. Partly, these needs could be satisfied from the existing mobile bands below 3.6 GHz.</w:t>
      </w:r>
      <w:r>
        <w:rPr>
          <w:lang w:eastAsia="zh-CN"/>
        </w:rPr>
        <w:t xml:space="preserve"> While t</w:t>
      </w:r>
      <w:r w:rsidRPr="00947A01">
        <w:rPr>
          <w:lang w:eastAsia="zh-CN"/>
        </w:rPr>
        <w:t>he lower frequency bands are more efficient for coverage of larger areas and also for the provision of indoor coverage from outdoor base stations</w:t>
      </w:r>
      <w:r w:rsidR="00255D75">
        <w:rPr>
          <w:lang w:eastAsia="zh-CN"/>
        </w:rPr>
        <w:t xml:space="preserve">, </w:t>
      </w:r>
      <w:r>
        <w:rPr>
          <w:lang w:eastAsia="zh-CN"/>
        </w:rPr>
        <w:t>e</w:t>
      </w:r>
      <w:r w:rsidRPr="00947A01">
        <w:rPr>
          <w:lang w:eastAsia="zh-CN"/>
        </w:rPr>
        <w:t>xisting 5G bands</w:t>
      </w:r>
      <w:r>
        <w:rPr>
          <w:lang w:eastAsia="zh-CN"/>
        </w:rPr>
        <w:t xml:space="preserve"> such as </w:t>
      </w:r>
      <w:r w:rsidRPr="00947A01">
        <w:rPr>
          <w:lang w:eastAsia="zh-CN"/>
        </w:rPr>
        <w:t>the C</w:t>
      </w:r>
      <w:r w:rsidR="005B3318">
        <w:rPr>
          <w:lang w:eastAsia="zh-CN"/>
        </w:rPr>
        <w:noBreakHyphen/>
      </w:r>
      <w:r w:rsidRPr="00947A01">
        <w:rPr>
          <w:lang w:eastAsia="zh-CN"/>
        </w:rPr>
        <w:t xml:space="preserve">band will be in high demand for efficient deployment of 5G networks. It is anticipated that additional spectrum will soon be required for 5G in the mid-range frequency range, particularly between about </w:t>
      </w:r>
      <w:r>
        <w:rPr>
          <w:lang w:eastAsia="zh-CN"/>
        </w:rPr>
        <w:t>4</w:t>
      </w:r>
      <w:r w:rsidRPr="00947A01">
        <w:rPr>
          <w:lang w:eastAsia="zh-CN"/>
        </w:rPr>
        <w:t xml:space="preserve"> GHz and </w:t>
      </w:r>
      <w:r>
        <w:rPr>
          <w:lang w:eastAsia="zh-CN"/>
        </w:rPr>
        <w:t>18</w:t>
      </w:r>
      <w:r w:rsidRPr="00947A01">
        <w:rPr>
          <w:lang w:eastAsia="zh-CN"/>
        </w:rPr>
        <w:t xml:space="preserve"> GHz.</w:t>
      </w:r>
    </w:p>
    <w:p w14:paraId="1A1A8E5A" w14:textId="77777777" w:rsidR="009506DA" w:rsidRPr="00104C05" w:rsidRDefault="009506DA" w:rsidP="009506DA">
      <w:pPr>
        <w:rPr>
          <w:lang w:eastAsia="zh-CN"/>
        </w:rPr>
      </w:pPr>
      <w:r w:rsidRPr="00104C05">
        <w:rPr>
          <w:lang w:eastAsia="zh-CN"/>
        </w:rPr>
        <w:t>ECCAS, SADC and EACO made proposals at the 4th ATU Preparatory Meeting for WRC-19 (APM19-4) in East L</w:t>
      </w:r>
      <w:r w:rsidR="00BA3EAB">
        <w:rPr>
          <w:lang w:eastAsia="zh-CN"/>
        </w:rPr>
        <w:t>ondon to study bands in the 6-</w:t>
      </w:r>
      <w:r w:rsidRPr="00104C05">
        <w:rPr>
          <w:lang w:eastAsia="zh-CN"/>
        </w:rPr>
        <w:t>24 GHz range for possible identification for IMT. Regional organisations and countries outside Africa have also proposed to study this range. After discussion at APM19-4, ATU members agreed to consider identification for IMT in the following bands:</w:t>
      </w:r>
    </w:p>
    <w:p w14:paraId="07D3DF47" w14:textId="7A50DF02" w:rsidR="009506DA" w:rsidRDefault="00255DE5" w:rsidP="00255DE5">
      <w:pPr>
        <w:pStyle w:val="enumlev1"/>
        <w:rPr>
          <w:lang w:eastAsia="zh-CN"/>
        </w:rPr>
      </w:pPr>
      <w:bookmarkStart w:id="12" w:name="OLE_LINK4"/>
      <w:r>
        <w:rPr>
          <w:lang w:eastAsia="zh-CN"/>
        </w:rPr>
        <w:t>•</w:t>
      </w:r>
      <w:r>
        <w:rPr>
          <w:lang w:eastAsia="zh-CN"/>
        </w:rPr>
        <w:tab/>
      </w:r>
      <w:r w:rsidR="009506DA">
        <w:rPr>
          <w:lang w:eastAsia="zh-CN"/>
        </w:rPr>
        <w:t>4</w:t>
      </w:r>
      <w:r w:rsidR="005B3318">
        <w:rPr>
          <w:lang w:eastAsia="zh-CN"/>
        </w:rPr>
        <w:t> </w:t>
      </w:r>
      <w:r w:rsidR="009506DA">
        <w:rPr>
          <w:lang w:eastAsia="zh-CN"/>
        </w:rPr>
        <w:t>800</w:t>
      </w:r>
      <w:r w:rsidR="005B3318">
        <w:rPr>
          <w:lang w:eastAsia="zh-CN"/>
        </w:rPr>
        <w:t>-</w:t>
      </w:r>
      <w:r w:rsidR="009506DA">
        <w:rPr>
          <w:lang w:eastAsia="zh-CN"/>
        </w:rPr>
        <w:t>4</w:t>
      </w:r>
      <w:r w:rsidR="005B3318">
        <w:rPr>
          <w:lang w:eastAsia="zh-CN"/>
        </w:rPr>
        <w:t> </w:t>
      </w:r>
      <w:r w:rsidR="009506DA">
        <w:rPr>
          <w:lang w:eastAsia="zh-CN"/>
        </w:rPr>
        <w:t>990 MHz</w:t>
      </w:r>
    </w:p>
    <w:p w14:paraId="66294C54" w14:textId="0B884571" w:rsidR="009506DA" w:rsidRDefault="00255DE5" w:rsidP="00255DE5">
      <w:pPr>
        <w:pStyle w:val="enumlev1"/>
        <w:rPr>
          <w:lang w:eastAsia="zh-CN"/>
        </w:rPr>
      </w:pPr>
      <w:r>
        <w:rPr>
          <w:lang w:eastAsia="zh-CN"/>
        </w:rPr>
        <w:t>•</w:t>
      </w:r>
      <w:r w:rsidR="005B3318">
        <w:rPr>
          <w:lang w:eastAsia="zh-CN"/>
        </w:rPr>
        <w:tab/>
      </w:r>
      <w:r w:rsidR="009506DA" w:rsidRPr="00104C05">
        <w:rPr>
          <w:lang w:eastAsia="zh-CN"/>
        </w:rPr>
        <w:t>5</w:t>
      </w:r>
      <w:r w:rsidR="005B3318">
        <w:rPr>
          <w:lang w:eastAsia="zh-CN"/>
        </w:rPr>
        <w:t> </w:t>
      </w:r>
      <w:r w:rsidR="009506DA" w:rsidRPr="00104C05">
        <w:rPr>
          <w:lang w:eastAsia="zh-CN"/>
        </w:rPr>
        <w:t>925-7</w:t>
      </w:r>
      <w:r w:rsidR="005B3318">
        <w:rPr>
          <w:lang w:eastAsia="zh-CN"/>
        </w:rPr>
        <w:t> </w:t>
      </w:r>
      <w:r w:rsidR="009506DA" w:rsidRPr="00104C05">
        <w:rPr>
          <w:lang w:eastAsia="zh-CN"/>
        </w:rPr>
        <w:t>125 MHz</w:t>
      </w:r>
      <w:r w:rsidR="009506DA">
        <w:rPr>
          <w:lang w:eastAsia="zh-CN"/>
        </w:rPr>
        <w:t xml:space="preserve"> </w:t>
      </w:r>
    </w:p>
    <w:p w14:paraId="596232CB" w14:textId="05DCC151" w:rsidR="009506DA" w:rsidRPr="00255DE5" w:rsidRDefault="00255DE5" w:rsidP="00255DE5">
      <w:pPr>
        <w:pStyle w:val="enumlev1"/>
      </w:pPr>
      <w:r>
        <w:rPr>
          <w:lang w:eastAsia="zh-CN"/>
        </w:rPr>
        <w:t>•</w:t>
      </w:r>
      <w:r w:rsidR="005B3318">
        <w:rPr>
          <w:lang w:eastAsia="zh-CN"/>
        </w:rPr>
        <w:tab/>
      </w:r>
      <w:r w:rsidR="009506DA" w:rsidRPr="00255DE5">
        <w:t>7</w:t>
      </w:r>
      <w:r w:rsidR="005B3318" w:rsidRPr="00255DE5">
        <w:t> </w:t>
      </w:r>
      <w:r w:rsidR="009506DA" w:rsidRPr="00255DE5">
        <w:t>125-8</w:t>
      </w:r>
      <w:r w:rsidR="005B3318" w:rsidRPr="00255DE5">
        <w:t> </w:t>
      </w:r>
      <w:r w:rsidR="009506DA" w:rsidRPr="00255DE5">
        <w:t>500 MHz</w:t>
      </w:r>
    </w:p>
    <w:p w14:paraId="27436E63" w14:textId="00F0FBEC" w:rsidR="009506DA" w:rsidRPr="00255DE5" w:rsidRDefault="00255DE5" w:rsidP="00255DE5">
      <w:pPr>
        <w:pStyle w:val="enumlev1"/>
      </w:pPr>
      <w:r>
        <w:t>•</w:t>
      </w:r>
      <w:r w:rsidR="005B3318" w:rsidRPr="00255DE5">
        <w:tab/>
      </w:r>
      <w:r w:rsidR="009506DA" w:rsidRPr="00255DE5">
        <w:t>8.5-10 GHz</w:t>
      </w:r>
    </w:p>
    <w:p w14:paraId="60EEA13B" w14:textId="37FD48C1" w:rsidR="009506DA" w:rsidRPr="00255DE5" w:rsidRDefault="00255DE5" w:rsidP="00255DE5">
      <w:pPr>
        <w:pStyle w:val="enumlev1"/>
      </w:pPr>
      <w:r>
        <w:t>•</w:t>
      </w:r>
      <w:r w:rsidR="005B3318" w:rsidRPr="00255DE5">
        <w:tab/>
      </w:r>
      <w:r w:rsidR="009506DA" w:rsidRPr="00255DE5">
        <w:t>10</w:t>
      </w:r>
      <w:r w:rsidR="005B3318" w:rsidRPr="00255DE5">
        <w:t>-</w:t>
      </w:r>
      <w:r w:rsidR="009506DA" w:rsidRPr="00255DE5">
        <w:t>10.5 GHz</w:t>
      </w:r>
    </w:p>
    <w:p w14:paraId="3DAC4966" w14:textId="0ADCDA8D" w:rsidR="009506DA" w:rsidRPr="00255DE5" w:rsidRDefault="00255DE5" w:rsidP="00255DE5">
      <w:pPr>
        <w:pStyle w:val="enumlev1"/>
      </w:pPr>
      <w:r>
        <w:t>•</w:t>
      </w:r>
      <w:r w:rsidR="005B3318" w:rsidRPr="00255DE5">
        <w:tab/>
      </w:r>
      <w:r w:rsidR="009506DA" w:rsidRPr="00255DE5">
        <w:t>14.3/14.8</w:t>
      </w:r>
      <w:r w:rsidR="005B3318" w:rsidRPr="00255DE5">
        <w:t>-</w:t>
      </w:r>
      <w:r w:rsidR="009506DA" w:rsidRPr="00255DE5">
        <w:t>15.35 GHz</w:t>
      </w:r>
    </w:p>
    <w:p w14:paraId="1588964A" w14:textId="55B90845" w:rsidR="009506DA" w:rsidRPr="00255DE5" w:rsidRDefault="00255DE5" w:rsidP="00255DE5">
      <w:pPr>
        <w:pStyle w:val="enumlev1"/>
      </w:pPr>
      <w:r>
        <w:t>•</w:t>
      </w:r>
      <w:r w:rsidR="005B3318" w:rsidRPr="00255DE5">
        <w:tab/>
      </w:r>
      <w:r w:rsidR="009506DA" w:rsidRPr="00255DE5">
        <w:t>15.35</w:t>
      </w:r>
      <w:r w:rsidR="005B3318" w:rsidRPr="00255DE5">
        <w:t>-</w:t>
      </w:r>
      <w:r w:rsidR="009506DA" w:rsidRPr="00255DE5">
        <w:t>15.63 GHz</w:t>
      </w:r>
    </w:p>
    <w:p w14:paraId="33FA4C42" w14:textId="367F2FFC" w:rsidR="009506DA" w:rsidRDefault="00255DE5" w:rsidP="00255DE5">
      <w:pPr>
        <w:pStyle w:val="enumlev1"/>
        <w:rPr>
          <w:lang w:eastAsia="zh-CN"/>
        </w:rPr>
      </w:pPr>
      <w:r>
        <w:t>•</w:t>
      </w:r>
      <w:r w:rsidR="005B3318" w:rsidRPr="00255DE5">
        <w:tab/>
      </w:r>
      <w:r w:rsidR="009506DA" w:rsidRPr="00255DE5">
        <w:t>15.63</w:t>
      </w:r>
      <w:r w:rsidR="005B3318" w:rsidRPr="00255DE5">
        <w:t>-</w:t>
      </w:r>
      <w:r w:rsidR="009506DA" w:rsidRPr="00255DE5">
        <w:t>17.3 GHz</w:t>
      </w:r>
    </w:p>
    <w:bookmarkEnd w:id="12"/>
    <w:p w14:paraId="244C3C5F" w14:textId="77777777" w:rsidR="009506DA" w:rsidRPr="00624EB9" w:rsidRDefault="009506DA" w:rsidP="009506DA">
      <w:pPr>
        <w:rPr>
          <w:lang w:eastAsia="zh-CN"/>
        </w:rPr>
      </w:pPr>
      <w:r w:rsidRPr="00624EB9">
        <w:rPr>
          <w:rFonts w:hint="eastAsia"/>
          <w:lang w:eastAsia="zh-CN"/>
        </w:rPr>
        <w:t>In orde</w:t>
      </w:r>
      <w:r w:rsidRPr="00476C59">
        <w:rPr>
          <w:rFonts w:hint="eastAsia"/>
          <w:lang w:eastAsia="zh-CN"/>
        </w:rPr>
        <w:t xml:space="preserve">r to provide flexibility for ITU </w:t>
      </w:r>
      <w:r w:rsidRPr="00476C59">
        <w:rPr>
          <w:lang w:eastAsia="zh-CN"/>
        </w:rPr>
        <w:t>M</w:t>
      </w:r>
      <w:r w:rsidRPr="00476C59">
        <w:rPr>
          <w:rFonts w:hint="eastAsia"/>
          <w:lang w:eastAsia="zh-CN"/>
        </w:rPr>
        <w:t xml:space="preserve">embers to </w:t>
      </w:r>
      <w:r w:rsidRPr="00476C59">
        <w:rPr>
          <w:lang w:eastAsia="zh-CN"/>
        </w:rPr>
        <w:t>adopt</w:t>
      </w:r>
      <w:r w:rsidRPr="00476C59">
        <w:rPr>
          <w:rFonts w:hint="eastAsia"/>
          <w:lang w:eastAsia="zh-CN"/>
        </w:rPr>
        <w:t xml:space="preserve"> suitable frequency band </w:t>
      </w:r>
      <w:r w:rsidRPr="00476C59">
        <w:rPr>
          <w:lang w:eastAsia="zh-CN"/>
        </w:rPr>
        <w:t>for future IMT implementation</w:t>
      </w:r>
      <w:r w:rsidRPr="00476C59">
        <w:rPr>
          <w:rFonts w:hint="eastAsia"/>
          <w:lang w:eastAsia="zh-CN"/>
        </w:rPr>
        <w:t xml:space="preserve">, </w:t>
      </w:r>
      <w:r>
        <w:rPr>
          <w:lang w:eastAsia="zh-CN"/>
        </w:rPr>
        <w:t>ATU</w:t>
      </w:r>
      <w:r w:rsidRPr="00476C59">
        <w:rPr>
          <w:rFonts w:hint="eastAsia"/>
          <w:lang w:eastAsia="ja-JP"/>
        </w:rPr>
        <w:t xml:space="preserve"> support</w:t>
      </w:r>
      <w:r w:rsidRPr="00476C59">
        <w:rPr>
          <w:rFonts w:hint="eastAsia"/>
          <w:lang w:eastAsia="zh-CN"/>
        </w:rPr>
        <w:t xml:space="preserve"> to co</w:t>
      </w:r>
      <w:r w:rsidRPr="00624EB9">
        <w:rPr>
          <w:rFonts w:hint="eastAsia"/>
          <w:lang w:eastAsia="zh-CN"/>
        </w:rPr>
        <w:t>nduct studies</w:t>
      </w:r>
      <w:r w:rsidRPr="00624EB9">
        <w:rPr>
          <w:lang w:eastAsia="zh-CN"/>
        </w:rPr>
        <w:t xml:space="preserve"> on frequency related matter </w:t>
      </w:r>
      <w:r w:rsidRPr="00624EB9">
        <w:rPr>
          <w:rFonts w:hint="eastAsia"/>
          <w:lang w:eastAsia="zh-CN"/>
        </w:rPr>
        <w:t>for IMT identification in the frequency band</w:t>
      </w:r>
      <w:r>
        <w:rPr>
          <w:lang w:eastAsia="zh-CN"/>
        </w:rPr>
        <w:t xml:space="preserve">s listed above. </w:t>
      </w:r>
    </w:p>
    <w:bookmarkEnd w:id="8"/>
    <w:bookmarkEnd w:id="9"/>
    <w:p w14:paraId="1BB4CB6D" w14:textId="77777777" w:rsidR="009506DA" w:rsidRPr="005B3318" w:rsidRDefault="009506DA" w:rsidP="009506DA">
      <w:pPr>
        <w:pStyle w:val="Headingb"/>
        <w:rPr>
          <w:lang w:val="en-GB"/>
        </w:rPr>
      </w:pPr>
      <w:r w:rsidRPr="005B3318">
        <w:rPr>
          <w:lang w:val="en-GB"/>
        </w:rPr>
        <w:t>Proposal</w:t>
      </w:r>
      <w:r w:rsidRPr="00547FD6">
        <w:rPr>
          <w:lang w:val="en-GB"/>
        </w:rPr>
        <w:t xml:space="preserve"> </w:t>
      </w:r>
      <w:r w:rsidRPr="005B3318">
        <w:rPr>
          <w:lang w:val="en-GB"/>
        </w:rPr>
        <w:t>for WRC-19</w:t>
      </w:r>
    </w:p>
    <w:p w14:paraId="74F224FE" w14:textId="4860A61F" w:rsidR="009506DA" w:rsidRPr="0079338C" w:rsidRDefault="005B3318" w:rsidP="005B3318">
      <w:pPr>
        <w:pStyle w:val="enumlev1"/>
      </w:pPr>
      <w:bookmarkStart w:id="13" w:name="OLE_LINK5"/>
      <w:r>
        <w:t>1</w:t>
      </w:r>
      <w:r>
        <w:tab/>
      </w:r>
      <w:r w:rsidR="009506DA" w:rsidRPr="0079338C">
        <w:t xml:space="preserve">To agree to the new </w:t>
      </w:r>
      <w:r w:rsidR="00435268" w:rsidRPr="0079338C">
        <w:t xml:space="preserve">WRC </w:t>
      </w:r>
      <w:r w:rsidR="009506DA" w:rsidRPr="0079338C">
        <w:t>Resolution in Attachment 1 of this document, to request ITU</w:t>
      </w:r>
      <w:r>
        <w:noBreakHyphen/>
      </w:r>
      <w:r w:rsidR="009506DA" w:rsidRPr="0079338C">
        <w:t xml:space="preserve">R to study coexistence of IMT-2020 systems with existing services in the bands listed above. </w:t>
      </w:r>
    </w:p>
    <w:p w14:paraId="08821951" w14:textId="3ED1C95B" w:rsidR="009506DA" w:rsidRPr="0079338C" w:rsidRDefault="005B3318" w:rsidP="005B3318">
      <w:pPr>
        <w:pStyle w:val="enumlev1"/>
      </w:pPr>
      <w:r>
        <w:t>2</w:t>
      </w:r>
      <w:r>
        <w:tab/>
      </w:r>
      <w:r w:rsidR="009506DA" w:rsidRPr="0079338C">
        <w:t>To add to the agenda of WRC-23 an agenda item on possible identification of the bands above for IMT, taking consideration of the studies conducted by ITU-R, as per Attachment 2 of this document</w:t>
      </w:r>
    </w:p>
    <w:bookmarkEnd w:id="13"/>
    <w:p w14:paraId="0211F858" w14:textId="77777777" w:rsidR="008A06CA" w:rsidRPr="009506DA" w:rsidRDefault="004F5052" w:rsidP="005B3318"/>
    <w:p w14:paraId="0670F920" w14:textId="77777777" w:rsidR="00187BD9" w:rsidRPr="009506DA" w:rsidRDefault="00187BD9" w:rsidP="00187BD9">
      <w:pPr>
        <w:tabs>
          <w:tab w:val="clear" w:pos="1134"/>
          <w:tab w:val="clear" w:pos="1871"/>
          <w:tab w:val="clear" w:pos="2268"/>
        </w:tabs>
        <w:overflowPunct/>
        <w:autoSpaceDE/>
        <w:autoSpaceDN/>
        <w:adjustRightInd/>
        <w:spacing w:before="0"/>
        <w:textAlignment w:val="auto"/>
        <w:rPr>
          <w:lang w:val="en-US"/>
        </w:rPr>
      </w:pPr>
      <w:r w:rsidRPr="009506DA">
        <w:rPr>
          <w:lang w:val="en-US"/>
        </w:rPr>
        <w:br w:type="page"/>
      </w:r>
    </w:p>
    <w:p w14:paraId="3711FA19" w14:textId="77777777" w:rsidR="00680B04" w:rsidRDefault="00680B04" w:rsidP="00680B04">
      <w:pPr>
        <w:pStyle w:val="AnnexNo"/>
      </w:pPr>
      <w:r>
        <w:lastRenderedPageBreak/>
        <w:t>ATTACHMENT 1</w:t>
      </w:r>
    </w:p>
    <w:p w14:paraId="47B467C4" w14:textId="77777777" w:rsidR="00680B04" w:rsidRPr="00680B04" w:rsidRDefault="00680B04" w:rsidP="00680B04"/>
    <w:p w14:paraId="6EFD9AD3" w14:textId="232F9ECF" w:rsidR="008A4F90" w:rsidRDefault="005227D1">
      <w:pPr>
        <w:pStyle w:val="Proposal"/>
      </w:pPr>
      <w:r>
        <w:t>ADD</w:t>
      </w:r>
      <w:r w:rsidR="005B3318">
        <w:tab/>
      </w:r>
      <w:r w:rsidR="003C38E2" w:rsidRPr="003C38E2">
        <w:t>AGL/BOT/BDI/COM/SWZ/KEN/LSO/MDG/MWI/MAU/MOZ/NMB/UGA/COD/RRW/SEY/SSD/AFS/TZA/ZMB/ZWE</w:t>
      </w:r>
      <w:r>
        <w:t>/97/1</w:t>
      </w:r>
    </w:p>
    <w:p w14:paraId="12297B94" w14:textId="0A6FAB1C" w:rsidR="008A4F90" w:rsidRDefault="005227D1">
      <w:pPr>
        <w:pStyle w:val="ResNo"/>
      </w:pPr>
      <w:r>
        <w:t>Draft New Resolution</w:t>
      </w:r>
      <w:r w:rsidR="00547FD6">
        <w:t xml:space="preserve"> (wrc-19)</w:t>
      </w:r>
      <w:r>
        <w:t xml:space="preserve"> </w:t>
      </w:r>
      <w:r w:rsidR="003C38E2" w:rsidRPr="003C38E2">
        <w:t>[AGL/BOT/BDI/COM/SWZ/KEN/LSO/MDG/MWI/MAU/MOZ/NMB/UGA/COD/RRW/SEY/SSD/AFS/TZA/ZMB/ZWE</w:t>
      </w:r>
      <w:r w:rsidR="0037118E">
        <w:t>/</w:t>
      </w:r>
      <w:r>
        <w:t>A10]</w:t>
      </w:r>
    </w:p>
    <w:p w14:paraId="5C769808" w14:textId="77777777" w:rsidR="008A4F90" w:rsidRPr="0037118E" w:rsidRDefault="0037118E" w:rsidP="0037118E">
      <w:pPr>
        <w:pStyle w:val="Restitle"/>
        <w:tabs>
          <w:tab w:val="clear" w:pos="1134"/>
          <w:tab w:val="clear" w:pos="1871"/>
          <w:tab w:val="clear" w:pos="2268"/>
        </w:tabs>
        <w:rPr>
          <w:rFonts w:ascii="Times New Roman"/>
        </w:rPr>
      </w:pPr>
      <w:r w:rsidRPr="0076158B">
        <w:rPr>
          <w:rFonts w:ascii="Times New Roman"/>
        </w:rPr>
        <w:t xml:space="preserve">Studies on frequency-related matters for identification of International Mobile Telecommunications in </w:t>
      </w:r>
      <w:r>
        <w:rPr>
          <w:rFonts w:ascii="Times New Roman"/>
        </w:rPr>
        <w:t>specific bands in the range 4-18 GHz</w:t>
      </w:r>
    </w:p>
    <w:p w14:paraId="4CB35EBF" w14:textId="77777777" w:rsidR="0037118E" w:rsidRDefault="0037118E" w:rsidP="0037118E">
      <w:pPr>
        <w:pStyle w:val="Normalaftertitle"/>
        <w:rPr>
          <w:rFonts w:eastAsia="MS Mincho"/>
        </w:rPr>
      </w:pPr>
      <w:r w:rsidRPr="0068778C">
        <w:rPr>
          <w:rFonts w:eastAsia="MS Mincho"/>
        </w:rPr>
        <w:t>The World Radiocommunication Conference (Sharm</w:t>
      </w:r>
      <w:r>
        <w:rPr>
          <w:rFonts w:eastAsia="MS Mincho"/>
        </w:rPr>
        <w:t xml:space="preserve"> </w:t>
      </w:r>
      <w:r w:rsidRPr="0068778C">
        <w:rPr>
          <w:rFonts w:eastAsia="MS Mincho"/>
        </w:rPr>
        <w:t>el-Sheikh, 2019),</w:t>
      </w:r>
    </w:p>
    <w:p w14:paraId="1846982F" w14:textId="77777777" w:rsidR="0037118E" w:rsidRPr="0068778C" w:rsidRDefault="0037118E" w:rsidP="0037118E">
      <w:pPr>
        <w:pStyle w:val="Call"/>
        <w:rPr>
          <w:rFonts w:eastAsia="MS Mincho"/>
          <w:lang w:eastAsia="ja-JP"/>
        </w:rPr>
      </w:pPr>
      <w:r w:rsidRPr="0068778C">
        <w:rPr>
          <w:rFonts w:eastAsia="MS Mincho"/>
          <w:lang w:eastAsia="ja-JP"/>
        </w:rPr>
        <w:t>considering</w:t>
      </w:r>
    </w:p>
    <w:p w14:paraId="674911E6" w14:textId="77777777" w:rsidR="0037118E" w:rsidRDefault="0037118E" w:rsidP="0037118E">
      <w:pPr>
        <w:rPr>
          <w:rFonts w:eastAsia="MS Mincho"/>
        </w:rPr>
      </w:pPr>
      <w:bookmarkStart w:id="14" w:name="OLE_LINK6"/>
      <w:r w:rsidRPr="006905BC">
        <w:rPr>
          <w:i/>
        </w:rPr>
        <w:t>a)</w:t>
      </w:r>
      <w:r w:rsidRPr="006905BC">
        <w:tab/>
      </w:r>
      <w:r w:rsidRPr="0037118E">
        <w:rPr>
          <w:rFonts w:eastAsia="SimSun" w:hint="eastAsia"/>
          <w:lang w:eastAsia="zh-CN"/>
        </w:rPr>
        <w:t>t</w:t>
      </w:r>
      <w:r w:rsidRPr="0037118E">
        <w:rPr>
          <w:rFonts w:eastAsia="MS Mincho"/>
        </w:rPr>
        <w:t>hat</w:t>
      </w:r>
      <w:r w:rsidRPr="0037118E">
        <w:rPr>
          <w:rFonts w:eastAsia="SimSun" w:hint="eastAsia"/>
          <w:lang w:eastAsia="zh-CN"/>
        </w:rPr>
        <w:t xml:space="preserve"> </w:t>
      </w:r>
      <w:r w:rsidRPr="0037118E">
        <w:rPr>
          <w:rFonts w:eastAsia="SimSun"/>
          <w:lang w:eastAsia="zh-CN"/>
        </w:rPr>
        <w:t>International Mobile Telecommunications (</w:t>
      </w:r>
      <w:r w:rsidRPr="0037118E">
        <w:rPr>
          <w:rFonts w:eastAsia="MS Mincho"/>
        </w:rPr>
        <w:t>IMT) is key to providing broadband wireless connectivity on a worldwide scale and contributing to global economic growth and social development</w:t>
      </w:r>
      <w:r w:rsidRPr="0037118E">
        <w:rPr>
          <w:rFonts w:eastAsia="MS Mincho" w:hint="eastAsia"/>
        </w:rPr>
        <w:t>;</w:t>
      </w:r>
    </w:p>
    <w:p w14:paraId="794081B0" w14:textId="77777777" w:rsidR="0037118E" w:rsidRPr="00E66A6F" w:rsidRDefault="0037118E" w:rsidP="0037118E">
      <w:pPr>
        <w:rPr>
          <w:rFonts w:eastAsia="SimSun"/>
          <w:lang w:eastAsia="zh-CN"/>
        </w:rPr>
      </w:pPr>
      <w:r w:rsidRPr="006905BC">
        <w:rPr>
          <w:i/>
        </w:rPr>
        <w:t>b)</w:t>
      </w:r>
      <w:r w:rsidRPr="006905BC">
        <w:tab/>
      </w:r>
      <w:r w:rsidRPr="00E66A6F">
        <w:rPr>
          <w:rFonts w:eastAsia="SimSun" w:hint="eastAsia"/>
          <w:lang w:eastAsia="zh-CN"/>
        </w:rPr>
        <w:t>t</w:t>
      </w:r>
      <w:r>
        <w:rPr>
          <w:rFonts w:eastAsia="MS Mincho"/>
        </w:rPr>
        <w:t>hat</w:t>
      </w:r>
      <w:r w:rsidRPr="00E66A6F">
        <w:rPr>
          <w:rFonts w:eastAsia="SimSun" w:hint="eastAsia"/>
          <w:lang w:eastAsia="zh-CN"/>
        </w:rPr>
        <w:t xml:space="preserve"> </w:t>
      </w:r>
      <w:r w:rsidRPr="00E66A6F">
        <w:rPr>
          <w:rFonts w:eastAsia="SimSun"/>
          <w:lang w:eastAsia="zh-CN"/>
        </w:rPr>
        <w:t xml:space="preserve">there is </w:t>
      </w:r>
      <w:r w:rsidRPr="00E66A6F">
        <w:rPr>
          <w:rFonts w:eastAsia="SimSun" w:hint="eastAsia"/>
          <w:lang w:eastAsia="zh-CN"/>
        </w:rPr>
        <w:t>c</w:t>
      </w:r>
      <w:r w:rsidRPr="00E66A6F">
        <w:rPr>
          <w:rFonts w:eastAsia="SimSun"/>
          <w:lang w:eastAsia="zh-CN"/>
        </w:rPr>
        <w:t>ontinuous growth of mobile data traffic in all countries</w:t>
      </w:r>
      <w:r w:rsidRPr="00E66A6F">
        <w:rPr>
          <w:rFonts w:eastAsia="SimSun" w:hint="eastAsia"/>
          <w:lang w:eastAsia="zh-CN"/>
        </w:rPr>
        <w:t>;</w:t>
      </w:r>
    </w:p>
    <w:p w14:paraId="3ABC34AC" w14:textId="77777777" w:rsidR="0037118E" w:rsidRPr="00E66A6F" w:rsidRDefault="0037118E" w:rsidP="0037118E">
      <w:pPr>
        <w:rPr>
          <w:rFonts w:eastAsia="SimSun"/>
          <w:lang w:eastAsia="zh-CN"/>
        </w:rPr>
      </w:pPr>
      <w:r w:rsidRPr="006905BC">
        <w:rPr>
          <w:i/>
        </w:rPr>
        <w:t>c)</w:t>
      </w:r>
      <w:r w:rsidRPr="006905BC">
        <w:tab/>
      </w:r>
      <w:r w:rsidRPr="00E66A6F">
        <w:rPr>
          <w:rFonts w:eastAsia="SimSun" w:hint="eastAsia"/>
          <w:lang w:eastAsia="zh-CN"/>
        </w:rPr>
        <w:t>t</w:t>
      </w:r>
      <w:r>
        <w:rPr>
          <w:rFonts w:eastAsia="MS Mincho"/>
        </w:rPr>
        <w:t>hat</w:t>
      </w:r>
      <w:r w:rsidRPr="00E66A6F">
        <w:rPr>
          <w:rFonts w:eastAsia="SimSun" w:hint="eastAsia"/>
          <w:lang w:eastAsia="zh-CN"/>
        </w:rPr>
        <w:t xml:space="preserve"> </w:t>
      </w:r>
      <w:r w:rsidRPr="00E66A6F">
        <w:rPr>
          <w:rFonts w:eastAsia="SimSun"/>
          <w:lang w:eastAsia="zh-CN"/>
        </w:rPr>
        <w:t xml:space="preserve">the assignment of contiguous </w:t>
      </w:r>
      <w:r w:rsidRPr="00E66A6F">
        <w:rPr>
          <w:rFonts w:eastAsia="SimSun" w:hint="eastAsia"/>
          <w:lang w:eastAsia="zh-CN"/>
        </w:rPr>
        <w:t>wide</w:t>
      </w:r>
      <w:r w:rsidRPr="00E66A6F">
        <w:rPr>
          <w:rFonts w:eastAsia="SimSun"/>
          <w:lang w:eastAsia="zh-CN"/>
        </w:rPr>
        <w:t xml:space="preserve"> spectrum bandwidth reduces system complexity associated with carrier aggregation, which will improve energy efﬁciency and reduce network cost</w:t>
      </w:r>
      <w:r w:rsidRPr="00E66A6F">
        <w:rPr>
          <w:rFonts w:eastAsia="SimSun" w:hint="eastAsia"/>
          <w:lang w:eastAsia="zh-CN"/>
        </w:rPr>
        <w:t>;</w:t>
      </w:r>
    </w:p>
    <w:p w14:paraId="613D8E83" w14:textId="77777777" w:rsidR="0037118E" w:rsidRPr="00E66A6F" w:rsidRDefault="0037118E" w:rsidP="0037118E">
      <w:pPr>
        <w:rPr>
          <w:rFonts w:eastAsia="SimSun"/>
          <w:lang w:eastAsia="zh-CN"/>
        </w:rPr>
      </w:pPr>
      <w:r w:rsidRPr="006905BC">
        <w:rPr>
          <w:i/>
        </w:rPr>
        <w:t>d)</w:t>
      </w:r>
      <w:r w:rsidRPr="006905BC">
        <w:tab/>
      </w:r>
      <w:r w:rsidRPr="00E66A6F">
        <w:rPr>
          <w:rFonts w:eastAsia="SimSun" w:hint="eastAsia"/>
          <w:lang w:eastAsia="zh-CN"/>
        </w:rPr>
        <w:t>t</w:t>
      </w:r>
      <w:r>
        <w:rPr>
          <w:rFonts w:eastAsia="MS Mincho"/>
        </w:rPr>
        <w:t>hat</w:t>
      </w:r>
      <w:r w:rsidRPr="00E66A6F">
        <w:rPr>
          <w:rFonts w:eastAsia="SimSun" w:hint="eastAsia"/>
          <w:lang w:eastAsia="zh-CN"/>
        </w:rPr>
        <w:t xml:space="preserve"> a</w:t>
      </w:r>
      <w:r w:rsidRPr="00E66A6F">
        <w:rPr>
          <w:rFonts w:eastAsia="SimSun"/>
          <w:lang w:eastAsia="zh-CN"/>
        </w:rPr>
        <w:t>dequate and timely availability of spectrum and corresponding regulatory provisions are essential to support the future development of IMT;</w:t>
      </w:r>
    </w:p>
    <w:p w14:paraId="1191243D" w14:textId="77777777" w:rsidR="0037118E" w:rsidRDefault="0037118E" w:rsidP="0037118E">
      <w:pPr>
        <w:rPr>
          <w:rFonts w:eastAsia="SimSun"/>
          <w:lang w:eastAsia="zh-CN"/>
        </w:rPr>
      </w:pPr>
      <w:r w:rsidRPr="006905BC">
        <w:rPr>
          <w:i/>
        </w:rPr>
        <w:t>e)</w:t>
      </w:r>
      <w:r w:rsidRPr="006905BC">
        <w:tab/>
      </w:r>
      <w:r w:rsidRPr="00E66A6F">
        <w:rPr>
          <w:rFonts w:eastAsia="SimSun" w:hint="eastAsia"/>
          <w:lang w:eastAsia="zh-CN"/>
        </w:rPr>
        <w:t>t</w:t>
      </w:r>
      <w:r>
        <w:rPr>
          <w:rFonts w:eastAsia="MS Mincho"/>
        </w:rPr>
        <w:t>hat</w:t>
      </w:r>
      <w:r w:rsidRPr="00E66A6F">
        <w:rPr>
          <w:rFonts w:eastAsia="SimSun" w:hint="eastAsia"/>
          <w:lang w:eastAsia="zh-CN"/>
        </w:rPr>
        <w:t xml:space="preserve"> </w:t>
      </w:r>
      <w:r>
        <w:rPr>
          <w:rFonts w:eastAsia="SimSun"/>
          <w:lang w:eastAsia="zh-CN"/>
        </w:rPr>
        <w:t>protection of incumbent services from future IMT systems is to be ensured taking into account current usag</w:t>
      </w:r>
      <w:r w:rsidRPr="008F5C67">
        <w:rPr>
          <w:rFonts w:eastAsia="SimSun"/>
          <w:lang w:eastAsia="zh-CN"/>
        </w:rPr>
        <w:t>e and future development of the incum</w:t>
      </w:r>
      <w:r w:rsidRPr="00E66A6F">
        <w:rPr>
          <w:rFonts w:eastAsia="SimSun"/>
          <w:lang w:eastAsia="zh-CN"/>
        </w:rPr>
        <w:t>bent services</w:t>
      </w:r>
      <w:r>
        <w:rPr>
          <w:rFonts w:eastAsia="SimSun"/>
          <w:lang w:eastAsia="zh-CN"/>
        </w:rPr>
        <w:t xml:space="preserve"> without imposing additional constraints</w:t>
      </w:r>
      <w:r w:rsidRPr="00E66A6F">
        <w:rPr>
          <w:rFonts w:eastAsia="SimSun" w:hint="eastAsia"/>
          <w:lang w:eastAsia="zh-CN"/>
        </w:rPr>
        <w:t>;</w:t>
      </w:r>
    </w:p>
    <w:p w14:paraId="0827FA2D" w14:textId="77777777" w:rsidR="0037118E" w:rsidRDefault="0037118E" w:rsidP="0037118E">
      <w:pPr>
        <w:rPr>
          <w:rFonts w:eastAsia="SimSun"/>
          <w:lang w:eastAsia="zh-CN"/>
        </w:rPr>
      </w:pPr>
      <w:r w:rsidRPr="006905BC">
        <w:rPr>
          <w:i/>
          <w:iCs/>
        </w:rPr>
        <w:t>f)</w:t>
      </w:r>
      <w:r w:rsidRPr="006905BC">
        <w:tab/>
      </w:r>
      <w:r>
        <w:rPr>
          <w:rFonts w:eastAsia="SimSun"/>
          <w:lang w:eastAsia="zh-CN"/>
        </w:rPr>
        <w:t>that the</w:t>
      </w:r>
      <w:r w:rsidRPr="00276C80">
        <w:rPr>
          <w:rFonts w:eastAsia="SimSun"/>
          <w:lang w:eastAsia="zh-CN"/>
        </w:rPr>
        <w:t xml:space="preserve"> 6 725-7 025 MHz</w:t>
      </w:r>
      <w:r>
        <w:rPr>
          <w:rFonts w:eastAsia="SimSun"/>
          <w:lang w:eastAsia="zh-CN"/>
        </w:rPr>
        <w:t xml:space="preserve"> is covered by Appendix </w:t>
      </w:r>
      <w:r w:rsidRPr="00E54566">
        <w:rPr>
          <w:rFonts w:eastAsia="SimSun"/>
          <w:b/>
          <w:bCs/>
          <w:lang w:eastAsia="zh-CN"/>
        </w:rPr>
        <w:t>30B</w:t>
      </w:r>
      <w:r>
        <w:rPr>
          <w:rFonts w:eastAsia="SimSun"/>
          <w:lang w:eastAsia="zh-CN"/>
        </w:rPr>
        <w:t xml:space="preserve"> of the Radio Regulations,</w:t>
      </w:r>
    </w:p>
    <w:bookmarkEnd w:id="14"/>
    <w:p w14:paraId="00B544CD" w14:textId="77777777" w:rsidR="0037118E" w:rsidRPr="0068778C" w:rsidRDefault="0037118E" w:rsidP="0037118E">
      <w:pPr>
        <w:pStyle w:val="Call"/>
        <w:rPr>
          <w:rFonts w:eastAsia="MS Mincho"/>
          <w:lang w:eastAsia="ja-JP"/>
        </w:rPr>
      </w:pPr>
      <w:r w:rsidRPr="0068778C">
        <w:rPr>
          <w:rFonts w:eastAsia="MS Mincho"/>
          <w:lang w:eastAsia="ja-JP"/>
        </w:rPr>
        <w:t>recognizing</w:t>
      </w:r>
    </w:p>
    <w:p w14:paraId="451D25A5" w14:textId="77777777" w:rsidR="0037118E" w:rsidRPr="00ED1C02" w:rsidRDefault="0037118E" w:rsidP="0037118E">
      <w:pPr>
        <w:rPr>
          <w:rFonts w:eastAsia="SimSun"/>
          <w:lang w:eastAsia="zh-CN"/>
        </w:rPr>
      </w:pPr>
      <w:r>
        <w:rPr>
          <w:i/>
          <w:iCs/>
        </w:rPr>
        <w:t>a</w:t>
      </w:r>
      <w:r w:rsidRPr="006905BC">
        <w:rPr>
          <w:i/>
          <w:iCs/>
        </w:rPr>
        <w:t>)</w:t>
      </w:r>
      <w:r w:rsidRPr="006905BC">
        <w:tab/>
      </w:r>
      <w:r w:rsidRPr="00ED1C02">
        <w:rPr>
          <w:rFonts w:eastAsia="SimSun"/>
          <w:lang w:eastAsia="zh-CN"/>
        </w:rPr>
        <w:t xml:space="preserve">that to realize global roaming and </w:t>
      </w:r>
      <w:r>
        <w:rPr>
          <w:rFonts w:eastAsia="SimSun"/>
          <w:lang w:eastAsia="zh-CN"/>
        </w:rPr>
        <w:t>obtain</w:t>
      </w:r>
      <w:r w:rsidRPr="00ED1C02">
        <w:rPr>
          <w:rFonts w:eastAsia="SimSun"/>
          <w:lang w:eastAsia="zh-CN"/>
        </w:rPr>
        <w:t xml:space="preserve"> the benefits of cost-effective deployment of IMT system, it is necessary to achieve global/regional spectrum harmonization for IMT;</w:t>
      </w:r>
      <w:bookmarkStart w:id="15" w:name="OLE_LINK90"/>
      <w:bookmarkStart w:id="16" w:name="OLE_LINK91"/>
    </w:p>
    <w:p w14:paraId="0A39F520" w14:textId="77777777" w:rsidR="0037118E" w:rsidRPr="00871918" w:rsidRDefault="0037118E" w:rsidP="0037118E">
      <w:pPr>
        <w:rPr>
          <w:rFonts w:eastAsia="SimSun"/>
          <w:lang w:eastAsia="zh-CN"/>
        </w:rPr>
      </w:pPr>
      <w:r>
        <w:rPr>
          <w:i/>
          <w:iCs/>
        </w:rPr>
        <w:t>b</w:t>
      </w:r>
      <w:r w:rsidRPr="006905BC">
        <w:rPr>
          <w:i/>
          <w:iCs/>
        </w:rPr>
        <w:t>)</w:t>
      </w:r>
      <w:r w:rsidRPr="006905BC">
        <w:tab/>
      </w:r>
      <w:r w:rsidRPr="00ED1C02">
        <w:rPr>
          <w:rFonts w:eastAsia="SimSun" w:hint="eastAsia"/>
          <w:lang w:eastAsia="zh-CN"/>
        </w:rPr>
        <w:t xml:space="preserve">that </w:t>
      </w:r>
      <w:r w:rsidRPr="00ED1C02">
        <w:rPr>
          <w:rFonts w:eastAsia="SimSun"/>
          <w:lang w:eastAsia="zh-CN"/>
        </w:rPr>
        <w:t xml:space="preserve">incumbent services </w:t>
      </w:r>
      <w:r>
        <w:rPr>
          <w:rFonts w:eastAsia="SimSun"/>
          <w:lang w:eastAsia="zh-CN"/>
        </w:rPr>
        <w:t>already use bands within the 4-18 GHz range,</w:t>
      </w:r>
      <w:r w:rsidRPr="00ED1C02">
        <w:rPr>
          <w:rFonts w:eastAsia="SimSun"/>
          <w:lang w:eastAsia="zh-CN"/>
        </w:rPr>
        <w:t xml:space="preserve"> and these services and </w:t>
      </w:r>
      <w:r>
        <w:rPr>
          <w:rFonts w:eastAsia="SimSun"/>
          <w:lang w:eastAsia="zh-CN"/>
        </w:rPr>
        <w:t xml:space="preserve">their </w:t>
      </w:r>
      <w:r w:rsidRPr="00ED1C02">
        <w:rPr>
          <w:rFonts w:eastAsia="SimSun"/>
          <w:lang w:eastAsia="zh-CN"/>
        </w:rPr>
        <w:t xml:space="preserve">future development require appropriate protection that </w:t>
      </w:r>
      <w:r>
        <w:rPr>
          <w:rFonts w:eastAsia="SimSun"/>
          <w:lang w:eastAsia="zh-CN"/>
        </w:rPr>
        <w:t xml:space="preserve">may </w:t>
      </w:r>
      <w:r w:rsidRPr="00ED1C02">
        <w:rPr>
          <w:rFonts w:eastAsia="SimSun"/>
          <w:lang w:eastAsia="zh-CN"/>
        </w:rPr>
        <w:t>involve substantial infrastructure investment</w:t>
      </w:r>
      <w:r>
        <w:rPr>
          <w:rFonts w:eastAsia="SimSun"/>
          <w:lang w:eastAsia="zh-CN"/>
        </w:rPr>
        <w:t>,</w:t>
      </w:r>
    </w:p>
    <w:bookmarkEnd w:id="15"/>
    <w:bookmarkEnd w:id="16"/>
    <w:p w14:paraId="6C7D84D2" w14:textId="77777777" w:rsidR="0037118E" w:rsidRPr="00E66A6F" w:rsidRDefault="0037118E" w:rsidP="0037118E">
      <w:pPr>
        <w:pStyle w:val="Call"/>
        <w:rPr>
          <w:lang w:eastAsia="zh-CN"/>
        </w:rPr>
      </w:pPr>
      <w:r w:rsidRPr="0068778C">
        <w:t>noting</w:t>
      </w:r>
    </w:p>
    <w:p w14:paraId="265D4EF9" w14:textId="77777777" w:rsidR="0037118E" w:rsidRPr="0079338C" w:rsidRDefault="0037118E" w:rsidP="00435268">
      <w:pPr>
        <w:rPr>
          <w:rFonts w:eastAsia="SimSun"/>
          <w:lang w:eastAsia="zh-CN"/>
        </w:rPr>
      </w:pPr>
      <w:r w:rsidRPr="0079338C">
        <w:rPr>
          <w:rFonts w:eastAsia="SimSun" w:hint="eastAsia"/>
          <w:lang w:eastAsia="zh-CN"/>
        </w:rPr>
        <w:t>that c</w:t>
      </w:r>
      <w:r w:rsidRPr="0079338C">
        <w:rPr>
          <w:rFonts w:eastAsia="SimSun"/>
          <w:lang w:eastAsia="zh-CN"/>
        </w:rPr>
        <w:t xml:space="preserve">ompared with the low and high frequency bands, the 4-18 GHz frequency range </w:t>
      </w:r>
      <w:r w:rsidRPr="0079338C">
        <w:rPr>
          <w:rFonts w:eastAsia="SimSun" w:hint="eastAsia"/>
          <w:lang w:eastAsia="zh-CN"/>
        </w:rPr>
        <w:t xml:space="preserve">can </w:t>
      </w:r>
      <w:r w:rsidRPr="0079338C">
        <w:rPr>
          <w:rFonts w:eastAsia="SimSun"/>
          <w:lang w:eastAsia="zh-CN"/>
        </w:rPr>
        <w:t>provide better balance for meeting needs for both coverage and capacity,</w:t>
      </w:r>
    </w:p>
    <w:p w14:paraId="64AB6279" w14:textId="77777777" w:rsidR="0037118E" w:rsidRPr="0079338C" w:rsidRDefault="0037118E" w:rsidP="0037118E">
      <w:pPr>
        <w:pStyle w:val="Call"/>
        <w:rPr>
          <w:rFonts w:eastAsia="SimSun"/>
          <w:lang w:eastAsia="zh-CN"/>
        </w:rPr>
      </w:pPr>
      <w:r w:rsidRPr="0079338C">
        <w:t>resolves to invite the 2023 World Radiocommunication Confer</w:t>
      </w:r>
      <w:bookmarkStart w:id="17" w:name="_GoBack"/>
      <w:bookmarkEnd w:id="17"/>
      <w:r w:rsidRPr="0079338C">
        <w:t>ence</w:t>
      </w:r>
    </w:p>
    <w:p w14:paraId="1DEDA8C1" w14:textId="77777777" w:rsidR="0037118E" w:rsidRDefault="0037118E" w:rsidP="0037118E">
      <w:pPr>
        <w:rPr>
          <w:color w:val="000000"/>
          <w:lang w:eastAsia="zh-CN"/>
        </w:rPr>
      </w:pPr>
      <w:r w:rsidRPr="0079338C">
        <w:t xml:space="preserve">to consider, based on the results of ITU-R studies referred to in </w:t>
      </w:r>
      <w:r w:rsidRPr="0079338C">
        <w:rPr>
          <w:i/>
          <w:iCs/>
        </w:rPr>
        <w:t>resolves to</w:t>
      </w:r>
      <w:r w:rsidRPr="0079338C">
        <w:t xml:space="preserve"> </w:t>
      </w:r>
      <w:r w:rsidRPr="0079338C">
        <w:rPr>
          <w:i/>
          <w:iCs/>
        </w:rPr>
        <w:t>invites ITU-R</w:t>
      </w:r>
      <w:r w:rsidRPr="0079338C">
        <w:t xml:space="preserve"> below, identification for the terrestrial component of IMT in the</w:t>
      </w:r>
      <w:r w:rsidRPr="0079338C">
        <w:rPr>
          <w:lang w:eastAsia="zh-CN"/>
        </w:rPr>
        <w:t xml:space="preserve"> following frequency bands</w:t>
      </w:r>
      <w:r w:rsidRPr="0079338C">
        <w:rPr>
          <w:color w:val="000000"/>
          <w:lang w:eastAsia="zh-CN"/>
        </w:rPr>
        <w:t xml:space="preserve"> taking into account </w:t>
      </w:r>
      <w:r w:rsidRPr="0079338C">
        <w:rPr>
          <w:i/>
          <w:iCs/>
          <w:color w:val="000000"/>
          <w:lang w:eastAsia="zh-CN"/>
        </w:rPr>
        <w:t>recognizing b)</w:t>
      </w:r>
      <w:r w:rsidRPr="0079338C">
        <w:rPr>
          <w:color w:val="000000"/>
          <w:lang w:eastAsia="zh-CN"/>
        </w:rPr>
        <w:t xml:space="preserve"> above:</w:t>
      </w:r>
    </w:p>
    <w:p w14:paraId="416FC410" w14:textId="0BA019C2" w:rsidR="0037118E" w:rsidRPr="00255DE5" w:rsidRDefault="00255DE5" w:rsidP="00255DE5">
      <w:pPr>
        <w:pStyle w:val="enumlev1"/>
      </w:pPr>
      <w:r>
        <w:lastRenderedPageBreak/>
        <w:t>•</w:t>
      </w:r>
      <w:r>
        <w:tab/>
      </w:r>
      <w:r w:rsidR="0037118E" w:rsidRPr="00255DE5">
        <w:t>4</w:t>
      </w:r>
      <w:r w:rsidR="005B3318" w:rsidRPr="00255DE5">
        <w:t> </w:t>
      </w:r>
      <w:r w:rsidR="0037118E" w:rsidRPr="00255DE5">
        <w:t>800</w:t>
      </w:r>
      <w:r w:rsidR="005B3318" w:rsidRPr="00255DE5">
        <w:t>-</w:t>
      </w:r>
      <w:r w:rsidR="0037118E" w:rsidRPr="00255DE5">
        <w:t>4</w:t>
      </w:r>
      <w:r w:rsidR="005B3318" w:rsidRPr="00255DE5">
        <w:t> </w:t>
      </w:r>
      <w:r w:rsidR="0037118E" w:rsidRPr="00255DE5">
        <w:t>990 MHz</w:t>
      </w:r>
    </w:p>
    <w:p w14:paraId="77C16C61" w14:textId="27F8267A" w:rsidR="0037118E" w:rsidRPr="00255DE5" w:rsidRDefault="00255DE5" w:rsidP="00255DE5">
      <w:pPr>
        <w:pStyle w:val="enumlev1"/>
      </w:pPr>
      <w:r>
        <w:t>•</w:t>
      </w:r>
      <w:r>
        <w:tab/>
      </w:r>
      <w:r w:rsidR="0037118E" w:rsidRPr="00255DE5">
        <w:t>5</w:t>
      </w:r>
      <w:r w:rsidR="005B3318" w:rsidRPr="00255DE5">
        <w:t> </w:t>
      </w:r>
      <w:r w:rsidR="0037118E" w:rsidRPr="00255DE5">
        <w:t>925-7</w:t>
      </w:r>
      <w:r w:rsidR="005B3318" w:rsidRPr="00255DE5">
        <w:t> </w:t>
      </w:r>
      <w:r w:rsidR="0037118E" w:rsidRPr="00255DE5">
        <w:t xml:space="preserve">125 MHz </w:t>
      </w:r>
    </w:p>
    <w:p w14:paraId="5267CBE2" w14:textId="0169A811" w:rsidR="0037118E" w:rsidRPr="00255DE5" w:rsidRDefault="00255DE5" w:rsidP="00255DE5">
      <w:pPr>
        <w:pStyle w:val="enumlev1"/>
      </w:pPr>
      <w:r>
        <w:t>•</w:t>
      </w:r>
      <w:r>
        <w:tab/>
      </w:r>
      <w:r w:rsidR="0037118E" w:rsidRPr="00255DE5">
        <w:t>7</w:t>
      </w:r>
      <w:r w:rsidR="005B3318" w:rsidRPr="00255DE5">
        <w:t> </w:t>
      </w:r>
      <w:r w:rsidR="0037118E" w:rsidRPr="00255DE5">
        <w:t>125-8</w:t>
      </w:r>
      <w:r w:rsidR="005B3318" w:rsidRPr="00255DE5">
        <w:t> </w:t>
      </w:r>
      <w:r w:rsidR="0037118E" w:rsidRPr="00255DE5">
        <w:t>500 MHz</w:t>
      </w:r>
    </w:p>
    <w:p w14:paraId="730586AC" w14:textId="26F2AFC2" w:rsidR="0037118E" w:rsidRPr="00255DE5" w:rsidRDefault="00255DE5" w:rsidP="00255DE5">
      <w:pPr>
        <w:pStyle w:val="enumlev1"/>
      </w:pPr>
      <w:r>
        <w:t>•</w:t>
      </w:r>
      <w:r>
        <w:tab/>
      </w:r>
      <w:r w:rsidR="0037118E" w:rsidRPr="00255DE5">
        <w:t>8.5-10 GHz</w:t>
      </w:r>
    </w:p>
    <w:p w14:paraId="360C7211" w14:textId="00CCD29D" w:rsidR="0037118E" w:rsidRPr="00255DE5" w:rsidRDefault="00255DE5" w:rsidP="00255DE5">
      <w:pPr>
        <w:pStyle w:val="enumlev1"/>
      </w:pPr>
      <w:r>
        <w:t>•</w:t>
      </w:r>
      <w:r>
        <w:tab/>
      </w:r>
      <w:r w:rsidR="0037118E" w:rsidRPr="00255DE5">
        <w:t>10</w:t>
      </w:r>
      <w:r w:rsidR="00435268" w:rsidRPr="00255DE5">
        <w:t>-</w:t>
      </w:r>
      <w:r w:rsidR="0037118E" w:rsidRPr="00255DE5">
        <w:t>10.5 GHz</w:t>
      </w:r>
    </w:p>
    <w:p w14:paraId="1680BA23" w14:textId="5DCEC69D" w:rsidR="0037118E" w:rsidRPr="00255DE5" w:rsidRDefault="00255DE5" w:rsidP="00255DE5">
      <w:pPr>
        <w:pStyle w:val="enumlev1"/>
      </w:pPr>
      <w:r>
        <w:t>•</w:t>
      </w:r>
      <w:r>
        <w:tab/>
      </w:r>
      <w:r w:rsidR="0037118E" w:rsidRPr="00255DE5">
        <w:t>14.3/14.8</w:t>
      </w:r>
      <w:r w:rsidR="00435268" w:rsidRPr="00255DE5">
        <w:t>-</w:t>
      </w:r>
      <w:r w:rsidR="0037118E" w:rsidRPr="00255DE5">
        <w:t>15.35 GHz</w:t>
      </w:r>
    </w:p>
    <w:p w14:paraId="6371A0E3" w14:textId="6B7C8762" w:rsidR="0037118E" w:rsidRPr="00255DE5" w:rsidRDefault="00255DE5" w:rsidP="00255DE5">
      <w:pPr>
        <w:pStyle w:val="enumlev1"/>
      </w:pPr>
      <w:r>
        <w:t>•</w:t>
      </w:r>
      <w:r>
        <w:tab/>
      </w:r>
      <w:r w:rsidR="0037118E" w:rsidRPr="00255DE5">
        <w:t>15.35</w:t>
      </w:r>
      <w:r w:rsidR="00435268" w:rsidRPr="00255DE5">
        <w:t>-</w:t>
      </w:r>
      <w:r w:rsidR="0037118E" w:rsidRPr="00255DE5">
        <w:t>15.63 GHz</w:t>
      </w:r>
    </w:p>
    <w:p w14:paraId="19360BF2" w14:textId="1C2413EA" w:rsidR="0037118E" w:rsidRPr="00255DE5" w:rsidRDefault="00255DE5" w:rsidP="00255DE5">
      <w:pPr>
        <w:pStyle w:val="enumlev1"/>
      </w:pPr>
      <w:r>
        <w:t>•</w:t>
      </w:r>
      <w:r>
        <w:tab/>
      </w:r>
      <w:r w:rsidR="0037118E" w:rsidRPr="00255DE5">
        <w:t>15.63</w:t>
      </w:r>
      <w:r w:rsidR="00435268" w:rsidRPr="00255DE5">
        <w:t>-</w:t>
      </w:r>
      <w:r w:rsidR="0037118E" w:rsidRPr="00255DE5">
        <w:t>17.3 GHz</w:t>
      </w:r>
    </w:p>
    <w:p w14:paraId="4974F078" w14:textId="77777777" w:rsidR="0037118E" w:rsidRPr="0079338C" w:rsidRDefault="0037118E" w:rsidP="0037118E">
      <w:pPr>
        <w:pStyle w:val="Call"/>
        <w:rPr>
          <w:sz w:val="32"/>
          <w:szCs w:val="32"/>
          <w:lang w:eastAsia="zh-CN"/>
        </w:rPr>
      </w:pPr>
      <w:r w:rsidRPr="0079338C">
        <w:t>resolves to invite ITU</w:t>
      </w:r>
      <w:r w:rsidRPr="0079338C">
        <w:noBreakHyphen/>
        <w:t>R</w:t>
      </w:r>
    </w:p>
    <w:p w14:paraId="263A1638" w14:textId="77777777" w:rsidR="0037118E" w:rsidRPr="00D85AE6" w:rsidRDefault="0037118E" w:rsidP="0037118E">
      <w:pPr>
        <w:rPr>
          <w:lang w:eastAsia="zh-CN"/>
        </w:rPr>
      </w:pPr>
      <w:r w:rsidRPr="0079338C">
        <w:rPr>
          <w:lang w:eastAsia="zh-CN"/>
        </w:rPr>
        <w:t>1</w:t>
      </w:r>
      <w:r w:rsidRPr="0079338C">
        <w:rPr>
          <w:lang w:eastAsia="zh-CN"/>
        </w:rPr>
        <w:tab/>
        <w:t>to study additional spectrum needs associated with the capabilities required for</w:t>
      </w:r>
      <w:r w:rsidRPr="00D85AE6">
        <w:rPr>
          <w:lang w:eastAsia="zh-CN"/>
        </w:rPr>
        <w:t xml:space="preserve"> </w:t>
      </w:r>
      <w:r>
        <w:rPr>
          <w:lang w:eastAsia="zh-CN"/>
        </w:rPr>
        <w:t>terrestrial component</w:t>
      </w:r>
      <w:r w:rsidRPr="00D85AE6">
        <w:rPr>
          <w:lang w:eastAsia="zh-CN"/>
        </w:rPr>
        <w:t xml:space="preserve"> of IMT, taking into account:</w:t>
      </w:r>
    </w:p>
    <w:p w14:paraId="1D732808" w14:textId="77777777" w:rsidR="0037118E" w:rsidRPr="00D85AE6" w:rsidRDefault="0037118E" w:rsidP="005B3318">
      <w:pPr>
        <w:pStyle w:val="enumlev1"/>
      </w:pPr>
      <w:bookmarkStart w:id="18" w:name="OLE_LINK7"/>
      <w:r w:rsidRPr="00D85AE6">
        <w:t>–</w:t>
      </w:r>
      <w:r w:rsidRPr="00D85AE6">
        <w:tab/>
        <w:t>evolving needs to meet emerging demands for IMT;</w:t>
      </w:r>
    </w:p>
    <w:p w14:paraId="65D36B88" w14:textId="77777777" w:rsidR="0037118E" w:rsidRPr="00D85AE6" w:rsidRDefault="0037118E" w:rsidP="005B3318">
      <w:pPr>
        <w:pStyle w:val="enumlev1"/>
      </w:pPr>
      <w:r w:rsidRPr="00D85AE6">
        <w:t>–</w:t>
      </w:r>
      <w:r w:rsidRPr="00D85AE6">
        <w:tab/>
        <w:t xml:space="preserve">technical and operational characteristics of IMT systems in the </w:t>
      </w:r>
      <w:r>
        <w:rPr>
          <w:color w:val="000000"/>
          <w:lang w:eastAsia="zh-CN"/>
        </w:rPr>
        <w:t xml:space="preserve">4-18 GHz </w:t>
      </w:r>
      <w:r w:rsidRPr="00D85AE6">
        <w:t>frequency range, including the evolution of IMT through advances in technology and spectrally-efficient techniques, and their deployment;</w:t>
      </w:r>
    </w:p>
    <w:p w14:paraId="7AD13C2F" w14:textId="7C4352E5" w:rsidR="0037118E" w:rsidRPr="00BA789C" w:rsidRDefault="0037118E" w:rsidP="005B3318">
      <w:pPr>
        <w:pStyle w:val="enumlev1"/>
        <w:rPr>
          <w:lang w:eastAsia="zh-CN"/>
        </w:rPr>
      </w:pPr>
      <w:r w:rsidRPr="00D85AE6">
        <w:rPr>
          <w:lang w:eastAsia="zh-CN"/>
        </w:rPr>
        <w:t>–</w:t>
      </w:r>
      <w:r w:rsidRPr="00D85AE6">
        <w:rPr>
          <w:lang w:eastAsia="zh-CN"/>
        </w:rPr>
        <w:tab/>
        <w:t xml:space="preserve">the </w:t>
      </w:r>
      <w:r w:rsidR="00F90E9C" w:rsidRPr="00D85AE6">
        <w:rPr>
          <w:lang w:eastAsia="zh-CN"/>
        </w:rPr>
        <w:t>timeframe</w:t>
      </w:r>
      <w:r w:rsidRPr="00D85AE6">
        <w:rPr>
          <w:lang w:eastAsia="zh-CN"/>
        </w:rPr>
        <w:t xml:space="preserve"> in which spectrum would be needed;</w:t>
      </w:r>
    </w:p>
    <w:bookmarkEnd w:id="18"/>
    <w:p w14:paraId="47FED9F9" w14:textId="77777777" w:rsidR="0037118E" w:rsidRPr="0079338C" w:rsidRDefault="0037118E">
      <w:pPr>
        <w:rPr>
          <w:lang w:eastAsia="zh-CN"/>
        </w:rPr>
      </w:pPr>
      <w:r w:rsidRPr="0079338C">
        <w:rPr>
          <w:lang w:eastAsia="zh-CN"/>
        </w:rPr>
        <w:t>2</w:t>
      </w:r>
      <w:r w:rsidRPr="0079338C">
        <w:rPr>
          <w:lang w:eastAsia="zh-CN"/>
        </w:rPr>
        <w:tab/>
        <w:t>to conduct sharing and compatibility studies between IMT and incumbent services in the bands listed above, taken into account the need to ensure protection of existing services and their development without imposing additional constraint(s) which have allocations in the potential candidate bands and in adjacent bands on a primary basis</w:t>
      </w:r>
      <w:r w:rsidR="00435268" w:rsidRPr="0079338C">
        <w:rPr>
          <w:lang w:eastAsia="zh-CN"/>
        </w:rPr>
        <w:t>,</w:t>
      </w:r>
    </w:p>
    <w:p w14:paraId="16FD0BE3" w14:textId="77777777" w:rsidR="0037118E" w:rsidRPr="000D1E7A" w:rsidRDefault="0037118E" w:rsidP="0037118E">
      <w:pPr>
        <w:pStyle w:val="Call"/>
      </w:pPr>
      <w:r w:rsidRPr="0079338C">
        <w:t>invites administrations</w:t>
      </w:r>
    </w:p>
    <w:p w14:paraId="04BDC28F" w14:textId="77777777" w:rsidR="0037118E" w:rsidRDefault="0037118E" w:rsidP="0037118E">
      <w:r w:rsidRPr="00E66A6F">
        <w:rPr>
          <w:lang w:eastAsia="zh-CN"/>
        </w:rPr>
        <w:t>to participate actively in the studies by submitting contributions to the ITU-R.</w:t>
      </w:r>
    </w:p>
    <w:p w14:paraId="7EDD992C" w14:textId="77777777" w:rsidR="008A4F90" w:rsidRDefault="008A4F90">
      <w:pPr>
        <w:pStyle w:val="Reasons"/>
      </w:pPr>
    </w:p>
    <w:p w14:paraId="164A3A27" w14:textId="77777777" w:rsidR="00680B04" w:rsidRDefault="00680B04">
      <w:pPr>
        <w:tabs>
          <w:tab w:val="clear" w:pos="1134"/>
          <w:tab w:val="clear" w:pos="1871"/>
          <w:tab w:val="clear" w:pos="2268"/>
        </w:tabs>
        <w:overflowPunct/>
        <w:autoSpaceDE/>
        <w:autoSpaceDN/>
        <w:adjustRightInd/>
        <w:spacing w:before="0"/>
        <w:textAlignment w:val="auto"/>
      </w:pPr>
      <w:r>
        <w:br w:type="page"/>
      </w:r>
    </w:p>
    <w:p w14:paraId="38A5A5BD" w14:textId="77777777" w:rsidR="00680B04" w:rsidRPr="0079338C" w:rsidRDefault="00680B04" w:rsidP="00680B04">
      <w:pPr>
        <w:pStyle w:val="AnnexNo"/>
      </w:pPr>
      <w:r w:rsidRPr="0079338C">
        <w:lastRenderedPageBreak/>
        <w:t>ATTACHMENT 2</w:t>
      </w:r>
    </w:p>
    <w:p w14:paraId="45D406A5" w14:textId="276FE348" w:rsidR="00680B04" w:rsidRDefault="00680B04" w:rsidP="0079338C">
      <w:pPr>
        <w:pStyle w:val="Annextitle"/>
      </w:pPr>
      <w:r w:rsidRPr="0079338C">
        <w:t>PROPOSAL FOR AN ADDITIONAL AGENDA ITEM AIMING AT IDENTIFICATION OF BANDS WITHIN 4</w:t>
      </w:r>
      <w:r w:rsidR="00F90E9C">
        <w:t>-</w:t>
      </w:r>
      <w:r w:rsidRPr="0079338C">
        <w:t>18 GHZ FOR IMT</w:t>
      </w:r>
    </w:p>
    <w:p w14:paraId="720FD09D" w14:textId="77777777" w:rsidR="00680B04" w:rsidRPr="00680B04" w:rsidRDefault="00680B04" w:rsidP="00680B04"/>
    <w:p w14:paraId="63C30DB8" w14:textId="3A9ACECB" w:rsidR="00680B04" w:rsidRPr="00BF2934" w:rsidRDefault="00680B04" w:rsidP="00F90E9C">
      <w:pPr>
        <w:tabs>
          <w:tab w:val="clear" w:pos="1134"/>
          <w:tab w:val="clear" w:pos="1871"/>
          <w:tab w:val="clear" w:pos="2268"/>
        </w:tabs>
        <w:rPr>
          <w:rFonts w:ascii="Times" w:hAnsi="Times"/>
          <w:b/>
          <w:color w:val="000000"/>
        </w:rPr>
      </w:pPr>
      <w:r w:rsidRPr="00BF2934">
        <w:rPr>
          <w:rFonts w:ascii="Times" w:hAnsi="Times"/>
          <w:b/>
          <w:i/>
          <w:iCs/>
          <w:color w:val="000000"/>
        </w:rPr>
        <w:t xml:space="preserve">Subject: </w:t>
      </w:r>
      <w:r w:rsidR="00F8684F">
        <w:rPr>
          <w:rFonts w:ascii="Times" w:hAnsi="Times"/>
          <w:color w:val="000000"/>
        </w:rPr>
        <w:t>Proposal for an a</w:t>
      </w:r>
      <w:r w:rsidRPr="00BF2934">
        <w:rPr>
          <w:rFonts w:ascii="Times" w:hAnsi="Times"/>
          <w:color w:val="000000"/>
        </w:rPr>
        <w:t xml:space="preserve">genda </w:t>
      </w:r>
      <w:r w:rsidR="00F8684F">
        <w:rPr>
          <w:rFonts w:ascii="Times" w:hAnsi="Times"/>
          <w:color w:val="000000"/>
        </w:rPr>
        <w:t>i</w:t>
      </w:r>
      <w:r w:rsidRPr="00BF2934">
        <w:rPr>
          <w:rFonts w:ascii="Times" w:hAnsi="Times"/>
          <w:color w:val="000000"/>
        </w:rPr>
        <w:t>tem for WRC</w:t>
      </w:r>
      <w:r w:rsidRPr="00BF2934">
        <w:rPr>
          <w:rFonts w:ascii="Times" w:hAnsi="Times"/>
          <w:color w:val="000000"/>
        </w:rPr>
        <w:noBreakHyphen/>
      </w:r>
      <w:r>
        <w:rPr>
          <w:rFonts w:ascii="Times" w:hAnsi="Times"/>
          <w:color w:val="000000"/>
        </w:rPr>
        <w:t>23</w:t>
      </w:r>
      <w:r w:rsidRPr="00BF2934">
        <w:rPr>
          <w:rFonts w:ascii="Times" w:hAnsi="Times"/>
          <w:color w:val="000000"/>
        </w:rPr>
        <w:t xml:space="preserve"> aiming at </w:t>
      </w:r>
      <w:r>
        <w:rPr>
          <w:rFonts w:ascii="Times" w:hAnsi="Times"/>
          <w:color w:val="000000"/>
        </w:rPr>
        <w:t>identification of bands within</w:t>
      </w:r>
      <w:r w:rsidRPr="00AB69D5">
        <w:rPr>
          <w:rFonts w:ascii="Times" w:hAnsi="Times"/>
          <w:color w:val="000000"/>
        </w:rPr>
        <w:t xml:space="preserve"> </w:t>
      </w:r>
      <w:r>
        <w:rPr>
          <w:rFonts w:ascii="Times" w:hAnsi="Times"/>
          <w:color w:val="000000"/>
        </w:rPr>
        <w:t>4</w:t>
      </w:r>
      <w:r w:rsidR="00F90E9C">
        <w:rPr>
          <w:rFonts w:ascii="Times" w:hAnsi="Times"/>
          <w:color w:val="000000"/>
        </w:rPr>
        <w:noBreakHyphen/>
      </w:r>
      <w:r>
        <w:rPr>
          <w:rFonts w:ascii="Times" w:hAnsi="Times"/>
          <w:color w:val="000000"/>
        </w:rPr>
        <w:t>18</w:t>
      </w:r>
      <w:r w:rsidR="00F90E9C">
        <w:rPr>
          <w:rFonts w:ascii="Times" w:hAnsi="Times"/>
          <w:color w:val="000000"/>
        </w:rPr>
        <w:t> </w:t>
      </w:r>
      <w:r w:rsidR="00F8684F">
        <w:rPr>
          <w:rFonts w:ascii="Times" w:hAnsi="Times"/>
          <w:color w:val="000000"/>
        </w:rPr>
        <w:t>GHz</w:t>
      </w:r>
      <w:r w:rsidRPr="00AB69D5">
        <w:rPr>
          <w:rFonts w:ascii="Times" w:hAnsi="Times"/>
          <w:color w:val="000000"/>
        </w:rPr>
        <w:t xml:space="preserve"> </w:t>
      </w:r>
      <w:r>
        <w:rPr>
          <w:rFonts w:ascii="Times" w:hAnsi="Times"/>
          <w:color w:val="000000"/>
        </w:rPr>
        <w:t xml:space="preserve">for </w:t>
      </w:r>
      <w:r w:rsidRPr="003A119B">
        <w:rPr>
          <w:rFonts w:ascii="Times" w:hAnsi="Times"/>
          <w:color w:val="000000"/>
        </w:rPr>
        <w:t xml:space="preserve">IMT </w:t>
      </w:r>
    </w:p>
    <w:p w14:paraId="4CF24142" w14:textId="77777777" w:rsidR="00680B04" w:rsidRPr="00BF2934" w:rsidRDefault="00680B04" w:rsidP="00680B04">
      <w:pPr>
        <w:tabs>
          <w:tab w:val="clear" w:pos="1134"/>
          <w:tab w:val="clear" w:pos="1871"/>
          <w:tab w:val="clear" w:pos="2268"/>
        </w:tabs>
      </w:pPr>
      <w:r w:rsidRPr="00BF2934">
        <w:rPr>
          <w:b/>
          <w:i/>
          <w:iCs/>
        </w:rPr>
        <w:t>Origin</w:t>
      </w:r>
      <w:r w:rsidRPr="00BF2934">
        <w:rPr>
          <w:i/>
          <w:iCs/>
        </w:rPr>
        <w:t>:</w:t>
      </w:r>
      <w:r w:rsidRPr="00BF2934">
        <w:t xml:space="preserve"> </w:t>
      </w:r>
      <w:r>
        <w:t>ATU</w:t>
      </w:r>
    </w:p>
    <w:p w14:paraId="04BE4CA8" w14:textId="77777777" w:rsidR="00680B04" w:rsidRPr="00BF2934" w:rsidRDefault="00680B04" w:rsidP="00680B04">
      <w:pPr>
        <w:pBdr>
          <w:bottom w:val="single" w:sz="12" w:space="1" w:color="auto"/>
        </w:pBdr>
        <w:tabs>
          <w:tab w:val="clear" w:pos="1134"/>
          <w:tab w:val="clear" w:pos="1871"/>
          <w:tab w:val="clear" w:pos="2268"/>
          <w:tab w:val="left" w:pos="794"/>
          <w:tab w:val="left" w:pos="1191"/>
          <w:tab w:val="left" w:pos="1588"/>
          <w:tab w:val="left" w:pos="1985"/>
        </w:tabs>
        <w:rPr>
          <w:color w:val="000000"/>
          <w:sz w:val="16"/>
          <w:szCs w:val="16"/>
        </w:rPr>
      </w:pPr>
    </w:p>
    <w:p w14:paraId="138F8E0B" w14:textId="0E02A45D" w:rsidR="00680B04" w:rsidRDefault="00680B04" w:rsidP="00680B04">
      <w:pPr>
        <w:tabs>
          <w:tab w:val="clear" w:pos="1134"/>
          <w:tab w:val="clear" w:pos="1871"/>
          <w:tab w:val="clear" w:pos="2268"/>
        </w:tabs>
        <w:rPr>
          <w:i/>
          <w:iCs/>
        </w:rPr>
      </w:pPr>
      <w:r w:rsidRPr="00BF2934">
        <w:rPr>
          <w:b/>
          <w:bCs/>
          <w:i/>
          <w:color w:val="000000"/>
        </w:rPr>
        <w:t>Proposal</w:t>
      </w:r>
      <w:r w:rsidRPr="00BF2934">
        <w:rPr>
          <w:b/>
          <w:i/>
          <w:iCs/>
          <w:color w:val="000000"/>
        </w:rPr>
        <w:t>:</w:t>
      </w:r>
      <w:r w:rsidRPr="00BF2934">
        <w:t xml:space="preserve"> </w:t>
      </w:r>
      <w:r w:rsidRPr="00BF2934">
        <w:rPr>
          <w:i/>
          <w:iCs/>
        </w:rPr>
        <w:t xml:space="preserve">To </w:t>
      </w:r>
      <w:r>
        <w:rPr>
          <w:i/>
          <w:iCs/>
        </w:rPr>
        <w:t>conduct sharing studies between IMT and the incumbent services in bands within 4</w:t>
      </w:r>
      <w:r w:rsidR="00F90E9C">
        <w:rPr>
          <w:i/>
          <w:iCs/>
        </w:rPr>
        <w:noBreakHyphen/>
      </w:r>
      <w:r>
        <w:rPr>
          <w:i/>
          <w:iCs/>
        </w:rPr>
        <w:t>18</w:t>
      </w:r>
      <w:r w:rsidR="004B65E9">
        <w:rPr>
          <w:i/>
          <w:iCs/>
        </w:rPr>
        <w:t xml:space="preserve"> GHz</w:t>
      </w:r>
      <w:r>
        <w:rPr>
          <w:i/>
          <w:iCs/>
        </w:rPr>
        <w:t xml:space="preserve"> before 2023 and to consider a possible IMT identification in those bands at WRC-23</w:t>
      </w:r>
    </w:p>
    <w:p w14:paraId="0548FAA4" w14:textId="77777777" w:rsidR="00680B04" w:rsidRPr="00BF2934" w:rsidRDefault="00680B04" w:rsidP="00680B04">
      <w:pPr>
        <w:pBdr>
          <w:bottom w:val="single" w:sz="12" w:space="1" w:color="auto"/>
        </w:pBdr>
        <w:tabs>
          <w:tab w:val="clear" w:pos="1134"/>
          <w:tab w:val="clear" w:pos="1871"/>
          <w:tab w:val="clear" w:pos="2268"/>
          <w:tab w:val="left" w:pos="794"/>
          <w:tab w:val="left" w:pos="1191"/>
          <w:tab w:val="left" w:pos="1588"/>
          <w:tab w:val="left" w:pos="1985"/>
        </w:tabs>
        <w:rPr>
          <w:color w:val="000000"/>
          <w:sz w:val="16"/>
          <w:szCs w:val="16"/>
        </w:rPr>
      </w:pPr>
    </w:p>
    <w:p w14:paraId="5BC4135C" w14:textId="77777777" w:rsidR="00680B04" w:rsidRDefault="00680B04" w:rsidP="00680B04">
      <w:pPr>
        <w:tabs>
          <w:tab w:val="clear" w:pos="1134"/>
          <w:tab w:val="clear" w:pos="1871"/>
          <w:tab w:val="clear" w:pos="2268"/>
        </w:tabs>
        <w:rPr>
          <w:b/>
          <w:bCs/>
          <w:i/>
          <w:iCs/>
          <w:color w:val="000000"/>
        </w:rPr>
      </w:pPr>
      <w:r w:rsidRPr="00BF2934">
        <w:rPr>
          <w:b/>
          <w:i/>
          <w:color w:val="000000"/>
        </w:rPr>
        <w:t>Background/reason</w:t>
      </w:r>
      <w:r w:rsidRPr="00BF2934">
        <w:rPr>
          <w:b/>
          <w:bCs/>
          <w:i/>
          <w:iCs/>
          <w:color w:val="000000"/>
        </w:rPr>
        <w:t>:</w:t>
      </w:r>
    </w:p>
    <w:p w14:paraId="0C278997" w14:textId="77777777" w:rsidR="00680B04" w:rsidRPr="003A119B" w:rsidRDefault="00680B04" w:rsidP="00680B04">
      <w:pPr>
        <w:tabs>
          <w:tab w:val="clear" w:pos="1134"/>
          <w:tab w:val="clear" w:pos="1871"/>
          <w:tab w:val="clear" w:pos="2268"/>
        </w:tabs>
      </w:pPr>
      <w:r w:rsidRPr="003A119B">
        <w:t>The m</w:t>
      </w:r>
      <w:r w:rsidR="001B0FDA">
        <w:t>illimetric wave (mmW) bands in agenda i</w:t>
      </w:r>
      <w:r w:rsidRPr="003A119B">
        <w:t>tem 1.13 will become the key bands for the provision of ultra-high speed and high-capacity 5G services. As expected, 5G networks in the mmW bands will be mostly deployed as hotspots in big cities and other densely populated areas.</w:t>
      </w:r>
    </w:p>
    <w:p w14:paraId="63D61F2C" w14:textId="77777777" w:rsidR="00680B04" w:rsidRDefault="00680B04" w:rsidP="00680B04">
      <w:pPr>
        <w:tabs>
          <w:tab w:val="clear" w:pos="1134"/>
          <w:tab w:val="clear" w:pos="1871"/>
          <w:tab w:val="clear" w:pos="2268"/>
        </w:tabs>
      </w:pPr>
      <w:r w:rsidRPr="003A119B">
        <w:t xml:space="preserve">However, in order to enable the full capabilities of 5G, including extended coverage, additional spectrum will be required. Partly, these needs could be satisfied from the existing mobile bands below 3.6 GHz. The lower frequency bands are more efficient for coverage of larger areas and also for the provision of indoor coverage from outdoor base stations. </w:t>
      </w:r>
      <w:r>
        <w:t>E</w:t>
      </w:r>
      <w:r w:rsidRPr="003A119B">
        <w:t xml:space="preserve">xisting mobile bands, in first instance the C-band, will be in high demand for efficient deployment of 5G networks. It is also anticipated that additional spectrum will soon be required for 5G in the mid-range frequency range, particularly between about </w:t>
      </w:r>
      <w:r>
        <w:t>4</w:t>
      </w:r>
      <w:r w:rsidRPr="003A119B">
        <w:t xml:space="preserve"> and </w:t>
      </w:r>
      <w:r>
        <w:t>18</w:t>
      </w:r>
      <w:r w:rsidRPr="003A119B">
        <w:t xml:space="preserve"> GHz.</w:t>
      </w:r>
      <w:r>
        <w:t xml:space="preserve"> This range is particularly interesting for the African region due to the favourable propagation conditions compared to the bands above 18 GHz.</w:t>
      </w:r>
    </w:p>
    <w:p w14:paraId="2876D977" w14:textId="77777777" w:rsidR="00680B04" w:rsidRDefault="00680B04" w:rsidP="00680B04">
      <w:pPr>
        <w:tabs>
          <w:tab w:val="clear" w:pos="1134"/>
          <w:tab w:val="clear" w:pos="1871"/>
          <w:tab w:val="clear" w:pos="2268"/>
        </w:tabs>
      </w:pPr>
      <w:r>
        <w:t>The following bands are candidates for IMT identification:</w:t>
      </w:r>
    </w:p>
    <w:p w14:paraId="72817515" w14:textId="7D2A4057" w:rsidR="00680B04" w:rsidRPr="00255DE5" w:rsidRDefault="00255DE5" w:rsidP="00255DE5">
      <w:pPr>
        <w:pStyle w:val="enumlev1"/>
      </w:pPr>
      <w:r>
        <w:t>•</w:t>
      </w:r>
      <w:r>
        <w:tab/>
      </w:r>
      <w:r w:rsidR="00680B04" w:rsidRPr="00255DE5">
        <w:t>4</w:t>
      </w:r>
      <w:r w:rsidR="00F90E9C" w:rsidRPr="00255DE5">
        <w:t> </w:t>
      </w:r>
      <w:r w:rsidR="00680B04" w:rsidRPr="00255DE5">
        <w:t>800</w:t>
      </w:r>
      <w:r w:rsidR="00F90E9C" w:rsidRPr="00255DE5">
        <w:t>-</w:t>
      </w:r>
      <w:r w:rsidR="00680B04" w:rsidRPr="00255DE5">
        <w:t>4</w:t>
      </w:r>
      <w:r w:rsidR="00F90E9C" w:rsidRPr="00255DE5">
        <w:t> </w:t>
      </w:r>
      <w:r w:rsidR="00680B04" w:rsidRPr="00255DE5">
        <w:t>990 MHz</w:t>
      </w:r>
    </w:p>
    <w:p w14:paraId="6B759213" w14:textId="212C7328" w:rsidR="00680B04" w:rsidRPr="00255DE5" w:rsidRDefault="00255DE5" w:rsidP="00255DE5">
      <w:pPr>
        <w:pStyle w:val="enumlev1"/>
      </w:pPr>
      <w:r>
        <w:t>•</w:t>
      </w:r>
      <w:r>
        <w:tab/>
      </w:r>
      <w:r w:rsidR="00680B04" w:rsidRPr="00255DE5">
        <w:t>5</w:t>
      </w:r>
      <w:r w:rsidR="00F90E9C" w:rsidRPr="00255DE5">
        <w:t> </w:t>
      </w:r>
      <w:r w:rsidR="00680B04" w:rsidRPr="00255DE5">
        <w:t>925</w:t>
      </w:r>
      <w:r w:rsidR="00F90E9C" w:rsidRPr="00255DE5">
        <w:t>-</w:t>
      </w:r>
      <w:r w:rsidR="00680B04" w:rsidRPr="00255DE5">
        <w:t xml:space="preserve">7125 MHz </w:t>
      </w:r>
    </w:p>
    <w:p w14:paraId="1871CF07" w14:textId="627E22F9" w:rsidR="00680B04" w:rsidRPr="00255DE5" w:rsidRDefault="00255DE5" w:rsidP="00255DE5">
      <w:pPr>
        <w:pStyle w:val="enumlev1"/>
      </w:pPr>
      <w:r>
        <w:t>•</w:t>
      </w:r>
      <w:r>
        <w:tab/>
      </w:r>
      <w:r w:rsidR="00680B04" w:rsidRPr="00255DE5">
        <w:t>7</w:t>
      </w:r>
      <w:r w:rsidR="00F90E9C" w:rsidRPr="00255DE5">
        <w:t> </w:t>
      </w:r>
      <w:r w:rsidR="00680B04" w:rsidRPr="00255DE5">
        <w:t>125</w:t>
      </w:r>
      <w:r w:rsidR="00F90E9C" w:rsidRPr="00255DE5">
        <w:t>-</w:t>
      </w:r>
      <w:r w:rsidR="00680B04" w:rsidRPr="00255DE5">
        <w:t>8</w:t>
      </w:r>
      <w:r w:rsidR="00F90E9C" w:rsidRPr="00255DE5">
        <w:t> </w:t>
      </w:r>
      <w:r w:rsidR="00680B04" w:rsidRPr="00255DE5">
        <w:t>500 MHz</w:t>
      </w:r>
    </w:p>
    <w:p w14:paraId="611FF737" w14:textId="42ACF264" w:rsidR="00680B04" w:rsidRPr="00255DE5" w:rsidRDefault="00255DE5" w:rsidP="00255DE5">
      <w:pPr>
        <w:pStyle w:val="enumlev1"/>
      </w:pPr>
      <w:r>
        <w:t>•</w:t>
      </w:r>
      <w:r>
        <w:tab/>
      </w:r>
      <w:r w:rsidR="00680B04" w:rsidRPr="00255DE5">
        <w:t>8.5</w:t>
      </w:r>
      <w:r w:rsidR="00F90E9C" w:rsidRPr="00255DE5">
        <w:t>-</w:t>
      </w:r>
      <w:r w:rsidR="00680B04" w:rsidRPr="00255DE5">
        <w:t>10 GHz</w:t>
      </w:r>
    </w:p>
    <w:p w14:paraId="225BD140" w14:textId="2C42A4FA" w:rsidR="00680B04" w:rsidRPr="00255DE5" w:rsidRDefault="00255DE5" w:rsidP="00255DE5">
      <w:pPr>
        <w:pStyle w:val="enumlev1"/>
      </w:pPr>
      <w:r>
        <w:t>•</w:t>
      </w:r>
      <w:r>
        <w:tab/>
      </w:r>
      <w:r w:rsidR="00680B04" w:rsidRPr="00255DE5">
        <w:t>10</w:t>
      </w:r>
      <w:r w:rsidR="00F90E9C" w:rsidRPr="00255DE5">
        <w:t>-</w:t>
      </w:r>
      <w:r w:rsidR="00680B04" w:rsidRPr="00255DE5">
        <w:t>10.5 GHz</w:t>
      </w:r>
    </w:p>
    <w:p w14:paraId="377736AD" w14:textId="402D61AD" w:rsidR="00680B04" w:rsidRPr="00255DE5" w:rsidRDefault="00255DE5" w:rsidP="00255DE5">
      <w:pPr>
        <w:pStyle w:val="enumlev1"/>
      </w:pPr>
      <w:r>
        <w:t>•</w:t>
      </w:r>
      <w:r>
        <w:tab/>
      </w:r>
      <w:r w:rsidR="00680B04" w:rsidRPr="00255DE5">
        <w:t>14.3/14.8</w:t>
      </w:r>
      <w:r w:rsidR="00F90E9C" w:rsidRPr="00255DE5">
        <w:t>-</w:t>
      </w:r>
      <w:r w:rsidR="00680B04" w:rsidRPr="00255DE5">
        <w:t>15.35 GHz</w:t>
      </w:r>
    </w:p>
    <w:p w14:paraId="73796E0D" w14:textId="7B415B3B" w:rsidR="00680B04" w:rsidRPr="00255DE5" w:rsidRDefault="00255DE5" w:rsidP="00255DE5">
      <w:pPr>
        <w:pStyle w:val="enumlev1"/>
      </w:pPr>
      <w:r>
        <w:t>•</w:t>
      </w:r>
      <w:r>
        <w:tab/>
      </w:r>
      <w:r w:rsidR="00680B04" w:rsidRPr="00255DE5">
        <w:t>15.35</w:t>
      </w:r>
      <w:r w:rsidR="00F90E9C" w:rsidRPr="00255DE5">
        <w:t>-</w:t>
      </w:r>
      <w:r w:rsidR="00680B04" w:rsidRPr="00255DE5">
        <w:t>15.63 GHz</w:t>
      </w:r>
    </w:p>
    <w:p w14:paraId="147FD572" w14:textId="185EB0EB" w:rsidR="00680B04" w:rsidRPr="00255DE5" w:rsidRDefault="00255DE5" w:rsidP="00255DE5">
      <w:pPr>
        <w:pStyle w:val="enumlev1"/>
      </w:pPr>
      <w:r>
        <w:t>•</w:t>
      </w:r>
      <w:r>
        <w:tab/>
      </w:r>
      <w:r w:rsidR="00680B04" w:rsidRPr="00255DE5">
        <w:t>15.63</w:t>
      </w:r>
      <w:r w:rsidR="00F90E9C" w:rsidRPr="00255DE5">
        <w:t>-</w:t>
      </w:r>
      <w:r w:rsidR="00680B04" w:rsidRPr="00255DE5">
        <w:t>17.3 GHz</w:t>
      </w:r>
    </w:p>
    <w:p w14:paraId="072C3F79" w14:textId="77777777" w:rsidR="00680B04" w:rsidRPr="00BF2934" w:rsidRDefault="00680B04" w:rsidP="00680B04">
      <w:pPr>
        <w:pBdr>
          <w:bottom w:val="single" w:sz="12" w:space="1" w:color="auto"/>
        </w:pBdr>
        <w:tabs>
          <w:tab w:val="clear" w:pos="1134"/>
          <w:tab w:val="clear" w:pos="1871"/>
          <w:tab w:val="clear" w:pos="2268"/>
        </w:tabs>
        <w:rPr>
          <w:color w:val="000000"/>
          <w:sz w:val="16"/>
          <w:szCs w:val="16"/>
        </w:rPr>
      </w:pPr>
    </w:p>
    <w:p w14:paraId="478BBC41" w14:textId="77777777" w:rsidR="00680B04" w:rsidRPr="00BF2934" w:rsidRDefault="00680B04" w:rsidP="00680B04">
      <w:pPr>
        <w:tabs>
          <w:tab w:val="clear" w:pos="1134"/>
          <w:tab w:val="clear" w:pos="1871"/>
          <w:tab w:val="clear" w:pos="2268"/>
        </w:tabs>
        <w:rPr>
          <w:bCs/>
        </w:rPr>
      </w:pPr>
      <w:r w:rsidRPr="00BF2934">
        <w:rPr>
          <w:b/>
          <w:bCs/>
          <w:i/>
          <w:iCs/>
        </w:rPr>
        <w:t>Radiocommunication services concerned:</w:t>
      </w:r>
      <w:r w:rsidRPr="00BF2934">
        <w:rPr>
          <w:bCs/>
          <w:iCs/>
        </w:rPr>
        <w:t xml:space="preserve"> FSS, FS, MS </w:t>
      </w:r>
      <w:r>
        <w:rPr>
          <w:bCs/>
          <w:iCs/>
        </w:rPr>
        <w:t>and others</w:t>
      </w:r>
    </w:p>
    <w:p w14:paraId="56C1E566" w14:textId="77777777" w:rsidR="00680B04" w:rsidRPr="00BF2934" w:rsidRDefault="00680B04" w:rsidP="00680B04">
      <w:pPr>
        <w:pBdr>
          <w:bottom w:val="single" w:sz="12" w:space="1" w:color="auto"/>
        </w:pBdr>
        <w:tabs>
          <w:tab w:val="clear" w:pos="1134"/>
          <w:tab w:val="clear" w:pos="1871"/>
          <w:tab w:val="clear" w:pos="2268"/>
        </w:tabs>
        <w:rPr>
          <w:color w:val="000000"/>
        </w:rPr>
      </w:pPr>
    </w:p>
    <w:p w14:paraId="678A6773" w14:textId="75305292" w:rsidR="00680B04" w:rsidRPr="00BF2934" w:rsidRDefault="00680B04" w:rsidP="00680B04">
      <w:pPr>
        <w:tabs>
          <w:tab w:val="clear" w:pos="1134"/>
          <w:tab w:val="clear" w:pos="1871"/>
          <w:tab w:val="clear" w:pos="2268"/>
        </w:tabs>
        <w:rPr>
          <w:bCs/>
        </w:rPr>
      </w:pPr>
      <w:r w:rsidRPr="00BF2934">
        <w:rPr>
          <w:b/>
          <w:bCs/>
          <w:i/>
          <w:iCs/>
        </w:rPr>
        <w:t>Indication of possibl</w:t>
      </w:r>
      <w:r>
        <w:rPr>
          <w:b/>
          <w:bCs/>
          <w:i/>
          <w:iCs/>
        </w:rPr>
        <w:t xml:space="preserve">e </w:t>
      </w:r>
      <w:r w:rsidR="00F90E9C">
        <w:rPr>
          <w:b/>
          <w:bCs/>
          <w:i/>
          <w:iCs/>
        </w:rPr>
        <w:t>difficulties:</w:t>
      </w:r>
      <w:r>
        <w:rPr>
          <w:bCs/>
          <w:iCs/>
        </w:rPr>
        <w:t xml:space="preserve"> The bands under consideration have existing uses. Coexistence of IMT with these services needs to be studied and, as a result, IMT identification in some of these bands might not be possible</w:t>
      </w:r>
    </w:p>
    <w:p w14:paraId="43AF881C" w14:textId="77777777" w:rsidR="00680B04" w:rsidRPr="00BF2934" w:rsidRDefault="00680B04" w:rsidP="00680B04">
      <w:pPr>
        <w:pBdr>
          <w:bottom w:val="single" w:sz="12" w:space="1" w:color="auto"/>
        </w:pBdr>
        <w:tabs>
          <w:tab w:val="clear" w:pos="1134"/>
          <w:tab w:val="clear" w:pos="1871"/>
          <w:tab w:val="clear" w:pos="2268"/>
        </w:tabs>
        <w:rPr>
          <w:color w:val="000000"/>
          <w:sz w:val="16"/>
          <w:szCs w:val="16"/>
        </w:rPr>
      </w:pPr>
    </w:p>
    <w:p w14:paraId="40057223" w14:textId="77777777" w:rsidR="00680B04" w:rsidRDefault="00680B04" w:rsidP="00680B04">
      <w:pPr>
        <w:tabs>
          <w:tab w:val="clear" w:pos="1134"/>
          <w:tab w:val="clear" w:pos="1871"/>
          <w:tab w:val="clear" w:pos="2268"/>
        </w:tabs>
        <w:rPr>
          <w:bCs/>
          <w:iCs/>
          <w:color w:val="000000"/>
        </w:rPr>
      </w:pPr>
      <w:r w:rsidRPr="00BF2934">
        <w:rPr>
          <w:b/>
          <w:i/>
          <w:color w:val="000000"/>
        </w:rPr>
        <w:lastRenderedPageBreak/>
        <w:t>Previous/ongoing studies on the issue</w:t>
      </w:r>
      <w:r w:rsidRPr="00BF2934">
        <w:rPr>
          <w:b/>
          <w:bCs/>
          <w:i/>
          <w:iCs/>
          <w:color w:val="000000"/>
        </w:rPr>
        <w:t>:</w:t>
      </w:r>
      <w:r w:rsidRPr="00BF2934">
        <w:rPr>
          <w:bCs/>
          <w:iCs/>
          <w:color w:val="000000"/>
        </w:rPr>
        <w:t xml:space="preserve"> </w:t>
      </w:r>
    </w:p>
    <w:p w14:paraId="2BF88BFF" w14:textId="77777777" w:rsidR="00680B04" w:rsidRDefault="00680B04" w:rsidP="00680B04">
      <w:pPr>
        <w:tabs>
          <w:tab w:val="clear" w:pos="1134"/>
          <w:tab w:val="clear" w:pos="1871"/>
          <w:tab w:val="clear" w:pos="2268"/>
        </w:tabs>
        <w:rPr>
          <w:bCs/>
          <w:iCs/>
          <w:color w:val="000000"/>
        </w:rPr>
      </w:pPr>
      <w:r w:rsidRPr="001664C3">
        <w:rPr>
          <w:rFonts w:eastAsia="MS PMincho"/>
          <w:kern w:val="2"/>
          <w:lang w:eastAsia="ja-JP"/>
        </w:rPr>
        <w:t>In the frequency band of 5</w:t>
      </w:r>
      <w:r w:rsidR="007D4F67">
        <w:rPr>
          <w:rFonts w:eastAsia="MS PMincho"/>
          <w:kern w:val="2"/>
          <w:lang w:eastAsia="ja-JP"/>
        </w:rPr>
        <w:t xml:space="preserve"> </w:t>
      </w:r>
      <w:r w:rsidRPr="001664C3">
        <w:rPr>
          <w:rFonts w:eastAsia="MS PMincho"/>
          <w:kern w:val="2"/>
          <w:lang w:eastAsia="ja-JP"/>
        </w:rPr>
        <w:t>925-6</w:t>
      </w:r>
      <w:r w:rsidR="007D4F67">
        <w:rPr>
          <w:rFonts w:eastAsia="MS PMincho"/>
          <w:kern w:val="2"/>
          <w:lang w:eastAsia="ja-JP"/>
        </w:rPr>
        <w:t xml:space="preserve"> </w:t>
      </w:r>
      <w:r w:rsidRPr="001664C3">
        <w:rPr>
          <w:rFonts w:eastAsia="MS PMincho"/>
          <w:kern w:val="2"/>
          <w:lang w:eastAsia="ja-JP"/>
        </w:rPr>
        <w:t xml:space="preserve">425 MHz, the result of sharing and compatibility studies for IMT and other services are demonstrated in the Report ITU-R F.2326-0 (for the sharing studies with Fixed Service) and Report ITU-R </w:t>
      </w:r>
      <w:r>
        <w:rPr>
          <w:rFonts w:eastAsia="MS PMincho"/>
          <w:kern w:val="2"/>
          <w:lang w:eastAsia="ja-JP"/>
        </w:rPr>
        <w:t>S</w:t>
      </w:r>
      <w:r w:rsidRPr="001664C3">
        <w:rPr>
          <w:rFonts w:eastAsia="MS PMincho"/>
          <w:kern w:val="2"/>
          <w:lang w:eastAsia="ja-JP"/>
        </w:rPr>
        <w:t>.2367 (for the sharing studies with FSS UL).</w:t>
      </w:r>
    </w:p>
    <w:p w14:paraId="791F82F6" w14:textId="77777777" w:rsidR="00680B04" w:rsidRPr="00BF2934" w:rsidRDefault="00680B04" w:rsidP="00680B04">
      <w:pPr>
        <w:pBdr>
          <w:bottom w:val="single" w:sz="12" w:space="0" w:color="auto"/>
        </w:pBdr>
        <w:tabs>
          <w:tab w:val="clear" w:pos="1134"/>
          <w:tab w:val="clear" w:pos="1871"/>
          <w:tab w:val="clear" w:pos="2268"/>
        </w:tabs>
        <w:rPr>
          <w:color w:val="000000"/>
          <w:sz w:val="16"/>
          <w:szCs w:val="16"/>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680B04" w:rsidRPr="00BF2934" w14:paraId="6D6C7291" w14:textId="77777777" w:rsidTr="00A238C6">
        <w:trPr>
          <w:trHeight w:val="567"/>
          <w:jc w:val="center"/>
        </w:trPr>
        <w:tc>
          <w:tcPr>
            <w:tcW w:w="3979" w:type="dxa"/>
          </w:tcPr>
          <w:p w14:paraId="48F00297" w14:textId="77777777" w:rsidR="00680B04" w:rsidRPr="00BF2934" w:rsidRDefault="00680B04" w:rsidP="00A238C6">
            <w:pPr>
              <w:framePr w:hSpace="181" w:wrap="notBeside" w:vAnchor="text" w:hAnchor="text" w:xAlign="center" w:y="1"/>
              <w:tabs>
                <w:tab w:val="clear" w:pos="1134"/>
                <w:tab w:val="clear" w:pos="1871"/>
                <w:tab w:val="clear" w:pos="2268"/>
                <w:tab w:val="left" w:pos="4366"/>
              </w:tabs>
              <w:rPr>
                <w:b/>
                <w:bCs/>
                <w:i/>
                <w:iCs/>
                <w:color w:val="000000"/>
                <w:szCs w:val="24"/>
              </w:rPr>
            </w:pPr>
            <w:r w:rsidRPr="00BF2934">
              <w:rPr>
                <w:b/>
                <w:i/>
                <w:color w:val="000000"/>
              </w:rPr>
              <w:t>Studies to be carried out by</w:t>
            </w:r>
            <w:r w:rsidRPr="00BF2934">
              <w:rPr>
                <w:b/>
                <w:bCs/>
                <w:i/>
                <w:iCs/>
                <w:color w:val="000000"/>
              </w:rPr>
              <w:t xml:space="preserve">: </w:t>
            </w:r>
            <w:r>
              <w:rPr>
                <w:bCs/>
                <w:iCs/>
                <w:color w:val="000000"/>
              </w:rPr>
              <w:t>WP5D</w:t>
            </w:r>
          </w:p>
        </w:tc>
        <w:tc>
          <w:tcPr>
            <w:tcW w:w="5357" w:type="dxa"/>
          </w:tcPr>
          <w:p w14:paraId="3AA031FF" w14:textId="77777777" w:rsidR="00680B04" w:rsidRPr="00BF2934" w:rsidRDefault="00680B04" w:rsidP="00A238C6">
            <w:pPr>
              <w:framePr w:hSpace="181" w:wrap="notBeside" w:vAnchor="text" w:hAnchor="text" w:xAlign="center" w:y="1"/>
              <w:tabs>
                <w:tab w:val="clear" w:pos="1134"/>
                <w:tab w:val="clear" w:pos="1871"/>
                <w:tab w:val="clear" w:pos="2268"/>
                <w:tab w:val="left" w:pos="360"/>
                <w:tab w:val="left" w:pos="900"/>
                <w:tab w:val="left" w:pos="4366"/>
              </w:tabs>
              <w:ind w:left="113"/>
              <w:rPr>
                <w:b/>
                <w:i/>
                <w:iCs/>
                <w:color w:val="000000"/>
              </w:rPr>
            </w:pPr>
            <w:r w:rsidRPr="00BF2934">
              <w:rPr>
                <w:b/>
                <w:bCs/>
                <w:i/>
                <w:color w:val="000000"/>
              </w:rPr>
              <w:t>with the participation of</w:t>
            </w:r>
            <w:r w:rsidRPr="00BF2934">
              <w:rPr>
                <w:b/>
                <w:i/>
                <w:iCs/>
                <w:color w:val="000000"/>
              </w:rPr>
              <w:t xml:space="preserve">: </w:t>
            </w:r>
          </w:p>
          <w:p w14:paraId="2EAAE6FE" w14:textId="77777777" w:rsidR="00680B04" w:rsidRPr="00BF2934" w:rsidRDefault="00413B98" w:rsidP="00A238C6">
            <w:pPr>
              <w:framePr w:hSpace="181" w:wrap="notBeside" w:vAnchor="text" w:hAnchor="text" w:xAlign="center" w:y="1"/>
              <w:tabs>
                <w:tab w:val="clear" w:pos="1134"/>
                <w:tab w:val="clear" w:pos="1871"/>
                <w:tab w:val="clear" w:pos="2268"/>
                <w:tab w:val="left" w:pos="4366"/>
              </w:tabs>
              <w:rPr>
                <w:b/>
                <w:bCs/>
                <w:i/>
                <w:iCs/>
                <w:color w:val="000000"/>
                <w:szCs w:val="24"/>
              </w:rPr>
            </w:pPr>
            <w:r>
              <w:rPr>
                <w:rFonts w:eastAsia="MS Gothic"/>
                <w:kern w:val="2"/>
                <w:lang w:eastAsia="ja-JP"/>
              </w:rPr>
              <w:t xml:space="preserve">  </w:t>
            </w:r>
            <w:r w:rsidR="00680B04">
              <w:rPr>
                <w:rFonts w:eastAsia="MS Gothic"/>
                <w:kern w:val="2"/>
                <w:lang w:eastAsia="ja-JP"/>
              </w:rPr>
              <w:t>Administrations</w:t>
            </w:r>
            <w:r w:rsidR="00680B04" w:rsidRPr="00E66A6F">
              <w:rPr>
                <w:kern w:val="2"/>
                <w:lang w:eastAsia="ko-KR"/>
              </w:rPr>
              <w:t xml:space="preserve"> and Sector members of the ITU-R</w:t>
            </w:r>
          </w:p>
        </w:tc>
      </w:tr>
    </w:tbl>
    <w:p w14:paraId="74740BC6" w14:textId="77777777" w:rsidR="00680B04" w:rsidRPr="00BF2934" w:rsidRDefault="00680B04" w:rsidP="00680B04">
      <w:pPr>
        <w:tabs>
          <w:tab w:val="clear" w:pos="1134"/>
          <w:tab w:val="clear" w:pos="1871"/>
          <w:tab w:val="clear" w:pos="2268"/>
        </w:tabs>
        <w:rPr>
          <w:bCs/>
          <w:color w:val="000000"/>
        </w:rPr>
      </w:pPr>
      <w:r w:rsidRPr="00BF2934">
        <w:rPr>
          <w:b/>
          <w:i/>
          <w:color w:val="000000"/>
        </w:rPr>
        <w:t>ITU</w:t>
      </w:r>
      <w:r w:rsidRPr="00BF2934">
        <w:rPr>
          <w:b/>
          <w:i/>
          <w:color w:val="000000"/>
        </w:rPr>
        <w:noBreakHyphen/>
        <w:t>R Study Groups concerned</w:t>
      </w:r>
      <w:r w:rsidRPr="00BF2934">
        <w:rPr>
          <w:b/>
          <w:bCs/>
          <w:i/>
          <w:iCs/>
          <w:color w:val="000000"/>
        </w:rPr>
        <w:t xml:space="preserve">: </w:t>
      </w:r>
    </w:p>
    <w:p w14:paraId="22F4A8BD" w14:textId="77777777" w:rsidR="00680B04" w:rsidRPr="00BF2934" w:rsidRDefault="00680B04" w:rsidP="00680B04">
      <w:pPr>
        <w:pBdr>
          <w:bottom w:val="single" w:sz="12" w:space="1" w:color="auto"/>
        </w:pBdr>
        <w:tabs>
          <w:tab w:val="clear" w:pos="1134"/>
          <w:tab w:val="clear" w:pos="1871"/>
          <w:tab w:val="clear" w:pos="2268"/>
        </w:tabs>
        <w:rPr>
          <w:color w:val="000000"/>
          <w:sz w:val="16"/>
          <w:szCs w:val="16"/>
        </w:rPr>
      </w:pPr>
      <w:r>
        <w:rPr>
          <w:rFonts w:eastAsia="MS Gothic"/>
          <w:bCs/>
          <w:iCs/>
          <w:kern w:val="2"/>
          <w:lang w:eastAsia="ja-JP"/>
        </w:rPr>
        <w:t>SG5, SG4 and other groups</w:t>
      </w:r>
    </w:p>
    <w:p w14:paraId="1EFA0D3D" w14:textId="77777777" w:rsidR="00680B04" w:rsidRPr="00BF2934" w:rsidRDefault="00680B04" w:rsidP="00680B04">
      <w:pPr>
        <w:tabs>
          <w:tab w:val="clear" w:pos="1134"/>
          <w:tab w:val="clear" w:pos="1871"/>
          <w:tab w:val="clear" w:pos="2268"/>
          <w:tab w:val="left" w:pos="360"/>
          <w:tab w:val="left" w:pos="900"/>
        </w:tabs>
      </w:pPr>
      <w:r w:rsidRPr="00BF2934">
        <w:rPr>
          <w:b/>
          <w:bCs/>
          <w:i/>
          <w:color w:val="000000"/>
        </w:rPr>
        <w:t>ITU resource implications, including financial implications (refer to CV126)</w:t>
      </w:r>
      <w:r w:rsidRPr="00BF2934">
        <w:rPr>
          <w:b/>
          <w:i/>
          <w:iCs/>
          <w:color w:val="000000"/>
        </w:rPr>
        <w:t>:</w:t>
      </w:r>
      <w:r w:rsidRPr="00BF2934">
        <w:t xml:space="preserve"> </w:t>
      </w:r>
      <w:r>
        <w:rPr>
          <w:iCs/>
          <w:color w:val="000000"/>
        </w:rPr>
        <w:t>TBD</w:t>
      </w:r>
    </w:p>
    <w:p w14:paraId="79DAA7EF" w14:textId="77777777" w:rsidR="00680B04" w:rsidRPr="00BF2934" w:rsidRDefault="00680B04" w:rsidP="00680B04">
      <w:pPr>
        <w:pBdr>
          <w:bottom w:val="single" w:sz="12" w:space="1" w:color="auto"/>
        </w:pBdr>
        <w:tabs>
          <w:tab w:val="clear" w:pos="1134"/>
          <w:tab w:val="clear" w:pos="1871"/>
          <w:tab w:val="clear" w:pos="2268"/>
        </w:tabs>
        <w:rPr>
          <w:color w:val="000000"/>
          <w:sz w:val="16"/>
          <w:szCs w:val="16"/>
        </w:rPr>
      </w:pPr>
    </w:p>
    <w:p w14:paraId="546986AA" w14:textId="77777777" w:rsidR="00680B04" w:rsidRPr="00BF2934" w:rsidRDefault="00680B04" w:rsidP="00680B04">
      <w:pPr>
        <w:tabs>
          <w:tab w:val="clear" w:pos="1134"/>
          <w:tab w:val="clear" w:pos="1871"/>
          <w:tab w:val="clear" w:pos="2268"/>
          <w:tab w:val="left" w:pos="4366"/>
        </w:tabs>
        <w:rPr>
          <w:color w:val="000000"/>
        </w:rPr>
      </w:pPr>
      <w:r w:rsidRPr="00BF2934">
        <w:rPr>
          <w:b/>
          <w:i/>
          <w:color w:val="000000"/>
        </w:rPr>
        <w:t>Common regional proposal</w:t>
      </w:r>
      <w:r w:rsidRPr="00BF2934">
        <w:rPr>
          <w:b/>
          <w:bCs/>
          <w:i/>
          <w:iCs/>
          <w:color w:val="000000"/>
        </w:rPr>
        <w:t>:</w:t>
      </w:r>
      <w:r w:rsidRPr="00BF2934">
        <w:rPr>
          <w:color w:val="000000"/>
        </w:rPr>
        <w:t xml:space="preserve"> </w:t>
      </w:r>
      <w:r>
        <w:rPr>
          <w:color w:val="000000"/>
        </w:rPr>
        <w:t>Yes</w:t>
      </w:r>
      <w:r w:rsidRPr="00BF2934">
        <w:rPr>
          <w:color w:val="000000"/>
        </w:rPr>
        <w:tab/>
      </w:r>
      <w:r w:rsidRPr="00BF2934">
        <w:rPr>
          <w:b/>
          <w:i/>
          <w:color w:val="000000"/>
        </w:rPr>
        <w:t>Multicountry proposal</w:t>
      </w:r>
      <w:r w:rsidRPr="00BF2934">
        <w:rPr>
          <w:b/>
          <w:bCs/>
          <w:i/>
          <w:iCs/>
          <w:color w:val="000000"/>
        </w:rPr>
        <w:t xml:space="preserve">: </w:t>
      </w:r>
      <w:r w:rsidRPr="00BF2934">
        <w:rPr>
          <w:color w:val="000000"/>
        </w:rPr>
        <w:t>No</w:t>
      </w:r>
    </w:p>
    <w:p w14:paraId="6F6017EC" w14:textId="77777777" w:rsidR="00680B04" w:rsidRPr="00BF2934" w:rsidRDefault="00680B04" w:rsidP="00680B04">
      <w:pPr>
        <w:tabs>
          <w:tab w:val="clear" w:pos="1134"/>
          <w:tab w:val="clear" w:pos="1871"/>
          <w:tab w:val="clear" w:pos="2268"/>
          <w:tab w:val="left" w:pos="360"/>
          <w:tab w:val="left" w:pos="900"/>
          <w:tab w:val="left" w:pos="4366"/>
        </w:tabs>
        <w:rPr>
          <w:b/>
          <w:i/>
          <w:color w:val="000000"/>
        </w:rPr>
      </w:pPr>
      <w:r w:rsidRPr="00BF2934">
        <w:tab/>
      </w:r>
      <w:r w:rsidRPr="00BF2934">
        <w:tab/>
      </w:r>
      <w:r w:rsidRPr="00BF2934">
        <w:tab/>
      </w:r>
      <w:r w:rsidRPr="00BF2934">
        <w:rPr>
          <w:b/>
          <w:i/>
          <w:color w:val="000000"/>
        </w:rPr>
        <w:t>Number of countries:</w:t>
      </w:r>
    </w:p>
    <w:p w14:paraId="5482B5B7" w14:textId="77777777" w:rsidR="00680B04" w:rsidRPr="00BF2934" w:rsidRDefault="00680B04" w:rsidP="00680B04">
      <w:pPr>
        <w:pBdr>
          <w:bottom w:val="single" w:sz="12" w:space="1" w:color="auto"/>
        </w:pBdr>
        <w:tabs>
          <w:tab w:val="clear" w:pos="1134"/>
          <w:tab w:val="clear" w:pos="1871"/>
          <w:tab w:val="clear" w:pos="2268"/>
        </w:tabs>
        <w:rPr>
          <w:color w:val="000000"/>
          <w:sz w:val="16"/>
          <w:szCs w:val="16"/>
        </w:rPr>
      </w:pPr>
    </w:p>
    <w:p w14:paraId="3582066C" w14:textId="77777777" w:rsidR="00680B04" w:rsidRPr="00BF2934" w:rsidRDefault="00680B04" w:rsidP="00680B04">
      <w:pPr>
        <w:tabs>
          <w:tab w:val="clear" w:pos="1134"/>
          <w:tab w:val="clear" w:pos="1871"/>
          <w:tab w:val="clear" w:pos="2268"/>
        </w:tabs>
        <w:rPr>
          <w:b/>
          <w:bCs/>
          <w:i/>
          <w:iCs/>
        </w:rPr>
      </w:pPr>
      <w:r w:rsidRPr="00BF2934">
        <w:rPr>
          <w:b/>
          <w:bCs/>
          <w:i/>
          <w:iCs/>
        </w:rPr>
        <w:t>Remarks</w:t>
      </w:r>
    </w:p>
    <w:p w14:paraId="583D2803" w14:textId="77777777" w:rsidR="00680B04" w:rsidRDefault="00680B04" w:rsidP="00F90E9C"/>
    <w:p w14:paraId="3D34DF92" w14:textId="77777777" w:rsidR="00680B04" w:rsidRDefault="00680B04" w:rsidP="00680B04">
      <w:pPr>
        <w:jc w:val="center"/>
      </w:pPr>
      <w:r>
        <w:t>___________</w:t>
      </w:r>
    </w:p>
    <w:sectPr w:rsidR="00680B04"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D0202" w14:textId="77777777" w:rsidR="00BC0615" w:rsidRDefault="00BC0615">
      <w:r>
        <w:separator/>
      </w:r>
    </w:p>
  </w:endnote>
  <w:endnote w:type="continuationSeparator" w:id="0">
    <w:p w14:paraId="29FD0866" w14:textId="77777777" w:rsidR="00BC0615" w:rsidRDefault="00BC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B4520" w14:textId="77777777" w:rsidR="00E45D05" w:rsidRDefault="00E45D05">
    <w:pPr>
      <w:framePr w:wrap="around" w:vAnchor="text" w:hAnchor="margin" w:xAlign="right" w:y="1"/>
    </w:pPr>
    <w:r>
      <w:fldChar w:fldCharType="begin"/>
    </w:r>
    <w:r>
      <w:instrText xml:space="preserve">PAGE  </w:instrText>
    </w:r>
    <w:r>
      <w:fldChar w:fldCharType="end"/>
    </w:r>
  </w:p>
  <w:p w14:paraId="2887C155" w14:textId="6CCB789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148FA">
      <w:rPr>
        <w:noProof/>
        <w:lang w:val="en-US"/>
      </w:rPr>
      <w:t>Y:\APP\BR\POOL\WRC-19\DOC\097E.docx</w:t>
    </w:r>
    <w:r>
      <w:fldChar w:fldCharType="end"/>
    </w:r>
    <w:r w:rsidRPr="0041348E">
      <w:rPr>
        <w:lang w:val="en-US"/>
      </w:rPr>
      <w:tab/>
    </w:r>
    <w:r>
      <w:fldChar w:fldCharType="begin"/>
    </w:r>
    <w:r>
      <w:instrText xml:space="preserve"> SAVEDATE \@ DD.MM.YY </w:instrText>
    </w:r>
    <w:r>
      <w:fldChar w:fldCharType="separate"/>
    </w:r>
    <w:r w:rsidR="00255DE5">
      <w:rPr>
        <w:noProof/>
      </w:rPr>
      <w:t>18.10.19</w:t>
    </w:r>
    <w:r>
      <w:fldChar w:fldCharType="end"/>
    </w:r>
    <w:r w:rsidRPr="0041348E">
      <w:rPr>
        <w:lang w:val="en-US"/>
      </w:rPr>
      <w:tab/>
    </w:r>
    <w:r>
      <w:fldChar w:fldCharType="begin"/>
    </w:r>
    <w:r>
      <w:instrText xml:space="preserve"> PRINTDATE \@ DD.MM.YY </w:instrText>
    </w:r>
    <w:r>
      <w:fldChar w:fldCharType="separate"/>
    </w:r>
    <w:r w:rsidR="001148FA">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A574" w14:textId="76816D23" w:rsidR="00E45D05" w:rsidRDefault="00E45D05" w:rsidP="009B1EA1">
    <w:pPr>
      <w:pStyle w:val="Footer"/>
    </w:pPr>
    <w:r>
      <w:fldChar w:fldCharType="begin"/>
    </w:r>
    <w:r w:rsidRPr="0041348E">
      <w:rPr>
        <w:lang w:val="en-US"/>
      </w:rPr>
      <w:instrText xml:space="preserve"> FILENAME \p  \* MERGEFORMAT </w:instrText>
    </w:r>
    <w:r>
      <w:fldChar w:fldCharType="separate"/>
    </w:r>
    <w:r w:rsidR="005B3318">
      <w:rPr>
        <w:lang w:val="en-US"/>
      </w:rPr>
      <w:t>P:\ENG\ITU-R\CONF-R\CMR19\000\097E.docx</w:t>
    </w:r>
    <w:r>
      <w:fldChar w:fldCharType="end"/>
    </w:r>
    <w:r w:rsidR="005B3318">
      <w:t xml:space="preserve"> (462241)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E319" w14:textId="7E3FB84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B3318">
      <w:rPr>
        <w:lang w:val="en-US"/>
      </w:rPr>
      <w:t>P:\ENG\ITU-R\CONF-R\CMR19\000\097E.docx</w:t>
    </w:r>
    <w:r>
      <w:fldChar w:fldCharType="end"/>
    </w:r>
    <w:r w:rsidR="005B3318">
      <w:t xml:space="preserve"> (462241)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DD10B" w14:textId="77777777" w:rsidR="00BC0615" w:rsidRDefault="00BC0615">
      <w:r>
        <w:rPr>
          <w:b/>
        </w:rPr>
        <w:t>_______________</w:t>
      </w:r>
    </w:p>
  </w:footnote>
  <w:footnote w:type="continuationSeparator" w:id="0">
    <w:p w14:paraId="2420FA0F" w14:textId="77777777" w:rsidR="00BC0615" w:rsidRDefault="00BC0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EFECD" w14:textId="77777777" w:rsidR="00E45D05" w:rsidRDefault="00A066F1" w:rsidP="00187BD9">
    <w:pPr>
      <w:pStyle w:val="Header"/>
    </w:pPr>
    <w:r>
      <w:fldChar w:fldCharType="begin"/>
    </w:r>
    <w:r>
      <w:instrText xml:space="preserve"> PAGE  \* MERGEFORMAT </w:instrText>
    </w:r>
    <w:r>
      <w:fldChar w:fldCharType="separate"/>
    </w:r>
    <w:r w:rsidR="001148FA">
      <w:rPr>
        <w:noProof/>
      </w:rPr>
      <w:t>6</w:t>
    </w:r>
    <w:r>
      <w:fldChar w:fldCharType="end"/>
    </w:r>
  </w:p>
  <w:p w14:paraId="0381DCD0" w14:textId="77777777" w:rsidR="00A066F1" w:rsidRPr="00A066F1" w:rsidRDefault="00187BD9" w:rsidP="00241FA2">
    <w:pPr>
      <w:pStyle w:val="Header"/>
    </w:pPr>
    <w:r>
      <w:t>CMR1</w:t>
    </w:r>
    <w:r w:rsidR="00202756">
      <w:t>9</w:t>
    </w:r>
    <w:r w:rsidR="00A066F1">
      <w:t>/</w:t>
    </w:r>
    <w:bookmarkStart w:id="19" w:name="OLE_LINK1"/>
    <w:bookmarkStart w:id="20" w:name="OLE_LINK2"/>
    <w:bookmarkStart w:id="21" w:name="OLE_LINK3"/>
    <w:r w:rsidR="00EB55C6">
      <w:t>97</w:t>
    </w:r>
    <w:bookmarkEnd w:id="19"/>
    <w:bookmarkEnd w:id="20"/>
    <w:bookmarkEnd w:id="2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03F7AF5"/>
    <w:multiLevelType w:val="hybridMultilevel"/>
    <w:tmpl w:val="F7C60E98"/>
    <w:lvl w:ilvl="0" w:tplc="FC0AC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318B0"/>
    <w:multiLevelType w:val="hybridMultilevel"/>
    <w:tmpl w:val="57608976"/>
    <w:lvl w:ilvl="0" w:tplc="9BB4B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1C4CE3"/>
    <w:multiLevelType w:val="hybridMultilevel"/>
    <w:tmpl w:val="E116A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E6768"/>
    <w:multiLevelType w:val="hybridMultilevel"/>
    <w:tmpl w:val="E4AE9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614C3"/>
    <w:multiLevelType w:val="hybridMultilevel"/>
    <w:tmpl w:val="0DF613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93123"/>
    <w:multiLevelType w:val="hybridMultilevel"/>
    <w:tmpl w:val="28104B4E"/>
    <w:lvl w:ilvl="0" w:tplc="52B0B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3A76E4"/>
    <w:multiLevelType w:val="hybridMultilevel"/>
    <w:tmpl w:val="9E2C6A72"/>
    <w:lvl w:ilvl="0" w:tplc="D5B2A5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BE56A1"/>
    <w:multiLevelType w:val="hybridMultilevel"/>
    <w:tmpl w:val="3CFA8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F180A"/>
    <w:multiLevelType w:val="hybridMultilevel"/>
    <w:tmpl w:val="52B8BA66"/>
    <w:lvl w:ilvl="0" w:tplc="B5F65646">
      <w:start w:val="1"/>
      <w:numFmt w:val="lowerLetter"/>
      <w:lvlText w:val="%1)"/>
      <w:lvlJc w:val="left"/>
      <w:pPr>
        <w:ind w:left="1140" w:hanging="114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AC55C5"/>
    <w:multiLevelType w:val="hybridMultilevel"/>
    <w:tmpl w:val="52B8BA66"/>
    <w:lvl w:ilvl="0" w:tplc="B5F65646">
      <w:start w:val="1"/>
      <w:numFmt w:val="lowerLetter"/>
      <w:lvlText w:val="%1)"/>
      <w:lvlJc w:val="left"/>
      <w:pPr>
        <w:ind w:left="1140" w:hanging="1140"/>
      </w:pPr>
      <w:rPr>
        <w:rFonts w:hint="default"/>
        <w:i/>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60C4314"/>
    <w:multiLevelType w:val="hybridMultilevel"/>
    <w:tmpl w:val="40E6486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F7A06BC"/>
    <w:multiLevelType w:val="hybridMultilevel"/>
    <w:tmpl w:val="206C5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8F58EF"/>
    <w:multiLevelType w:val="hybridMultilevel"/>
    <w:tmpl w:val="24AE78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020A1E"/>
    <w:multiLevelType w:val="hybridMultilevel"/>
    <w:tmpl w:val="88C42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12"/>
  </w:num>
  <w:num w:numId="5">
    <w:abstractNumId w:val="14"/>
  </w:num>
  <w:num w:numId="6">
    <w:abstractNumId w:val="2"/>
  </w:num>
  <w:num w:numId="7">
    <w:abstractNumId w:val="11"/>
  </w:num>
  <w:num w:numId="8">
    <w:abstractNumId w:val="10"/>
  </w:num>
  <w:num w:numId="9">
    <w:abstractNumId w:val="8"/>
  </w:num>
  <w:num w:numId="10">
    <w:abstractNumId w:val="6"/>
  </w:num>
  <w:num w:numId="11">
    <w:abstractNumId w:val="9"/>
  </w:num>
  <w:num w:numId="12">
    <w:abstractNumId w:val="5"/>
  </w:num>
  <w:num w:numId="13">
    <w:abstractNumId w:val="7"/>
  </w:num>
  <w:num w:numId="14">
    <w:abstractNumId w:val="1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33C6"/>
    <w:rsid w:val="00086491"/>
    <w:rsid w:val="00091346"/>
    <w:rsid w:val="0009706C"/>
    <w:rsid w:val="000D154B"/>
    <w:rsid w:val="000D2DAF"/>
    <w:rsid w:val="000E463E"/>
    <w:rsid w:val="000F73FF"/>
    <w:rsid w:val="001148FA"/>
    <w:rsid w:val="00114C2C"/>
    <w:rsid w:val="00114CF7"/>
    <w:rsid w:val="00116C7A"/>
    <w:rsid w:val="00123B68"/>
    <w:rsid w:val="00126F2E"/>
    <w:rsid w:val="00146F6F"/>
    <w:rsid w:val="00165E84"/>
    <w:rsid w:val="00187BD9"/>
    <w:rsid w:val="00190B55"/>
    <w:rsid w:val="001B0FDA"/>
    <w:rsid w:val="001C3B5F"/>
    <w:rsid w:val="001D058F"/>
    <w:rsid w:val="002009EA"/>
    <w:rsid w:val="00202756"/>
    <w:rsid w:val="00202CA0"/>
    <w:rsid w:val="00216B6D"/>
    <w:rsid w:val="00241FA2"/>
    <w:rsid w:val="00255D75"/>
    <w:rsid w:val="00255DE5"/>
    <w:rsid w:val="00271316"/>
    <w:rsid w:val="002B349C"/>
    <w:rsid w:val="002D58BE"/>
    <w:rsid w:val="002F4747"/>
    <w:rsid w:val="00302605"/>
    <w:rsid w:val="00361B37"/>
    <w:rsid w:val="0037118E"/>
    <w:rsid w:val="00377BD3"/>
    <w:rsid w:val="00384088"/>
    <w:rsid w:val="003852CE"/>
    <w:rsid w:val="0039169B"/>
    <w:rsid w:val="003A7F8C"/>
    <w:rsid w:val="003B2284"/>
    <w:rsid w:val="003B532E"/>
    <w:rsid w:val="003C38E2"/>
    <w:rsid w:val="003D0F8B"/>
    <w:rsid w:val="003E0DB6"/>
    <w:rsid w:val="0041348E"/>
    <w:rsid w:val="00413B98"/>
    <w:rsid w:val="00420873"/>
    <w:rsid w:val="00435268"/>
    <w:rsid w:val="00492075"/>
    <w:rsid w:val="004969AD"/>
    <w:rsid w:val="004A26C4"/>
    <w:rsid w:val="004B13CB"/>
    <w:rsid w:val="004B5086"/>
    <w:rsid w:val="004B65E9"/>
    <w:rsid w:val="004D26EA"/>
    <w:rsid w:val="004D2BFB"/>
    <w:rsid w:val="004D5D5C"/>
    <w:rsid w:val="004F3DC0"/>
    <w:rsid w:val="004F5052"/>
    <w:rsid w:val="0050139F"/>
    <w:rsid w:val="005227D1"/>
    <w:rsid w:val="00547FD6"/>
    <w:rsid w:val="0055140B"/>
    <w:rsid w:val="005964AB"/>
    <w:rsid w:val="005B3318"/>
    <w:rsid w:val="005C099A"/>
    <w:rsid w:val="005C31A5"/>
    <w:rsid w:val="005E10C9"/>
    <w:rsid w:val="005E290B"/>
    <w:rsid w:val="005E61DD"/>
    <w:rsid w:val="005F04D8"/>
    <w:rsid w:val="006023DF"/>
    <w:rsid w:val="00615426"/>
    <w:rsid w:val="00616219"/>
    <w:rsid w:val="00645B7D"/>
    <w:rsid w:val="00657DE0"/>
    <w:rsid w:val="00680B04"/>
    <w:rsid w:val="00685313"/>
    <w:rsid w:val="00692833"/>
    <w:rsid w:val="006A6E9B"/>
    <w:rsid w:val="006B544B"/>
    <w:rsid w:val="006B7C2A"/>
    <w:rsid w:val="006C23DA"/>
    <w:rsid w:val="006C5F1B"/>
    <w:rsid w:val="006E3D45"/>
    <w:rsid w:val="0070607A"/>
    <w:rsid w:val="007149F9"/>
    <w:rsid w:val="00733A30"/>
    <w:rsid w:val="00745AEE"/>
    <w:rsid w:val="00750F10"/>
    <w:rsid w:val="007742CA"/>
    <w:rsid w:val="00790D70"/>
    <w:rsid w:val="0079338C"/>
    <w:rsid w:val="007A6F1F"/>
    <w:rsid w:val="007D4F67"/>
    <w:rsid w:val="007D5320"/>
    <w:rsid w:val="00800972"/>
    <w:rsid w:val="00804475"/>
    <w:rsid w:val="00811633"/>
    <w:rsid w:val="00814037"/>
    <w:rsid w:val="00841216"/>
    <w:rsid w:val="00842AF0"/>
    <w:rsid w:val="0086171E"/>
    <w:rsid w:val="00872FC8"/>
    <w:rsid w:val="008845D0"/>
    <w:rsid w:val="00884D60"/>
    <w:rsid w:val="008A4F90"/>
    <w:rsid w:val="008B43F2"/>
    <w:rsid w:val="008B6CFF"/>
    <w:rsid w:val="009274B4"/>
    <w:rsid w:val="00934EA2"/>
    <w:rsid w:val="00944A5C"/>
    <w:rsid w:val="009506DA"/>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073"/>
    <w:rsid w:val="00B94AD0"/>
    <w:rsid w:val="00BA3EAB"/>
    <w:rsid w:val="00BB3A95"/>
    <w:rsid w:val="00BC0615"/>
    <w:rsid w:val="00BD6CCE"/>
    <w:rsid w:val="00C0018F"/>
    <w:rsid w:val="00C16A5A"/>
    <w:rsid w:val="00C20466"/>
    <w:rsid w:val="00C214ED"/>
    <w:rsid w:val="00C234E6"/>
    <w:rsid w:val="00C324A8"/>
    <w:rsid w:val="00C54517"/>
    <w:rsid w:val="00C56F70"/>
    <w:rsid w:val="00C57B91"/>
    <w:rsid w:val="00C64CD8"/>
    <w:rsid w:val="00C82695"/>
    <w:rsid w:val="00C8605C"/>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2440"/>
    <w:rsid w:val="00DD44AF"/>
    <w:rsid w:val="00DE2AC3"/>
    <w:rsid w:val="00DE5692"/>
    <w:rsid w:val="00DE6300"/>
    <w:rsid w:val="00DF4BC6"/>
    <w:rsid w:val="00E03C94"/>
    <w:rsid w:val="00E205BC"/>
    <w:rsid w:val="00E26226"/>
    <w:rsid w:val="00E45D05"/>
    <w:rsid w:val="00E54566"/>
    <w:rsid w:val="00E55816"/>
    <w:rsid w:val="00E55AEF"/>
    <w:rsid w:val="00E976C1"/>
    <w:rsid w:val="00EA12E5"/>
    <w:rsid w:val="00EB3F77"/>
    <w:rsid w:val="00EB55C6"/>
    <w:rsid w:val="00EF1932"/>
    <w:rsid w:val="00EF71B6"/>
    <w:rsid w:val="00F02766"/>
    <w:rsid w:val="00F05BD4"/>
    <w:rsid w:val="00F06473"/>
    <w:rsid w:val="00F6155B"/>
    <w:rsid w:val="00F62BAB"/>
    <w:rsid w:val="00F65C19"/>
    <w:rsid w:val="00F8684F"/>
    <w:rsid w:val="00F90E9C"/>
    <w:rsid w:val="00F94A6C"/>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BB3C2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9506DA"/>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RestitleChar">
    <w:name w:val="Res_title Char"/>
    <w:link w:val="Restitle"/>
    <w:qFormat/>
    <w:rsid w:val="0037118E"/>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9FEC-B823-4B20-97D5-0B6A48B30ADC}">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6335DE42-859A-47E1-8A15-ADDFD19DA7C3}">
  <ds:schemaRef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32a1a8c5-2265-4ebc-b7a0-2071e2c5c9bb"/>
    <ds:schemaRef ds:uri="996b2e75-67fd-4955-a3b0-5ab9934cb50b"/>
    <ds:schemaRef ds:uri="http://purl.org/dc/te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70BAD5-7AEA-4739-8F51-E54E5523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1521</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R16-WRC19-C-0097!!MSW-E</vt:lpstr>
    </vt:vector>
  </TitlesOfParts>
  <Manager>General Secretariat - Pool</Manager>
  <Company>International Telecommunication Union (ITU)</Company>
  <LinksUpToDate>false</LinksUpToDate>
  <CharactersWithSpaces>10408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R16-WRC19-C-0097!!MSW-E</dc:title>
  <dc:subject>World Radiocommunication Conference - 2019</dc:subject>
  <dc:creator>Documents Proposals Manager (DPM)</dc:creator>
  <cp:keywords>DPM_v2019.10.8.1_prod</cp:keywords>
  <dc:description>Uploaded on 2015.07.06</dc:description>
  <cp:lastModifiedBy>English</cp:lastModifiedBy>
  <cp:revision>7</cp:revision>
  <cp:lastPrinted>2019-10-14T06:23:00Z</cp:lastPrinted>
  <dcterms:created xsi:type="dcterms:W3CDTF">2019-10-15T07:09:00Z</dcterms:created>
  <dcterms:modified xsi:type="dcterms:W3CDTF">2019-10-18T16:46:00Z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