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462901" w14:paraId="49890E7F" w14:textId="77777777">
        <w:trPr>
          <w:cantSplit/>
        </w:trPr>
        <w:tc>
          <w:tcPr>
            <w:tcW w:w="6911" w:type="dxa"/>
          </w:tcPr>
          <w:p w14:paraId="333BDA81" w14:textId="77777777" w:rsidR="00A066F1" w:rsidRPr="00462901" w:rsidRDefault="00241FA2" w:rsidP="00116C7A">
            <w:pPr>
              <w:spacing w:before="400" w:after="48" w:line="240" w:lineRule="atLeast"/>
              <w:rPr>
                <w:rFonts w:ascii="Verdana" w:hAnsi="Verdana"/>
                <w:position w:val="6"/>
              </w:rPr>
            </w:pPr>
            <w:r w:rsidRPr="00462901">
              <w:rPr>
                <w:rFonts w:ascii="Verdana" w:hAnsi="Verdana" w:cs="Times"/>
                <w:b/>
                <w:position w:val="6"/>
                <w:sz w:val="22"/>
                <w:szCs w:val="22"/>
                <w:lang w:val="en-US"/>
              </w:rPr>
              <w:t>World Radiocommunication Conference (WRC-1</w:t>
            </w:r>
            <w:r w:rsidR="000E463E" w:rsidRPr="00462901">
              <w:rPr>
                <w:rFonts w:ascii="Verdana" w:hAnsi="Verdana" w:cs="Times"/>
                <w:b/>
                <w:position w:val="6"/>
                <w:sz w:val="22"/>
                <w:szCs w:val="22"/>
                <w:lang w:val="en-US"/>
              </w:rPr>
              <w:t>9</w:t>
            </w:r>
            <w:r w:rsidRPr="00462901">
              <w:rPr>
                <w:rFonts w:ascii="Verdana" w:hAnsi="Verdana" w:cs="Times"/>
                <w:b/>
                <w:position w:val="6"/>
                <w:sz w:val="22"/>
                <w:szCs w:val="22"/>
                <w:lang w:val="en-US"/>
              </w:rPr>
              <w:t>)</w:t>
            </w:r>
            <w:r w:rsidRPr="00462901">
              <w:rPr>
                <w:rFonts w:ascii="Verdana" w:hAnsi="Verdana" w:cs="Times"/>
                <w:b/>
                <w:position w:val="6"/>
                <w:sz w:val="26"/>
                <w:szCs w:val="26"/>
                <w:lang w:val="en-US"/>
              </w:rPr>
              <w:br/>
            </w:r>
            <w:r w:rsidR="00116C7A" w:rsidRPr="00462901">
              <w:rPr>
                <w:rFonts w:ascii="Verdana" w:hAnsi="Verdana"/>
                <w:b/>
                <w:bCs/>
                <w:position w:val="6"/>
                <w:sz w:val="18"/>
                <w:szCs w:val="18"/>
                <w:lang w:val="en-US"/>
              </w:rPr>
              <w:t>Sharm el-Sheikh, Egypt</w:t>
            </w:r>
            <w:r w:rsidRPr="00462901">
              <w:rPr>
                <w:rFonts w:ascii="Verdana" w:hAnsi="Verdana"/>
                <w:b/>
                <w:bCs/>
                <w:position w:val="6"/>
                <w:sz w:val="18"/>
                <w:szCs w:val="18"/>
                <w:lang w:val="en-US"/>
              </w:rPr>
              <w:t xml:space="preserve">, </w:t>
            </w:r>
            <w:r w:rsidR="000E463E" w:rsidRPr="00462901">
              <w:rPr>
                <w:rFonts w:ascii="Verdana" w:hAnsi="Verdana"/>
                <w:b/>
                <w:bCs/>
                <w:position w:val="6"/>
                <w:sz w:val="18"/>
                <w:szCs w:val="18"/>
                <w:lang w:val="en-US"/>
              </w:rPr>
              <w:t xml:space="preserve">28 October </w:t>
            </w:r>
            <w:r w:rsidRPr="00462901">
              <w:rPr>
                <w:rFonts w:ascii="Verdana" w:hAnsi="Verdana"/>
                <w:b/>
                <w:bCs/>
                <w:position w:val="6"/>
                <w:sz w:val="18"/>
                <w:szCs w:val="18"/>
                <w:lang w:val="en-US"/>
              </w:rPr>
              <w:t>–</w:t>
            </w:r>
            <w:r w:rsidR="000E463E" w:rsidRPr="00462901">
              <w:rPr>
                <w:rFonts w:ascii="Verdana" w:hAnsi="Verdana"/>
                <w:b/>
                <w:bCs/>
                <w:position w:val="6"/>
                <w:sz w:val="18"/>
                <w:szCs w:val="18"/>
                <w:lang w:val="en-US"/>
              </w:rPr>
              <w:t xml:space="preserve"> </w:t>
            </w:r>
            <w:r w:rsidRPr="00462901">
              <w:rPr>
                <w:rFonts w:ascii="Verdana" w:hAnsi="Verdana"/>
                <w:b/>
                <w:bCs/>
                <w:position w:val="6"/>
                <w:sz w:val="18"/>
                <w:szCs w:val="18"/>
                <w:lang w:val="en-US"/>
              </w:rPr>
              <w:t>2</w:t>
            </w:r>
            <w:r w:rsidR="000E463E" w:rsidRPr="00462901">
              <w:rPr>
                <w:rFonts w:ascii="Verdana" w:hAnsi="Verdana"/>
                <w:b/>
                <w:bCs/>
                <w:position w:val="6"/>
                <w:sz w:val="18"/>
                <w:szCs w:val="18"/>
                <w:lang w:val="en-US"/>
              </w:rPr>
              <w:t>2</w:t>
            </w:r>
            <w:r w:rsidRPr="00462901">
              <w:rPr>
                <w:rFonts w:ascii="Verdana" w:hAnsi="Verdana"/>
                <w:b/>
                <w:bCs/>
                <w:position w:val="6"/>
                <w:sz w:val="18"/>
                <w:szCs w:val="18"/>
                <w:lang w:val="en-US"/>
              </w:rPr>
              <w:t xml:space="preserve"> November 201</w:t>
            </w:r>
            <w:r w:rsidR="000E463E" w:rsidRPr="00462901">
              <w:rPr>
                <w:rFonts w:ascii="Verdana" w:hAnsi="Verdana"/>
                <w:b/>
                <w:bCs/>
                <w:position w:val="6"/>
                <w:sz w:val="18"/>
                <w:szCs w:val="18"/>
                <w:lang w:val="en-US"/>
              </w:rPr>
              <w:t>9</w:t>
            </w:r>
          </w:p>
        </w:tc>
        <w:tc>
          <w:tcPr>
            <w:tcW w:w="3120" w:type="dxa"/>
          </w:tcPr>
          <w:p w14:paraId="1A3A4C2D" w14:textId="77777777" w:rsidR="00A066F1" w:rsidRPr="00462901" w:rsidRDefault="005F04D8" w:rsidP="003B2284">
            <w:pPr>
              <w:spacing w:before="0" w:line="240" w:lineRule="atLeast"/>
              <w:jc w:val="right"/>
            </w:pPr>
            <w:r w:rsidRPr="00462901">
              <w:rPr>
                <w:noProof/>
                <w:lang w:eastAsia="en-GB"/>
              </w:rPr>
              <w:drawing>
                <wp:inline distT="0" distB="0" distL="0" distR="0" wp14:anchorId="218B089C" wp14:editId="6DD60E0E">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462901" w14:paraId="3F3F2A8C" w14:textId="77777777">
        <w:trPr>
          <w:cantSplit/>
        </w:trPr>
        <w:tc>
          <w:tcPr>
            <w:tcW w:w="6911" w:type="dxa"/>
            <w:tcBorders>
              <w:bottom w:val="single" w:sz="12" w:space="0" w:color="auto"/>
            </w:tcBorders>
          </w:tcPr>
          <w:p w14:paraId="29FE0829" w14:textId="77777777" w:rsidR="00A066F1" w:rsidRPr="00462901"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118BE790" w14:textId="77777777" w:rsidR="00A066F1" w:rsidRPr="00462901" w:rsidRDefault="00A066F1" w:rsidP="00A066F1">
            <w:pPr>
              <w:spacing w:before="0" w:line="240" w:lineRule="atLeast"/>
              <w:rPr>
                <w:rFonts w:ascii="Verdana" w:hAnsi="Verdana"/>
                <w:szCs w:val="24"/>
              </w:rPr>
            </w:pPr>
          </w:p>
        </w:tc>
      </w:tr>
      <w:tr w:rsidR="00A066F1" w:rsidRPr="00462901" w14:paraId="5BCA9351" w14:textId="77777777">
        <w:trPr>
          <w:cantSplit/>
        </w:trPr>
        <w:tc>
          <w:tcPr>
            <w:tcW w:w="6911" w:type="dxa"/>
            <w:tcBorders>
              <w:top w:val="single" w:sz="12" w:space="0" w:color="auto"/>
            </w:tcBorders>
          </w:tcPr>
          <w:p w14:paraId="75500F47" w14:textId="77777777" w:rsidR="00A066F1" w:rsidRPr="00462901"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1B670F81" w14:textId="77777777" w:rsidR="00A066F1" w:rsidRPr="00462901" w:rsidRDefault="00A066F1" w:rsidP="00A066F1">
            <w:pPr>
              <w:spacing w:before="0" w:line="240" w:lineRule="atLeast"/>
              <w:rPr>
                <w:rFonts w:ascii="Verdana" w:hAnsi="Verdana"/>
                <w:sz w:val="20"/>
              </w:rPr>
            </w:pPr>
          </w:p>
        </w:tc>
      </w:tr>
      <w:tr w:rsidR="00A066F1" w:rsidRPr="00462901" w14:paraId="2D96DD30" w14:textId="77777777">
        <w:trPr>
          <w:cantSplit/>
          <w:trHeight w:val="23"/>
        </w:trPr>
        <w:tc>
          <w:tcPr>
            <w:tcW w:w="6911" w:type="dxa"/>
            <w:shd w:val="clear" w:color="auto" w:fill="auto"/>
          </w:tcPr>
          <w:p w14:paraId="058260E6" w14:textId="72EBE824" w:rsidR="00A066F1" w:rsidRPr="00462901" w:rsidRDefault="00DE0155"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Pr>
                <w:rFonts w:ascii="Verdana" w:hAnsi="Verdana"/>
                <w:sz w:val="20"/>
                <w:szCs w:val="20"/>
              </w:rPr>
              <w:t>COMMITTEE 6</w:t>
            </w:r>
            <w:bookmarkStart w:id="3" w:name="_GoBack"/>
            <w:bookmarkEnd w:id="3"/>
          </w:p>
        </w:tc>
        <w:tc>
          <w:tcPr>
            <w:tcW w:w="3120" w:type="dxa"/>
          </w:tcPr>
          <w:p w14:paraId="75CBFC31" w14:textId="77777777" w:rsidR="00A066F1" w:rsidRPr="00462901" w:rsidRDefault="00E55816" w:rsidP="00AA666F">
            <w:pPr>
              <w:tabs>
                <w:tab w:val="left" w:pos="851"/>
              </w:tabs>
              <w:spacing w:before="0" w:line="240" w:lineRule="atLeast"/>
              <w:rPr>
                <w:rFonts w:ascii="Verdana" w:hAnsi="Verdana"/>
                <w:sz w:val="20"/>
              </w:rPr>
            </w:pPr>
            <w:r w:rsidRPr="00462901">
              <w:rPr>
                <w:rFonts w:ascii="Verdana" w:hAnsi="Verdana"/>
                <w:b/>
                <w:sz w:val="20"/>
              </w:rPr>
              <w:t>Document 209</w:t>
            </w:r>
            <w:r w:rsidR="00A066F1" w:rsidRPr="00462901">
              <w:rPr>
                <w:rFonts w:ascii="Verdana" w:hAnsi="Verdana"/>
                <w:b/>
                <w:sz w:val="20"/>
              </w:rPr>
              <w:t>-</w:t>
            </w:r>
            <w:r w:rsidR="005E10C9" w:rsidRPr="00462901">
              <w:rPr>
                <w:rFonts w:ascii="Verdana" w:hAnsi="Verdana"/>
                <w:b/>
                <w:sz w:val="20"/>
              </w:rPr>
              <w:t>E</w:t>
            </w:r>
          </w:p>
        </w:tc>
      </w:tr>
      <w:tr w:rsidR="00A066F1" w:rsidRPr="00462901" w14:paraId="68F2F52A" w14:textId="77777777">
        <w:trPr>
          <w:cantSplit/>
          <w:trHeight w:val="23"/>
        </w:trPr>
        <w:tc>
          <w:tcPr>
            <w:tcW w:w="6911" w:type="dxa"/>
            <w:shd w:val="clear" w:color="auto" w:fill="auto"/>
          </w:tcPr>
          <w:p w14:paraId="0FB037CF" w14:textId="77777777" w:rsidR="00A066F1" w:rsidRPr="00462901"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1"/>
            <w:bookmarkEnd w:id="2"/>
          </w:p>
        </w:tc>
        <w:tc>
          <w:tcPr>
            <w:tcW w:w="3120" w:type="dxa"/>
          </w:tcPr>
          <w:p w14:paraId="7659AA9B" w14:textId="77777777" w:rsidR="00A066F1" w:rsidRPr="00462901" w:rsidRDefault="00420873" w:rsidP="00A066F1">
            <w:pPr>
              <w:tabs>
                <w:tab w:val="left" w:pos="993"/>
              </w:tabs>
              <w:spacing w:before="0"/>
              <w:rPr>
                <w:rFonts w:ascii="Verdana" w:hAnsi="Verdana"/>
                <w:sz w:val="20"/>
              </w:rPr>
            </w:pPr>
            <w:r w:rsidRPr="00462901">
              <w:rPr>
                <w:rFonts w:ascii="Verdana" w:hAnsi="Verdana"/>
                <w:b/>
                <w:sz w:val="20"/>
              </w:rPr>
              <w:t>6 November 2019</w:t>
            </w:r>
          </w:p>
        </w:tc>
      </w:tr>
      <w:tr w:rsidR="00A066F1" w:rsidRPr="00462901" w14:paraId="273B382E" w14:textId="77777777">
        <w:trPr>
          <w:cantSplit/>
          <w:trHeight w:val="23"/>
        </w:trPr>
        <w:tc>
          <w:tcPr>
            <w:tcW w:w="6911" w:type="dxa"/>
            <w:shd w:val="clear" w:color="auto" w:fill="auto"/>
          </w:tcPr>
          <w:p w14:paraId="4BB44C03" w14:textId="77777777" w:rsidR="00A066F1" w:rsidRPr="00462901"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5ED4DD50" w14:textId="77777777" w:rsidR="00A066F1" w:rsidRPr="00462901" w:rsidRDefault="00E55816" w:rsidP="006E650C">
            <w:pPr>
              <w:tabs>
                <w:tab w:val="left" w:pos="993"/>
              </w:tabs>
              <w:spacing w:before="0"/>
              <w:rPr>
                <w:rFonts w:ascii="Verdana" w:hAnsi="Verdana"/>
                <w:b/>
                <w:sz w:val="20"/>
              </w:rPr>
            </w:pPr>
            <w:r w:rsidRPr="00462901">
              <w:rPr>
                <w:rFonts w:ascii="Verdana" w:hAnsi="Verdana"/>
                <w:b/>
                <w:sz w:val="20"/>
              </w:rPr>
              <w:t xml:space="preserve">Original: </w:t>
            </w:r>
            <w:r w:rsidR="006E650C" w:rsidRPr="00462901">
              <w:rPr>
                <w:rFonts w:ascii="Verdana" w:hAnsi="Verdana"/>
                <w:b/>
                <w:sz w:val="20"/>
              </w:rPr>
              <w:t>Chinese</w:t>
            </w:r>
          </w:p>
        </w:tc>
      </w:tr>
      <w:tr w:rsidR="00A066F1" w:rsidRPr="00462901" w14:paraId="2B4528D2" w14:textId="77777777" w:rsidTr="00025864">
        <w:trPr>
          <w:cantSplit/>
          <w:trHeight w:val="23"/>
        </w:trPr>
        <w:tc>
          <w:tcPr>
            <w:tcW w:w="10031" w:type="dxa"/>
            <w:gridSpan w:val="2"/>
            <w:shd w:val="clear" w:color="auto" w:fill="auto"/>
          </w:tcPr>
          <w:p w14:paraId="25E708B1" w14:textId="77777777" w:rsidR="00A066F1" w:rsidRPr="00462901" w:rsidRDefault="00A066F1" w:rsidP="00A066F1">
            <w:pPr>
              <w:tabs>
                <w:tab w:val="left" w:pos="993"/>
              </w:tabs>
              <w:spacing w:before="0"/>
              <w:rPr>
                <w:rFonts w:ascii="Verdana" w:hAnsi="Verdana"/>
                <w:b/>
                <w:sz w:val="20"/>
              </w:rPr>
            </w:pPr>
          </w:p>
        </w:tc>
      </w:tr>
      <w:tr w:rsidR="00E55816" w:rsidRPr="00462901" w14:paraId="6D5FDED7" w14:textId="77777777" w:rsidTr="00025864">
        <w:trPr>
          <w:cantSplit/>
          <w:trHeight w:val="23"/>
        </w:trPr>
        <w:tc>
          <w:tcPr>
            <w:tcW w:w="10031" w:type="dxa"/>
            <w:gridSpan w:val="2"/>
            <w:shd w:val="clear" w:color="auto" w:fill="auto"/>
          </w:tcPr>
          <w:p w14:paraId="173BD4D0" w14:textId="7E571065" w:rsidR="00E55816" w:rsidRPr="00462901" w:rsidRDefault="00884D60" w:rsidP="00E55816">
            <w:pPr>
              <w:pStyle w:val="Source"/>
            </w:pPr>
            <w:r w:rsidRPr="00462901">
              <w:t>China (People</w:t>
            </w:r>
            <w:r w:rsidR="00052171">
              <w:t>’</w:t>
            </w:r>
            <w:r w:rsidRPr="00462901">
              <w:t>s Republic of)</w:t>
            </w:r>
          </w:p>
        </w:tc>
      </w:tr>
      <w:tr w:rsidR="00E55816" w:rsidRPr="00462901" w14:paraId="77CB07FF" w14:textId="77777777" w:rsidTr="00025864">
        <w:trPr>
          <w:cantSplit/>
          <w:trHeight w:val="23"/>
        </w:trPr>
        <w:tc>
          <w:tcPr>
            <w:tcW w:w="10031" w:type="dxa"/>
            <w:gridSpan w:val="2"/>
            <w:shd w:val="clear" w:color="auto" w:fill="auto"/>
          </w:tcPr>
          <w:p w14:paraId="11F4CF8D" w14:textId="77777777" w:rsidR="00E55816" w:rsidRPr="00462901" w:rsidRDefault="007D5320" w:rsidP="00E55816">
            <w:pPr>
              <w:pStyle w:val="Title1"/>
            </w:pPr>
            <w:r w:rsidRPr="00462901">
              <w:t>Proposals for the work of the conference</w:t>
            </w:r>
          </w:p>
        </w:tc>
      </w:tr>
      <w:tr w:rsidR="00E55816" w:rsidRPr="00462901" w14:paraId="3F936721" w14:textId="77777777" w:rsidTr="00025864">
        <w:trPr>
          <w:cantSplit/>
          <w:trHeight w:val="23"/>
        </w:trPr>
        <w:tc>
          <w:tcPr>
            <w:tcW w:w="10031" w:type="dxa"/>
            <w:gridSpan w:val="2"/>
            <w:shd w:val="clear" w:color="auto" w:fill="auto"/>
          </w:tcPr>
          <w:p w14:paraId="42FEAF2F" w14:textId="77777777" w:rsidR="00E55816" w:rsidRPr="00462901" w:rsidRDefault="00E55816" w:rsidP="00E55816">
            <w:pPr>
              <w:pStyle w:val="Title2"/>
            </w:pPr>
          </w:p>
        </w:tc>
      </w:tr>
      <w:tr w:rsidR="00A538A6" w:rsidRPr="00462901" w14:paraId="2C1ECE18" w14:textId="77777777" w:rsidTr="00025864">
        <w:trPr>
          <w:cantSplit/>
          <w:trHeight w:val="23"/>
        </w:trPr>
        <w:tc>
          <w:tcPr>
            <w:tcW w:w="10031" w:type="dxa"/>
            <w:gridSpan w:val="2"/>
            <w:shd w:val="clear" w:color="auto" w:fill="auto"/>
          </w:tcPr>
          <w:p w14:paraId="14E83AA7" w14:textId="77777777" w:rsidR="00A538A6" w:rsidRPr="00462901" w:rsidRDefault="004B13CB" w:rsidP="004B13CB">
            <w:pPr>
              <w:pStyle w:val="Agendaitem"/>
            </w:pPr>
            <w:r w:rsidRPr="00462901">
              <w:t>Agenda item 9.2</w:t>
            </w:r>
          </w:p>
        </w:tc>
      </w:tr>
    </w:tbl>
    <w:bookmarkEnd w:id="6"/>
    <w:bookmarkEnd w:id="7"/>
    <w:p w14:paraId="34D535C0" w14:textId="77777777" w:rsidR="005118F7" w:rsidRPr="00462901" w:rsidRDefault="00F7489E" w:rsidP="00167FA6">
      <w:pPr>
        <w:overflowPunct/>
        <w:autoSpaceDE/>
        <w:autoSpaceDN/>
        <w:adjustRightInd/>
        <w:textAlignment w:val="auto"/>
        <w:rPr>
          <w:lang w:val="en-US"/>
        </w:rPr>
      </w:pPr>
      <w:r w:rsidRPr="00462901">
        <w:rPr>
          <w:lang w:val="en-US"/>
        </w:rPr>
        <w:t>9</w:t>
      </w:r>
      <w:r w:rsidRPr="00462901">
        <w:rPr>
          <w:lang w:val="en-US"/>
        </w:rPr>
        <w:tab/>
        <w:t>to consider and approve the Report of the Director of the Radiocommunication Bureau, in accordance with Article 7 of the Convention:</w:t>
      </w:r>
    </w:p>
    <w:p w14:paraId="727BE814" w14:textId="36B0CCC5" w:rsidR="005118F7" w:rsidRDefault="00F7489E" w:rsidP="006C1544">
      <w:pPr>
        <w:rPr>
          <w:lang w:val="en-US"/>
        </w:rPr>
      </w:pPr>
      <w:r w:rsidRPr="00462901">
        <w:rPr>
          <w:lang w:val="en-US"/>
        </w:rPr>
        <w:t>9.2</w:t>
      </w:r>
      <w:r w:rsidRPr="00462901">
        <w:rPr>
          <w:lang w:val="en-US"/>
        </w:rPr>
        <w:tab/>
        <w:t>on any difficulties or inconsistencies encountered in the application of the Radio Regulations</w:t>
      </w:r>
      <w:r w:rsidRPr="00462901">
        <w:rPr>
          <w:rStyle w:val="FootnoteReference"/>
          <w:lang w:val="en-US"/>
        </w:rPr>
        <w:footnoteReference w:customMarkFollows="1" w:id="1"/>
        <w:t>*</w:t>
      </w:r>
      <w:r w:rsidRPr="00462901">
        <w:rPr>
          <w:lang w:val="en-US"/>
        </w:rPr>
        <w:t>; and</w:t>
      </w:r>
    </w:p>
    <w:p w14:paraId="7D79EF77" w14:textId="77777777" w:rsidR="00052171" w:rsidRPr="00462901" w:rsidRDefault="00052171" w:rsidP="006C1544"/>
    <w:p w14:paraId="16834599" w14:textId="77777777" w:rsidR="005557D4" w:rsidRPr="00462901" w:rsidRDefault="005557D4" w:rsidP="005557D4">
      <w:pPr>
        <w:pStyle w:val="Headingb"/>
        <w:rPr>
          <w:lang w:val="en-GB" w:eastAsia="zh-CN"/>
        </w:rPr>
      </w:pPr>
      <w:r w:rsidRPr="00462901">
        <w:t>Introduction</w:t>
      </w:r>
    </w:p>
    <w:p w14:paraId="4511BBA6" w14:textId="7DCA1889" w:rsidR="005557D4" w:rsidRPr="00462901" w:rsidRDefault="005557D4" w:rsidP="005557D4">
      <w:pPr>
        <w:rPr>
          <w:lang w:eastAsia="zh-CN"/>
        </w:rPr>
      </w:pPr>
      <w:r w:rsidRPr="00462901">
        <w:rPr>
          <w:lang w:eastAsia="zh-CN"/>
        </w:rPr>
        <w:t xml:space="preserve">In the review of the Chinese version of the Radio Regulations, it has come to the attention of this </w:t>
      </w:r>
      <w:r w:rsidR="00052171" w:rsidRPr="00462901">
        <w:rPr>
          <w:lang w:eastAsia="zh-CN"/>
        </w:rPr>
        <w:t xml:space="preserve">Administration </w:t>
      </w:r>
      <w:r w:rsidRPr="00462901">
        <w:rPr>
          <w:lang w:eastAsia="zh-CN"/>
        </w:rPr>
        <w:t xml:space="preserve">that there exist misalignments or discrepancies between certain texts in the Radio Regulations in Chinese and those in other official languages of the Union. Consequently, this contribution proposes certain editorial changes to the texts of the Chinese version of the Radio Regulations (Edition 2016) for the consideration of the Conference under </w:t>
      </w:r>
      <w:r w:rsidR="00052171" w:rsidRPr="00462901">
        <w:rPr>
          <w:lang w:eastAsia="zh-CN"/>
        </w:rPr>
        <w:t xml:space="preserve">Agenda </w:t>
      </w:r>
      <w:r w:rsidRPr="00462901">
        <w:rPr>
          <w:lang w:eastAsia="zh-CN"/>
        </w:rPr>
        <w:t xml:space="preserve">item 9.2. </w:t>
      </w:r>
    </w:p>
    <w:p w14:paraId="5458AA91" w14:textId="77777777" w:rsidR="005557D4" w:rsidRPr="00462901" w:rsidRDefault="005557D4" w:rsidP="005557D4">
      <w:pPr>
        <w:rPr>
          <w:lang w:eastAsia="zh-CN"/>
        </w:rPr>
      </w:pPr>
      <w:r w:rsidRPr="00462901">
        <w:rPr>
          <w:rFonts w:hint="eastAsia"/>
          <w:lang w:eastAsia="zh-CN"/>
        </w:rPr>
        <w:t>T</w:t>
      </w:r>
      <w:r w:rsidRPr="00462901">
        <w:rPr>
          <w:lang w:eastAsia="zh-CN"/>
        </w:rPr>
        <w:t xml:space="preserve">he following proposals give the details of the proposed editorial changes which concern only the Chinese version of the Radio Regulations. No changes are required for other language versions. </w:t>
      </w:r>
    </w:p>
    <w:p w14:paraId="68945FA7" w14:textId="77777777" w:rsidR="00241FA2" w:rsidRPr="00462901" w:rsidRDefault="005557D4" w:rsidP="006A7C03">
      <w:pPr>
        <w:pStyle w:val="Headingb"/>
        <w:pageBreakBefore/>
      </w:pPr>
      <w:r w:rsidRPr="00462901">
        <w:rPr>
          <w:rFonts w:hint="eastAsia"/>
          <w:lang w:eastAsia="zh-CN"/>
        </w:rPr>
        <w:lastRenderedPageBreak/>
        <w:t>P</w:t>
      </w:r>
      <w:r w:rsidRPr="00462901">
        <w:rPr>
          <w:lang w:eastAsia="zh-CN"/>
        </w:rPr>
        <w:t>roposals</w:t>
      </w:r>
    </w:p>
    <w:p w14:paraId="2436652D" w14:textId="77777777" w:rsidR="008B2E84" w:rsidRPr="00462901" w:rsidRDefault="00F7489E" w:rsidP="008B2E84">
      <w:pPr>
        <w:pStyle w:val="ArtNo"/>
        <w:spacing w:before="0"/>
        <w:rPr>
          <w:lang w:val="en-AU"/>
        </w:rPr>
      </w:pPr>
      <w:bookmarkStart w:id="8" w:name="_Toc451865291"/>
      <w:r w:rsidRPr="00462901">
        <w:t>ARTICLE</w:t>
      </w:r>
      <w:r w:rsidRPr="00462901">
        <w:rPr>
          <w:lang w:val="en-AU"/>
        </w:rPr>
        <w:t xml:space="preserve"> </w:t>
      </w:r>
      <w:r w:rsidRPr="00462901">
        <w:rPr>
          <w:rStyle w:val="href"/>
          <w:rFonts w:eastAsiaTheme="majorEastAsia"/>
          <w:color w:val="000000"/>
          <w:lang w:val="en-AU"/>
        </w:rPr>
        <w:t>5</w:t>
      </w:r>
      <w:bookmarkEnd w:id="8"/>
    </w:p>
    <w:p w14:paraId="55D444EA" w14:textId="77777777" w:rsidR="008B2E84" w:rsidRPr="00462901" w:rsidRDefault="00F7489E" w:rsidP="008B2E84">
      <w:pPr>
        <w:pStyle w:val="Arttitle"/>
        <w:rPr>
          <w:lang w:val="en-US"/>
        </w:rPr>
      </w:pPr>
      <w:bookmarkStart w:id="9" w:name="_Toc327956583"/>
      <w:bookmarkStart w:id="10" w:name="_Toc451865292"/>
      <w:r w:rsidRPr="00462901">
        <w:t>Frequency allocations</w:t>
      </w:r>
      <w:bookmarkEnd w:id="9"/>
      <w:bookmarkEnd w:id="10"/>
    </w:p>
    <w:p w14:paraId="4B64AF7B" w14:textId="77777777" w:rsidR="008B2E84" w:rsidRPr="00462901" w:rsidRDefault="00F7489E" w:rsidP="008B2E84">
      <w:pPr>
        <w:pStyle w:val="Section1"/>
        <w:keepNext/>
      </w:pPr>
      <w:r w:rsidRPr="00462901">
        <w:t>Section</w:t>
      </w:r>
      <w:r w:rsidRPr="00462901">
        <w:rPr>
          <w:lang w:val="en-AU"/>
        </w:rPr>
        <w:t xml:space="preserve"> IV – Table of Frequency Allocations</w:t>
      </w:r>
      <w:r w:rsidRPr="00462901">
        <w:rPr>
          <w:lang w:val="en-AU"/>
        </w:rPr>
        <w:br/>
      </w:r>
      <w:r w:rsidRPr="00462901">
        <w:rPr>
          <w:b w:val="0"/>
          <w:bCs/>
        </w:rPr>
        <w:t xml:space="preserve">(See No. </w:t>
      </w:r>
      <w:r w:rsidRPr="00462901">
        <w:t>2.1</w:t>
      </w:r>
      <w:r w:rsidRPr="00462901">
        <w:rPr>
          <w:b w:val="0"/>
          <w:bCs/>
        </w:rPr>
        <w:t>)</w:t>
      </w:r>
      <w:r w:rsidRPr="00462901">
        <w:rPr>
          <w:b w:val="0"/>
          <w:bCs/>
        </w:rPr>
        <w:br/>
      </w:r>
      <w:r w:rsidRPr="00462901">
        <w:br/>
      </w:r>
    </w:p>
    <w:p w14:paraId="70ACDFCA" w14:textId="77777777" w:rsidR="001D0B80" w:rsidRPr="00462901" w:rsidRDefault="00A514BD">
      <w:pPr>
        <w:pStyle w:val="Proposal"/>
      </w:pPr>
      <w:r w:rsidRPr="00462901">
        <w:t>(</w:t>
      </w:r>
      <w:r w:rsidR="00F7489E" w:rsidRPr="00462901">
        <w:t>MOD</w:t>
      </w:r>
      <w:r w:rsidRPr="00462901">
        <w:t>)</w:t>
      </w:r>
      <w:r w:rsidR="00F7489E" w:rsidRPr="00462901">
        <w:tab/>
        <w:t>CHN/209/1</w:t>
      </w:r>
    </w:p>
    <w:p w14:paraId="33124DFB" w14:textId="77777777" w:rsidR="008B2E84" w:rsidRPr="00462901" w:rsidRDefault="00F7489E" w:rsidP="008B2E84">
      <w:pPr>
        <w:pStyle w:val="Note"/>
        <w:rPr>
          <w:sz w:val="16"/>
        </w:rPr>
      </w:pPr>
      <w:r w:rsidRPr="00462901">
        <w:rPr>
          <w:rStyle w:val="Artdef"/>
        </w:rPr>
        <w:t>5.323</w:t>
      </w:r>
      <w:r w:rsidRPr="00462901">
        <w:tab/>
      </w:r>
      <w:r w:rsidRPr="00462901">
        <w:rPr>
          <w:i/>
        </w:rPr>
        <w:t>Additional allocation:</w:t>
      </w:r>
      <w:r w:rsidRPr="00462901">
        <w:t>  in Armenia, Azerbaijan, Belarus, the Russian Federation, Kazakhstan, Uzbekistan, Kyrgyzstan, Tajikistan, Turkmenistan and Ukraine, the band 862-960 MHz, in Bulgaria the bands 862-890.2 MHz and 900-935.2 MHz, in Poland the band 862-876 MHz until 31 December 2017, and in Romania the bands 862-880 MHz and 915-925 MHz, are also allocated to the aeronautical radionavigation service on a primary basis. Such use is subject to agreement obtained under No. </w:t>
      </w:r>
      <w:r w:rsidRPr="00462901">
        <w:rPr>
          <w:b/>
          <w:bCs/>
        </w:rPr>
        <w:t>9.21</w:t>
      </w:r>
      <w:r w:rsidRPr="00462901">
        <w:t xml:space="preserve"> with administrations concerned and limited to ground-based radiobeacons in operation on 27 October 1997 until the end of their lifetime.</w:t>
      </w:r>
      <w:r w:rsidRPr="00462901">
        <w:rPr>
          <w:sz w:val="16"/>
        </w:rPr>
        <w:t>    (WRC</w:t>
      </w:r>
      <w:r w:rsidRPr="00462901">
        <w:rPr>
          <w:sz w:val="16"/>
        </w:rPr>
        <w:noBreakHyphen/>
        <w:t>12)</w:t>
      </w:r>
    </w:p>
    <w:p w14:paraId="60466AED" w14:textId="77777777" w:rsidR="001D0B80" w:rsidRPr="00462901" w:rsidRDefault="00F7489E">
      <w:pPr>
        <w:pStyle w:val="Reasons"/>
      </w:pPr>
      <w:r w:rsidRPr="00462901">
        <w:rPr>
          <w:b/>
        </w:rPr>
        <w:t>Reasons:</w:t>
      </w:r>
      <w:r w:rsidRPr="00462901">
        <w:tab/>
        <w:t>Chinese only</w:t>
      </w:r>
      <w:r w:rsidR="005557D4" w:rsidRPr="00462901">
        <w:t>.</w:t>
      </w:r>
    </w:p>
    <w:p w14:paraId="0880F0A6" w14:textId="77777777" w:rsidR="001D0B80" w:rsidRPr="00462901" w:rsidRDefault="00A514BD">
      <w:pPr>
        <w:pStyle w:val="Proposal"/>
      </w:pPr>
      <w:r w:rsidRPr="00462901">
        <w:t>(MOD)</w:t>
      </w:r>
      <w:r w:rsidR="00F7489E" w:rsidRPr="00462901">
        <w:tab/>
        <w:t>CHN/209/2</w:t>
      </w:r>
    </w:p>
    <w:p w14:paraId="559CCF05" w14:textId="77777777" w:rsidR="008B2E84" w:rsidRPr="00462901" w:rsidRDefault="00F7489E" w:rsidP="008B2E84">
      <w:pPr>
        <w:pStyle w:val="Note"/>
        <w:rPr>
          <w:sz w:val="16"/>
        </w:rPr>
      </w:pPr>
      <w:r w:rsidRPr="00462901">
        <w:rPr>
          <w:rStyle w:val="Artdef"/>
        </w:rPr>
        <w:t>5.484A</w:t>
      </w:r>
      <w:r w:rsidRPr="00462901">
        <w:rPr>
          <w:rStyle w:val="Artdef"/>
        </w:rPr>
        <w:tab/>
      </w:r>
      <w:r w:rsidRPr="00462901">
        <w:rPr>
          <w:lang w:val="en-US"/>
        </w:rPr>
        <w:t>The use of the bands 10.95-11.2 GHz (space-to-Earth), 11.45-11.7 GHz (space-to-Earth), 11.7-12.2 GHz (space-to-Earth) in Region 2, 12.2-12.75 GHz (space-to-Earth) in Region 3, 12.5-12.75 GHz (space-to-Earth) in Region 1, 13.75-14.5 GHz (Earth-to-space), 17.8-18.6 GHz (space-to-Earth), 19.7-20.2 GHz (space-to-Earth), 27.5-28.6 GHz (Earth-to-space), 29.5-30 GHz (Earth-to-</w:t>
      </w:r>
      <w:r w:rsidRPr="00462901">
        <w:t>space</w:t>
      </w:r>
      <w:r w:rsidRPr="00462901">
        <w:rPr>
          <w:lang w:val="en-US"/>
        </w:rPr>
        <w:t xml:space="preserve">) by a non-geostationary-satellite system in the fixed-satellite service is subject to </w:t>
      </w:r>
      <w:r w:rsidRPr="00462901">
        <w:rPr>
          <w:lang w:val="en-AU"/>
        </w:rPr>
        <w:t>application</w:t>
      </w:r>
      <w:r w:rsidRPr="00462901">
        <w:rPr>
          <w:lang w:val="en-US"/>
        </w:rPr>
        <w:t xml:space="preserve"> of the provisions of No. </w:t>
      </w:r>
      <w:r w:rsidRPr="00462901">
        <w:rPr>
          <w:rStyle w:val="ArtrefBold"/>
        </w:rPr>
        <w:t>9.12</w:t>
      </w:r>
      <w:r w:rsidRPr="00462901">
        <w:rPr>
          <w:lang w:val="en-US"/>
        </w:rPr>
        <w:t xml:space="preserve"> for coordination with other non-geostationary-satellite systems in the fixed-satellite service. Non-geostationary-satellite systems in the fixed-satellite service shall not claim protection from geostationary-satellite networks in the fixed-satellite service operating in accordance with the Radio Regulations, irrespective of </w:t>
      </w:r>
      <w:r w:rsidRPr="00462901">
        <w:t>the</w:t>
      </w:r>
      <w:r w:rsidRPr="00462901">
        <w:rPr>
          <w:lang w:val="en-US"/>
        </w:rPr>
        <w:t xml:space="preserve"> dates of receipt by the Bureau of the complete coordination or notification information, as appropriate, for the non-geostationary-satellite systems in the fixed-satellite service and of the complete coordination or notification information, as appropriate, for the geostationary-satellite networks, and No. </w:t>
      </w:r>
      <w:r w:rsidRPr="00462901">
        <w:rPr>
          <w:rStyle w:val="ArtrefBold"/>
        </w:rPr>
        <w:t>5.43A</w:t>
      </w:r>
      <w:r w:rsidRPr="00462901">
        <w:rPr>
          <w:lang w:val="en-US"/>
        </w:rPr>
        <w:t xml:space="preserve"> does not apply. Non-geostationary-satellite systems in the fixed-satellite service in the above bands shall be operated in such a way that any unacceptable interference that may occur during their operation shall be rapidly eliminated.</w:t>
      </w:r>
      <w:r w:rsidRPr="00462901">
        <w:rPr>
          <w:sz w:val="16"/>
        </w:rPr>
        <w:t>     (WRC</w:t>
      </w:r>
      <w:r w:rsidRPr="00462901">
        <w:rPr>
          <w:sz w:val="16"/>
        </w:rPr>
        <w:noBreakHyphen/>
        <w:t>2000)</w:t>
      </w:r>
    </w:p>
    <w:p w14:paraId="7BBECDED" w14:textId="77777777" w:rsidR="001D0B80" w:rsidRPr="00462901" w:rsidRDefault="00F7489E">
      <w:pPr>
        <w:pStyle w:val="Reasons"/>
      </w:pPr>
      <w:r w:rsidRPr="00462901">
        <w:rPr>
          <w:b/>
        </w:rPr>
        <w:t>Reasons:</w:t>
      </w:r>
      <w:r w:rsidRPr="00462901">
        <w:tab/>
        <w:t>Chinese only</w:t>
      </w:r>
      <w:r w:rsidR="005557D4" w:rsidRPr="00462901">
        <w:t>.</w:t>
      </w:r>
    </w:p>
    <w:p w14:paraId="61EEF881" w14:textId="77777777" w:rsidR="001D0B80" w:rsidRPr="00462901" w:rsidRDefault="00A514BD">
      <w:pPr>
        <w:pStyle w:val="Proposal"/>
      </w:pPr>
      <w:r w:rsidRPr="00462901">
        <w:t>(MOD)</w:t>
      </w:r>
      <w:r w:rsidR="00F7489E" w:rsidRPr="00462901">
        <w:tab/>
        <w:t>CHN/209/3</w:t>
      </w:r>
    </w:p>
    <w:p w14:paraId="27C04D00" w14:textId="77777777" w:rsidR="004852CC" w:rsidRPr="00462901" w:rsidRDefault="00F7489E" w:rsidP="003E393F">
      <w:pPr>
        <w:pStyle w:val="Tabletitle"/>
      </w:pPr>
      <w:r w:rsidRPr="00462901">
        <w:t>66-81 GHz</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0"/>
        <w:gridCol w:w="3102"/>
        <w:gridCol w:w="3102"/>
      </w:tblGrid>
      <w:tr w:rsidR="008B2E84" w:rsidRPr="00462901" w14:paraId="7365B304" w14:textId="77777777" w:rsidTr="003E393F">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1756AE34" w14:textId="77777777" w:rsidR="008B2E84" w:rsidRPr="00462901" w:rsidRDefault="00F7489E" w:rsidP="003E393F">
            <w:pPr>
              <w:pStyle w:val="Tablehead"/>
            </w:pPr>
            <w:r w:rsidRPr="00462901">
              <w:t>Allocation to services</w:t>
            </w:r>
          </w:p>
        </w:tc>
      </w:tr>
      <w:tr w:rsidR="008B2E84" w:rsidRPr="00462901" w14:paraId="555F3CCC" w14:textId="77777777" w:rsidTr="003E393F">
        <w:trPr>
          <w:cantSplit/>
          <w:jc w:val="center"/>
        </w:trPr>
        <w:tc>
          <w:tcPr>
            <w:tcW w:w="3100" w:type="dxa"/>
            <w:tcBorders>
              <w:top w:val="single" w:sz="4" w:space="0" w:color="auto"/>
              <w:left w:val="single" w:sz="4" w:space="0" w:color="auto"/>
              <w:bottom w:val="single" w:sz="4" w:space="0" w:color="auto"/>
              <w:right w:val="single" w:sz="4" w:space="0" w:color="auto"/>
            </w:tcBorders>
            <w:hideMark/>
          </w:tcPr>
          <w:p w14:paraId="1F918E27" w14:textId="77777777" w:rsidR="008B2E84" w:rsidRPr="00462901" w:rsidRDefault="00F7489E" w:rsidP="003E393F">
            <w:pPr>
              <w:pStyle w:val="Tablehead"/>
            </w:pPr>
            <w:r w:rsidRPr="00462901">
              <w:t>Region 1</w:t>
            </w:r>
          </w:p>
        </w:tc>
        <w:tc>
          <w:tcPr>
            <w:tcW w:w="3102" w:type="dxa"/>
            <w:tcBorders>
              <w:top w:val="single" w:sz="4" w:space="0" w:color="auto"/>
              <w:left w:val="single" w:sz="4" w:space="0" w:color="auto"/>
              <w:bottom w:val="single" w:sz="4" w:space="0" w:color="auto"/>
              <w:right w:val="single" w:sz="4" w:space="0" w:color="auto"/>
            </w:tcBorders>
            <w:hideMark/>
          </w:tcPr>
          <w:p w14:paraId="2E071EA6" w14:textId="77777777" w:rsidR="008B2E84" w:rsidRPr="00462901" w:rsidRDefault="00F7489E" w:rsidP="003E393F">
            <w:pPr>
              <w:pStyle w:val="Tablehead"/>
            </w:pPr>
            <w:r w:rsidRPr="00462901">
              <w:t>Region 2</w:t>
            </w:r>
          </w:p>
        </w:tc>
        <w:tc>
          <w:tcPr>
            <w:tcW w:w="3102" w:type="dxa"/>
            <w:tcBorders>
              <w:top w:val="single" w:sz="4" w:space="0" w:color="auto"/>
              <w:left w:val="single" w:sz="4" w:space="0" w:color="auto"/>
              <w:bottom w:val="single" w:sz="4" w:space="0" w:color="auto"/>
              <w:right w:val="single" w:sz="4" w:space="0" w:color="auto"/>
            </w:tcBorders>
            <w:hideMark/>
          </w:tcPr>
          <w:p w14:paraId="622F8DC9" w14:textId="77777777" w:rsidR="008B2E84" w:rsidRPr="00462901" w:rsidRDefault="00F7489E" w:rsidP="003E393F">
            <w:pPr>
              <w:pStyle w:val="Tablehead"/>
            </w:pPr>
            <w:r w:rsidRPr="00462901">
              <w:t>Region 3</w:t>
            </w:r>
          </w:p>
        </w:tc>
      </w:tr>
      <w:tr w:rsidR="008B2E84" w:rsidRPr="00462901" w14:paraId="3412C73A" w14:textId="77777777" w:rsidTr="003E393F">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41AC43B6" w14:textId="77777777" w:rsidR="008B2E84" w:rsidRPr="00462901" w:rsidRDefault="00F7489E" w:rsidP="003E393F">
            <w:pPr>
              <w:pStyle w:val="TableTextS5"/>
              <w:spacing w:before="30" w:after="30"/>
              <w:rPr>
                <w:color w:val="000000"/>
                <w:lang w:val="fr-FR"/>
              </w:rPr>
            </w:pPr>
            <w:r w:rsidRPr="00462901">
              <w:rPr>
                <w:rStyle w:val="Tablefreq"/>
                <w:lang w:val="fr-CH"/>
              </w:rPr>
              <w:t>66-71</w:t>
            </w:r>
            <w:r w:rsidRPr="00462901">
              <w:rPr>
                <w:color w:val="000000"/>
                <w:lang w:val="fr-CH"/>
              </w:rPr>
              <w:tab/>
            </w:r>
            <w:r w:rsidRPr="00462901">
              <w:rPr>
                <w:color w:val="000000"/>
                <w:lang w:val="fr-CH"/>
              </w:rPr>
              <w:tab/>
            </w:r>
            <w:r w:rsidRPr="00462901">
              <w:rPr>
                <w:color w:val="000000"/>
                <w:lang w:val="fr-CH"/>
              </w:rPr>
              <w:tab/>
              <w:t>INTER-SATELLITE</w:t>
            </w:r>
          </w:p>
          <w:p w14:paraId="08AE82A6" w14:textId="77777777" w:rsidR="008B2E84" w:rsidRPr="00462901" w:rsidRDefault="00F7489E" w:rsidP="003E393F">
            <w:pPr>
              <w:pStyle w:val="TableTextS5"/>
              <w:spacing w:before="30" w:after="30"/>
              <w:rPr>
                <w:color w:val="000000"/>
                <w:lang w:val="fr-CH"/>
              </w:rPr>
            </w:pPr>
            <w:r w:rsidRPr="00462901">
              <w:rPr>
                <w:color w:val="000000"/>
                <w:lang w:val="fr-CH"/>
              </w:rPr>
              <w:tab/>
            </w:r>
            <w:r w:rsidRPr="00462901">
              <w:rPr>
                <w:color w:val="000000"/>
                <w:lang w:val="fr-CH"/>
              </w:rPr>
              <w:tab/>
            </w:r>
            <w:r w:rsidRPr="00462901">
              <w:rPr>
                <w:color w:val="000000"/>
                <w:lang w:val="fr-CH"/>
              </w:rPr>
              <w:tab/>
            </w:r>
            <w:r w:rsidRPr="00462901">
              <w:rPr>
                <w:color w:val="000000"/>
                <w:lang w:val="fr-CH"/>
              </w:rPr>
              <w:tab/>
              <w:t xml:space="preserve">MOBILE  </w:t>
            </w:r>
            <w:r w:rsidRPr="00462901">
              <w:rPr>
                <w:rStyle w:val="Artref"/>
                <w:color w:val="000000"/>
                <w:lang w:val="fr-CH"/>
              </w:rPr>
              <w:t>5.553</w:t>
            </w:r>
            <w:r w:rsidRPr="00462901">
              <w:rPr>
                <w:color w:val="000000"/>
                <w:lang w:val="fr-CH"/>
              </w:rPr>
              <w:t xml:space="preserve">  </w:t>
            </w:r>
            <w:r w:rsidRPr="00462901">
              <w:rPr>
                <w:rStyle w:val="Artref"/>
                <w:color w:val="000000"/>
                <w:lang w:val="fr-CH"/>
              </w:rPr>
              <w:t>5.558</w:t>
            </w:r>
          </w:p>
          <w:p w14:paraId="29D6D281" w14:textId="77777777" w:rsidR="008B2E84" w:rsidRPr="00462901" w:rsidRDefault="00F7489E" w:rsidP="003E393F">
            <w:pPr>
              <w:pStyle w:val="TableTextS5"/>
              <w:spacing w:before="30" w:after="30"/>
              <w:rPr>
                <w:color w:val="000000"/>
                <w:lang w:val="fr-CH"/>
              </w:rPr>
            </w:pPr>
            <w:r w:rsidRPr="00462901">
              <w:rPr>
                <w:color w:val="000000"/>
                <w:lang w:val="fr-CH"/>
              </w:rPr>
              <w:tab/>
            </w:r>
            <w:r w:rsidRPr="00462901">
              <w:rPr>
                <w:color w:val="000000"/>
                <w:lang w:val="fr-CH"/>
              </w:rPr>
              <w:tab/>
            </w:r>
            <w:r w:rsidRPr="00462901">
              <w:rPr>
                <w:color w:val="000000"/>
                <w:lang w:val="fr-CH"/>
              </w:rPr>
              <w:tab/>
            </w:r>
            <w:r w:rsidRPr="00462901">
              <w:rPr>
                <w:color w:val="000000"/>
                <w:lang w:val="fr-CH"/>
              </w:rPr>
              <w:tab/>
              <w:t>MOBILE-SATELLITE</w:t>
            </w:r>
          </w:p>
          <w:p w14:paraId="31565B2F" w14:textId="77777777" w:rsidR="008B2E84" w:rsidRPr="00462901" w:rsidRDefault="00F7489E" w:rsidP="003E393F">
            <w:pPr>
              <w:pStyle w:val="TableTextS5"/>
              <w:spacing w:before="30" w:after="30"/>
              <w:rPr>
                <w:color w:val="000000"/>
                <w:lang w:val="fr-CH"/>
              </w:rPr>
            </w:pPr>
            <w:r w:rsidRPr="00462901">
              <w:rPr>
                <w:color w:val="000000"/>
                <w:lang w:val="fr-CH"/>
              </w:rPr>
              <w:tab/>
            </w:r>
            <w:r w:rsidRPr="00462901">
              <w:rPr>
                <w:color w:val="000000"/>
                <w:lang w:val="fr-CH"/>
              </w:rPr>
              <w:tab/>
            </w:r>
            <w:r w:rsidRPr="00462901">
              <w:rPr>
                <w:color w:val="000000"/>
                <w:lang w:val="fr-CH"/>
              </w:rPr>
              <w:tab/>
            </w:r>
            <w:r w:rsidRPr="00462901">
              <w:rPr>
                <w:color w:val="000000"/>
                <w:lang w:val="fr-CH"/>
              </w:rPr>
              <w:tab/>
              <w:t>RADIONAVIGATION</w:t>
            </w:r>
          </w:p>
          <w:p w14:paraId="58F4D604" w14:textId="77777777" w:rsidR="008B2E84" w:rsidRPr="00462901" w:rsidRDefault="00F7489E" w:rsidP="003E393F">
            <w:pPr>
              <w:pStyle w:val="TableTextS5"/>
              <w:spacing w:before="30" w:after="30"/>
              <w:rPr>
                <w:color w:val="000000"/>
              </w:rPr>
            </w:pPr>
            <w:r w:rsidRPr="00462901">
              <w:rPr>
                <w:color w:val="000000"/>
                <w:lang w:val="fr-CH"/>
              </w:rPr>
              <w:tab/>
            </w:r>
            <w:r w:rsidRPr="00462901">
              <w:rPr>
                <w:color w:val="000000"/>
                <w:lang w:val="fr-CH"/>
              </w:rPr>
              <w:tab/>
            </w:r>
            <w:r w:rsidRPr="00462901">
              <w:rPr>
                <w:color w:val="000000"/>
                <w:lang w:val="fr-CH"/>
              </w:rPr>
              <w:tab/>
            </w:r>
            <w:r w:rsidRPr="00462901">
              <w:rPr>
                <w:color w:val="000000"/>
                <w:lang w:val="fr-CH"/>
              </w:rPr>
              <w:tab/>
            </w:r>
            <w:r w:rsidRPr="00462901">
              <w:rPr>
                <w:color w:val="000000"/>
              </w:rPr>
              <w:t>RADIONAVIGATION-SATELLITE</w:t>
            </w:r>
          </w:p>
          <w:p w14:paraId="43C33D48" w14:textId="77777777" w:rsidR="008B2E84" w:rsidRPr="00462901" w:rsidRDefault="00F7489E" w:rsidP="003E393F">
            <w:pPr>
              <w:pStyle w:val="TableTextS5"/>
              <w:spacing w:before="30" w:after="30"/>
              <w:rPr>
                <w:color w:val="000000"/>
                <w:lang w:val="en-AU"/>
              </w:rPr>
            </w:pPr>
            <w:r w:rsidRPr="00462901">
              <w:rPr>
                <w:color w:val="000000"/>
              </w:rPr>
              <w:tab/>
            </w:r>
            <w:r w:rsidRPr="00462901">
              <w:rPr>
                <w:color w:val="000000"/>
              </w:rPr>
              <w:tab/>
            </w:r>
            <w:r w:rsidRPr="00462901">
              <w:rPr>
                <w:color w:val="000000"/>
              </w:rPr>
              <w:tab/>
            </w:r>
            <w:r w:rsidRPr="00462901">
              <w:rPr>
                <w:color w:val="000000"/>
              </w:rPr>
              <w:tab/>
            </w:r>
            <w:r w:rsidRPr="00462901">
              <w:rPr>
                <w:rStyle w:val="Artref"/>
                <w:color w:val="000000"/>
                <w:lang w:val="en-AU"/>
              </w:rPr>
              <w:t>5.554</w:t>
            </w:r>
          </w:p>
        </w:tc>
      </w:tr>
      <w:tr w:rsidR="008B2E84" w:rsidRPr="00462901" w14:paraId="2EDEE16F" w14:textId="77777777" w:rsidTr="003E393F">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4F71CE44" w14:textId="77777777" w:rsidR="008B2E84" w:rsidRPr="00462901" w:rsidRDefault="00F7489E" w:rsidP="003E393F">
            <w:pPr>
              <w:pStyle w:val="TableTextS5"/>
              <w:spacing w:before="30" w:after="30"/>
              <w:rPr>
                <w:color w:val="000000"/>
                <w:lang w:val="en-US"/>
              </w:rPr>
            </w:pPr>
            <w:r w:rsidRPr="00462901">
              <w:rPr>
                <w:rStyle w:val="Tablefreq"/>
              </w:rPr>
              <w:lastRenderedPageBreak/>
              <w:t>71-74</w:t>
            </w:r>
            <w:r w:rsidRPr="00462901">
              <w:rPr>
                <w:color w:val="000000"/>
                <w:lang w:val="en-US"/>
              </w:rPr>
              <w:tab/>
            </w:r>
            <w:r w:rsidRPr="00462901">
              <w:rPr>
                <w:color w:val="000000"/>
                <w:lang w:val="en-US"/>
              </w:rPr>
              <w:tab/>
            </w:r>
            <w:r w:rsidRPr="00462901">
              <w:rPr>
                <w:color w:val="000000"/>
                <w:lang w:val="en-US"/>
              </w:rPr>
              <w:tab/>
            </w:r>
            <w:r w:rsidRPr="00462901">
              <w:rPr>
                <w:color w:val="000000"/>
              </w:rPr>
              <w:t>FIXED</w:t>
            </w:r>
          </w:p>
          <w:p w14:paraId="5C02EA82" w14:textId="77777777" w:rsidR="008B2E84" w:rsidRPr="00462901" w:rsidRDefault="00F7489E" w:rsidP="003E393F">
            <w:pPr>
              <w:pStyle w:val="TableTextS5"/>
              <w:spacing w:before="30" w:after="30"/>
              <w:rPr>
                <w:color w:val="000000"/>
                <w:lang w:val="en-US"/>
              </w:rPr>
            </w:pPr>
            <w:r w:rsidRPr="00462901">
              <w:rPr>
                <w:color w:val="000000"/>
                <w:lang w:val="en-US"/>
              </w:rPr>
              <w:tab/>
            </w:r>
            <w:r w:rsidRPr="00462901">
              <w:rPr>
                <w:color w:val="000000"/>
                <w:lang w:val="en-US"/>
              </w:rPr>
              <w:tab/>
            </w:r>
            <w:r w:rsidRPr="00462901">
              <w:rPr>
                <w:color w:val="000000"/>
                <w:lang w:val="en-US"/>
              </w:rPr>
              <w:tab/>
            </w:r>
            <w:r w:rsidRPr="00462901">
              <w:rPr>
                <w:color w:val="000000"/>
                <w:lang w:val="en-US"/>
              </w:rPr>
              <w:tab/>
            </w:r>
            <w:r w:rsidRPr="00462901">
              <w:rPr>
                <w:color w:val="000000"/>
              </w:rPr>
              <w:t>FIXED-SATELLITE (space-to-Earth)</w:t>
            </w:r>
          </w:p>
          <w:p w14:paraId="76EB54F7" w14:textId="77777777" w:rsidR="008B2E84" w:rsidRPr="00462901" w:rsidRDefault="00F7489E" w:rsidP="003E393F">
            <w:pPr>
              <w:pStyle w:val="TableTextS5"/>
              <w:spacing w:before="30" w:after="30"/>
              <w:rPr>
                <w:color w:val="000000"/>
                <w:lang w:val="en-US"/>
              </w:rPr>
            </w:pPr>
            <w:r w:rsidRPr="00462901">
              <w:rPr>
                <w:color w:val="000000"/>
                <w:lang w:val="en-US"/>
              </w:rPr>
              <w:tab/>
            </w:r>
            <w:r w:rsidRPr="00462901">
              <w:rPr>
                <w:color w:val="000000"/>
                <w:lang w:val="en-US"/>
              </w:rPr>
              <w:tab/>
            </w:r>
            <w:r w:rsidRPr="00462901">
              <w:rPr>
                <w:color w:val="000000"/>
                <w:lang w:val="en-US"/>
              </w:rPr>
              <w:tab/>
            </w:r>
            <w:r w:rsidRPr="00462901">
              <w:rPr>
                <w:color w:val="000000"/>
                <w:lang w:val="en-US"/>
              </w:rPr>
              <w:tab/>
            </w:r>
            <w:r w:rsidRPr="00462901">
              <w:rPr>
                <w:color w:val="000000"/>
              </w:rPr>
              <w:t>MOBILE</w:t>
            </w:r>
          </w:p>
          <w:p w14:paraId="3D277C78" w14:textId="77777777" w:rsidR="008B2E84" w:rsidRPr="00462901" w:rsidRDefault="00F7489E" w:rsidP="003E393F">
            <w:pPr>
              <w:pStyle w:val="TableTextS5"/>
              <w:spacing w:before="30" w:after="30"/>
              <w:rPr>
                <w:color w:val="000000"/>
                <w:lang w:val="en-US"/>
              </w:rPr>
            </w:pPr>
            <w:r w:rsidRPr="00462901">
              <w:rPr>
                <w:color w:val="000000"/>
                <w:lang w:val="en-US"/>
              </w:rPr>
              <w:tab/>
            </w:r>
            <w:r w:rsidRPr="00462901">
              <w:rPr>
                <w:color w:val="000000"/>
                <w:lang w:val="en-US"/>
              </w:rPr>
              <w:tab/>
            </w:r>
            <w:r w:rsidRPr="00462901">
              <w:rPr>
                <w:color w:val="000000"/>
                <w:lang w:val="en-US"/>
              </w:rPr>
              <w:tab/>
            </w:r>
            <w:r w:rsidRPr="00462901">
              <w:rPr>
                <w:color w:val="000000"/>
                <w:lang w:val="en-US"/>
              </w:rPr>
              <w:tab/>
            </w:r>
            <w:r w:rsidRPr="00462901">
              <w:rPr>
                <w:color w:val="000000"/>
              </w:rPr>
              <w:t>MOBILE-SATELLITE (space-to-Earth)</w:t>
            </w:r>
          </w:p>
        </w:tc>
      </w:tr>
      <w:tr w:rsidR="008B2E84" w:rsidRPr="00462901" w14:paraId="4703333C" w14:textId="77777777" w:rsidTr="003E393F">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377B30FF" w14:textId="77777777" w:rsidR="008B2E84" w:rsidRPr="00462901" w:rsidRDefault="00F7489E" w:rsidP="003E393F">
            <w:pPr>
              <w:pStyle w:val="TableTextS5"/>
              <w:tabs>
                <w:tab w:val="clear" w:pos="170"/>
                <w:tab w:val="clear" w:pos="567"/>
                <w:tab w:val="clear" w:pos="737"/>
              </w:tabs>
              <w:spacing w:before="30" w:after="30"/>
              <w:rPr>
                <w:color w:val="000000"/>
                <w:lang w:val="en-US"/>
              </w:rPr>
            </w:pPr>
            <w:r w:rsidRPr="00462901">
              <w:rPr>
                <w:rStyle w:val="Tablefreq"/>
              </w:rPr>
              <w:t>74-76</w:t>
            </w:r>
            <w:r w:rsidRPr="00462901">
              <w:rPr>
                <w:color w:val="000000"/>
              </w:rPr>
              <w:tab/>
              <w:t>FIXED</w:t>
            </w:r>
          </w:p>
          <w:p w14:paraId="0C138008" w14:textId="77777777" w:rsidR="008B2E84" w:rsidRPr="00462901" w:rsidRDefault="00F7489E" w:rsidP="003E393F">
            <w:pPr>
              <w:pStyle w:val="TableTextS5"/>
              <w:spacing w:before="30" w:after="30"/>
              <w:rPr>
                <w:color w:val="000000"/>
                <w:lang w:val="en-US"/>
              </w:rPr>
            </w:pPr>
            <w:r w:rsidRPr="00462901">
              <w:rPr>
                <w:color w:val="000000"/>
              </w:rPr>
              <w:tab/>
            </w:r>
            <w:r w:rsidRPr="00462901">
              <w:rPr>
                <w:color w:val="000000"/>
              </w:rPr>
              <w:tab/>
            </w:r>
            <w:r w:rsidRPr="00462901">
              <w:rPr>
                <w:color w:val="000000"/>
              </w:rPr>
              <w:tab/>
            </w:r>
            <w:r w:rsidRPr="00462901">
              <w:rPr>
                <w:color w:val="000000"/>
              </w:rPr>
              <w:tab/>
            </w:r>
            <w:r w:rsidRPr="00462901">
              <w:rPr>
                <w:color w:val="000000"/>
                <w:lang w:val="en-US"/>
              </w:rPr>
              <w:t>FIXED-SATELLITE (space-to-Earth)</w:t>
            </w:r>
          </w:p>
          <w:p w14:paraId="63235AC4" w14:textId="77777777" w:rsidR="008B2E84" w:rsidRPr="00462901" w:rsidRDefault="00F7489E" w:rsidP="003E393F">
            <w:pPr>
              <w:pStyle w:val="TableTextS5"/>
              <w:spacing w:before="30" w:after="30"/>
              <w:rPr>
                <w:color w:val="000000"/>
                <w:lang w:val="en-US"/>
              </w:rPr>
            </w:pPr>
            <w:r w:rsidRPr="00462901">
              <w:rPr>
                <w:color w:val="000000"/>
                <w:lang w:val="en-US"/>
              </w:rPr>
              <w:tab/>
            </w:r>
            <w:r w:rsidRPr="00462901">
              <w:rPr>
                <w:color w:val="000000"/>
                <w:lang w:val="en-US"/>
              </w:rPr>
              <w:tab/>
            </w:r>
            <w:r w:rsidRPr="00462901">
              <w:rPr>
                <w:color w:val="000000"/>
                <w:lang w:val="en-US"/>
              </w:rPr>
              <w:tab/>
            </w:r>
            <w:r w:rsidRPr="00462901">
              <w:rPr>
                <w:color w:val="000000"/>
                <w:lang w:val="en-US"/>
              </w:rPr>
              <w:tab/>
              <w:t>MOBILE</w:t>
            </w:r>
          </w:p>
          <w:p w14:paraId="5E5E0351" w14:textId="77777777" w:rsidR="008B2E84" w:rsidRPr="00462901" w:rsidRDefault="00F7489E" w:rsidP="003E393F">
            <w:pPr>
              <w:pStyle w:val="TableTextS5"/>
              <w:spacing w:before="30" w:after="30"/>
              <w:rPr>
                <w:color w:val="000000"/>
                <w:lang w:val="en-US"/>
              </w:rPr>
            </w:pPr>
            <w:r w:rsidRPr="00462901">
              <w:rPr>
                <w:color w:val="000000"/>
                <w:lang w:val="en-US"/>
              </w:rPr>
              <w:tab/>
            </w:r>
            <w:r w:rsidRPr="00462901">
              <w:rPr>
                <w:color w:val="000000"/>
                <w:lang w:val="en-US"/>
              </w:rPr>
              <w:tab/>
            </w:r>
            <w:r w:rsidRPr="00462901">
              <w:rPr>
                <w:color w:val="000000"/>
                <w:lang w:val="en-US"/>
              </w:rPr>
              <w:tab/>
            </w:r>
            <w:r w:rsidRPr="00462901">
              <w:rPr>
                <w:color w:val="000000"/>
                <w:lang w:val="en-US"/>
              </w:rPr>
              <w:tab/>
              <w:t>BROADCASTING</w:t>
            </w:r>
          </w:p>
          <w:p w14:paraId="57B22CC4" w14:textId="77777777" w:rsidR="008B2E84" w:rsidRPr="00462901" w:rsidRDefault="00F7489E" w:rsidP="003E393F">
            <w:pPr>
              <w:pStyle w:val="TableTextS5"/>
              <w:spacing w:before="30" w:after="30"/>
              <w:rPr>
                <w:color w:val="000000"/>
                <w:lang w:val="en-US"/>
              </w:rPr>
            </w:pPr>
            <w:r w:rsidRPr="00462901">
              <w:rPr>
                <w:color w:val="000000"/>
                <w:lang w:val="en-US"/>
              </w:rPr>
              <w:tab/>
            </w:r>
            <w:r w:rsidRPr="00462901">
              <w:rPr>
                <w:color w:val="000000"/>
                <w:lang w:val="en-US"/>
              </w:rPr>
              <w:tab/>
            </w:r>
            <w:r w:rsidRPr="00462901">
              <w:rPr>
                <w:color w:val="000000"/>
                <w:lang w:val="en-US"/>
              </w:rPr>
              <w:tab/>
            </w:r>
            <w:r w:rsidRPr="00462901">
              <w:rPr>
                <w:color w:val="000000"/>
                <w:lang w:val="en-US"/>
              </w:rPr>
              <w:tab/>
              <w:t>BROADCASTING-SATELLITE</w:t>
            </w:r>
          </w:p>
          <w:p w14:paraId="696C3C15" w14:textId="77777777" w:rsidR="008B2E84" w:rsidRPr="00462901" w:rsidRDefault="00F7489E" w:rsidP="003E393F">
            <w:pPr>
              <w:pStyle w:val="TableTextS5"/>
              <w:spacing w:before="30" w:after="30"/>
              <w:rPr>
                <w:color w:val="000000"/>
                <w:lang w:val="en-US"/>
              </w:rPr>
            </w:pPr>
            <w:r w:rsidRPr="00462901">
              <w:rPr>
                <w:color w:val="000000"/>
                <w:lang w:val="en-US"/>
              </w:rPr>
              <w:tab/>
            </w:r>
            <w:r w:rsidRPr="00462901">
              <w:rPr>
                <w:color w:val="000000"/>
                <w:lang w:val="en-US"/>
              </w:rPr>
              <w:tab/>
            </w:r>
            <w:r w:rsidRPr="00462901">
              <w:rPr>
                <w:color w:val="000000"/>
                <w:lang w:val="en-US"/>
              </w:rPr>
              <w:tab/>
            </w:r>
            <w:r w:rsidRPr="00462901">
              <w:rPr>
                <w:color w:val="000000"/>
                <w:lang w:val="en-US"/>
              </w:rPr>
              <w:tab/>
              <w:t>Space research (space-to-Earth)</w:t>
            </w:r>
          </w:p>
          <w:p w14:paraId="7849EC82" w14:textId="77777777" w:rsidR="008B2E84" w:rsidRPr="00462901" w:rsidRDefault="00F7489E" w:rsidP="003E393F">
            <w:pPr>
              <w:pStyle w:val="TableTextS5"/>
              <w:spacing w:before="30" w:after="30"/>
              <w:rPr>
                <w:rStyle w:val="Artref"/>
                <w:color w:val="000000"/>
                <w:lang w:val="fr-FR"/>
              </w:rPr>
            </w:pPr>
            <w:r w:rsidRPr="00462901">
              <w:rPr>
                <w:color w:val="000000"/>
                <w:lang w:val="en-US"/>
              </w:rPr>
              <w:tab/>
            </w:r>
            <w:r w:rsidRPr="00462901">
              <w:rPr>
                <w:color w:val="000000"/>
                <w:lang w:val="en-US"/>
              </w:rPr>
              <w:tab/>
            </w:r>
            <w:r w:rsidRPr="00462901">
              <w:rPr>
                <w:color w:val="000000"/>
                <w:lang w:val="en-US"/>
              </w:rPr>
              <w:tab/>
            </w:r>
            <w:r w:rsidRPr="00462901">
              <w:rPr>
                <w:color w:val="000000"/>
                <w:lang w:val="en-US"/>
              </w:rPr>
              <w:tab/>
            </w:r>
            <w:r w:rsidRPr="00462901">
              <w:rPr>
                <w:rStyle w:val="Artref"/>
                <w:color w:val="000000"/>
                <w:lang w:val="en-AU"/>
              </w:rPr>
              <w:t>5.561</w:t>
            </w:r>
          </w:p>
        </w:tc>
      </w:tr>
      <w:tr w:rsidR="008B2E84" w:rsidRPr="00462901" w14:paraId="0FF597E5" w14:textId="77777777" w:rsidTr="003E393F">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60D14FF3" w14:textId="77777777" w:rsidR="008B2E84" w:rsidRPr="00462901" w:rsidRDefault="00F7489E" w:rsidP="003E393F">
            <w:pPr>
              <w:pStyle w:val="TableTextS5"/>
              <w:spacing w:before="30" w:after="30"/>
              <w:rPr>
                <w:color w:val="000000"/>
              </w:rPr>
            </w:pPr>
            <w:r w:rsidRPr="00462901">
              <w:rPr>
                <w:rStyle w:val="Tablefreq"/>
              </w:rPr>
              <w:t>76-77.5</w:t>
            </w:r>
            <w:r w:rsidRPr="00462901">
              <w:rPr>
                <w:color w:val="000000"/>
              </w:rPr>
              <w:tab/>
            </w:r>
            <w:r w:rsidRPr="00462901">
              <w:rPr>
                <w:color w:val="000000"/>
              </w:rPr>
              <w:tab/>
              <w:t>RADIO ASTRONOMY</w:t>
            </w:r>
          </w:p>
          <w:p w14:paraId="58F4FE3C" w14:textId="77777777" w:rsidR="008B2E84" w:rsidRPr="00462901" w:rsidRDefault="00F7489E" w:rsidP="003E393F">
            <w:pPr>
              <w:pStyle w:val="TableTextS5"/>
              <w:spacing w:before="30" w:after="30"/>
              <w:rPr>
                <w:color w:val="000000"/>
              </w:rPr>
            </w:pPr>
            <w:r w:rsidRPr="00462901">
              <w:rPr>
                <w:color w:val="000000"/>
              </w:rPr>
              <w:tab/>
            </w:r>
            <w:r w:rsidRPr="00462901">
              <w:rPr>
                <w:color w:val="000000"/>
              </w:rPr>
              <w:tab/>
            </w:r>
            <w:r w:rsidRPr="00462901">
              <w:rPr>
                <w:color w:val="000000"/>
              </w:rPr>
              <w:tab/>
            </w:r>
            <w:r w:rsidRPr="00462901">
              <w:rPr>
                <w:color w:val="000000"/>
              </w:rPr>
              <w:tab/>
              <w:t>RADIOLOCATION</w:t>
            </w:r>
          </w:p>
          <w:p w14:paraId="49CA1F49" w14:textId="77777777" w:rsidR="008B2E84" w:rsidRPr="00462901" w:rsidRDefault="00F7489E" w:rsidP="003E393F">
            <w:pPr>
              <w:pStyle w:val="TableTextS5"/>
              <w:spacing w:before="30" w:after="30"/>
              <w:rPr>
                <w:color w:val="000000"/>
              </w:rPr>
            </w:pPr>
            <w:r w:rsidRPr="00462901">
              <w:rPr>
                <w:color w:val="000000"/>
              </w:rPr>
              <w:tab/>
            </w:r>
            <w:r w:rsidRPr="00462901">
              <w:rPr>
                <w:color w:val="000000"/>
              </w:rPr>
              <w:tab/>
            </w:r>
            <w:r w:rsidRPr="00462901">
              <w:rPr>
                <w:color w:val="000000"/>
              </w:rPr>
              <w:tab/>
            </w:r>
            <w:r w:rsidRPr="00462901">
              <w:rPr>
                <w:color w:val="000000"/>
              </w:rPr>
              <w:tab/>
              <w:t>Amateur</w:t>
            </w:r>
          </w:p>
          <w:p w14:paraId="6A1F050A" w14:textId="77777777" w:rsidR="008B2E84" w:rsidRPr="00462901" w:rsidRDefault="00F7489E" w:rsidP="003E393F">
            <w:pPr>
              <w:pStyle w:val="TableTextS5"/>
              <w:spacing w:before="30" w:after="30"/>
              <w:rPr>
                <w:color w:val="000000"/>
              </w:rPr>
            </w:pPr>
            <w:r w:rsidRPr="00462901">
              <w:rPr>
                <w:color w:val="000000"/>
              </w:rPr>
              <w:tab/>
            </w:r>
            <w:r w:rsidRPr="00462901">
              <w:rPr>
                <w:color w:val="000000"/>
              </w:rPr>
              <w:tab/>
            </w:r>
            <w:r w:rsidRPr="00462901">
              <w:rPr>
                <w:color w:val="000000"/>
              </w:rPr>
              <w:tab/>
            </w:r>
            <w:r w:rsidRPr="00462901">
              <w:rPr>
                <w:color w:val="000000"/>
              </w:rPr>
              <w:tab/>
              <w:t>Amateur-satellite</w:t>
            </w:r>
          </w:p>
          <w:p w14:paraId="43114273" w14:textId="77777777" w:rsidR="008B2E84" w:rsidRPr="00462901" w:rsidRDefault="00F7489E" w:rsidP="003E393F">
            <w:pPr>
              <w:pStyle w:val="TableTextS5"/>
              <w:spacing w:before="30" w:after="30"/>
              <w:rPr>
                <w:color w:val="000000"/>
                <w:lang w:val="en-US"/>
              </w:rPr>
            </w:pPr>
            <w:r w:rsidRPr="00462901">
              <w:rPr>
                <w:color w:val="000000"/>
              </w:rPr>
              <w:tab/>
            </w:r>
            <w:r w:rsidRPr="00462901">
              <w:rPr>
                <w:color w:val="000000"/>
              </w:rPr>
              <w:tab/>
            </w:r>
            <w:r w:rsidRPr="00462901">
              <w:rPr>
                <w:color w:val="000000"/>
              </w:rPr>
              <w:tab/>
            </w:r>
            <w:r w:rsidRPr="00462901">
              <w:rPr>
                <w:color w:val="000000"/>
              </w:rPr>
              <w:tab/>
              <w:t>Space research (space-to-Earth)</w:t>
            </w:r>
          </w:p>
          <w:p w14:paraId="082F0C40" w14:textId="77777777" w:rsidR="008B2E84" w:rsidRPr="00462901" w:rsidRDefault="00F7489E" w:rsidP="003E393F">
            <w:pPr>
              <w:pStyle w:val="TableTextS5"/>
              <w:spacing w:before="30" w:after="30"/>
              <w:rPr>
                <w:color w:val="000000"/>
                <w:lang w:val="es-ES_tradnl"/>
              </w:rPr>
            </w:pPr>
            <w:r w:rsidRPr="00462901">
              <w:rPr>
                <w:color w:val="000000"/>
                <w:lang w:val="en-US"/>
              </w:rPr>
              <w:tab/>
            </w:r>
            <w:r w:rsidRPr="00462901">
              <w:rPr>
                <w:color w:val="000000"/>
                <w:lang w:val="en-US"/>
              </w:rPr>
              <w:tab/>
            </w:r>
            <w:r w:rsidRPr="00462901">
              <w:rPr>
                <w:color w:val="000000"/>
                <w:lang w:val="en-US"/>
              </w:rPr>
              <w:tab/>
            </w:r>
            <w:r w:rsidRPr="00462901">
              <w:rPr>
                <w:color w:val="000000"/>
                <w:lang w:val="en-US"/>
              </w:rPr>
              <w:tab/>
            </w:r>
            <w:r w:rsidRPr="00462901">
              <w:rPr>
                <w:rStyle w:val="Artref"/>
                <w:color w:val="000000"/>
                <w:lang w:val="es-ES_tradnl"/>
              </w:rPr>
              <w:t>5.149</w:t>
            </w:r>
          </w:p>
        </w:tc>
      </w:tr>
      <w:tr w:rsidR="008B2E84" w:rsidRPr="00462901" w14:paraId="1703394D" w14:textId="77777777" w:rsidTr="003E393F">
        <w:trPr>
          <w:cantSplit/>
          <w:jc w:val="center"/>
        </w:trPr>
        <w:tc>
          <w:tcPr>
            <w:tcW w:w="9304" w:type="dxa"/>
            <w:gridSpan w:val="3"/>
            <w:tcBorders>
              <w:top w:val="single" w:sz="4" w:space="0" w:color="auto"/>
              <w:left w:val="single" w:sz="4" w:space="0" w:color="auto"/>
              <w:bottom w:val="single" w:sz="4" w:space="0" w:color="auto"/>
              <w:right w:val="single" w:sz="4" w:space="0" w:color="auto"/>
            </w:tcBorders>
          </w:tcPr>
          <w:p w14:paraId="5BD0D8D9" w14:textId="77777777" w:rsidR="008B2E84" w:rsidRPr="00462901" w:rsidRDefault="00F7489E" w:rsidP="003E393F">
            <w:pPr>
              <w:pStyle w:val="TableTextS5"/>
              <w:spacing w:before="30" w:after="30"/>
              <w:rPr>
                <w:color w:val="000000"/>
                <w:lang w:val="fr-CH"/>
              </w:rPr>
            </w:pPr>
            <w:r w:rsidRPr="00462901">
              <w:rPr>
                <w:rStyle w:val="Tablefreq"/>
                <w:lang w:val="fr-CH"/>
              </w:rPr>
              <w:t>77.5-78</w:t>
            </w:r>
            <w:r w:rsidRPr="00462901">
              <w:rPr>
                <w:color w:val="000000"/>
                <w:lang w:val="fr-CH"/>
              </w:rPr>
              <w:tab/>
            </w:r>
            <w:r w:rsidRPr="00462901">
              <w:rPr>
                <w:color w:val="000000"/>
                <w:lang w:val="fr-CH"/>
              </w:rPr>
              <w:tab/>
              <w:t>AMATEUR</w:t>
            </w:r>
          </w:p>
          <w:p w14:paraId="761BE08F" w14:textId="77777777" w:rsidR="008B2E84" w:rsidRPr="00462901" w:rsidRDefault="00F7489E" w:rsidP="003E393F">
            <w:pPr>
              <w:pStyle w:val="TableTextS5"/>
              <w:spacing w:before="30" w:after="30"/>
              <w:rPr>
                <w:color w:val="000000"/>
                <w:lang w:val="fr-CH"/>
              </w:rPr>
            </w:pPr>
            <w:r w:rsidRPr="00462901">
              <w:rPr>
                <w:color w:val="000000"/>
                <w:lang w:val="fr-CH"/>
              </w:rPr>
              <w:tab/>
            </w:r>
            <w:r w:rsidRPr="00462901">
              <w:rPr>
                <w:color w:val="000000"/>
                <w:lang w:val="fr-CH"/>
              </w:rPr>
              <w:tab/>
            </w:r>
            <w:r w:rsidRPr="00462901">
              <w:rPr>
                <w:color w:val="000000"/>
                <w:lang w:val="fr-CH"/>
              </w:rPr>
              <w:tab/>
            </w:r>
            <w:r w:rsidRPr="00462901">
              <w:rPr>
                <w:color w:val="000000"/>
                <w:lang w:val="fr-CH"/>
              </w:rPr>
              <w:tab/>
              <w:t>AMATEUR-SATELLITE</w:t>
            </w:r>
          </w:p>
          <w:p w14:paraId="2682C516" w14:textId="77777777" w:rsidR="008B2E84" w:rsidRPr="00462901" w:rsidRDefault="00F7489E" w:rsidP="003E393F">
            <w:pPr>
              <w:pStyle w:val="TableTextS5"/>
              <w:spacing w:before="30" w:after="30"/>
              <w:rPr>
                <w:color w:val="000000"/>
                <w:lang w:val="fr-CH"/>
              </w:rPr>
            </w:pPr>
            <w:r w:rsidRPr="00462901">
              <w:rPr>
                <w:color w:val="000000"/>
                <w:lang w:val="fr-CH"/>
              </w:rPr>
              <w:tab/>
            </w:r>
            <w:r w:rsidRPr="00462901">
              <w:rPr>
                <w:color w:val="000000"/>
                <w:lang w:val="fr-CH"/>
              </w:rPr>
              <w:tab/>
            </w:r>
            <w:r w:rsidRPr="00462901">
              <w:rPr>
                <w:color w:val="000000"/>
                <w:lang w:val="fr-CH"/>
              </w:rPr>
              <w:tab/>
            </w:r>
            <w:r w:rsidRPr="00462901">
              <w:rPr>
                <w:color w:val="000000"/>
                <w:lang w:val="fr-CH"/>
              </w:rPr>
              <w:tab/>
              <w:t xml:space="preserve">RADIOLOCATION  </w:t>
            </w:r>
            <w:r w:rsidRPr="00462901">
              <w:rPr>
                <w:rStyle w:val="Artref"/>
                <w:lang w:val="fr-CH"/>
              </w:rPr>
              <w:t>5.559B</w:t>
            </w:r>
          </w:p>
          <w:p w14:paraId="01CFAFA4" w14:textId="77777777" w:rsidR="008B2E84" w:rsidRPr="00462901" w:rsidRDefault="00F7489E" w:rsidP="003E393F">
            <w:pPr>
              <w:pStyle w:val="TableTextS5"/>
              <w:spacing w:before="30" w:after="30"/>
              <w:rPr>
                <w:color w:val="000000"/>
                <w:lang w:val="fr-CH"/>
              </w:rPr>
            </w:pPr>
            <w:r w:rsidRPr="00462901">
              <w:rPr>
                <w:color w:val="000000"/>
                <w:lang w:val="fr-CH"/>
              </w:rPr>
              <w:tab/>
            </w:r>
            <w:r w:rsidRPr="00462901">
              <w:rPr>
                <w:color w:val="000000"/>
                <w:lang w:val="fr-CH"/>
              </w:rPr>
              <w:tab/>
            </w:r>
            <w:r w:rsidRPr="00462901">
              <w:rPr>
                <w:color w:val="000000"/>
                <w:lang w:val="fr-CH"/>
              </w:rPr>
              <w:tab/>
            </w:r>
            <w:r w:rsidRPr="00462901">
              <w:rPr>
                <w:color w:val="000000"/>
                <w:lang w:val="fr-CH"/>
              </w:rPr>
              <w:tab/>
              <w:t>Radio astronomy</w:t>
            </w:r>
          </w:p>
          <w:p w14:paraId="1791E778" w14:textId="77777777" w:rsidR="008B2E84" w:rsidRPr="00462901" w:rsidRDefault="00F7489E" w:rsidP="003E393F">
            <w:pPr>
              <w:pStyle w:val="TableTextS5"/>
              <w:spacing w:before="30" w:after="30"/>
              <w:rPr>
                <w:color w:val="000000"/>
              </w:rPr>
            </w:pPr>
            <w:r w:rsidRPr="00462901">
              <w:rPr>
                <w:color w:val="000000"/>
                <w:lang w:val="fr-CH"/>
              </w:rPr>
              <w:tab/>
            </w:r>
            <w:r w:rsidRPr="00462901">
              <w:rPr>
                <w:color w:val="000000"/>
                <w:lang w:val="fr-CH"/>
              </w:rPr>
              <w:tab/>
            </w:r>
            <w:r w:rsidRPr="00462901">
              <w:rPr>
                <w:color w:val="000000"/>
                <w:lang w:val="fr-CH"/>
              </w:rPr>
              <w:tab/>
            </w:r>
            <w:r w:rsidRPr="00462901">
              <w:rPr>
                <w:color w:val="000000"/>
                <w:lang w:val="fr-CH"/>
              </w:rPr>
              <w:tab/>
            </w:r>
            <w:r w:rsidRPr="00462901">
              <w:rPr>
                <w:color w:val="000000"/>
              </w:rPr>
              <w:t>Space research (space-to-Earth)</w:t>
            </w:r>
          </w:p>
          <w:p w14:paraId="5369A59C" w14:textId="77777777" w:rsidR="008B2E84" w:rsidRPr="00462901" w:rsidRDefault="00F7489E" w:rsidP="003E393F">
            <w:pPr>
              <w:pStyle w:val="TableTextS5"/>
              <w:spacing w:before="30" w:after="30"/>
              <w:rPr>
                <w:color w:val="000000"/>
                <w:lang w:val="es-ES_tradnl"/>
              </w:rPr>
            </w:pPr>
            <w:r w:rsidRPr="00462901">
              <w:rPr>
                <w:color w:val="000000"/>
              </w:rPr>
              <w:tab/>
            </w:r>
            <w:r w:rsidRPr="00462901">
              <w:rPr>
                <w:color w:val="000000"/>
              </w:rPr>
              <w:tab/>
            </w:r>
            <w:r w:rsidRPr="00462901">
              <w:rPr>
                <w:color w:val="000000"/>
              </w:rPr>
              <w:tab/>
            </w:r>
            <w:r w:rsidRPr="00462901">
              <w:rPr>
                <w:color w:val="000000"/>
              </w:rPr>
              <w:tab/>
            </w:r>
            <w:r w:rsidRPr="00462901">
              <w:rPr>
                <w:rStyle w:val="Artref"/>
                <w:color w:val="000000"/>
              </w:rPr>
              <w:t>5.149</w:t>
            </w:r>
          </w:p>
        </w:tc>
      </w:tr>
      <w:tr w:rsidR="008B2E84" w:rsidRPr="00462901" w14:paraId="6E082D3D" w14:textId="77777777" w:rsidTr="003E393F">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71B9FA77" w14:textId="77777777" w:rsidR="008B2E84" w:rsidRPr="00462901" w:rsidRDefault="00F7489E" w:rsidP="003E393F">
            <w:pPr>
              <w:pStyle w:val="TableTextS5"/>
              <w:spacing w:before="30" w:after="30"/>
              <w:rPr>
                <w:color w:val="000000"/>
                <w:lang w:val="fr-FR"/>
              </w:rPr>
            </w:pPr>
            <w:r w:rsidRPr="00462901">
              <w:rPr>
                <w:rStyle w:val="Tablefreq"/>
                <w:lang w:val="fr-CH"/>
              </w:rPr>
              <w:t>78-79</w:t>
            </w:r>
            <w:r w:rsidRPr="00462901">
              <w:rPr>
                <w:color w:val="000000"/>
                <w:lang w:val="fr-CH"/>
              </w:rPr>
              <w:tab/>
            </w:r>
            <w:r w:rsidRPr="00462901">
              <w:rPr>
                <w:color w:val="000000"/>
                <w:lang w:val="fr-CH"/>
              </w:rPr>
              <w:tab/>
            </w:r>
            <w:r w:rsidRPr="00462901">
              <w:rPr>
                <w:color w:val="000000"/>
                <w:lang w:val="fr-CH"/>
              </w:rPr>
              <w:tab/>
              <w:t>RADIOLOCATION</w:t>
            </w:r>
          </w:p>
          <w:p w14:paraId="06CA899D" w14:textId="77777777" w:rsidR="008B2E84" w:rsidRPr="00462901" w:rsidRDefault="00F7489E" w:rsidP="003E393F">
            <w:pPr>
              <w:pStyle w:val="TableTextS5"/>
              <w:spacing w:before="30" w:after="30"/>
              <w:rPr>
                <w:color w:val="000000"/>
                <w:lang w:val="fr-CH"/>
              </w:rPr>
            </w:pPr>
            <w:r w:rsidRPr="00462901">
              <w:rPr>
                <w:color w:val="000000"/>
                <w:lang w:val="fr-CH"/>
              </w:rPr>
              <w:tab/>
            </w:r>
            <w:r w:rsidRPr="00462901">
              <w:rPr>
                <w:color w:val="000000"/>
                <w:lang w:val="fr-CH"/>
              </w:rPr>
              <w:tab/>
            </w:r>
            <w:r w:rsidRPr="00462901">
              <w:rPr>
                <w:color w:val="000000"/>
                <w:lang w:val="fr-CH"/>
              </w:rPr>
              <w:tab/>
            </w:r>
            <w:r w:rsidRPr="00462901">
              <w:rPr>
                <w:color w:val="000000"/>
                <w:lang w:val="fr-CH"/>
              </w:rPr>
              <w:tab/>
              <w:t>Amateur</w:t>
            </w:r>
          </w:p>
          <w:p w14:paraId="230E128B" w14:textId="77777777" w:rsidR="008B2E84" w:rsidRPr="00462901" w:rsidRDefault="00F7489E" w:rsidP="003E393F">
            <w:pPr>
              <w:pStyle w:val="TableTextS5"/>
              <w:spacing w:before="30" w:after="30"/>
              <w:rPr>
                <w:color w:val="000000"/>
                <w:lang w:val="fr-CH"/>
              </w:rPr>
            </w:pPr>
            <w:r w:rsidRPr="00462901">
              <w:rPr>
                <w:color w:val="000000"/>
                <w:lang w:val="fr-CH"/>
              </w:rPr>
              <w:tab/>
            </w:r>
            <w:r w:rsidRPr="00462901">
              <w:rPr>
                <w:color w:val="000000"/>
                <w:lang w:val="fr-CH"/>
              </w:rPr>
              <w:tab/>
            </w:r>
            <w:r w:rsidRPr="00462901">
              <w:rPr>
                <w:color w:val="000000"/>
                <w:lang w:val="fr-CH"/>
              </w:rPr>
              <w:tab/>
            </w:r>
            <w:r w:rsidRPr="00462901">
              <w:rPr>
                <w:color w:val="000000"/>
                <w:lang w:val="fr-CH"/>
              </w:rPr>
              <w:tab/>
              <w:t>Amateur-satellite</w:t>
            </w:r>
          </w:p>
          <w:p w14:paraId="6DEA3569" w14:textId="77777777" w:rsidR="008B2E84" w:rsidRPr="00462901" w:rsidRDefault="00F7489E" w:rsidP="003E393F">
            <w:pPr>
              <w:pStyle w:val="TableTextS5"/>
              <w:spacing w:before="30" w:after="30"/>
              <w:rPr>
                <w:color w:val="000000"/>
                <w:lang w:val="fr-CH"/>
              </w:rPr>
            </w:pPr>
            <w:r w:rsidRPr="00462901">
              <w:rPr>
                <w:color w:val="000000"/>
                <w:lang w:val="fr-CH"/>
              </w:rPr>
              <w:tab/>
            </w:r>
            <w:r w:rsidRPr="00462901">
              <w:rPr>
                <w:color w:val="000000"/>
                <w:lang w:val="fr-CH"/>
              </w:rPr>
              <w:tab/>
            </w:r>
            <w:r w:rsidRPr="00462901">
              <w:rPr>
                <w:color w:val="000000"/>
                <w:lang w:val="fr-CH"/>
              </w:rPr>
              <w:tab/>
            </w:r>
            <w:r w:rsidRPr="00462901">
              <w:rPr>
                <w:color w:val="000000"/>
                <w:lang w:val="fr-CH"/>
              </w:rPr>
              <w:tab/>
              <w:t>Radio astronomy</w:t>
            </w:r>
          </w:p>
          <w:p w14:paraId="4D0FF1F5" w14:textId="77777777" w:rsidR="008B2E84" w:rsidRPr="00462901" w:rsidRDefault="00F7489E" w:rsidP="003E393F">
            <w:pPr>
              <w:pStyle w:val="TableTextS5"/>
              <w:spacing w:before="30" w:after="30"/>
              <w:rPr>
                <w:color w:val="000000"/>
              </w:rPr>
            </w:pPr>
            <w:r w:rsidRPr="00462901">
              <w:rPr>
                <w:color w:val="000000"/>
                <w:lang w:val="fr-CH"/>
              </w:rPr>
              <w:tab/>
            </w:r>
            <w:r w:rsidRPr="00462901">
              <w:rPr>
                <w:color w:val="000000"/>
                <w:lang w:val="fr-CH"/>
              </w:rPr>
              <w:tab/>
            </w:r>
            <w:r w:rsidRPr="00462901">
              <w:rPr>
                <w:color w:val="000000"/>
                <w:lang w:val="fr-CH"/>
              </w:rPr>
              <w:tab/>
            </w:r>
            <w:r w:rsidRPr="00462901">
              <w:rPr>
                <w:color w:val="000000"/>
                <w:lang w:val="fr-CH"/>
              </w:rPr>
              <w:tab/>
            </w:r>
            <w:r w:rsidRPr="00462901">
              <w:rPr>
                <w:color w:val="000000"/>
              </w:rPr>
              <w:t>Space research (space-to-Earth)</w:t>
            </w:r>
          </w:p>
          <w:p w14:paraId="77C224BC" w14:textId="77777777" w:rsidR="008B2E84" w:rsidRPr="00462901" w:rsidRDefault="00F7489E" w:rsidP="003E393F">
            <w:pPr>
              <w:pStyle w:val="TableTextS5"/>
              <w:spacing w:before="30" w:after="30"/>
              <w:rPr>
                <w:rStyle w:val="Artref"/>
                <w:color w:val="000000"/>
                <w:lang w:val="fr-FR"/>
              </w:rPr>
            </w:pPr>
            <w:r w:rsidRPr="00462901">
              <w:rPr>
                <w:color w:val="000000"/>
              </w:rPr>
              <w:tab/>
            </w:r>
            <w:r w:rsidRPr="00462901">
              <w:rPr>
                <w:color w:val="000000"/>
              </w:rPr>
              <w:tab/>
            </w:r>
            <w:r w:rsidRPr="00462901">
              <w:rPr>
                <w:color w:val="000000"/>
              </w:rPr>
              <w:tab/>
            </w:r>
            <w:r w:rsidRPr="00462901">
              <w:rPr>
                <w:color w:val="000000"/>
              </w:rPr>
              <w:tab/>
            </w:r>
            <w:r w:rsidRPr="00462901">
              <w:rPr>
                <w:rStyle w:val="Artref"/>
                <w:color w:val="000000"/>
              </w:rPr>
              <w:t>5.149</w:t>
            </w:r>
            <w:r w:rsidRPr="00462901">
              <w:rPr>
                <w:color w:val="000000"/>
              </w:rPr>
              <w:t xml:space="preserve">  </w:t>
            </w:r>
            <w:r w:rsidRPr="00462901">
              <w:rPr>
                <w:rStyle w:val="Artref"/>
                <w:color w:val="000000"/>
              </w:rPr>
              <w:t>5.560</w:t>
            </w:r>
          </w:p>
        </w:tc>
      </w:tr>
      <w:tr w:rsidR="008B2E84" w:rsidRPr="00462901" w14:paraId="105821E4" w14:textId="77777777" w:rsidTr="003E393F">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4ABC818F" w14:textId="77777777" w:rsidR="008B2E84" w:rsidRPr="00462901" w:rsidRDefault="00F7489E" w:rsidP="003E393F">
            <w:pPr>
              <w:pStyle w:val="TableTextS5"/>
              <w:spacing w:before="30" w:after="30"/>
              <w:rPr>
                <w:color w:val="000000"/>
              </w:rPr>
            </w:pPr>
            <w:r w:rsidRPr="00462901">
              <w:rPr>
                <w:rStyle w:val="Tablefreq"/>
              </w:rPr>
              <w:t>79-81</w:t>
            </w:r>
            <w:r w:rsidRPr="00462901">
              <w:rPr>
                <w:color w:val="000000"/>
              </w:rPr>
              <w:tab/>
            </w:r>
            <w:r w:rsidRPr="00462901">
              <w:rPr>
                <w:color w:val="000000"/>
              </w:rPr>
              <w:tab/>
            </w:r>
            <w:r w:rsidRPr="00462901">
              <w:rPr>
                <w:color w:val="000000"/>
              </w:rPr>
              <w:tab/>
              <w:t>RADIO ASTRONOMY</w:t>
            </w:r>
          </w:p>
          <w:p w14:paraId="3CC3234A" w14:textId="77777777" w:rsidR="008B2E84" w:rsidRPr="00462901" w:rsidRDefault="00F7489E" w:rsidP="003E393F">
            <w:pPr>
              <w:pStyle w:val="TableTextS5"/>
              <w:spacing w:before="30" w:after="30"/>
              <w:rPr>
                <w:color w:val="000000"/>
              </w:rPr>
            </w:pPr>
            <w:r w:rsidRPr="00462901">
              <w:rPr>
                <w:color w:val="000000"/>
              </w:rPr>
              <w:tab/>
            </w:r>
            <w:r w:rsidRPr="00462901">
              <w:rPr>
                <w:color w:val="000000"/>
              </w:rPr>
              <w:tab/>
            </w:r>
            <w:r w:rsidRPr="00462901">
              <w:rPr>
                <w:color w:val="000000"/>
              </w:rPr>
              <w:tab/>
            </w:r>
            <w:r w:rsidRPr="00462901">
              <w:rPr>
                <w:color w:val="000000"/>
              </w:rPr>
              <w:tab/>
              <w:t>RADIOLOCATION</w:t>
            </w:r>
          </w:p>
          <w:p w14:paraId="252DADA5" w14:textId="77777777" w:rsidR="008B2E84" w:rsidRPr="00462901" w:rsidRDefault="00F7489E" w:rsidP="003E393F">
            <w:pPr>
              <w:pStyle w:val="TableTextS5"/>
              <w:spacing w:before="30" w:after="30"/>
              <w:rPr>
                <w:color w:val="000000"/>
              </w:rPr>
            </w:pPr>
            <w:r w:rsidRPr="00462901">
              <w:rPr>
                <w:color w:val="000000"/>
              </w:rPr>
              <w:tab/>
            </w:r>
            <w:r w:rsidRPr="00462901">
              <w:rPr>
                <w:color w:val="000000"/>
              </w:rPr>
              <w:tab/>
            </w:r>
            <w:r w:rsidRPr="00462901">
              <w:rPr>
                <w:color w:val="000000"/>
              </w:rPr>
              <w:tab/>
            </w:r>
            <w:r w:rsidRPr="00462901">
              <w:rPr>
                <w:color w:val="000000"/>
              </w:rPr>
              <w:tab/>
              <w:t>Amateur</w:t>
            </w:r>
          </w:p>
          <w:p w14:paraId="646B4BA9" w14:textId="77777777" w:rsidR="008B2E84" w:rsidRPr="00462901" w:rsidRDefault="00F7489E" w:rsidP="003E393F">
            <w:pPr>
              <w:pStyle w:val="TableTextS5"/>
              <w:spacing w:before="30" w:after="30"/>
              <w:rPr>
                <w:color w:val="000000"/>
              </w:rPr>
            </w:pPr>
            <w:r w:rsidRPr="00462901">
              <w:rPr>
                <w:color w:val="000000"/>
              </w:rPr>
              <w:tab/>
            </w:r>
            <w:r w:rsidRPr="00462901">
              <w:rPr>
                <w:color w:val="000000"/>
              </w:rPr>
              <w:tab/>
            </w:r>
            <w:r w:rsidRPr="00462901">
              <w:rPr>
                <w:color w:val="000000"/>
              </w:rPr>
              <w:tab/>
            </w:r>
            <w:r w:rsidRPr="00462901">
              <w:rPr>
                <w:color w:val="000000"/>
              </w:rPr>
              <w:tab/>
              <w:t>Amateur-satellite</w:t>
            </w:r>
          </w:p>
          <w:p w14:paraId="03427F7F" w14:textId="77777777" w:rsidR="008B2E84" w:rsidRPr="00462901" w:rsidRDefault="00F7489E" w:rsidP="003E393F">
            <w:pPr>
              <w:pStyle w:val="TableTextS5"/>
              <w:spacing w:before="30" w:after="30"/>
              <w:rPr>
                <w:color w:val="000000"/>
                <w:lang w:val="en-US"/>
              </w:rPr>
            </w:pPr>
            <w:r w:rsidRPr="00462901">
              <w:rPr>
                <w:color w:val="000000"/>
              </w:rPr>
              <w:tab/>
            </w:r>
            <w:r w:rsidRPr="00462901">
              <w:rPr>
                <w:color w:val="000000"/>
              </w:rPr>
              <w:tab/>
            </w:r>
            <w:r w:rsidRPr="00462901">
              <w:rPr>
                <w:color w:val="000000"/>
              </w:rPr>
              <w:tab/>
            </w:r>
            <w:r w:rsidRPr="00462901">
              <w:rPr>
                <w:color w:val="000000"/>
              </w:rPr>
              <w:tab/>
              <w:t>Space research (space-to-Earth)</w:t>
            </w:r>
          </w:p>
          <w:p w14:paraId="2921CA3C" w14:textId="77777777" w:rsidR="008B2E84" w:rsidRPr="00462901" w:rsidRDefault="00F7489E" w:rsidP="003E393F">
            <w:pPr>
              <w:pStyle w:val="TableTextS5"/>
              <w:spacing w:before="30" w:after="30"/>
              <w:rPr>
                <w:rStyle w:val="Artref"/>
                <w:color w:val="000000"/>
                <w:lang w:val="fr-FR"/>
              </w:rPr>
            </w:pPr>
            <w:r w:rsidRPr="00462901">
              <w:rPr>
                <w:color w:val="000000"/>
              </w:rPr>
              <w:tab/>
            </w:r>
            <w:r w:rsidRPr="00462901">
              <w:rPr>
                <w:color w:val="000000"/>
              </w:rPr>
              <w:tab/>
            </w:r>
            <w:r w:rsidRPr="00462901">
              <w:rPr>
                <w:color w:val="000000"/>
              </w:rPr>
              <w:tab/>
            </w:r>
            <w:r w:rsidRPr="00462901">
              <w:rPr>
                <w:color w:val="000000"/>
              </w:rPr>
              <w:tab/>
            </w:r>
            <w:r w:rsidRPr="00462901">
              <w:rPr>
                <w:rStyle w:val="Artref"/>
                <w:color w:val="000000"/>
              </w:rPr>
              <w:t>5.149</w:t>
            </w:r>
          </w:p>
        </w:tc>
      </w:tr>
    </w:tbl>
    <w:p w14:paraId="2018D3E3" w14:textId="77777777" w:rsidR="001D0B80" w:rsidRPr="00462901" w:rsidRDefault="00F7489E">
      <w:pPr>
        <w:pStyle w:val="Reasons"/>
      </w:pPr>
      <w:r w:rsidRPr="00462901">
        <w:rPr>
          <w:b/>
        </w:rPr>
        <w:t>Reasons:</w:t>
      </w:r>
      <w:r w:rsidRPr="00462901">
        <w:tab/>
        <w:t>Chinese only</w:t>
      </w:r>
      <w:r w:rsidR="005557D4" w:rsidRPr="00462901">
        <w:t>.</w:t>
      </w:r>
    </w:p>
    <w:p w14:paraId="73857DCF" w14:textId="77777777" w:rsidR="001D0B80" w:rsidRPr="00462901" w:rsidRDefault="00A514BD">
      <w:pPr>
        <w:pStyle w:val="Proposal"/>
      </w:pPr>
      <w:r w:rsidRPr="00462901">
        <w:t>(MOD)</w:t>
      </w:r>
      <w:r w:rsidR="00F7489E" w:rsidRPr="00462901">
        <w:tab/>
        <w:t>CHN/209/4</w:t>
      </w:r>
    </w:p>
    <w:p w14:paraId="63385FF0" w14:textId="77777777" w:rsidR="008B2E84" w:rsidRPr="00462901" w:rsidRDefault="00F7489E" w:rsidP="008B2E84">
      <w:pPr>
        <w:pStyle w:val="Note"/>
      </w:pPr>
      <w:r w:rsidRPr="00462901">
        <w:rPr>
          <w:rStyle w:val="Artdef"/>
        </w:rPr>
        <w:t>5.562B</w:t>
      </w:r>
      <w:r w:rsidRPr="00462901">
        <w:rPr>
          <w:rStyle w:val="Artdef"/>
        </w:rPr>
        <w:tab/>
      </w:r>
      <w:proofErr w:type="gramStart"/>
      <w:r w:rsidRPr="00462901">
        <w:t>In</w:t>
      </w:r>
      <w:proofErr w:type="gramEnd"/>
      <w:r w:rsidRPr="00462901">
        <w:t xml:space="preserve"> the bands 105-109.5 GHz, 111.8-114.25 GHz, 155.5-158.5 GHz and 217-226 GHz, the use of this allocation is limited to space-based radio astronomy only</w:t>
      </w:r>
      <w:r w:rsidRPr="00462901">
        <w:rPr>
          <w:lang w:val="en-US"/>
        </w:rPr>
        <w:t>.</w:t>
      </w:r>
      <w:r w:rsidRPr="00462901">
        <w:rPr>
          <w:sz w:val="16"/>
        </w:rPr>
        <w:t>     (WRC</w:t>
      </w:r>
      <w:r w:rsidRPr="00462901">
        <w:rPr>
          <w:sz w:val="16"/>
        </w:rPr>
        <w:noBreakHyphen/>
        <w:t>2000)</w:t>
      </w:r>
    </w:p>
    <w:p w14:paraId="04C57034" w14:textId="77777777" w:rsidR="001D0B80" w:rsidRPr="00462901" w:rsidRDefault="00F7489E">
      <w:pPr>
        <w:pStyle w:val="Reasons"/>
      </w:pPr>
      <w:r w:rsidRPr="00462901">
        <w:rPr>
          <w:b/>
        </w:rPr>
        <w:t>Reasons:</w:t>
      </w:r>
      <w:r w:rsidRPr="00462901">
        <w:tab/>
        <w:t>Chinese only</w:t>
      </w:r>
      <w:r w:rsidR="005557D4" w:rsidRPr="00462901">
        <w:t>.</w:t>
      </w:r>
    </w:p>
    <w:p w14:paraId="256E3197" w14:textId="77777777" w:rsidR="008B2E84" w:rsidRPr="00462901" w:rsidRDefault="00F7489E" w:rsidP="00052171">
      <w:pPr>
        <w:pStyle w:val="ArtNo"/>
        <w:keepLines w:val="0"/>
        <w:spacing w:before="0"/>
        <w:rPr>
          <w:lang w:val="en-US"/>
        </w:rPr>
      </w:pPr>
      <w:bookmarkStart w:id="11" w:name="_Toc451865332"/>
      <w:r w:rsidRPr="00462901">
        <w:lastRenderedPageBreak/>
        <w:t>ARTICLE</w:t>
      </w:r>
      <w:r w:rsidRPr="00462901">
        <w:rPr>
          <w:lang w:val="en-US"/>
        </w:rPr>
        <w:t xml:space="preserve"> </w:t>
      </w:r>
      <w:r w:rsidRPr="00462901">
        <w:rPr>
          <w:rStyle w:val="href"/>
        </w:rPr>
        <w:t>22</w:t>
      </w:r>
      <w:bookmarkEnd w:id="11"/>
    </w:p>
    <w:p w14:paraId="0F713843" w14:textId="77777777" w:rsidR="008B2E84" w:rsidRPr="00462901" w:rsidRDefault="00F7489E" w:rsidP="00052171">
      <w:pPr>
        <w:pStyle w:val="Arttitle"/>
        <w:keepLines w:val="0"/>
        <w:rPr>
          <w:rStyle w:val="FootnoteReference"/>
        </w:rPr>
      </w:pPr>
      <w:bookmarkStart w:id="12" w:name="_Toc327956624"/>
      <w:bookmarkStart w:id="13" w:name="_Toc451865333"/>
      <w:r w:rsidRPr="00462901">
        <w:t>Space services</w:t>
      </w:r>
      <w:bookmarkEnd w:id="12"/>
      <w:r w:rsidRPr="00462901">
        <w:rPr>
          <w:rStyle w:val="FootnoteReference"/>
          <w:b w:val="0"/>
          <w:bCs/>
        </w:rPr>
        <w:t>1</w:t>
      </w:r>
      <w:bookmarkEnd w:id="13"/>
    </w:p>
    <w:p w14:paraId="058823FB" w14:textId="77777777" w:rsidR="008B2E84" w:rsidRPr="00462901" w:rsidRDefault="00F7489E" w:rsidP="008B2E84">
      <w:pPr>
        <w:pStyle w:val="Section1"/>
        <w:keepNext/>
        <w:rPr>
          <w:lang w:val="en-US"/>
        </w:rPr>
      </w:pPr>
      <w:r w:rsidRPr="00462901">
        <w:rPr>
          <w:lang w:val="en-US"/>
        </w:rPr>
        <w:t>Section II − Control of interference to geostationary-satellite systems</w:t>
      </w:r>
    </w:p>
    <w:p w14:paraId="52D90C27" w14:textId="77777777" w:rsidR="001D0B80" w:rsidRPr="00462901" w:rsidRDefault="00A514BD">
      <w:pPr>
        <w:pStyle w:val="Proposal"/>
      </w:pPr>
      <w:r w:rsidRPr="00462901">
        <w:t>(MOD)</w:t>
      </w:r>
      <w:r w:rsidR="00F7489E" w:rsidRPr="00462901">
        <w:tab/>
        <w:t>CHN/209/5</w:t>
      </w:r>
    </w:p>
    <w:p w14:paraId="6BB4284E" w14:textId="77777777" w:rsidR="008B2E84" w:rsidRPr="00462901" w:rsidRDefault="00F7489E" w:rsidP="008B2E84">
      <w:pPr>
        <w:pStyle w:val="Normalaftertitle"/>
        <w:rPr>
          <w:sz w:val="16"/>
          <w:szCs w:val="16"/>
          <w:lang w:val="en-US"/>
        </w:rPr>
      </w:pPr>
      <w:r w:rsidRPr="00462901">
        <w:rPr>
          <w:rStyle w:val="Artdef"/>
        </w:rPr>
        <w:t>22.2</w:t>
      </w:r>
      <w:r w:rsidRPr="00462901">
        <w:tab/>
        <w:t>§ 2</w:t>
      </w:r>
      <w:r w:rsidRPr="00462901">
        <w:tab/>
        <w:t>1)</w:t>
      </w:r>
      <w:r w:rsidRPr="00462901">
        <w:tab/>
        <w:t>Non-geostationary-satellite systems shall not cause unacceptable interference to and, unless otherwise specified in these Regulations, shall not claim protection from geostationary-satellite networks in the fixed-satellite service and the broadcasting-satellite service operating in accordance with these Regulations. No. </w:t>
      </w:r>
      <w:r w:rsidRPr="00462901">
        <w:rPr>
          <w:rStyle w:val="ApprefBold"/>
        </w:rPr>
        <w:t>5.43A</w:t>
      </w:r>
      <w:r w:rsidRPr="00462901">
        <w:t xml:space="preserve"> does not apply in this case.</w:t>
      </w:r>
      <w:r w:rsidRPr="00462901">
        <w:rPr>
          <w:sz w:val="16"/>
          <w:szCs w:val="16"/>
        </w:rPr>
        <w:t>     (WRC</w:t>
      </w:r>
      <w:r w:rsidRPr="00462901">
        <w:rPr>
          <w:sz w:val="16"/>
          <w:szCs w:val="16"/>
        </w:rPr>
        <w:noBreakHyphen/>
        <w:t>07)</w:t>
      </w:r>
    </w:p>
    <w:p w14:paraId="797B2700" w14:textId="77777777" w:rsidR="001D0B80" w:rsidRPr="00462901" w:rsidRDefault="00F7489E">
      <w:pPr>
        <w:pStyle w:val="Reasons"/>
      </w:pPr>
      <w:r w:rsidRPr="00462901">
        <w:rPr>
          <w:b/>
        </w:rPr>
        <w:t>Reasons:</w:t>
      </w:r>
      <w:r w:rsidRPr="00462901">
        <w:tab/>
        <w:t>Chinese only</w:t>
      </w:r>
      <w:r w:rsidR="005557D4" w:rsidRPr="00462901">
        <w:t>.</w:t>
      </w:r>
    </w:p>
    <w:p w14:paraId="04943625" w14:textId="77777777" w:rsidR="007B1885" w:rsidRPr="00462901" w:rsidRDefault="00F7489E" w:rsidP="007B1885">
      <w:pPr>
        <w:pStyle w:val="ResNo"/>
      </w:pPr>
      <w:bookmarkStart w:id="14" w:name="_Toc450048586"/>
      <w:r w:rsidRPr="00462901">
        <w:t xml:space="preserve">RESOLUTION </w:t>
      </w:r>
      <w:r w:rsidRPr="00462901">
        <w:rPr>
          <w:rStyle w:val="href"/>
        </w:rPr>
        <w:t>34</w:t>
      </w:r>
      <w:r w:rsidRPr="00462901">
        <w:t xml:space="preserve"> (Rev.WRC</w:t>
      </w:r>
      <w:r w:rsidRPr="00462901">
        <w:noBreakHyphen/>
      </w:r>
      <w:r w:rsidRPr="00462901">
        <w:rPr>
          <w:lang w:eastAsia="ja-JP"/>
        </w:rPr>
        <w:t>15</w:t>
      </w:r>
      <w:r w:rsidRPr="00462901">
        <w:t>)</w:t>
      </w:r>
      <w:bookmarkEnd w:id="14"/>
    </w:p>
    <w:p w14:paraId="44EDE8C1" w14:textId="77777777" w:rsidR="007B1885" w:rsidRPr="00462901" w:rsidRDefault="00F7489E" w:rsidP="007B1885">
      <w:pPr>
        <w:pStyle w:val="Restitle"/>
      </w:pPr>
      <w:bookmarkStart w:id="15" w:name="_Toc327364298"/>
      <w:bookmarkStart w:id="16" w:name="_Toc450048587"/>
      <w:r w:rsidRPr="00462901">
        <w:t xml:space="preserve">Establishment of the broadcasting-satellite service in Region 3 </w:t>
      </w:r>
      <w:r w:rsidRPr="00462901">
        <w:br/>
        <w:t>in the 12.5</w:t>
      </w:r>
      <w:r w:rsidRPr="00462901">
        <w:noBreakHyphen/>
        <w:t xml:space="preserve">12.75 GHz frequency band and sharing with space and </w:t>
      </w:r>
      <w:r w:rsidRPr="00462901">
        <w:br/>
        <w:t>terrestrial services in Regions 1, 2 and 3</w:t>
      </w:r>
      <w:bookmarkEnd w:id="15"/>
      <w:bookmarkEnd w:id="16"/>
    </w:p>
    <w:p w14:paraId="7607209B" w14:textId="77777777" w:rsidR="001D0B80" w:rsidRPr="00462901" w:rsidRDefault="00A514BD">
      <w:pPr>
        <w:pStyle w:val="Proposal"/>
      </w:pPr>
      <w:r w:rsidRPr="00462901">
        <w:t>(MOD)</w:t>
      </w:r>
      <w:r w:rsidR="00F7489E" w:rsidRPr="00462901">
        <w:tab/>
        <w:t>CHN/209/6</w:t>
      </w:r>
    </w:p>
    <w:p w14:paraId="0A7ADB1D" w14:textId="77777777" w:rsidR="007B1885" w:rsidRPr="00462901" w:rsidRDefault="00F7489E" w:rsidP="007B1885">
      <w:pPr>
        <w:pStyle w:val="Call"/>
      </w:pPr>
      <w:r w:rsidRPr="00462901">
        <w:t>resolves</w:t>
      </w:r>
    </w:p>
    <w:p w14:paraId="2634A44E" w14:textId="77777777" w:rsidR="007B1885" w:rsidRPr="00462901" w:rsidRDefault="00F7489E" w:rsidP="007B1885">
      <w:r w:rsidRPr="00462901">
        <w:t>1</w:t>
      </w:r>
      <w:r w:rsidRPr="00462901">
        <w:tab/>
      </w:r>
      <w:r w:rsidRPr="00462901">
        <w:rPr>
          <w:color w:val="000000"/>
        </w:rPr>
        <w:t>that, until such time as a plan may be established for the broadcasting-satellite service in the frequency band 12.5-12.75 GHz in Region 3, the relevant provisions of Sections A and B of Resolution </w:t>
      </w:r>
      <w:r w:rsidRPr="00462901">
        <w:rPr>
          <w:b/>
          <w:bCs/>
          <w:color w:val="000000"/>
        </w:rPr>
        <w:t>33</w:t>
      </w:r>
      <w:r w:rsidRPr="00462901">
        <w:rPr>
          <w:b/>
          <w:color w:val="000000"/>
        </w:rPr>
        <w:t xml:space="preserve"> (Rev.WRC</w:t>
      </w:r>
      <w:r w:rsidRPr="00462901">
        <w:rPr>
          <w:b/>
          <w:color w:val="000000"/>
        </w:rPr>
        <w:noBreakHyphen/>
      </w:r>
      <w:r w:rsidRPr="00462901">
        <w:rPr>
          <w:b/>
          <w:color w:val="000000"/>
          <w:lang w:eastAsia="ja-JP"/>
        </w:rPr>
        <w:t>15</w:t>
      </w:r>
      <w:r w:rsidRPr="00462901">
        <w:rPr>
          <w:b/>
          <w:color w:val="000000"/>
        </w:rPr>
        <w:t>)</w:t>
      </w:r>
      <w:r w:rsidRPr="00462901">
        <w:rPr>
          <w:color w:val="000000"/>
        </w:rPr>
        <w:t xml:space="preserve"> or of Article </w:t>
      </w:r>
      <w:r w:rsidRPr="00462901">
        <w:rPr>
          <w:rStyle w:val="Artref"/>
          <w:b/>
          <w:color w:val="000000"/>
        </w:rPr>
        <w:t>9</w:t>
      </w:r>
      <w:r w:rsidRPr="00462901">
        <w:rPr>
          <w:rStyle w:val="Artref"/>
          <w:bCs/>
          <w:color w:val="000000"/>
        </w:rPr>
        <w:t>, as appropriate (see Resolution </w:t>
      </w:r>
      <w:r w:rsidRPr="00462901">
        <w:rPr>
          <w:b/>
          <w:bCs/>
          <w:color w:val="000000"/>
        </w:rPr>
        <w:t>33</w:t>
      </w:r>
      <w:r w:rsidRPr="00462901">
        <w:rPr>
          <w:rStyle w:val="Artref"/>
          <w:b/>
          <w:color w:val="000000"/>
        </w:rPr>
        <w:t xml:space="preserve"> (Rev.WRC</w:t>
      </w:r>
      <w:r w:rsidRPr="00462901">
        <w:rPr>
          <w:rStyle w:val="Artref"/>
          <w:b/>
          <w:color w:val="000000"/>
        </w:rPr>
        <w:noBreakHyphen/>
      </w:r>
      <w:r w:rsidRPr="00462901">
        <w:rPr>
          <w:rStyle w:val="Artref"/>
          <w:b/>
          <w:color w:val="000000"/>
          <w:lang w:eastAsia="ja-JP"/>
        </w:rPr>
        <w:t>15</w:t>
      </w:r>
      <w:r w:rsidRPr="00462901">
        <w:rPr>
          <w:rStyle w:val="Artref"/>
          <w:b/>
          <w:color w:val="000000"/>
        </w:rPr>
        <w:t>)</w:t>
      </w:r>
      <w:r w:rsidRPr="00462901">
        <w:rPr>
          <w:rStyle w:val="Artref"/>
          <w:bCs/>
          <w:color w:val="000000"/>
        </w:rPr>
        <w:t>)</w:t>
      </w:r>
      <w:r w:rsidRPr="00462901">
        <w:rPr>
          <w:color w:val="000000"/>
        </w:rPr>
        <w:t xml:space="preserve"> shall continue to apply to the coordination between stations in the broadcasting-satellite service in Region 3 and:</w:t>
      </w:r>
    </w:p>
    <w:p w14:paraId="4C9003BA" w14:textId="77777777" w:rsidR="007B1885" w:rsidRPr="00462901" w:rsidRDefault="00F7489E" w:rsidP="007B1885">
      <w:pPr>
        <w:pStyle w:val="enumlev1"/>
      </w:pPr>
      <w:r w:rsidRPr="00462901">
        <w:rPr>
          <w:i/>
          <w:iCs/>
        </w:rPr>
        <w:t>a)</w:t>
      </w:r>
      <w:r w:rsidRPr="00462901">
        <w:tab/>
        <w:t>space stations in the broadcasting-satellite and fixed-satellite services in Regions 1, 2 and 3;</w:t>
      </w:r>
    </w:p>
    <w:p w14:paraId="4BEBC3AC" w14:textId="77777777" w:rsidR="007B1885" w:rsidRPr="00462901" w:rsidRDefault="00F7489E" w:rsidP="007B1885">
      <w:pPr>
        <w:pStyle w:val="enumlev1"/>
      </w:pPr>
      <w:r w:rsidRPr="00462901">
        <w:rPr>
          <w:i/>
          <w:iCs/>
        </w:rPr>
        <w:t>b)</w:t>
      </w:r>
      <w:r w:rsidRPr="00462901">
        <w:tab/>
        <w:t>terrestrial stations in Regions 1, 2 and 3;</w:t>
      </w:r>
    </w:p>
    <w:p w14:paraId="2EBE73CE" w14:textId="77777777" w:rsidR="007B1885" w:rsidRPr="00462901" w:rsidRDefault="00F7489E" w:rsidP="007B1885">
      <w:r w:rsidRPr="00462901">
        <w:t>2</w:t>
      </w:r>
      <w:r w:rsidRPr="00462901">
        <w:tab/>
        <w:t>that the ITU</w:t>
      </w:r>
      <w:r w:rsidRPr="00462901">
        <w:noBreakHyphen/>
        <w:t>R shall study urgently the technical provisions which may be appropriate for the sharing between stations in the broadcasting-satellite service in Region 3 and:</w:t>
      </w:r>
    </w:p>
    <w:p w14:paraId="5B6D62E7" w14:textId="77777777" w:rsidR="007B1885" w:rsidRPr="00462901" w:rsidRDefault="00F7489E" w:rsidP="007B1885">
      <w:pPr>
        <w:pStyle w:val="enumlev1"/>
      </w:pPr>
      <w:r w:rsidRPr="00462901">
        <w:rPr>
          <w:i/>
          <w:iCs/>
        </w:rPr>
        <w:t>a)</w:t>
      </w:r>
      <w:r w:rsidRPr="00462901">
        <w:tab/>
        <w:t>space stations in the broadcasting-satellite and fixed-satellite services in Regions 1 and 2;</w:t>
      </w:r>
    </w:p>
    <w:p w14:paraId="0E78132F" w14:textId="77777777" w:rsidR="007B1885" w:rsidRPr="00462901" w:rsidRDefault="00F7489E" w:rsidP="007B1885">
      <w:pPr>
        <w:pStyle w:val="enumlev1"/>
      </w:pPr>
      <w:r w:rsidRPr="00462901">
        <w:rPr>
          <w:i/>
          <w:iCs/>
        </w:rPr>
        <w:t>b)</w:t>
      </w:r>
      <w:r w:rsidRPr="00462901">
        <w:tab/>
        <w:t>terrestrial stations in Regions 1 and 2;</w:t>
      </w:r>
    </w:p>
    <w:p w14:paraId="2F84AEB1" w14:textId="77777777" w:rsidR="007B1885" w:rsidRPr="00462901" w:rsidRDefault="00F7489E" w:rsidP="007B1885">
      <w:r w:rsidRPr="00462901">
        <w:t>3</w:t>
      </w:r>
      <w:r w:rsidRPr="00462901">
        <w:tab/>
      </w:r>
      <w:r w:rsidRPr="00462901">
        <w:rPr>
          <w:color w:val="000000"/>
        </w:rPr>
        <w:t>that, until such time as technical provisions are developed by the ITU</w:t>
      </w:r>
      <w:r w:rsidRPr="00462901">
        <w:rPr>
          <w:color w:val="000000"/>
        </w:rPr>
        <w:noBreakHyphen/>
        <w:t>R and accepted by administrations concerned under Resolution </w:t>
      </w:r>
      <w:r w:rsidRPr="00462901">
        <w:rPr>
          <w:b/>
          <w:bCs/>
          <w:color w:val="000000"/>
        </w:rPr>
        <w:t>703</w:t>
      </w:r>
      <w:r w:rsidRPr="00462901">
        <w:rPr>
          <w:color w:val="000000"/>
        </w:rPr>
        <w:t xml:space="preserve"> </w:t>
      </w:r>
      <w:r w:rsidRPr="00462901">
        <w:rPr>
          <w:b/>
          <w:color w:val="000000"/>
        </w:rPr>
        <w:t>(Rev.WRC</w:t>
      </w:r>
      <w:r w:rsidRPr="00462901">
        <w:rPr>
          <w:b/>
          <w:color w:val="000000"/>
        </w:rPr>
        <w:noBreakHyphen/>
      </w:r>
      <w:r w:rsidRPr="00462901">
        <w:rPr>
          <w:b/>
          <w:color w:val="000000"/>
          <w:lang w:eastAsia="ja-JP"/>
        </w:rPr>
        <w:t>07)</w:t>
      </w:r>
      <w:r w:rsidRPr="00462901">
        <w:rPr>
          <w:color w:val="000000"/>
        </w:rPr>
        <w:t xml:space="preserve"> the sharing between space stations in the broadcasting-satellite service in Region 3 and terrestrial services in Regions 1, 2 and 3 shall be based on the following criteria as appropriate:</w:t>
      </w:r>
    </w:p>
    <w:p w14:paraId="102E941F" w14:textId="77777777" w:rsidR="007B1885" w:rsidRPr="00462901" w:rsidRDefault="00F7489E" w:rsidP="007B1885">
      <w:pPr>
        <w:pStyle w:val="enumlev1"/>
      </w:pPr>
      <w:r w:rsidRPr="00462901">
        <w:rPr>
          <w:i/>
          <w:iCs/>
        </w:rPr>
        <w:t>a)</w:t>
      </w:r>
      <w:r w:rsidRPr="00462901">
        <w:tab/>
        <w:t>the power flux-density at the Earth’s surface, produced by emissions from a space station in the broadcasting-satellite service in Region 3 for all conditions and for all methods of modulation shall not exceed the limits given in Annex 5 of Appendix </w:t>
      </w:r>
      <w:r w:rsidRPr="00462901">
        <w:rPr>
          <w:rStyle w:val="Appref"/>
          <w:b/>
          <w:bCs/>
          <w:color w:val="000000"/>
        </w:rPr>
        <w:t>30</w:t>
      </w:r>
      <w:r w:rsidRPr="00462901">
        <w:t>;</w:t>
      </w:r>
    </w:p>
    <w:p w14:paraId="65F5183D" w14:textId="77777777" w:rsidR="007B1885" w:rsidRPr="00462901" w:rsidRDefault="00F7489E" w:rsidP="007B1885">
      <w:pPr>
        <w:pStyle w:val="enumlev1"/>
      </w:pPr>
      <w:r w:rsidRPr="00462901">
        <w:rPr>
          <w:i/>
          <w:iCs/>
        </w:rPr>
        <w:t>b)</w:t>
      </w:r>
      <w:r w:rsidRPr="00462901">
        <w:tab/>
        <w:t xml:space="preserve">in addition to </w:t>
      </w:r>
      <w:r w:rsidRPr="00462901">
        <w:rPr>
          <w:i/>
          <w:iCs/>
        </w:rPr>
        <w:t>resolves </w:t>
      </w:r>
      <w:r w:rsidRPr="00462901">
        <w:t xml:space="preserve">3 </w:t>
      </w:r>
      <w:r w:rsidRPr="00462901">
        <w:rPr>
          <w:i/>
          <w:iCs/>
        </w:rPr>
        <w:t>a)</w:t>
      </w:r>
      <w:r w:rsidRPr="00462901">
        <w:t xml:space="preserve"> above, the provisions of Article </w:t>
      </w:r>
      <w:r w:rsidRPr="00462901">
        <w:rPr>
          <w:rStyle w:val="Artref"/>
          <w:b/>
          <w:color w:val="000000"/>
        </w:rPr>
        <w:t>21</w:t>
      </w:r>
      <w:r w:rsidRPr="00462901">
        <w:t xml:space="preserve"> (Table </w:t>
      </w:r>
      <w:r w:rsidRPr="00462901">
        <w:rPr>
          <w:b/>
          <w:bCs/>
        </w:rPr>
        <w:t>21</w:t>
      </w:r>
      <w:r w:rsidRPr="00462901">
        <w:rPr>
          <w:b/>
          <w:bCs/>
        </w:rPr>
        <w:noBreakHyphen/>
        <w:t>4</w:t>
      </w:r>
      <w:r w:rsidRPr="00462901">
        <w:t>) shall apply in the countries mentioned in Nos. </w:t>
      </w:r>
      <w:r w:rsidRPr="00462901">
        <w:rPr>
          <w:rStyle w:val="Artref"/>
          <w:b/>
          <w:color w:val="000000"/>
        </w:rPr>
        <w:t>5.494</w:t>
      </w:r>
      <w:r w:rsidRPr="00462901">
        <w:t xml:space="preserve"> and </w:t>
      </w:r>
      <w:r w:rsidRPr="00462901">
        <w:rPr>
          <w:rStyle w:val="Artref"/>
          <w:b/>
          <w:color w:val="000000"/>
        </w:rPr>
        <w:t>5.496</w:t>
      </w:r>
      <w:r w:rsidRPr="00462901">
        <w:t>;</w:t>
      </w:r>
    </w:p>
    <w:p w14:paraId="06AFD818" w14:textId="77777777" w:rsidR="007B1885" w:rsidRPr="00462901" w:rsidRDefault="00F7489E" w:rsidP="007B1885">
      <w:pPr>
        <w:pStyle w:val="enumlev1"/>
      </w:pPr>
      <w:r w:rsidRPr="00462901">
        <w:rPr>
          <w:i/>
          <w:iCs/>
        </w:rPr>
        <w:lastRenderedPageBreak/>
        <w:t>c)</w:t>
      </w:r>
      <w:r w:rsidRPr="00462901">
        <w:tab/>
        <w:t xml:space="preserve">the limits given in </w:t>
      </w:r>
      <w:r w:rsidRPr="00462901">
        <w:rPr>
          <w:i/>
          <w:iCs/>
        </w:rPr>
        <w:t>resolves </w:t>
      </w:r>
      <w:r w:rsidRPr="00462901">
        <w:t>3 </w:t>
      </w:r>
      <w:r w:rsidRPr="00462901">
        <w:rPr>
          <w:i/>
          <w:iCs/>
        </w:rPr>
        <w:t>a)</w:t>
      </w:r>
      <w:r w:rsidRPr="00462901">
        <w:t xml:space="preserve"> and </w:t>
      </w:r>
      <w:r w:rsidRPr="00462901">
        <w:rPr>
          <w:i/>
          <w:iCs/>
        </w:rPr>
        <w:t>b)</w:t>
      </w:r>
      <w:r w:rsidRPr="00462901">
        <w:t xml:space="preserve"> above may be exceeded on the territory of any country provided the administration of that country has so agreed.</w:t>
      </w:r>
    </w:p>
    <w:p w14:paraId="2301D4D5" w14:textId="77777777" w:rsidR="001D0B80" w:rsidRPr="00462901" w:rsidRDefault="00F7489E">
      <w:pPr>
        <w:pStyle w:val="Reasons"/>
      </w:pPr>
      <w:r w:rsidRPr="00462901">
        <w:rPr>
          <w:b/>
        </w:rPr>
        <w:t>Reasons:</w:t>
      </w:r>
      <w:r w:rsidRPr="00462901">
        <w:tab/>
        <w:t>Chinese only</w:t>
      </w:r>
      <w:r w:rsidR="005557D4" w:rsidRPr="00462901">
        <w:t>.</w:t>
      </w:r>
    </w:p>
    <w:p w14:paraId="184EA721" w14:textId="77777777" w:rsidR="007B1885" w:rsidRPr="00462901" w:rsidRDefault="00F7489E" w:rsidP="007B1885">
      <w:pPr>
        <w:pStyle w:val="ResNo"/>
      </w:pPr>
      <w:bookmarkStart w:id="17" w:name="_Toc450048668"/>
      <w:r w:rsidRPr="00462901">
        <w:t xml:space="preserve">RESOLUTION </w:t>
      </w:r>
      <w:r w:rsidRPr="00462901">
        <w:rPr>
          <w:rStyle w:val="href"/>
        </w:rPr>
        <w:t>212</w:t>
      </w:r>
      <w:r w:rsidRPr="00462901">
        <w:t xml:space="preserve"> (Rev.WRC</w:t>
      </w:r>
      <w:r w:rsidRPr="00462901">
        <w:noBreakHyphen/>
        <w:t>15)</w:t>
      </w:r>
      <w:bookmarkEnd w:id="17"/>
    </w:p>
    <w:p w14:paraId="1C6E55DD" w14:textId="77777777" w:rsidR="007B1885" w:rsidRPr="00462901" w:rsidRDefault="00F7489E" w:rsidP="007B1885">
      <w:pPr>
        <w:pStyle w:val="Restitle"/>
        <w:rPr>
          <w:lang w:eastAsia="ja-JP"/>
        </w:rPr>
      </w:pPr>
      <w:bookmarkStart w:id="18" w:name="_Toc327364390"/>
      <w:bookmarkStart w:id="19" w:name="_Toc450048669"/>
      <w:r w:rsidRPr="00462901">
        <w:t xml:space="preserve">Implementation of International Mobile Telecommunications in the frequency bands </w:t>
      </w:r>
      <w:r w:rsidRPr="00462901">
        <w:rPr>
          <w:lang w:eastAsia="ja-JP"/>
        </w:rPr>
        <w:t>1 885-2 025 MHz and 2 110-2 200 MHz</w:t>
      </w:r>
      <w:bookmarkEnd w:id="18"/>
      <w:bookmarkEnd w:id="19"/>
    </w:p>
    <w:p w14:paraId="4FE0AD97" w14:textId="77777777" w:rsidR="001D0B80" w:rsidRPr="00462901" w:rsidRDefault="00A514BD">
      <w:pPr>
        <w:pStyle w:val="Proposal"/>
      </w:pPr>
      <w:r w:rsidRPr="00462901">
        <w:t>(MOD)</w:t>
      </w:r>
      <w:r w:rsidR="00F7489E" w:rsidRPr="00462901">
        <w:tab/>
        <w:t>CHN/209/7</w:t>
      </w:r>
    </w:p>
    <w:p w14:paraId="79705D6F" w14:textId="77777777" w:rsidR="007B1885" w:rsidRPr="00462901" w:rsidRDefault="00F7489E" w:rsidP="007B1885">
      <w:pPr>
        <w:pStyle w:val="Call"/>
      </w:pPr>
      <w:r w:rsidRPr="00462901">
        <w:t>considering</w:t>
      </w:r>
    </w:p>
    <w:p w14:paraId="66BD5486" w14:textId="77777777" w:rsidR="007B1885" w:rsidRPr="00462901" w:rsidRDefault="00F7489E" w:rsidP="007B1885">
      <w:r w:rsidRPr="00462901">
        <w:rPr>
          <w:i/>
        </w:rPr>
        <w:t>a)</w:t>
      </w:r>
      <w:r w:rsidRPr="00462901">
        <w:tab/>
        <w:t>that Resolution ITU</w:t>
      </w:r>
      <w:r w:rsidRPr="00462901">
        <w:noBreakHyphen/>
        <w:t>R 56 defines the naming for International Mobile Telecommunications (IMT);</w:t>
      </w:r>
    </w:p>
    <w:p w14:paraId="0860736C" w14:textId="77777777" w:rsidR="007B1885" w:rsidRPr="00462901" w:rsidRDefault="00F7489E" w:rsidP="007B1885">
      <w:r w:rsidRPr="00462901">
        <w:rPr>
          <w:i/>
        </w:rPr>
        <w:t>b)</w:t>
      </w:r>
      <w:r w:rsidRPr="00462901">
        <w:tab/>
        <w:t>that the ITU Radiocommunication Sector (ITU</w:t>
      </w:r>
      <w:r w:rsidRPr="00462901">
        <w:noBreakHyphen/>
        <w:t>R),</w:t>
      </w:r>
      <w:r w:rsidRPr="00462901">
        <w:rPr>
          <w:szCs w:val="22"/>
        </w:rPr>
        <w:t xml:space="preserve"> for WRC</w:t>
      </w:r>
      <w:r w:rsidRPr="00462901">
        <w:rPr>
          <w:szCs w:val="22"/>
        </w:rPr>
        <w:noBreakHyphen/>
        <w:t>97,</w:t>
      </w:r>
      <w:r w:rsidRPr="00462901">
        <w:t xml:space="preserve"> recommended approximately 230 MHz for use by the terrestrial and satellite components of IMT;</w:t>
      </w:r>
    </w:p>
    <w:p w14:paraId="7738A86F" w14:textId="77777777" w:rsidR="007B1885" w:rsidRPr="00462901" w:rsidRDefault="00F7489E" w:rsidP="007B1885">
      <w:r w:rsidRPr="00462901">
        <w:rPr>
          <w:i/>
        </w:rPr>
        <w:t>c)</w:t>
      </w:r>
      <w:r w:rsidRPr="00462901">
        <w:rPr>
          <w:i/>
        </w:rPr>
        <w:tab/>
      </w:r>
      <w:r w:rsidRPr="00462901">
        <w:t>that ITU</w:t>
      </w:r>
      <w:r w:rsidRPr="00462901">
        <w:noBreakHyphen/>
        <w:t>R studies forecast that additional spectrum may be required to support the future services of IMT and to accommodate future user requirements and network deployments;</w:t>
      </w:r>
    </w:p>
    <w:p w14:paraId="53A29EFD" w14:textId="77777777" w:rsidR="007B1885" w:rsidRPr="00462901" w:rsidRDefault="00F7489E" w:rsidP="007B1885">
      <w:r w:rsidRPr="00462901">
        <w:rPr>
          <w:i/>
        </w:rPr>
        <w:t>d)</w:t>
      </w:r>
      <w:r w:rsidRPr="00462901">
        <w:tab/>
        <w:t>that ITU</w:t>
      </w:r>
      <w:r w:rsidRPr="00462901">
        <w:noBreakHyphen/>
        <w:t>R has recognized that space techniques are an integral part of IMT;</w:t>
      </w:r>
    </w:p>
    <w:p w14:paraId="20BA22B5" w14:textId="5DA52A16" w:rsidR="007B1885" w:rsidRPr="00462901" w:rsidRDefault="00F7489E" w:rsidP="007B1885">
      <w:r w:rsidRPr="00462901">
        <w:rPr>
          <w:i/>
        </w:rPr>
        <w:t>e)</w:t>
      </w:r>
      <w:r w:rsidRPr="00462901">
        <w:tab/>
        <w:t>that, in No. </w:t>
      </w:r>
      <w:r w:rsidRPr="00462901">
        <w:rPr>
          <w:rStyle w:val="Artref"/>
          <w:b/>
          <w:color w:val="000000"/>
        </w:rPr>
        <w:t>5.388</w:t>
      </w:r>
      <w:r w:rsidRPr="00462901">
        <w:t>, WARC</w:t>
      </w:r>
      <w:r w:rsidRPr="00462901">
        <w:noBreakHyphen/>
        <w:t>92 identified frequency bands to accommodate certain mobile services, now called IMT</w:t>
      </w:r>
      <w:r w:rsidR="00052171">
        <w:t>,</w:t>
      </w:r>
    </w:p>
    <w:p w14:paraId="1FD24895" w14:textId="77777777" w:rsidR="001D0B80" w:rsidRPr="00462901" w:rsidRDefault="00F7489E">
      <w:pPr>
        <w:pStyle w:val="Reasons"/>
      </w:pPr>
      <w:r w:rsidRPr="00462901">
        <w:rPr>
          <w:b/>
        </w:rPr>
        <w:t>Reasons:</w:t>
      </w:r>
      <w:r w:rsidRPr="00462901">
        <w:tab/>
        <w:t>Chinese only</w:t>
      </w:r>
      <w:r w:rsidR="005557D4" w:rsidRPr="00462901">
        <w:t>.</w:t>
      </w:r>
    </w:p>
    <w:p w14:paraId="613732E6" w14:textId="77777777" w:rsidR="007B1885" w:rsidRPr="00462901" w:rsidRDefault="00F7489E" w:rsidP="007B1885">
      <w:pPr>
        <w:pStyle w:val="ResNo"/>
      </w:pPr>
      <w:bookmarkStart w:id="20" w:name="_Toc450048826"/>
      <w:r w:rsidRPr="00462901">
        <w:t xml:space="preserve">RESOLUTION </w:t>
      </w:r>
      <w:r w:rsidRPr="00462901">
        <w:rPr>
          <w:rStyle w:val="href"/>
        </w:rPr>
        <w:t>750</w:t>
      </w:r>
      <w:r w:rsidRPr="00462901">
        <w:t xml:space="preserve"> (Rev.WRC</w:t>
      </w:r>
      <w:r w:rsidRPr="00462901">
        <w:noBreakHyphen/>
        <w:t>15)</w:t>
      </w:r>
      <w:bookmarkEnd w:id="20"/>
    </w:p>
    <w:p w14:paraId="1DA8994B" w14:textId="77777777" w:rsidR="007B1885" w:rsidRPr="00462901" w:rsidRDefault="00F7489E" w:rsidP="007B1885">
      <w:pPr>
        <w:pStyle w:val="Restitle"/>
      </w:pPr>
      <w:bookmarkStart w:id="21" w:name="_Toc319401906"/>
      <w:bookmarkStart w:id="22" w:name="_Toc327364569"/>
      <w:bookmarkStart w:id="23" w:name="_Toc450048827"/>
      <w:r w:rsidRPr="00462901">
        <w:t>Compatibility between the Earth exploration-satellite service (passive) and relevant active services</w:t>
      </w:r>
      <w:bookmarkEnd w:id="21"/>
      <w:bookmarkEnd w:id="22"/>
      <w:bookmarkEnd w:id="23"/>
      <w:r w:rsidRPr="00462901">
        <w:t xml:space="preserve"> </w:t>
      </w:r>
    </w:p>
    <w:p w14:paraId="680D8FC3" w14:textId="77777777" w:rsidR="001D0B80" w:rsidRPr="00462901" w:rsidRDefault="00A514BD">
      <w:pPr>
        <w:pStyle w:val="Proposal"/>
      </w:pPr>
      <w:r w:rsidRPr="00462901">
        <w:t>(MOD)</w:t>
      </w:r>
      <w:r w:rsidR="00F7489E" w:rsidRPr="00462901">
        <w:tab/>
        <w:t>CHN/209/8</w:t>
      </w:r>
    </w:p>
    <w:p w14:paraId="6B510A8C" w14:textId="77777777" w:rsidR="007B1885" w:rsidRPr="00462901" w:rsidRDefault="00F7489E" w:rsidP="007B1885">
      <w:pPr>
        <w:pStyle w:val="Call"/>
      </w:pPr>
      <w:r w:rsidRPr="00462901">
        <w:t>resolves</w:t>
      </w:r>
    </w:p>
    <w:p w14:paraId="1F0E8D7B" w14:textId="77777777" w:rsidR="007B1885" w:rsidRPr="00462901" w:rsidRDefault="00F7489E" w:rsidP="007B1885">
      <w:r w:rsidRPr="00462901">
        <w:t>1</w:t>
      </w:r>
      <w:r w:rsidRPr="00462901">
        <w:tab/>
        <w:t>that unwanted emissions of stations brought into use in the frequency bands and services listed in Table 1</w:t>
      </w:r>
      <w:r w:rsidRPr="00462901">
        <w:noBreakHyphen/>
        <w:t>1 below shall not exceed the corresponding limits in that table, subject to the specified conditions;</w:t>
      </w:r>
    </w:p>
    <w:p w14:paraId="0C565B76" w14:textId="77777777" w:rsidR="007B1885" w:rsidRPr="00462901" w:rsidRDefault="00F7489E" w:rsidP="007B1885">
      <w:pPr>
        <w:rPr>
          <w:szCs w:val="24"/>
          <w:lang w:eastAsia="fr-FR"/>
        </w:rPr>
      </w:pPr>
      <w:r w:rsidRPr="00462901">
        <w:t>2</w:t>
      </w:r>
      <w:r w:rsidRPr="00462901">
        <w:tab/>
        <w:t>to urge administrations to take all reasonable steps to ensure that unwanted emissions of active service stations in the frequency bands and services listed in Table 1</w:t>
      </w:r>
      <w:r w:rsidRPr="00462901">
        <w:noBreakHyphen/>
        <w:t xml:space="preserve">2 below do not exceed the recommended maximum levels contained in that table, noting </w:t>
      </w:r>
      <w:r w:rsidRPr="00462901">
        <w:rPr>
          <w:szCs w:val="24"/>
          <w:lang w:eastAsia="fr-FR"/>
        </w:rPr>
        <w:t>that EESS (passive) sensors provide worldwide measurements that benefit all countries, even if these sensors are not operated by their country</w:t>
      </w:r>
      <w:r w:rsidRPr="00462901">
        <w:t>;</w:t>
      </w:r>
    </w:p>
    <w:p w14:paraId="67FF850C" w14:textId="77777777" w:rsidR="007B1885" w:rsidRPr="00462901" w:rsidRDefault="00F7489E" w:rsidP="007B1885">
      <w:r w:rsidRPr="00462901">
        <w:t>3</w:t>
      </w:r>
      <w:r w:rsidRPr="00462901">
        <w:tab/>
        <w:t>that the Radiocommunication Bureau shall not make any examination or finding with respect to compliance with this Resolution under either Article </w:t>
      </w:r>
      <w:r w:rsidRPr="00462901">
        <w:rPr>
          <w:b/>
          <w:bCs/>
        </w:rPr>
        <w:t xml:space="preserve">9 </w:t>
      </w:r>
      <w:r w:rsidRPr="00462901">
        <w:t>or </w:t>
      </w:r>
      <w:r w:rsidRPr="00462901">
        <w:rPr>
          <w:b/>
          <w:bCs/>
        </w:rPr>
        <w:t>11</w:t>
      </w:r>
      <w:r w:rsidRPr="00462901">
        <w:t>.</w:t>
      </w:r>
    </w:p>
    <w:p w14:paraId="50A00CA1" w14:textId="77777777" w:rsidR="007B1885" w:rsidRPr="00462901" w:rsidRDefault="00F7489E" w:rsidP="007B1885">
      <w:pPr>
        <w:pStyle w:val="TableNo"/>
      </w:pPr>
      <w:r w:rsidRPr="00462901">
        <w:lastRenderedPageBreak/>
        <w:t>TABLE 1-1</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701"/>
        <w:gridCol w:w="1418"/>
        <w:gridCol w:w="4881"/>
      </w:tblGrid>
      <w:tr w:rsidR="007B1885" w:rsidRPr="00462901" w14:paraId="54E60276" w14:textId="77777777" w:rsidTr="00A768B2">
        <w:trPr>
          <w:cantSplit/>
          <w:jc w:val="center"/>
        </w:trPr>
        <w:tc>
          <w:tcPr>
            <w:tcW w:w="1696" w:type="dxa"/>
            <w:vAlign w:val="center"/>
          </w:tcPr>
          <w:p w14:paraId="27114C37" w14:textId="77777777" w:rsidR="007B1885" w:rsidRPr="00462901" w:rsidRDefault="00F7489E" w:rsidP="00052171">
            <w:pPr>
              <w:pStyle w:val="Tablehead"/>
              <w:spacing w:before="160" w:after="160"/>
              <w:ind w:left="-57" w:right="-57"/>
            </w:pPr>
            <w:r w:rsidRPr="00462901">
              <w:t>EESS (passive) band</w:t>
            </w:r>
          </w:p>
        </w:tc>
        <w:tc>
          <w:tcPr>
            <w:tcW w:w="1701" w:type="dxa"/>
            <w:vAlign w:val="center"/>
          </w:tcPr>
          <w:p w14:paraId="5DA597A5" w14:textId="77777777" w:rsidR="007B1885" w:rsidRPr="00462901" w:rsidRDefault="00F7489E" w:rsidP="00052171">
            <w:pPr>
              <w:pStyle w:val="Tablehead"/>
              <w:spacing w:before="160" w:after="160"/>
            </w:pPr>
            <w:r w:rsidRPr="00462901">
              <w:t>Active</w:t>
            </w:r>
            <w:r w:rsidRPr="00462901">
              <w:br/>
              <w:t>service band</w:t>
            </w:r>
          </w:p>
        </w:tc>
        <w:tc>
          <w:tcPr>
            <w:tcW w:w="1418" w:type="dxa"/>
            <w:vAlign w:val="center"/>
          </w:tcPr>
          <w:p w14:paraId="34B78197" w14:textId="77777777" w:rsidR="007B1885" w:rsidRPr="00462901" w:rsidRDefault="00F7489E" w:rsidP="00052171">
            <w:pPr>
              <w:pStyle w:val="Tablehead"/>
              <w:spacing w:before="160" w:after="160"/>
            </w:pPr>
            <w:r w:rsidRPr="00462901">
              <w:t>Active service</w:t>
            </w:r>
          </w:p>
        </w:tc>
        <w:tc>
          <w:tcPr>
            <w:tcW w:w="4881" w:type="dxa"/>
            <w:vAlign w:val="center"/>
          </w:tcPr>
          <w:p w14:paraId="7EF33FDD" w14:textId="77777777" w:rsidR="007B1885" w:rsidRPr="00462901" w:rsidRDefault="00F7489E" w:rsidP="00052171">
            <w:pPr>
              <w:pStyle w:val="Tablehead"/>
              <w:spacing w:before="160" w:after="160"/>
            </w:pPr>
            <w:r w:rsidRPr="00462901">
              <w:t>Limits of unwanted emission power from</w:t>
            </w:r>
            <w:r w:rsidRPr="00462901">
              <w:br/>
              <w:t>active service stations in a specified bandwidth</w:t>
            </w:r>
            <w:r w:rsidRPr="00462901">
              <w:br/>
              <w:t>within the EESS (passive) band</w:t>
            </w:r>
            <w:r w:rsidRPr="00462901">
              <w:rPr>
                <w:b w:val="0"/>
                <w:bCs/>
                <w:vertAlign w:val="superscript"/>
              </w:rPr>
              <w:t>1</w:t>
            </w:r>
          </w:p>
        </w:tc>
      </w:tr>
      <w:tr w:rsidR="007B1885" w:rsidRPr="00462901" w14:paraId="67C6C94B" w14:textId="77777777" w:rsidTr="00A768B2">
        <w:trPr>
          <w:cantSplit/>
          <w:jc w:val="center"/>
        </w:trPr>
        <w:tc>
          <w:tcPr>
            <w:tcW w:w="1696" w:type="dxa"/>
            <w:vAlign w:val="center"/>
          </w:tcPr>
          <w:p w14:paraId="16F94867" w14:textId="77777777" w:rsidR="007B1885" w:rsidRPr="00462901" w:rsidRDefault="00F7489E" w:rsidP="00A768B2">
            <w:pPr>
              <w:pStyle w:val="Tabletext"/>
              <w:jc w:val="center"/>
            </w:pPr>
            <w:r w:rsidRPr="00462901">
              <w:rPr>
                <w:color w:val="000000"/>
              </w:rPr>
              <w:t>1 400-</w:t>
            </w:r>
            <w:r w:rsidRPr="00462901">
              <w:rPr>
                <w:color w:val="000000"/>
              </w:rPr>
              <w:br/>
              <w:t>1 427 MHz</w:t>
            </w:r>
          </w:p>
        </w:tc>
        <w:tc>
          <w:tcPr>
            <w:tcW w:w="1701" w:type="dxa"/>
            <w:vAlign w:val="center"/>
          </w:tcPr>
          <w:p w14:paraId="745B6198" w14:textId="77777777" w:rsidR="007B1885" w:rsidRPr="00462901" w:rsidRDefault="00F7489E" w:rsidP="00A768B2">
            <w:pPr>
              <w:pStyle w:val="Tabletext"/>
              <w:jc w:val="center"/>
            </w:pPr>
            <w:r w:rsidRPr="00462901">
              <w:rPr>
                <w:color w:val="000000"/>
              </w:rPr>
              <w:t>1 427-</w:t>
            </w:r>
            <w:r w:rsidRPr="00462901">
              <w:rPr>
                <w:color w:val="000000"/>
              </w:rPr>
              <w:br/>
              <w:t>1 452 MHz</w:t>
            </w:r>
          </w:p>
        </w:tc>
        <w:tc>
          <w:tcPr>
            <w:tcW w:w="1418" w:type="dxa"/>
            <w:vAlign w:val="center"/>
          </w:tcPr>
          <w:p w14:paraId="70BBFDAD" w14:textId="77777777" w:rsidR="007B1885" w:rsidRPr="00462901" w:rsidRDefault="00F7489E" w:rsidP="00A768B2">
            <w:pPr>
              <w:pStyle w:val="Tabletext"/>
              <w:jc w:val="center"/>
            </w:pPr>
            <w:r w:rsidRPr="00462901">
              <w:rPr>
                <w:color w:val="000000"/>
              </w:rPr>
              <w:t>Mobile</w:t>
            </w:r>
          </w:p>
        </w:tc>
        <w:tc>
          <w:tcPr>
            <w:tcW w:w="4881" w:type="dxa"/>
          </w:tcPr>
          <w:p w14:paraId="76FFC09E" w14:textId="77777777" w:rsidR="007B1885" w:rsidRPr="00462901" w:rsidRDefault="00F7489E" w:rsidP="00A768B2">
            <w:pPr>
              <w:pStyle w:val="Tabletext"/>
              <w:tabs>
                <w:tab w:val="left" w:pos="59"/>
              </w:tabs>
              <w:rPr>
                <w:color w:val="000000"/>
              </w:rPr>
            </w:pPr>
            <w:r w:rsidRPr="00462901">
              <w:rPr>
                <w:color w:val="000000"/>
              </w:rPr>
              <w:t>−72 dBW in the 27 MHz of the EESS (passive) band for IMT base stations</w:t>
            </w:r>
          </w:p>
          <w:p w14:paraId="4C8D6775" w14:textId="77777777" w:rsidR="007B1885" w:rsidRPr="00462901" w:rsidRDefault="00F7489E" w:rsidP="00A768B2">
            <w:pPr>
              <w:pStyle w:val="Tabletext"/>
              <w:rPr>
                <w:color w:val="000000"/>
                <w:lang w:eastAsia="ja-JP"/>
              </w:rPr>
            </w:pPr>
            <w:r w:rsidRPr="00462901">
              <w:rPr>
                <w:color w:val="000000"/>
              </w:rPr>
              <w:t>−62 dBW in the 27 MHz of the EESS (passive) band for IMT mobile stations</w:t>
            </w:r>
            <w:r w:rsidRPr="00462901">
              <w:rPr>
                <w:color w:val="000000"/>
                <w:vertAlign w:val="superscript"/>
              </w:rPr>
              <w:t>2,</w:t>
            </w:r>
            <w:r w:rsidRPr="00462901">
              <w:rPr>
                <w:color w:val="000000"/>
                <w:vertAlign w:val="superscript"/>
                <w:lang w:eastAsia="ja-JP"/>
              </w:rPr>
              <w:t xml:space="preserve"> </w:t>
            </w:r>
            <w:r w:rsidRPr="00462901">
              <w:rPr>
                <w:color w:val="000000"/>
                <w:vertAlign w:val="superscript"/>
              </w:rPr>
              <w:t>3</w:t>
            </w:r>
          </w:p>
        </w:tc>
      </w:tr>
      <w:tr w:rsidR="007B1885" w:rsidRPr="00462901" w14:paraId="13729287" w14:textId="77777777" w:rsidTr="00A768B2">
        <w:trPr>
          <w:cantSplit/>
          <w:jc w:val="center"/>
        </w:trPr>
        <w:tc>
          <w:tcPr>
            <w:tcW w:w="1696" w:type="dxa"/>
            <w:vAlign w:val="center"/>
          </w:tcPr>
          <w:p w14:paraId="502541A0" w14:textId="77777777" w:rsidR="007B1885" w:rsidRPr="00462901" w:rsidRDefault="00F7489E" w:rsidP="00A768B2">
            <w:pPr>
              <w:pStyle w:val="Tabletext"/>
              <w:jc w:val="center"/>
            </w:pPr>
            <w:r w:rsidRPr="00462901">
              <w:t>23.6-24.0 GHz</w:t>
            </w:r>
          </w:p>
        </w:tc>
        <w:tc>
          <w:tcPr>
            <w:tcW w:w="1701" w:type="dxa"/>
            <w:vAlign w:val="center"/>
          </w:tcPr>
          <w:p w14:paraId="405368DF" w14:textId="77777777" w:rsidR="007B1885" w:rsidRPr="00462901" w:rsidRDefault="00F7489E" w:rsidP="00A768B2">
            <w:pPr>
              <w:pStyle w:val="Tabletext"/>
              <w:jc w:val="center"/>
            </w:pPr>
            <w:r w:rsidRPr="00462901">
              <w:t>22.55-23.55 GHz</w:t>
            </w:r>
          </w:p>
        </w:tc>
        <w:tc>
          <w:tcPr>
            <w:tcW w:w="1418" w:type="dxa"/>
            <w:vAlign w:val="center"/>
          </w:tcPr>
          <w:p w14:paraId="5AEB135E" w14:textId="77777777" w:rsidR="007B1885" w:rsidRPr="00462901" w:rsidRDefault="00F7489E" w:rsidP="00A768B2">
            <w:pPr>
              <w:pStyle w:val="Tabletext"/>
              <w:jc w:val="center"/>
            </w:pPr>
            <w:r w:rsidRPr="00462901">
              <w:t>Inter-satellite</w:t>
            </w:r>
          </w:p>
        </w:tc>
        <w:tc>
          <w:tcPr>
            <w:tcW w:w="4881" w:type="dxa"/>
          </w:tcPr>
          <w:p w14:paraId="0752ED9F" w14:textId="77777777" w:rsidR="007B1885" w:rsidRPr="00462901" w:rsidRDefault="00F7489E" w:rsidP="00A768B2">
            <w:pPr>
              <w:pStyle w:val="Tabletext"/>
            </w:pPr>
            <w:r w:rsidRPr="00462901">
              <w:t>−36 dBW in any 200 MHz of the EESS (passive) band for non-geostationary (non-GSO) inter-satellite service (ISS) systems for which complete advance publication information is received by the Bureau before 1 January 2020, and −46 dBW in any 200 MHz of the EESS (passive) band for non-GSO ISS systems for which complete advance publication information is received by the Bureau on or after 1 January 2020</w:t>
            </w:r>
          </w:p>
        </w:tc>
      </w:tr>
      <w:tr w:rsidR="007B1885" w:rsidRPr="00462901" w14:paraId="3183459A" w14:textId="77777777" w:rsidTr="00A768B2">
        <w:trPr>
          <w:cantSplit/>
          <w:jc w:val="center"/>
        </w:trPr>
        <w:tc>
          <w:tcPr>
            <w:tcW w:w="1696" w:type="dxa"/>
            <w:vAlign w:val="center"/>
          </w:tcPr>
          <w:p w14:paraId="2D6C0D80" w14:textId="77777777" w:rsidR="007B1885" w:rsidRPr="00462901" w:rsidRDefault="00F7489E" w:rsidP="00A768B2">
            <w:pPr>
              <w:pStyle w:val="Tabletext"/>
              <w:jc w:val="center"/>
            </w:pPr>
            <w:r w:rsidRPr="00462901">
              <w:t>31.3-31.5 GHz</w:t>
            </w:r>
          </w:p>
        </w:tc>
        <w:tc>
          <w:tcPr>
            <w:tcW w:w="1701" w:type="dxa"/>
            <w:vAlign w:val="center"/>
          </w:tcPr>
          <w:p w14:paraId="254EB3C7" w14:textId="77777777" w:rsidR="007B1885" w:rsidRPr="00462901" w:rsidRDefault="00F7489E" w:rsidP="00A768B2">
            <w:pPr>
              <w:pStyle w:val="Tabletext"/>
              <w:jc w:val="center"/>
            </w:pPr>
            <w:r w:rsidRPr="00462901">
              <w:t>31-31.3 GHz</w:t>
            </w:r>
          </w:p>
        </w:tc>
        <w:tc>
          <w:tcPr>
            <w:tcW w:w="1418" w:type="dxa"/>
            <w:vAlign w:val="center"/>
          </w:tcPr>
          <w:p w14:paraId="5753AFAF" w14:textId="77777777" w:rsidR="007B1885" w:rsidRPr="00462901" w:rsidRDefault="00F7489E" w:rsidP="00A768B2">
            <w:pPr>
              <w:pStyle w:val="Tabletext"/>
              <w:jc w:val="center"/>
            </w:pPr>
            <w:r w:rsidRPr="00462901">
              <w:t>Fixed</w:t>
            </w:r>
            <w:r w:rsidRPr="00462901">
              <w:br/>
              <w:t>(excluding HAPS)</w:t>
            </w:r>
          </w:p>
        </w:tc>
        <w:tc>
          <w:tcPr>
            <w:tcW w:w="4881" w:type="dxa"/>
          </w:tcPr>
          <w:p w14:paraId="4087B6F9" w14:textId="77777777" w:rsidR="007B1885" w:rsidRPr="00462901" w:rsidRDefault="00F7489E" w:rsidP="00A768B2">
            <w:pPr>
              <w:pStyle w:val="Tabletext"/>
            </w:pPr>
            <w:r w:rsidRPr="00462901">
              <w:t>For stations brought into use after 1 January 2012: −38 dBW in any 100 MHz of the EESS (passive) band. This limit does not apply to stations that have been authorized prior to 1 January 2012</w:t>
            </w:r>
          </w:p>
        </w:tc>
      </w:tr>
      <w:tr w:rsidR="007B1885" w:rsidRPr="00462901" w14:paraId="30D03E69" w14:textId="77777777" w:rsidTr="00A768B2">
        <w:trPr>
          <w:cantSplit/>
          <w:jc w:val="center"/>
        </w:trPr>
        <w:tc>
          <w:tcPr>
            <w:tcW w:w="1696" w:type="dxa"/>
            <w:vAlign w:val="center"/>
          </w:tcPr>
          <w:p w14:paraId="1411E1F1" w14:textId="77777777" w:rsidR="007B1885" w:rsidRPr="00462901" w:rsidRDefault="00F7489E" w:rsidP="00A768B2">
            <w:pPr>
              <w:pStyle w:val="Tabletext"/>
              <w:jc w:val="center"/>
            </w:pPr>
            <w:r w:rsidRPr="00462901">
              <w:t>50.2-50.4 GHz</w:t>
            </w:r>
          </w:p>
        </w:tc>
        <w:tc>
          <w:tcPr>
            <w:tcW w:w="1701" w:type="dxa"/>
            <w:vAlign w:val="center"/>
          </w:tcPr>
          <w:p w14:paraId="0D15887C" w14:textId="77777777" w:rsidR="007B1885" w:rsidRPr="00462901" w:rsidRDefault="00F7489E" w:rsidP="00A768B2">
            <w:pPr>
              <w:pStyle w:val="Tabletext"/>
              <w:jc w:val="center"/>
            </w:pPr>
            <w:r w:rsidRPr="00462901">
              <w:t>49.7-50.2 GHz</w:t>
            </w:r>
          </w:p>
        </w:tc>
        <w:tc>
          <w:tcPr>
            <w:tcW w:w="1418" w:type="dxa"/>
            <w:vAlign w:val="center"/>
          </w:tcPr>
          <w:p w14:paraId="0E21BDCA" w14:textId="77777777" w:rsidR="007B1885" w:rsidRPr="00462901" w:rsidRDefault="00F7489E" w:rsidP="00A768B2">
            <w:pPr>
              <w:pStyle w:val="Tabletext"/>
              <w:jc w:val="center"/>
            </w:pPr>
            <w:r w:rsidRPr="00462901">
              <w:t>Fixed-satellite (E</w:t>
            </w:r>
            <w:r w:rsidRPr="00462901">
              <w:noBreakHyphen/>
              <w:t>to</w:t>
            </w:r>
            <w:r w:rsidRPr="00462901">
              <w:noBreakHyphen/>
              <w:t>s)</w:t>
            </w:r>
            <w:r w:rsidRPr="00462901">
              <w:rPr>
                <w:vertAlign w:val="superscript"/>
              </w:rPr>
              <w:t>4</w:t>
            </w:r>
          </w:p>
        </w:tc>
        <w:tc>
          <w:tcPr>
            <w:tcW w:w="4881" w:type="dxa"/>
          </w:tcPr>
          <w:p w14:paraId="3F7A9F76" w14:textId="77777777" w:rsidR="007B1885" w:rsidRPr="00462901" w:rsidRDefault="00F7489E" w:rsidP="00A768B2">
            <w:pPr>
              <w:pStyle w:val="Tabletext"/>
            </w:pPr>
            <w:r w:rsidRPr="00462901">
              <w:t>For stations brought into use after the date of entry into force of the Final Acts of WRC</w:t>
            </w:r>
            <w:r w:rsidRPr="00462901">
              <w:noBreakHyphen/>
              <w:t>07:</w:t>
            </w:r>
          </w:p>
          <w:p w14:paraId="5E444ABB" w14:textId="77777777" w:rsidR="007B1885" w:rsidRPr="00462901" w:rsidRDefault="00F7489E" w:rsidP="00A768B2">
            <w:pPr>
              <w:pStyle w:val="Tabletext"/>
            </w:pPr>
            <w:r w:rsidRPr="00462901">
              <w:t>−10 dBW</w:t>
            </w:r>
            <w:r w:rsidRPr="00462901" w:rsidDel="008F017D">
              <w:t xml:space="preserve"> </w:t>
            </w:r>
            <w:r w:rsidRPr="00462901">
              <w:t>into the 200 MHz of the EESS (passive) band for earth stations having an antenna gain greater than or equal to 57 dBi</w:t>
            </w:r>
          </w:p>
          <w:p w14:paraId="7CF3D21B" w14:textId="77777777" w:rsidR="007B1885" w:rsidRPr="00462901" w:rsidRDefault="00F7489E" w:rsidP="00A768B2">
            <w:pPr>
              <w:pStyle w:val="Tabletext"/>
            </w:pPr>
            <w:r w:rsidRPr="00462901">
              <w:t>−20 dBW</w:t>
            </w:r>
            <w:r w:rsidRPr="00462901" w:rsidDel="008F017D">
              <w:t xml:space="preserve"> </w:t>
            </w:r>
            <w:r w:rsidRPr="00462901">
              <w:t>into the 200 MHz of the EESS (passive) band for earth stations having an antenna gain less than 57 dBi</w:t>
            </w:r>
          </w:p>
        </w:tc>
      </w:tr>
      <w:tr w:rsidR="007B1885" w:rsidRPr="00462901" w14:paraId="45C861E0" w14:textId="77777777" w:rsidTr="00A768B2">
        <w:trPr>
          <w:cantSplit/>
          <w:jc w:val="center"/>
        </w:trPr>
        <w:tc>
          <w:tcPr>
            <w:tcW w:w="1696" w:type="dxa"/>
            <w:vAlign w:val="center"/>
          </w:tcPr>
          <w:p w14:paraId="3FF70B80" w14:textId="77777777" w:rsidR="007B1885" w:rsidRPr="00462901" w:rsidRDefault="00F7489E" w:rsidP="00A768B2">
            <w:pPr>
              <w:pStyle w:val="Tabletext"/>
              <w:jc w:val="center"/>
            </w:pPr>
            <w:r w:rsidRPr="00462901">
              <w:t>50.2-50.4 GHz</w:t>
            </w:r>
          </w:p>
        </w:tc>
        <w:tc>
          <w:tcPr>
            <w:tcW w:w="1701" w:type="dxa"/>
            <w:vAlign w:val="center"/>
          </w:tcPr>
          <w:p w14:paraId="038100AD" w14:textId="77777777" w:rsidR="007B1885" w:rsidRPr="00462901" w:rsidRDefault="00F7489E" w:rsidP="00A768B2">
            <w:pPr>
              <w:pStyle w:val="Tabletext"/>
              <w:jc w:val="center"/>
            </w:pPr>
            <w:r w:rsidRPr="00462901">
              <w:t>50.4-50.9 GHz</w:t>
            </w:r>
          </w:p>
        </w:tc>
        <w:tc>
          <w:tcPr>
            <w:tcW w:w="1418" w:type="dxa"/>
            <w:vAlign w:val="center"/>
          </w:tcPr>
          <w:p w14:paraId="070391CB" w14:textId="77777777" w:rsidR="007B1885" w:rsidRPr="00462901" w:rsidRDefault="00F7489E" w:rsidP="00A768B2">
            <w:pPr>
              <w:pStyle w:val="Tabletext"/>
              <w:jc w:val="center"/>
            </w:pPr>
            <w:r w:rsidRPr="00462901">
              <w:t>Fixed-satellite (E</w:t>
            </w:r>
            <w:r w:rsidRPr="00462901">
              <w:noBreakHyphen/>
              <w:t>to</w:t>
            </w:r>
            <w:r w:rsidRPr="00462901">
              <w:noBreakHyphen/>
              <w:t>s)</w:t>
            </w:r>
            <w:r w:rsidRPr="00462901">
              <w:rPr>
                <w:vertAlign w:val="superscript"/>
              </w:rPr>
              <w:t>4</w:t>
            </w:r>
          </w:p>
        </w:tc>
        <w:tc>
          <w:tcPr>
            <w:tcW w:w="4881" w:type="dxa"/>
          </w:tcPr>
          <w:p w14:paraId="2EFCBAEA" w14:textId="77777777" w:rsidR="007B1885" w:rsidRPr="00462901" w:rsidRDefault="00F7489E" w:rsidP="00A768B2">
            <w:pPr>
              <w:pStyle w:val="Tabletext"/>
            </w:pPr>
            <w:r w:rsidRPr="00462901">
              <w:t>For stations brought into use after the date of entry into force of the Final Acts of WRC</w:t>
            </w:r>
            <w:r w:rsidRPr="00462901">
              <w:noBreakHyphen/>
              <w:t>07:</w:t>
            </w:r>
          </w:p>
          <w:p w14:paraId="309B7641" w14:textId="77777777" w:rsidR="007B1885" w:rsidRPr="00462901" w:rsidRDefault="00F7489E" w:rsidP="00A768B2">
            <w:pPr>
              <w:pStyle w:val="Tabletext"/>
            </w:pPr>
            <w:r w:rsidRPr="00462901">
              <w:t>−10 dBW</w:t>
            </w:r>
            <w:r w:rsidRPr="00462901" w:rsidDel="008F017D">
              <w:t xml:space="preserve"> </w:t>
            </w:r>
            <w:r w:rsidRPr="00462901">
              <w:t>into the 200 MHz of the EESS (passive) band for earth stations having an antenna gain greater than or equal to 57 dBi</w:t>
            </w:r>
          </w:p>
          <w:p w14:paraId="57146DE2" w14:textId="77777777" w:rsidR="007B1885" w:rsidRPr="00462901" w:rsidRDefault="00F7489E" w:rsidP="00A768B2">
            <w:pPr>
              <w:pStyle w:val="Tabletext"/>
            </w:pPr>
            <w:r w:rsidRPr="00462901">
              <w:t>−20 dBW</w:t>
            </w:r>
            <w:r w:rsidRPr="00462901" w:rsidDel="008F017D">
              <w:t xml:space="preserve"> </w:t>
            </w:r>
            <w:r w:rsidRPr="00462901">
              <w:t>into the 200 MHz of the EESS (passive) band for earth stations having an antenna gain less than 57 dBi</w:t>
            </w:r>
          </w:p>
        </w:tc>
      </w:tr>
      <w:tr w:rsidR="007B1885" w:rsidRPr="00462901" w14:paraId="5C3A3678" w14:textId="77777777" w:rsidTr="00A768B2">
        <w:trPr>
          <w:cantSplit/>
          <w:jc w:val="center"/>
        </w:trPr>
        <w:tc>
          <w:tcPr>
            <w:tcW w:w="1696" w:type="dxa"/>
            <w:tcBorders>
              <w:bottom w:val="single" w:sz="4" w:space="0" w:color="auto"/>
            </w:tcBorders>
            <w:vAlign w:val="center"/>
          </w:tcPr>
          <w:p w14:paraId="335FA1FF" w14:textId="77777777" w:rsidR="007B1885" w:rsidRPr="00462901" w:rsidRDefault="00F7489E" w:rsidP="00A768B2">
            <w:pPr>
              <w:pStyle w:val="Tabletext"/>
              <w:jc w:val="center"/>
            </w:pPr>
            <w:r w:rsidRPr="00462901">
              <w:t>52.6-54.25 GHz</w:t>
            </w:r>
          </w:p>
        </w:tc>
        <w:tc>
          <w:tcPr>
            <w:tcW w:w="1701" w:type="dxa"/>
            <w:tcBorders>
              <w:bottom w:val="single" w:sz="4" w:space="0" w:color="auto"/>
            </w:tcBorders>
            <w:vAlign w:val="center"/>
          </w:tcPr>
          <w:p w14:paraId="76D68262" w14:textId="77777777" w:rsidR="007B1885" w:rsidRPr="00462901" w:rsidRDefault="00F7489E" w:rsidP="00A768B2">
            <w:pPr>
              <w:pStyle w:val="Tabletext"/>
              <w:jc w:val="center"/>
            </w:pPr>
            <w:r w:rsidRPr="00462901">
              <w:t>51.4-52.6 GHz</w:t>
            </w:r>
          </w:p>
        </w:tc>
        <w:tc>
          <w:tcPr>
            <w:tcW w:w="1418" w:type="dxa"/>
            <w:tcBorders>
              <w:bottom w:val="single" w:sz="4" w:space="0" w:color="auto"/>
            </w:tcBorders>
            <w:vAlign w:val="center"/>
          </w:tcPr>
          <w:p w14:paraId="1E54E623" w14:textId="77777777" w:rsidR="007B1885" w:rsidRPr="00462901" w:rsidRDefault="00F7489E" w:rsidP="00A768B2">
            <w:pPr>
              <w:pStyle w:val="Tabletext"/>
              <w:jc w:val="center"/>
            </w:pPr>
            <w:r w:rsidRPr="00462901">
              <w:t>Fixed</w:t>
            </w:r>
          </w:p>
        </w:tc>
        <w:tc>
          <w:tcPr>
            <w:tcW w:w="4881" w:type="dxa"/>
            <w:tcBorders>
              <w:bottom w:val="single" w:sz="4" w:space="0" w:color="auto"/>
            </w:tcBorders>
          </w:tcPr>
          <w:p w14:paraId="3A0D7BFF" w14:textId="77777777" w:rsidR="007B1885" w:rsidRPr="00462901" w:rsidRDefault="00F7489E" w:rsidP="00A768B2">
            <w:pPr>
              <w:pStyle w:val="Tabletext"/>
            </w:pPr>
            <w:r w:rsidRPr="00462901">
              <w:t>For stations brought into use after the date of entry into force of the Final Acts of WRC</w:t>
            </w:r>
            <w:r w:rsidRPr="00462901">
              <w:noBreakHyphen/>
              <w:t>07:</w:t>
            </w:r>
          </w:p>
          <w:p w14:paraId="325AB0B7" w14:textId="77777777" w:rsidR="007B1885" w:rsidRPr="00462901" w:rsidRDefault="00F7489E" w:rsidP="00A768B2">
            <w:pPr>
              <w:pStyle w:val="Tabletext"/>
            </w:pPr>
            <w:r w:rsidRPr="00462901">
              <w:t>−33 dBW in any 100 MHz of the EESS (passive) band</w:t>
            </w:r>
          </w:p>
        </w:tc>
      </w:tr>
      <w:tr w:rsidR="007B1885" w:rsidRPr="00462901" w14:paraId="4DACFCBB" w14:textId="77777777" w:rsidTr="00A768B2">
        <w:trPr>
          <w:cantSplit/>
          <w:jc w:val="center"/>
        </w:trPr>
        <w:tc>
          <w:tcPr>
            <w:tcW w:w="9696" w:type="dxa"/>
            <w:gridSpan w:val="4"/>
            <w:tcBorders>
              <w:top w:val="single" w:sz="4" w:space="0" w:color="auto"/>
              <w:left w:val="nil"/>
              <w:bottom w:val="nil"/>
              <w:right w:val="nil"/>
            </w:tcBorders>
          </w:tcPr>
          <w:p w14:paraId="40487934" w14:textId="77777777" w:rsidR="007B1885" w:rsidRPr="00462901" w:rsidRDefault="00F7489E" w:rsidP="00A768B2">
            <w:pPr>
              <w:pStyle w:val="Tablelegend"/>
              <w:tabs>
                <w:tab w:val="left" w:pos="566"/>
              </w:tabs>
            </w:pPr>
            <w:r w:rsidRPr="00462901">
              <w:rPr>
                <w:vertAlign w:val="superscript"/>
              </w:rPr>
              <w:t>1</w:t>
            </w:r>
            <w:r w:rsidRPr="00462901">
              <w:tab/>
              <w:t>The unwanted emission power level is to be understood here as the level measured at the antenna port.</w:t>
            </w:r>
          </w:p>
          <w:p w14:paraId="375E910A" w14:textId="77777777" w:rsidR="007B1885" w:rsidRPr="00462901" w:rsidRDefault="00F7489E" w:rsidP="00A768B2">
            <w:pPr>
              <w:pStyle w:val="Tablelegend"/>
              <w:tabs>
                <w:tab w:val="left" w:pos="566"/>
              </w:tabs>
            </w:pPr>
            <w:r w:rsidRPr="00462901">
              <w:rPr>
                <w:vertAlign w:val="superscript"/>
              </w:rPr>
              <w:t>2</w:t>
            </w:r>
            <w:r w:rsidRPr="00462901">
              <w:rPr>
                <w:vertAlign w:val="superscript"/>
              </w:rPr>
              <w:tab/>
            </w:r>
            <w:r w:rsidRPr="00462901">
              <w:t>This limit does not apply to mobile stations in the IMT systems for which the notification information has been received by the Radiocommunication Bureau by 28</w:t>
            </w:r>
            <w:r w:rsidRPr="00462901">
              <w:rPr>
                <w:lang w:eastAsia="ja-JP"/>
              </w:rPr>
              <w:t> </w:t>
            </w:r>
            <w:r w:rsidRPr="00462901">
              <w:t>November</w:t>
            </w:r>
            <w:r w:rsidRPr="00462901">
              <w:rPr>
                <w:lang w:eastAsia="ja-JP"/>
              </w:rPr>
              <w:t> </w:t>
            </w:r>
            <w:r w:rsidRPr="00462901">
              <w:t>2015. For those systems, −60</w:t>
            </w:r>
            <w:r w:rsidRPr="00462901">
              <w:rPr>
                <w:lang w:eastAsia="ja-JP"/>
              </w:rPr>
              <w:t> </w:t>
            </w:r>
            <w:r w:rsidRPr="00462901">
              <w:t>dBW/27</w:t>
            </w:r>
            <w:r w:rsidRPr="00462901">
              <w:rPr>
                <w:lang w:eastAsia="ja-JP"/>
              </w:rPr>
              <w:t> </w:t>
            </w:r>
            <w:r w:rsidRPr="00462901">
              <w:t>MHz applies as the recommended value</w:t>
            </w:r>
            <w:r w:rsidRPr="00462901">
              <w:rPr>
                <w:lang w:eastAsia="ja-JP"/>
              </w:rPr>
              <w:t>.</w:t>
            </w:r>
          </w:p>
          <w:p w14:paraId="41EEFB9C" w14:textId="77777777" w:rsidR="007B1885" w:rsidRPr="00462901" w:rsidRDefault="00F7489E" w:rsidP="00A768B2">
            <w:pPr>
              <w:pStyle w:val="Tablelegend"/>
              <w:tabs>
                <w:tab w:val="left" w:pos="566"/>
              </w:tabs>
              <w:rPr>
                <w:lang w:eastAsia="ja-JP"/>
              </w:rPr>
            </w:pPr>
            <w:r w:rsidRPr="00462901">
              <w:rPr>
                <w:vertAlign w:val="superscript"/>
              </w:rPr>
              <w:t>3</w:t>
            </w:r>
            <w:r w:rsidRPr="00462901">
              <w:rPr>
                <w:vertAlign w:val="superscript"/>
              </w:rPr>
              <w:tab/>
            </w:r>
            <w:r w:rsidRPr="00462901">
              <w:t>The unwanted emission power level is to be understood here as the level measured with the mobile station transmitting at an average output power of 15 dBm</w:t>
            </w:r>
            <w:r w:rsidRPr="00462901">
              <w:rPr>
                <w:lang w:eastAsia="ja-JP"/>
              </w:rPr>
              <w:t>.</w:t>
            </w:r>
          </w:p>
          <w:p w14:paraId="08375463" w14:textId="77777777" w:rsidR="007B1885" w:rsidRPr="00462901" w:rsidRDefault="00F7489E" w:rsidP="00A768B2">
            <w:pPr>
              <w:pStyle w:val="Tablelegend"/>
              <w:tabs>
                <w:tab w:val="left" w:pos="566"/>
              </w:tabs>
            </w:pPr>
            <w:r w:rsidRPr="00462901">
              <w:rPr>
                <w:vertAlign w:val="superscript"/>
              </w:rPr>
              <w:t>4</w:t>
            </w:r>
            <w:r w:rsidRPr="00462901">
              <w:tab/>
              <w:t>The limits apply under clear-sky conditions. During fading conditions, the limits may be exceeded by earth stations when using uplink power control.</w:t>
            </w:r>
          </w:p>
        </w:tc>
      </w:tr>
    </w:tbl>
    <w:p w14:paraId="00687691" w14:textId="77777777" w:rsidR="007B1885" w:rsidRPr="00462901" w:rsidRDefault="00DE0155" w:rsidP="007B1885"/>
    <w:p w14:paraId="429949FB" w14:textId="77777777" w:rsidR="007B1885" w:rsidRPr="00462901" w:rsidRDefault="00DE0155" w:rsidP="007B1885"/>
    <w:p w14:paraId="0DB7E998" w14:textId="77777777" w:rsidR="007B1885" w:rsidRPr="00462901" w:rsidRDefault="00F7489E" w:rsidP="007B1885">
      <w:pPr>
        <w:pStyle w:val="TableNo"/>
        <w:tabs>
          <w:tab w:val="center" w:pos="4819"/>
          <w:tab w:val="left" w:pos="7875"/>
        </w:tabs>
      </w:pPr>
      <w:r w:rsidRPr="00462901">
        <w:lastRenderedPageBreak/>
        <w:t>TABLE 1-2</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3"/>
        <w:gridCol w:w="1693"/>
        <w:gridCol w:w="1417"/>
        <w:gridCol w:w="4827"/>
      </w:tblGrid>
      <w:tr w:rsidR="007B1885" w:rsidRPr="00462901" w14:paraId="6635EA6C" w14:textId="77777777" w:rsidTr="00A768B2">
        <w:trPr>
          <w:cantSplit/>
          <w:jc w:val="center"/>
        </w:trPr>
        <w:tc>
          <w:tcPr>
            <w:tcW w:w="1703" w:type="dxa"/>
            <w:vAlign w:val="center"/>
          </w:tcPr>
          <w:p w14:paraId="6389320D" w14:textId="77777777" w:rsidR="007B1885" w:rsidRPr="00462901" w:rsidRDefault="00F7489E" w:rsidP="00A768B2">
            <w:pPr>
              <w:pStyle w:val="Tablehead"/>
              <w:spacing w:before="160" w:after="160"/>
            </w:pPr>
            <w:r w:rsidRPr="00462901">
              <w:t>EESS (passive) band</w:t>
            </w:r>
          </w:p>
        </w:tc>
        <w:tc>
          <w:tcPr>
            <w:tcW w:w="1693" w:type="dxa"/>
            <w:vAlign w:val="center"/>
          </w:tcPr>
          <w:p w14:paraId="215201A7" w14:textId="77777777" w:rsidR="007B1885" w:rsidRPr="00462901" w:rsidRDefault="00F7489E" w:rsidP="00A768B2">
            <w:pPr>
              <w:pStyle w:val="Tablehead"/>
              <w:spacing w:before="160" w:after="160"/>
              <w:ind w:left="-85" w:right="-85"/>
            </w:pPr>
            <w:r w:rsidRPr="00462901">
              <w:t>Active service band</w:t>
            </w:r>
          </w:p>
        </w:tc>
        <w:tc>
          <w:tcPr>
            <w:tcW w:w="1417" w:type="dxa"/>
            <w:vAlign w:val="center"/>
          </w:tcPr>
          <w:p w14:paraId="621630D8" w14:textId="77777777" w:rsidR="007B1885" w:rsidRPr="00462901" w:rsidRDefault="00F7489E" w:rsidP="00A768B2">
            <w:pPr>
              <w:pStyle w:val="Tablehead"/>
              <w:spacing w:before="160" w:after="160"/>
            </w:pPr>
            <w:r w:rsidRPr="00462901">
              <w:t>Active service</w:t>
            </w:r>
          </w:p>
        </w:tc>
        <w:tc>
          <w:tcPr>
            <w:tcW w:w="4827" w:type="dxa"/>
            <w:vAlign w:val="center"/>
          </w:tcPr>
          <w:p w14:paraId="085CABC2" w14:textId="77777777" w:rsidR="007B1885" w:rsidRPr="00462901" w:rsidRDefault="00F7489E" w:rsidP="00A768B2">
            <w:pPr>
              <w:pStyle w:val="Tablehead"/>
              <w:spacing w:before="160" w:after="160"/>
            </w:pPr>
            <w:r w:rsidRPr="00462901">
              <w:t>Recommended maximum level of unwanted emission power from active service stations in a specified bandwidth within the EESS (passive) band</w:t>
            </w:r>
            <w:r w:rsidRPr="00462901">
              <w:rPr>
                <w:b w:val="0"/>
                <w:vertAlign w:val="superscript"/>
              </w:rPr>
              <w:t>1</w:t>
            </w:r>
          </w:p>
        </w:tc>
      </w:tr>
      <w:tr w:rsidR="007B1885" w:rsidRPr="00462901" w14:paraId="48652F11" w14:textId="77777777" w:rsidTr="00A768B2">
        <w:trPr>
          <w:cantSplit/>
          <w:jc w:val="center"/>
        </w:trPr>
        <w:tc>
          <w:tcPr>
            <w:tcW w:w="1703" w:type="dxa"/>
            <w:vMerge w:val="restart"/>
            <w:vAlign w:val="center"/>
          </w:tcPr>
          <w:p w14:paraId="3D6F0CDF" w14:textId="77777777" w:rsidR="007B1885" w:rsidRPr="00462901" w:rsidRDefault="00F7489E" w:rsidP="00A768B2">
            <w:pPr>
              <w:pStyle w:val="Tabletext"/>
              <w:keepNext/>
              <w:jc w:val="center"/>
            </w:pPr>
            <w:r w:rsidRPr="00462901">
              <w:t>1 400-1 427 MHz</w:t>
            </w:r>
          </w:p>
        </w:tc>
        <w:tc>
          <w:tcPr>
            <w:tcW w:w="1693" w:type="dxa"/>
            <w:vMerge w:val="restart"/>
            <w:vAlign w:val="center"/>
          </w:tcPr>
          <w:p w14:paraId="684DA678" w14:textId="77777777" w:rsidR="007B1885" w:rsidRPr="00462901" w:rsidRDefault="00F7489E" w:rsidP="00A768B2">
            <w:pPr>
              <w:pStyle w:val="Tabletext"/>
              <w:keepNext/>
              <w:jc w:val="center"/>
            </w:pPr>
            <w:r w:rsidRPr="00462901">
              <w:t>1 350-1 400 MHz</w:t>
            </w:r>
          </w:p>
        </w:tc>
        <w:tc>
          <w:tcPr>
            <w:tcW w:w="1417" w:type="dxa"/>
            <w:vAlign w:val="center"/>
          </w:tcPr>
          <w:p w14:paraId="05F8332C" w14:textId="77777777" w:rsidR="007B1885" w:rsidRPr="00462901" w:rsidRDefault="00F7489E" w:rsidP="00A768B2">
            <w:pPr>
              <w:pStyle w:val="Tabletext"/>
              <w:keepNext/>
              <w:jc w:val="center"/>
            </w:pPr>
            <w:r w:rsidRPr="00462901">
              <w:t>Radiolocation</w:t>
            </w:r>
            <w:r w:rsidRPr="00462901">
              <w:rPr>
                <w:vertAlign w:val="superscript"/>
              </w:rPr>
              <w:t>2</w:t>
            </w:r>
          </w:p>
        </w:tc>
        <w:tc>
          <w:tcPr>
            <w:tcW w:w="4827" w:type="dxa"/>
            <w:vAlign w:val="center"/>
          </w:tcPr>
          <w:p w14:paraId="1DCFCFD7" w14:textId="77777777" w:rsidR="007B1885" w:rsidRPr="00462901" w:rsidRDefault="00F7489E" w:rsidP="00A768B2">
            <w:pPr>
              <w:pStyle w:val="Tabletext"/>
              <w:keepNext/>
            </w:pPr>
            <w:r w:rsidRPr="00462901">
              <w:t>−29 dBW in the 27 MHz of the EESS (passive) band</w:t>
            </w:r>
          </w:p>
        </w:tc>
      </w:tr>
      <w:tr w:rsidR="007B1885" w:rsidRPr="00462901" w14:paraId="69DC9A40" w14:textId="77777777" w:rsidTr="00A768B2">
        <w:trPr>
          <w:cantSplit/>
          <w:jc w:val="center"/>
        </w:trPr>
        <w:tc>
          <w:tcPr>
            <w:tcW w:w="1703" w:type="dxa"/>
            <w:vMerge/>
            <w:vAlign w:val="center"/>
          </w:tcPr>
          <w:p w14:paraId="6CCB6F59" w14:textId="77777777" w:rsidR="007B1885" w:rsidRPr="00462901" w:rsidRDefault="00DE0155" w:rsidP="00A768B2">
            <w:pPr>
              <w:pStyle w:val="Tabletext"/>
              <w:keepNext/>
              <w:jc w:val="center"/>
            </w:pPr>
          </w:p>
        </w:tc>
        <w:tc>
          <w:tcPr>
            <w:tcW w:w="1693" w:type="dxa"/>
            <w:vMerge/>
            <w:vAlign w:val="center"/>
          </w:tcPr>
          <w:p w14:paraId="537B90CF" w14:textId="77777777" w:rsidR="007B1885" w:rsidRPr="00462901" w:rsidRDefault="00DE0155" w:rsidP="00A768B2">
            <w:pPr>
              <w:pStyle w:val="Tabletext"/>
              <w:keepNext/>
              <w:jc w:val="center"/>
            </w:pPr>
          </w:p>
        </w:tc>
        <w:tc>
          <w:tcPr>
            <w:tcW w:w="1417" w:type="dxa"/>
            <w:vAlign w:val="center"/>
          </w:tcPr>
          <w:p w14:paraId="466F2932" w14:textId="77777777" w:rsidR="007B1885" w:rsidRPr="00462901" w:rsidRDefault="00F7489E" w:rsidP="00A768B2">
            <w:pPr>
              <w:pStyle w:val="Tabletext"/>
              <w:keepNext/>
              <w:jc w:val="center"/>
            </w:pPr>
            <w:r w:rsidRPr="00462901">
              <w:t>Fixed</w:t>
            </w:r>
          </w:p>
        </w:tc>
        <w:tc>
          <w:tcPr>
            <w:tcW w:w="4827" w:type="dxa"/>
            <w:vAlign w:val="center"/>
          </w:tcPr>
          <w:p w14:paraId="318C2E65" w14:textId="77777777" w:rsidR="007B1885" w:rsidRPr="00462901" w:rsidRDefault="00F7489E" w:rsidP="00A768B2">
            <w:pPr>
              <w:pStyle w:val="Tabletext"/>
              <w:keepNext/>
            </w:pPr>
            <w:r w:rsidRPr="00462901">
              <w:t>−45 dBW in the 27 MHz of the EESS (passive) band for point-to-point</w:t>
            </w:r>
          </w:p>
        </w:tc>
      </w:tr>
      <w:tr w:rsidR="007B1885" w:rsidRPr="00462901" w14:paraId="2DD3C57C" w14:textId="77777777" w:rsidTr="00A768B2">
        <w:trPr>
          <w:cantSplit/>
          <w:jc w:val="center"/>
        </w:trPr>
        <w:tc>
          <w:tcPr>
            <w:tcW w:w="1703" w:type="dxa"/>
            <w:vMerge/>
            <w:vAlign w:val="center"/>
          </w:tcPr>
          <w:p w14:paraId="4F1686FB" w14:textId="77777777" w:rsidR="007B1885" w:rsidRPr="00462901" w:rsidRDefault="00DE0155" w:rsidP="00A768B2">
            <w:pPr>
              <w:pStyle w:val="Tabletext"/>
              <w:keepNext/>
              <w:jc w:val="center"/>
            </w:pPr>
          </w:p>
        </w:tc>
        <w:tc>
          <w:tcPr>
            <w:tcW w:w="1693" w:type="dxa"/>
            <w:vMerge/>
            <w:vAlign w:val="center"/>
          </w:tcPr>
          <w:p w14:paraId="2E451D15" w14:textId="77777777" w:rsidR="007B1885" w:rsidRPr="00462901" w:rsidRDefault="00DE0155" w:rsidP="00A768B2">
            <w:pPr>
              <w:pStyle w:val="Tabletext"/>
              <w:keepNext/>
              <w:jc w:val="center"/>
            </w:pPr>
          </w:p>
        </w:tc>
        <w:tc>
          <w:tcPr>
            <w:tcW w:w="1417" w:type="dxa"/>
            <w:vAlign w:val="center"/>
          </w:tcPr>
          <w:p w14:paraId="2C797690" w14:textId="77777777" w:rsidR="007B1885" w:rsidRPr="00462901" w:rsidRDefault="00F7489E" w:rsidP="00A768B2">
            <w:pPr>
              <w:pStyle w:val="Tabletext"/>
              <w:keepNext/>
              <w:jc w:val="center"/>
            </w:pPr>
            <w:r w:rsidRPr="00462901">
              <w:t>Mobile</w:t>
            </w:r>
          </w:p>
        </w:tc>
        <w:tc>
          <w:tcPr>
            <w:tcW w:w="4827" w:type="dxa"/>
            <w:vAlign w:val="center"/>
          </w:tcPr>
          <w:p w14:paraId="4AC6342D" w14:textId="77777777" w:rsidR="007B1885" w:rsidRPr="00462901" w:rsidRDefault="00F7489E" w:rsidP="00A768B2">
            <w:pPr>
              <w:pStyle w:val="Tabletext"/>
              <w:keepNext/>
            </w:pPr>
            <w:r w:rsidRPr="00462901">
              <w:t>−60 dBW in the 27 MHz of the EESS (passive) band for mobile service stations except transportable radio-relay stations</w:t>
            </w:r>
          </w:p>
          <w:p w14:paraId="30CC6F3A" w14:textId="77777777" w:rsidR="007B1885" w:rsidRPr="00462901" w:rsidRDefault="00F7489E" w:rsidP="00A768B2">
            <w:pPr>
              <w:pStyle w:val="Tabletext"/>
              <w:keepNext/>
            </w:pPr>
            <w:r w:rsidRPr="00462901">
              <w:t>−45 dBW in the 27 MHz of the EESS (passive) band for transportable radio-relay stations</w:t>
            </w:r>
          </w:p>
        </w:tc>
      </w:tr>
      <w:tr w:rsidR="007B1885" w:rsidRPr="00462901" w14:paraId="2CA20DF4" w14:textId="77777777" w:rsidTr="00A768B2">
        <w:trPr>
          <w:cantSplit/>
          <w:jc w:val="center"/>
        </w:trPr>
        <w:tc>
          <w:tcPr>
            <w:tcW w:w="1703" w:type="dxa"/>
            <w:vMerge/>
            <w:vAlign w:val="center"/>
          </w:tcPr>
          <w:p w14:paraId="304BEF7A" w14:textId="77777777" w:rsidR="007B1885" w:rsidRPr="00462901" w:rsidRDefault="00DE0155" w:rsidP="00A768B2">
            <w:pPr>
              <w:pStyle w:val="Tabletext"/>
              <w:keepNext/>
              <w:jc w:val="center"/>
            </w:pPr>
          </w:p>
        </w:tc>
        <w:tc>
          <w:tcPr>
            <w:tcW w:w="1693" w:type="dxa"/>
            <w:vAlign w:val="center"/>
          </w:tcPr>
          <w:p w14:paraId="6C2EF575" w14:textId="77777777" w:rsidR="007B1885" w:rsidRPr="00462901" w:rsidRDefault="00F7489E" w:rsidP="00A768B2">
            <w:pPr>
              <w:pStyle w:val="Tabletext"/>
              <w:keepNext/>
              <w:jc w:val="center"/>
            </w:pPr>
            <w:r w:rsidRPr="00462901">
              <w:t>1 427-1 429 MHz</w:t>
            </w:r>
          </w:p>
        </w:tc>
        <w:tc>
          <w:tcPr>
            <w:tcW w:w="1417" w:type="dxa"/>
            <w:vAlign w:val="center"/>
          </w:tcPr>
          <w:p w14:paraId="608B770C" w14:textId="77777777" w:rsidR="007B1885" w:rsidRPr="00462901" w:rsidRDefault="00F7489E" w:rsidP="00A768B2">
            <w:pPr>
              <w:pStyle w:val="Tabletext"/>
              <w:keepNext/>
              <w:jc w:val="center"/>
            </w:pPr>
            <w:r w:rsidRPr="00462901">
              <w:t>Space operation</w:t>
            </w:r>
            <w:r w:rsidRPr="00462901">
              <w:br/>
              <w:t>(E-to-s)</w:t>
            </w:r>
          </w:p>
        </w:tc>
        <w:tc>
          <w:tcPr>
            <w:tcW w:w="4827" w:type="dxa"/>
            <w:vAlign w:val="center"/>
          </w:tcPr>
          <w:p w14:paraId="6162F6C7" w14:textId="77777777" w:rsidR="007B1885" w:rsidRPr="00462901" w:rsidRDefault="00F7489E" w:rsidP="00A768B2">
            <w:pPr>
              <w:pStyle w:val="Tabletext"/>
              <w:keepNext/>
            </w:pPr>
            <w:r w:rsidRPr="00462901">
              <w:t>−36 dBW in the 27 MHz of the EESS (passive) band</w:t>
            </w:r>
          </w:p>
        </w:tc>
      </w:tr>
      <w:tr w:rsidR="007B1885" w:rsidRPr="00462901" w14:paraId="10ADED72" w14:textId="77777777" w:rsidTr="00A768B2">
        <w:trPr>
          <w:cantSplit/>
          <w:jc w:val="center"/>
        </w:trPr>
        <w:tc>
          <w:tcPr>
            <w:tcW w:w="1703" w:type="dxa"/>
            <w:vMerge/>
            <w:vAlign w:val="center"/>
          </w:tcPr>
          <w:p w14:paraId="5FFE256D" w14:textId="77777777" w:rsidR="007B1885" w:rsidRPr="00462901" w:rsidRDefault="00DE0155" w:rsidP="00A768B2">
            <w:pPr>
              <w:pStyle w:val="Tabletext"/>
              <w:keepNext/>
              <w:jc w:val="center"/>
            </w:pPr>
          </w:p>
        </w:tc>
        <w:tc>
          <w:tcPr>
            <w:tcW w:w="1693" w:type="dxa"/>
            <w:vMerge w:val="restart"/>
            <w:vAlign w:val="center"/>
          </w:tcPr>
          <w:p w14:paraId="33EEB3FE" w14:textId="77777777" w:rsidR="007B1885" w:rsidRPr="00462901" w:rsidRDefault="00F7489E" w:rsidP="00A768B2">
            <w:pPr>
              <w:pStyle w:val="Tabletext"/>
              <w:keepNext/>
              <w:jc w:val="center"/>
            </w:pPr>
            <w:r w:rsidRPr="00462901">
              <w:t>1 427-1 429 MHz</w:t>
            </w:r>
          </w:p>
        </w:tc>
        <w:tc>
          <w:tcPr>
            <w:tcW w:w="1417" w:type="dxa"/>
            <w:vAlign w:val="center"/>
          </w:tcPr>
          <w:p w14:paraId="677BF89A" w14:textId="77777777" w:rsidR="007B1885" w:rsidRPr="00462901" w:rsidRDefault="00F7489E" w:rsidP="00A768B2">
            <w:pPr>
              <w:pStyle w:val="Tabletext"/>
              <w:keepNext/>
              <w:jc w:val="center"/>
            </w:pPr>
            <w:r w:rsidRPr="00462901">
              <w:t>Mobile except aeronautical mobile</w:t>
            </w:r>
          </w:p>
        </w:tc>
        <w:tc>
          <w:tcPr>
            <w:tcW w:w="4827" w:type="dxa"/>
            <w:vAlign w:val="center"/>
          </w:tcPr>
          <w:p w14:paraId="19FD2A47" w14:textId="77777777" w:rsidR="007B1885" w:rsidRPr="00462901" w:rsidRDefault="00F7489E" w:rsidP="00A768B2">
            <w:pPr>
              <w:pStyle w:val="Tabletext"/>
              <w:keepNext/>
            </w:pPr>
            <w:r w:rsidRPr="00462901">
              <w:t>−60 dBW in the 27 MHz of the EESS (passive) band for mobile service stations except IMT stations and transportable radio-relay stations</w:t>
            </w:r>
            <w:r w:rsidRPr="00462901">
              <w:rPr>
                <w:vertAlign w:val="superscript"/>
              </w:rPr>
              <w:t>3</w:t>
            </w:r>
          </w:p>
          <w:p w14:paraId="204BA2B6" w14:textId="77777777" w:rsidR="007B1885" w:rsidRPr="00462901" w:rsidRDefault="00F7489E" w:rsidP="00A768B2">
            <w:pPr>
              <w:pStyle w:val="Tabletext"/>
              <w:keepNext/>
            </w:pPr>
            <w:r w:rsidRPr="00462901">
              <w:t>−45 dBW in the 27 MHz of the EESS (passive) band for transportable radio-relay stations</w:t>
            </w:r>
          </w:p>
        </w:tc>
      </w:tr>
      <w:tr w:rsidR="007B1885" w:rsidRPr="00462901" w14:paraId="4D597760" w14:textId="77777777" w:rsidTr="00A768B2">
        <w:trPr>
          <w:cantSplit/>
          <w:jc w:val="center"/>
        </w:trPr>
        <w:tc>
          <w:tcPr>
            <w:tcW w:w="1703" w:type="dxa"/>
            <w:vMerge/>
            <w:vAlign w:val="center"/>
          </w:tcPr>
          <w:p w14:paraId="7B7AF345" w14:textId="77777777" w:rsidR="007B1885" w:rsidRPr="00462901" w:rsidRDefault="00DE0155" w:rsidP="00A768B2">
            <w:pPr>
              <w:pStyle w:val="Tabletext"/>
              <w:keepNext/>
              <w:jc w:val="center"/>
            </w:pPr>
          </w:p>
        </w:tc>
        <w:tc>
          <w:tcPr>
            <w:tcW w:w="1693" w:type="dxa"/>
            <w:vMerge/>
            <w:vAlign w:val="center"/>
          </w:tcPr>
          <w:p w14:paraId="36D39B7F" w14:textId="77777777" w:rsidR="007B1885" w:rsidRPr="00462901" w:rsidRDefault="00DE0155" w:rsidP="00A768B2">
            <w:pPr>
              <w:pStyle w:val="Tabletext"/>
              <w:keepNext/>
              <w:jc w:val="center"/>
            </w:pPr>
          </w:p>
        </w:tc>
        <w:tc>
          <w:tcPr>
            <w:tcW w:w="1417" w:type="dxa"/>
            <w:vAlign w:val="center"/>
          </w:tcPr>
          <w:p w14:paraId="6F0133AC" w14:textId="77777777" w:rsidR="007B1885" w:rsidRPr="00462901" w:rsidRDefault="00F7489E" w:rsidP="00A768B2">
            <w:pPr>
              <w:pStyle w:val="Tabletext"/>
              <w:keepNext/>
              <w:jc w:val="center"/>
            </w:pPr>
            <w:r w:rsidRPr="00462901">
              <w:t>Fixed</w:t>
            </w:r>
          </w:p>
        </w:tc>
        <w:tc>
          <w:tcPr>
            <w:tcW w:w="4827" w:type="dxa"/>
            <w:vAlign w:val="center"/>
          </w:tcPr>
          <w:p w14:paraId="1C2833D7" w14:textId="77777777" w:rsidR="007B1885" w:rsidRPr="00462901" w:rsidRDefault="00F7489E" w:rsidP="00A768B2">
            <w:pPr>
              <w:pStyle w:val="Tabletext"/>
              <w:keepNext/>
            </w:pPr>
            <w:r w:rsidRPr="00462901">
              <w:t>−45 dBW in the 27 MHz of the EESS (passive) band for point-to-point</w:t>
            </w:r>
          </w:p>
        </w:tc>
      </w:tr>
      <w:tr w:rsidR="007B1885" w:rsidRPr="00462901" w14:paraId="3EAEAC8A" w14:textId="77777777" w:rsidTr="00A768B2">
        <w:trPr>
          <w:cantSplit/>
          <w:jc w:val="center"/>
        </w:trPr>
        <w:tc>
          <w:tcPr>
            <w:tcW w:w="1703" w:type="dxa"/>
            <w:vMerge/>
            <w:vAlign w:val="center"/>
          </w:tcPr>
          <w:p w14:paraId="7C458785" w14:textId="77777777" w:rsidR="007B1885" w:rsidRPr="00462901" w:rsidRDefault="00DE0155" w:rsidP="00A768B2">
            <w:pPr>
              <w:pStyle w:val="Tabletext"/>
              <w:keepNext/>
              <w:jc w:val="center"/>
            </w:pPr>
          </w:p>
        </w:tc>
        <w:tc>
          <w:tcPr>
            <w:tcW w:w="1693" w:type="dxa"/>
            <w:vMerge w:val="restart"/>
            <w:vAlign w:val="center"/>
          </w:tcPr>
          <w:p w14:paraId="126CFDDE" w14:textId="77777777" w:rsidR="007B1885" w:rsidRPr="00462901" w:rsidRDefault="00F7489E" w:rsidP="00A768B2">
            <w:pPr>
              <w:pStyle w:val="Tabletext"/>
              <w:keepNext/>
              <w:jc w:val="center"/>
            </w:pPr>
            <w:r w:rsidRPr="00462901">
              <w:t>1 429-1 452 MHz</w:t>
            </w:r>
          </w:p>
        </w:tc>
        <w:tc>
          <w:tcPr>
            <w:tcW w:w="1417" w:type="dxa"/>
            <w:vAlign w:val="center"/>
          </w:tcPr>
          <w:p w14:paraId="7A53ED8F" w14:textId="77777777" w:rsidR="007B1885" w:rsidRPr="00462901" w:rsidRDefault="00F7489E" w:rsidP="00A768B2">
            <w:pPr>
              <w:pStyle w:val="Tabletext"/>
              <w:keepNext/>
              <w:jc w:val="center"/>
            </w:pPr>
            <w:r w:rsidRPr="00462901">
              <w:t>Mobile</w:t>
            </w:r>
          </w:p>
        </w:tc>
        <w:tc>
          <w:tcPr>
            <w:tcW w:w="4827" w:type="dxa"/>
            <w:vAlign w:val="center"/>
          </w:tcPr>
          <w:p w14:paraId="00CD84D5" w14:textId="77777777" w:rsidR="007B1885" w:rsidRPr="00462901" w:rsidRDefault="00F7489E" w:rsidP="00A768B2">
            <w:pPr>
              <w:pStyle w:val="Tabletext"/>
              <w:keepNext/>
            </w:pPr>
            <w:r w:rsidRPr="00462901">
              <w:t>−60 dBW in the 27 MHz of the EESS (passive) band for mobile service stations except IMT stations, transportable radio-relay stations</w:t>
            </w:r>
            <w:r w:rsidRPr="00462901" w:rsidDel="00431A2A">
              <w:rPr>
                <w:vertAlign w:val="superscript"/>
              </w:rPr>
              <w:t xml:space="preserve"> </w:t>
            </w:r>
            <w:r w:rsidRPr="00462901">
              <w:t xml:space="preserve"> </w:t>
            </w:r>
            <w:r w:rsidRPr="00462901">
              <w:rPr>
                <w:lang w:eastAsia="ja-JP"/>
              </w:rPr>
              <w:t>and</w:t>
            </w:r>
            <w:r w:rsidRPr="00462901">
              <w:rPr>
                <w:color w:val="000000" w:themeColor="text1"/>
              </w:rPr>
              <w:t xml:space="preserve"> aeronautical telemetry stations</w:t>
            </w:r>
          </w:p>
          <w:p w14:paraId="676D98D9" w14:textId="77777777" w:rsidR="007B1885" w:rsidRPr="00462901" w:rsidRDefault="00F7489E" w:rsidP="00A768B2">
            <w:pPr>
              <w:pStyle w:val="Tabletext"/>
              <w:keepNext/>
            </w:pPr>
            <w:r w:rsidRPr="00462901">
              <w:t>−45 dBW in the 27 MHz of the EESS (passive) band for transportable radio-relay stations</w:t>
            </w:r>
          </w:p>
          <w:p w14:paraId="728DA2E2" w14:textId="77777777" w:rsidR="007B1885" w:rsidRPr="00462901" w:rsidRDefault="00F7489E" w:rsidP="00A768B2">
            <w:pPr>
              <w:pStyle w:val="Tabletext"/>
              <w:keepNext/>
            </w:pPr>
            <w:r w:rsidRPr="00462901">
              <w:t>−28 dBW in the 27 MHz of the EESS (passive) band for aeronautical telemetry stations</w:t>
            </w:r>
            <w:r w:rsidRPr="00462901">
              <w:rPr>
                <w:vertAlign w:val="superscript"/>
              </w:rPr>
              <w:t>3</w:t>
            </w:r>
          </w:p>
        </w:tc>
      </w:tr>
      <w:tr w:rsidR="007B1885" w:rsidRPr="00462901" w14:paraId="6E076396" w14:textId="77777777" w:rsidTr="00A768B2">
        <w:trPr>
          <w:cantSplit/>
          <w:jc w:val="center"/>
        </w:trPr>
        <w:tc>
          <w:tcPr>
            <w:tcW w:w="1703" w:type="dxa"/>
            <w:vMerge/>
            <w:vAlign w:val="center"/>
          </w:tcPr>
          <w:p w14:paraId="4E1E0E76" w14:textId="77777777" w:rsidR="007B1885" w:rsidRPr="00462901" w:rsidRDefault="00DE0155" w:rsidP="00A768B2">
            <w:pPr>
              <w:pStyle w:val="Tabletext"/>
              <w:keepNext/>
              <w:spacing w:before="80" w:after="80"/>
              <w:jc w:val="center"/>
            </w:pPr>
          </w:p>
        </w:tc>
        <w:tc>
          <w:tcPr>
            <w:tcW w:w="1693" w:type="dxa"/>
            <w:vMerge/>
            <w:vAlign w:val="center"/>
          </w:tcPr>
          <w:p w14:paraId="721DA705" w14:textId="77777777" w:rsidR="007B1885" w:rsidRPr="00462901" w:rsidRDefault="00DE0155" w:rsidP="00A768B2">
            <w:pPr>
              <w:pStyle w:val="Tabletext"/>
              <w:keepNext/>
              <w:spacing w:before="80" w:after="80"/>
              <w:ind w:left="-85" w:right="-85"/>
            </w:pPr>
          </w:p>
        </w:tc>
        <w:tc>
          <w:tcPr>
            <w:tcW w:w="1417" w:type="dxa"/>
            <w:vAlign w:val="center"/>
          </w:tcPr>
          <w:p w14:paraId="769D6911" w14:textId="77777777" w:rsidR="007B1885" w:rsidRPr="00462901" w:rsidRDefault="00F7489E" w:rsidP="00A768B2">
            <w:pPr>
              <w:pStyle w:val="Tabletext"/>
              <w:keepNext/>
              <w:jc w:val="center"/>
            </w:pPr>
            <w:r w:rsidRPr="00462901">
              <w:t>Fixed</w:t>
            </w:r>
          </w:p>
        </w:tc>
        <w:tc>
          <w:tcPr>
            <w:tcW w:w="4827" w:type="dxa"/>
            <w:vAlign w:val="center"/>
          </w:tcPr>
          <w:p w14:paraId="0FD4B3EE" w14:textId="77777777" w:rsidR="007B1885" w:rsidRPr="00462901" w:rsidRDefault="00F7489E" w:rsidP="00A768B2">
            <w:pPr>
              <w:pStyle w:val="Tabletext"/>
              <w:keepNext/>
            </w:pPr>
            <w:r w:rsidRPr="00462901">
              <w:t>−45 dBW in the 27 MHz of the EESS (passive) band for point-to-point</w:t>
            </w:r>
          </w:p>
        </w:tc>
      </w:tr>
      <w:tr w:rsidR="007B1885" w:rsidRPr="00462901" w14:paraId="5259148E" w14:textId="77777777" w:rsidTr="00A768B2">
        <w:trPr>
          <w:cantSplit/>
          <w:jc w:val="center"/>
        </w:trPr>
        <w:tc>
          <w:tcPr>
            <w:tcW w:w="1703" w:type="dxa"/>
            <w:tcBorders>
              <w:bottom w:val="single" w:sz="4" w:space="0" w:color="auto"/>
            </w:tcBorders>
            <w:vAlign w:val="center"/>
          </w:tcPr>
          <w:p w14:paraId="2C845F30" w14:textId="77777777" w:rsidR="007B1885" w:rsidRPr="00462901" w:rsidRDefault="00F7489E" w:rsidP="00A768B2">
            <w:pPr>
              <w:pStyle w:val="Tabletext"/>
              <w:keepNext/>
              <w:jc w:val="center"/>
            </w:pPr>
            <w:r w:rsidRPr="00462901">
              <w:t>31.3-31.5 GHz</w:t>
            </w:r>
          </w:p>
        </w:tc>
        <w:tc>
          <w:tcPr>
            <w:tcW w:w="1693" w:type="dxa"/>
            <w:tcBorders>
              <w:bottom w:val="single" w:sz="4" w:space="0" w:color="auto"/>
            </w:tcBorders>
            <w:vAlign w:val="center"/>
          </w:tcPr>
          <w:p w14:paraId="6D448B47" w14:textId="77777777" w:rsidR="007B1885" w:rsidRPr="00462901" w:rsidRDefault="00F7489E" w:rsidP="00A768B2">
            <w:pPr>
              <w:pStyle w:val="Tabletext"/>
              <w:keepNext/>
              <w:jc w:val="center"/>
            </w:pPr>
            <w:r w:rsidRPr="00462901">
              <w:t>30.0-31.0 GHz</w:t>
            </w:r>
          </w:p>
        </w:tc>
        <w:tc>
          <w:tcPr>
            <w:tcW w:w="1417" w:type="dxa"/>
            <w:tcBorders>
              <w:bottom w:val="single" w:sz="4" w:space="0" w:color="auto"/>
            </w:tcBorders>
            <w:vAlign w:val="center"/>
          </w:tcPr>
          <w:p w14:paraId="79A010A2" w14:textId="77777777" w:rsidR="007B1885" w:rsidRPr="00462901" w:rsidRDefault="00F7489E" w:rsidP="00A768B2">
            <w:pPr>
              <w:pStyle w:val="Tabletext"/>
              <w:keepNext/>
              <w:jc w:val="center"/>
            </w:pPr>
            <w:r w:rsidRPr="00462901">
              <w:t>Fixed-satellite (E</w:t>
            </w:r>
            <w:r w:rsidRPr="00462901">
              <w:noBreakHyphen/>
              <w:t>to</w:t>
            </w:r>
            <w:r w:rsidRPr="00462901">
              <w:noBreakHyphen/>
              <w:t>s)</w:t>
            </w:r>
            <w:r w:rsidRPr="00462901">
              <w:rPr>
                <w:vertAlign w:val="superscript"/>
              </w:rPr>
              <w:t>4</w:t>
            </w:r>
          </w:p>
        </w:tc>
        <w:tc>
          <w:tcPr>
            <w:tcW w:w="4827" w:type="dxa"/>
            <w:tcBorders>
              <w:bottom w:val="single" w:sz="4" w:space="0" w:color="auto"/>
            </w:tcBorders>
          </w:tcPr>
          <w:p w14:paraId="0CAB2226" w14:textId="77777777" w:rsidR="007B1885" w:rsidRPr="00462901" w:rsidRDefault="00F7489E" w:rsidP="00A768B2">
            <w:pPr>
              <w:pStyle w:val="Tabletext"/>
              <w:keepNext/>
            </w:pPr>
            <w:r w:rsidRPr="00462901">
              <w:t>−9 dBW</w:t>
            </w:r>
            <w:r w:rsidRPr="00462901" w:rsidDel="008F017D">
              <w:t xml:space="preserve"> </w:t>
            </w:r>
            <w:r w:rsidRPr="00462901">
              <w:t>into the 200 MHz of the EESS (passive) band for earth stations having an antenna gain greater than or equal to 56 dBi</w:t>
            </w:r>
          </w:p>
          <w:p w14:paraId="1C49B2B2" w14:textId="77777777" w:rsidR="007B1885" w:rsidRPr="00462901" w:rsidRDefault="00F7489E" w:rsidP="00A768B2">
            <w:pPr>
              <w:pStyle w:val="Tabletext"/>
              <w:keepNext/>
            </w:pPr>
            <w:r w:rsidRPr="00462901">
              <w:t>−20 dBW</w:t>
            </w:r>
            <w:r w:rsidRPr="00462901" w:rsidDel="008F017D">
              <w:t xml:space="preserve"> </w:t>
            </w:r>
            <w:r w:rsidRPr="00462901">
              <w:t>into the 200 MHz of the EESS (passive) band for earth stations having an antenna gain less than 56 dBi</w:t>
            </w:r>
          </w:p>
        </w:tc>
      </w:tr>
      <w:tr w:rsidR="007B1885" w:rsidRPr="00462901" w14:paraId="2CE4E28B" w14:textId="77777777" w:rsidTr="00A768B2">
        <w:trPr>
          <w:cantSplit/>
          <w:jc w:val="center"/>
        </w:trPr>
        <w:tc>
          <w:tcPr>
            <w:tcW w:w="1703" w:type="dxa"/>
            <w:vMerge w:val="restart"/>
            <w:vAlign w:val="center"/>
          </w:tcPr>
          <w:p w14:paraId="3E7666C6" w14:textId="77777777" w:rsidR="007B1885" w:rsidRPr="00462901" w:rsidRDefault="00F7489E" w:rsidP="00A768B2">
            <w:pPr>
              <w:pStyle w:val="Tabletext"/>
            </w:pPr>
            <w:r w:rsidRPr="00462901">
              <w:t>86-92 GHz</w:t>
            </w:r>
            <w:r w:rsidRPr="00462901">
              <w:rPr>
                <w:vertAlign w:val="superscript"/>
              </w:rPr>
              <w:t>5</w:t>
            </w:r>
          </w:p>
        </w:tc>
        <w:tc>
          <w:tcPr>
            <w:tcW w:w="1693" w:type="dxa"/>
            <w:tcBorders>
              <w:bottom w:val="single" w:sz="4" w:space="0" w:color="auto"/>
            </w:tcBorders>
            <w:vAlign w:val="center"/>
          </w:tcPr>
          <w:p w14:paraId="5F5195F1" w14:textId="77777777" w:rsidR="007B1885" w:rsidRPr="00462901" w:rsidRDefault="00F7489E" w:rsidP="00A768B2">
            <w:pPr>
              <w:pStyle w:val="Tabletext"/>
              <w:jc w:val="center"/>
            </w:pPr>
            <w:r w:rsidRPr="00462901">
              <w:t>81-86 GHz</w:t>
            </w:r>
          </w:p>
        </w:tc>
        <w:tc>
          <w:tcPr>
            <w:tcW w:w="1417" w:type="dxa"/>
            <w:tcBorders>
              <w:bottom w:val="single" w:sz="4" w:space="0" w:color="auto"/>
            </w:tcBorders>
            <w:vAlign w:val="center"/>
          </w:tcPr>
          <w:p w14:paraId="57F21A7D" w14:textId="77777777" w:rsidR="007B1885" w:rsidRPr="00462901" w:rsidRDefault="00F7489E" w:rsidP="00A768B2">
            <w:pPr>
              <w:pStyle w:val="Tabletext"/>
              <w:jc w:val="center"/>
            </w:pPr>
            <w:r w:rsidRPr="00462901">
              <w:t>Fixed</w:t>
            </w:r>
          </w:p>
        </w:tc>
        <w:tc>
          <w:tcPr>
            <w:tcW w:w="4827" w:type="dxa"/>
            <w:tcBorders>
              <w:bottom w:val="single" w:sz="4" w:space="0" w:color="auto"/>
            </w:tcBorders>
          </w:tcPr>
          <w:p w14:paraId="7DEF0260" w14:textId="77777777" w:rsidR="007B1885" w:rsidRPr="00462901" w:rsidRDefault="00F7489E" w:rsidP="00A768B2">
            <w:pPr>
              <w:pStyle w:val="Tabletext"/>
              <w:keepLines/>
              <w:tabs>
                <w:tab w:val="left" w:leader="dot" w:pos="7938"/>
                <w:tab w:val="center" w:pos="9526"/>
              </w:tabs>
              <w:ind w:left="567" w:hanging="567"/>
            </w:pPr>
            <w:r w:rsidRPr="00462901">
              <w:t>−41 − 14(</w:t>
            </w:r>
            <w:r w:rsidRPr="00462901">
              <w:rPr>
                <w:i/>
                <w:iCs/>
              </w:rPr>
              <w:t>f</w:t>
            </w:r>
            <w:r w:rsidRPr="00462901">
              <w:t xml:space="preserve"> − 86) dBW/100 MHz for 86.05 </w:t>
            </w:r>
            <w:r w:rsidRPr="00462901">
              <w:sym w:font="Symbol" w:char="F0A3"/>
            </w:r>
            <w:r w:rsidRPr="00462901">
              <w:t> </w:t>
            </w:r>
            <w:r w:rsidRPr="00462901">
              <w:rPr>
                <w:i/>
                <w:iCs/>
              </w:rPr>
              <w:t>f</w:t>
            </w:r>
            <w:r w:rsidRPr="00462901">
              <w:t> </w:t>
            </w:r>
            <w:r w:rsidRPr="00462901">
              <w:sym w:font="Symbol" w:char="F0A3"/>
            </w:r>
            <w:r w:rsidRPr="00462901">
              <w:t> 87 GHz</w:t>
            </w:r>
          </w:p>
          <w:p w14:paraId="553B1C54" w14:textId="77777777" w:rsidR="007B1885" w:rsidRPr="00462901" w:rsidRDefault="00F7489E" w:rsidP="00A768B2">
            <w:pPr>
              <w:pStyle w:val="Tabletext"/>
            </w:pPr>
            <w:r w:rsidRPr="00462901">
              <w:t>−55 dBW/100 MHz for 87 </w:t>
            </w:r>
            <w:r w:rsidRPr="00462901">
              <w:sym w:font="Symbol" w:char="F0A3"/>
            </w:r>
            <w:r w:rsidRPr="00462901">
              <w:t> </w:t>
            </w:r>
            <w:r w:rsidRPr="00462901">
              <w:rPr>
                <w:i/>
                <w:iCs/>
              </w:rPr>
              <w:t>f </w:t>
            </w:r>
            <w:r w:rsidRPr="00462901">
              <w:sym w:font="Symbol" w:char="F0A3"/>
            </w:r>
            <w:r w:rsidRPr="00462901">
              <w:t> 91.95 GHz</w:t>
            </w:r>
          </w:p>
          <w:p w14:paraId="57BA9B4E" w14:textId="77777777" w:rsidR="007B1885" w:rsidRPr="00462901" w:rsidRDefault="00F7489E" w:rsidP="00A768B2">
            <w:pPr>
              <w:pStyle w:val="Tabletext"/>
            </w:pPr>
            <w:r w:rsidRPr="00462901">
              <w:t xml:space="preserve">where </w:t>
            </w:r>
            <w:r w:rsidRPr="00462901">
              <w:rPr>
                <w:i/>
                <w:iCs/>
              </w:rPr>
              <w:t>f</w:t>
            </w:r>
            <w:r w:rsidRPr="00462901">
              <w:t xml:space="preserve"> is the centre frequency of the 100 MHz reference bandwidth expressed in GHz</w:t>
            </w:r>
          </w:p>
        </w:tc>
      </w:tr>
      <w:tr w:rsidR="007B1885" w:rsidRPr="00462901" w14:paraId="19E2507D" w14:textId="77777777" w:rsidTr="00A768B2">
        <w:trPr>
          <w:cantSplit/>
          <w:jc w:val="center"/>
        </w:trPr>
        <w:tc>
          <w:tcPr>
            <w:tcW w:w="1703" w:type="dxa"/>
            <w:vMerge/>
            <w:tcBorders>
              <w:bottom w:val="single" w:sz="4" w:space="0" w:color="auto"/>
            </w:tcBorders>
            <w:vAlign w:val="center"/>
          </w:tcPr>
          <w:p w14:paraId="63D3B4DA" w14:textId="77777777" w:rsidR="007B1885" w:rsidRPr="00462901" w:rsidRDefault="00DE0155" w:rsidP="00A768B2">
            <w:pPr>
              <w:pStyle w:val="Tabletext"/>
            </w:pPr>
          </w:p>
        </w:tc>
        <w:tc>
          <w:tcPr>
            <w:tcW w:w="1693" w:type="dxa"/>
            <w:tcBorders>
              <w:bottom w:val="single" w:sz="4" w:space="0" w:color="auto"/>
            </w:tcBorders>
            <w:vAlign w:val="center"/>
          </w:tcPr>
          <w:p w14:paraId="4BCDFE8A" w14:textId="77777777" w:rsidR="007B1885" w:rsidRPr="00462901" w:rsidRDefault="00F7489E" w:rsidP="00A768B2">
            <w:pPr>
              <w:pStyle w:val="Tabletext"/>
              <w:jc w:val="center"/>
            </w:pPr>
            <w:r w:rsidRPr="00462901">
              <w:t>92-94 GHz</w:t>
            </w:r>
          </w:p>
        </w:tc>
        <w:tc>
          <w:tcPr>
            <w:tcW w:w="1417" w:type="dxa"/>
            <w:tcBorders>
              <w:bottom w:val="single" w:sz="4" w:space="0" w:color="auto"/>
            </w:tcBorders>
            <w:vAlign w:val="center"/>
          </w:tcPr>
          <w:p w14:paraId="38AACAD3" w14:textId="77777777" w:rsidR="007B1885" w:rsidRPr="00462901" w:rsidRDefault="00F7489E" w:rsidP="00A768B2">
            <w:pPr>
              <w:pStyle w:val="Tabletext"/>
              <w:jc w:val="center"/>
            </w:pPr>
            <w:r w:rsidRPr="00462901">
              <w:t>Fixed</w:t>
            </w:r>
          </w:p>
        </w:tc>
        <w:tc>
          <w:tcPr>
            <w:tcW w:w="4827" w:type="dxa"/>
            <w:tcBorders>
              <w:bottom w:val="single" w:sz="4" w:space="0" w:color="auto"/>
            </w:tcBorders>
          </w:tcPr>
          <w:p w14:paraId="0B33E090" w14:textId="77777777" w:rsidR="007B1885" w:rsidRPr="00462901" w:rsidRDefault="00F7489E" w:rsidP="00A768B2">
            <w:pPr>
              <w:pStyle w:val="Tabletext"/>
              <w:keepLines/>
              <w:tabs>
                <w:tab w:val="left" w:leader="dot" w:pos="7938"/>
                <w:tab w:val="center" w:pos="9526"/>
              </w:tabs>
              <w:ind w:left="567" w:hanging="567"/>
            </w:pPr>
            <w:r w:rsidRPr="00462901">
              <w:t xml:space="preserve">−41 − 14(92 − </w:t>
            </w:r>
            <w:r w:rsidRPr="00462901">
              <w:rPr>
                <w:i/>
                <w:iCs/>
              </w:rPr>
              <w:t>f</w:t>
            </w:r>
            <w:r w:rsidRPr="00462901">
              <w:t xml:space="preserve">) dBW/100 MHz for 91 </w:t>
            </w:r>
            <w:r w:rsidRPr="00462901">
              <w:sym w:font="Symbol" w:char="F0A3"/>
            </w:r>
            <w:r w:rsidRPr="00462901">
              <w:t> </w:t>
            </w:r>
            <w:r w:rsidRPr="00462901">
              <w:rPr>
                <w:i/>
                <w:iCs/>
              </w:rPr>
              <w:t>f</w:t>
            </w:r>
            <w:r w:rsidRPr="00462901">
              <w:t> </w:t>
            </w:r>
            <w:r w:rsidRPr="00462901">
              <w:sym w:font="Symbol" w:char="F0A3"/>
            </w:r>
            <w:r w:rsidRPr="00462901">
              <w:t> 91.95 GHz</w:t>
            </w:r>
          </w:p>
          <w:p w14:paraId="603ABAF8" w14:textId="77777777" w:rsidR="007B1885" w:rsidRPr="00462901" w:rsidRDefault="00F7489E" w:rsidP="00A768B2">
            <w:pPr>
              <w:pStyle w:val="Tabletext"/>
            </w:pPr>
            <w:r w:rsidRPr="00462901">
              <w:t xml:space="preserve">−55 dBW/100 MHz for 86.05 </w:t>
            </w:r>
            <w:r w:rsidRPr="00462901">
              <w:sym w:font="Symbol" w:char="F0A3"/>
            </w:r>
            <w:r w:rsidRPr="00462901">
              <w:t> </w:t>
            </w:r>
            <w:r w:rsidRPr="00462901">
              <w:rPr>
                <w:i/>
                <w:iCs/>
              </w:rPr>
              <w:t>f</w:t>
            </w:r>
            <w:r w:rsidRPr="00462901">
              <w:t> </w:t>
            </w:r>
            <w:r w:rsidRPr="00462901">
              <w:sym w:font="Symbol" w:char="F0A3"/>
            </w:r>
            <w:r w:rsidRPr="00462901">
              <w:t> 91 GHz</w:t>
            </w:r>
          </w:p>
          <w:p w14:paraId="4823A0F2" w14:textId="77777777" w:rsidR="007B1885" w:rsidRPr="00462901" w:rsidRDefault="00F7489E" w:rsidP="00A768B2">
            <w:pPr>
              <w:pStyle w:val="Tabletext"/>
            </w:pPr>
            <w:r w:rsidRPr="00462901">
              <w:t xml:space="preserve">where </w:t>
            </w:r>
            <w:r w:rsidRPr="00462901">
              <w:rPr>
                <w:i/>
                <w:iCs/>
              </w:rPr>
              <w:t>f</w:t>
            </w:r>
            <w:r w:rsidRPr="00462901">
              <w:t xml:space="preserve"> is the centre frequency of the 100 MHz reference bandwidth expressed in GHz</w:t>
            </w:r>
          </w:p>
        </w:tc>
      </w:tr>
    </w:tbl>
    <w:p w14:paraId="1A368675" w14:textId="77777777" w:rsidR="007B1885" w:rsidRPr="00462901" w:rsidRDefault="00DE0155" w:rsidP="007B1885"/>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0"/>
      </w:tblGrid>
      <w:tr w:rsidR="007B1885" w:rsidRPr="00462901" w14:paraId="3B3FDC43" w14:textId="77777777" w:rsidTr="00A768B2">
        <w:trPr>
          <w:cantSplit/>
          <w:jc w:val="center"/>
        </w:trPr>
        <w:tc>
          <w:tcPr>
            <w:tcW w:w="9640" w:type="dxa"/>
            <w:tcBorders>
              <w:top w:val="nil"/>
              <w:left w:val="nil"/>
              <w:bottom w:val="nil"/>
              <w:right w:val="nil"/>
            </w:tcBorders>
            <w:vAlign w:val="center"/>
          </w:tcPr>
          <w:p w14:paraId="38D0EF13" w14:textId="77777777" w:rsidR="007B1885" w:rsidRPr="00462901" w:rsidRDefault="00F7489E" w:rsidP="00A768B2">
            <w:pPr>
              <w:pStyle w:val="Tablelegend"/>
              <w:tabs>
                <w:tab w:val="left" w:pos="566"/>
              </w:tabs>
            </w:pPr>
            <w:r w:rsidRPr="00462901">
              <w:rPr>
                <w:i/>
                <w:iCs/>
              </w:rPr>
              <w:lastRenderedPageBreak/>
              <w:t>Notes to Table 1-2</w:t>
            </w:r>
            <w:r w:rsidRPr="00462901">
              <w:t>:</w:t>
            </w:r>
          </w:p>
          <w:p w14:paraId="42708B10" w14:textId="77777777" w:rsidR="007B1885" w:rsidRPr="00462901" w:rsidRDefault="00F7489E" w:rsidP="00A768B2">
            <w:pPr>
              <w:pStyle w:val="Tablelegend"/>
              <w:tabs>
                <w:tab w:val="left" w:pos="566"/>
              </w:tabs>
            </w:pPr>
            <w:r w:rsidRPr="00462901">
              <w:rPr>
                <w:vertAlign w:val="superscript"/>
              </w:rPr>
              <w:t>1</w:t>
            </w:r>
            <w:r w:rsidRPr="00462901">
              <w:tab/>
              <w:t>The unwanted emission power level is to be understood here as the level measured at the antenna port.</w:t>
            </w:r>
          </w:p>
          <w:p w14:paraId="7293B283" w14:textId="77777777" w:rsidR="007B1885" w:rsidRPr="00462901" w:rsidRDefault="00F7489E" w:rsidP="00A768B2">
            <w:pPr>
              <w:pStyle w:val="Tablelegend"/>
              <w:tabs>
                <w:tab w:val="left" w:pos="566"/>
              </w:tabs>
            </w:pPr>
            <w:r w:rsidRPr="00462901">
              <w:rPr>
                <w:vertAlign w:val="superscript"/>
              </w:rPr>
              <w:t>2</w:t>
            </w:r>
            <w:r w:rsidRPr="00462901">
              <w:tab/>
              <w:t>The mean power is to be understood here as the total power measured at the antenna port (or an equivalent thereof) in the frequency band 1 400-1 427 MHz, averaged over a period of the order of 5 s.</w:t>
            </w:r>
          </w:p>
          <w:p w14:paraId="2734334B" w14:textId="77777777" w:rsidR="007B1885" w:rsidRPr="00462901" w:rsidRDefault="00F7489E" w:rsidP="00A768B2">
            <w:pPr>
              <w:pStyle w:val="Tablelegend"/>
              <w:tabs>
                <w:tab w:val="left" w:pos="566"/>
              </w:tabs>
            </w:pPr>
            <w:r w:rsidRPr="00462901">
              <w:rPr>
                <w:vertAlign w:val="superscript"/>
              </w:rPr>
              <w:t>3</w:t>
            </w:r>
            <w:r w:rsidRPr="00462901">
              <w:tab/>
              <w:t>The frequency band 1 429-1 435 MHz is also allocated to the aeronautical mobile service in eight Region 1 administrations on a primary basis exclusively for the purposes of aeronautical telemetry within their national territory (No. </w:t>
            </w:r>
            <w:r w:rsidRPr="00462901">
              <w:rPr>
                <w:b/>
                <w:bCs/>
              </w:rPr>
              <w:t>5.342</w:t>
            </w:r>
            <w:r w:rsidRPr="00462901">
              <w:t>).</w:t>
            </w:r>
          </w:p>
          <w:p w14:paraId="18A086B6" w14:textId="77777777" w:rsidR="007B1885" w:rsidRPr="00462901" w:rsidRDefault="00F7489E" w:rsidP="00A768B2">
            <w:pPr>
              <w:pStyle w:val="Tablelegend"/>
              <w:tabs>
                <w:tab w:val="left" w:pos="566"/>
              </w:tabs>
            </w:pPr>
            <w:r w:rsidRPr="00462901">
              <w:rPr>
                <w:vertAlign w:val="superscript"/>
              </w:rPr>
              <w:t>4</w:t>
            </w:r>
            <w:r w:rsidRPr="00462901">
              <w:tab/>
              <w:t>The recommended maximum levels apply under clear-sky conditions. During fading conditions, these levels may be exceeded by earth stations when using uplink power control.</w:t>
            </w:r>
          </w:p>
          <w:p w14:paraId="615CAC03" w14:textId="77777777" w:rsidR="007B1885" w:rsidRPr="00462901" w:rsidRDefault="00F7489E" w:rsidP="00A768B2">
            <w:pPr>
              <w:pStyle w:val="Tablelegend"/>
              <w:tabs>
                <w:tab w:val="left" w:pos="566"/>
              </w:tabs>
            </w:pPr>
            <w:r w:rsidRPr="00462901">
              <w:rPr>
                <w:vertAlign w:val="superscript"/>
              </w:rPr>
              <w:t>5</w:t>
            </w:r>
            <w:r w:rsidRPr="00462901">
              <w:tab/>
              <w:t>Other maximum unwanted emission levels may be developed based on different scenarios provided in Report ITU</w:t>
            </w:r>
            <w:r w:rsidRPr="00462901">
              <w:noBreakHyphen/>
              <w:t>R F.2239 for the frequency band 86-92 GHz.</w:t>
            </w:r>
          </w:p>
        </w:tc>
      </w:tr>
    </w:tbl>
    <w:p w14:paraId="1BF1C2C5" w14:textId="77777777" w:rsidR="001D0B80" w:rsidRPr="00462901" w:rsidRDefault="00F7489E">
      <w:pPr>
        <w:pStyle w:val="Reasons"/>
      </w:pPr>
      <w:r w:rsidRPr="00462901">
        <w:rPr>
          <w:b/>
        </w:rPr>
        <w:t>Reasons:</w:t>
      </w:r>
      <w:r w:rsidRPr="00462901">
        <w:tab/>
        <w:t>Chinese only</w:t>
      </w:r>
      <w:r w:rsidR="005557D4" w:rsidRPr="00462901">
        <w:t>.</w:t>
      </w:r>
    </w:p>
    <w:p w14:paraId="24C9BD89" w14:textId="77777777" w:rsidR="007B1885" w:rsidRPr="00462901" w:rsidRDefault="00F7489E" w:rsidP="007B1885">
      <w:pPr>
        <w:pStyle w:val="ResNo"/>
      </w:pPr>
      <w:bookmarkStart w:id="24" w:name="_Toc450048854"/>
      <w:r w:rsidRPr="00462901">
        <w:t xml:space="preserve">RESOLUTION </w:t>
      </w:r>
      <w:r w:rsidRPr="00462901">
        <w:rPr>
          <w:rStyle w:val="href"/>
        </w:rPr>
        <w:t>809</w:t>
      </w:r>
      <w:r w:rsidRPr="00462901">
        <w:t xml:space="preserve"> (WRC</w:t>
      </w:r>
      <w:r w:rsidRPr="00462901">
        <w:noBreakHyphen/>
        <w:t>15)</w:t>
      </w:r>
      <w:bookmarkEnd w:id="24"/>
    </w:p>
    <w:p w14:paraId="6A78EC8F" w14:textId="77777777" w:rsidR="007B1885" w:rsidRPr="00462901" w:rsidRDefault="00F7489E" w:rsidP="007B1885">
      <w:pPr>
        <w:pStyle w:val="Restitle"/>
      </w:pPr>
      <w:bookmarkStart w:id="25" w:name="_Toc319401924"/>
      <w:bookmarkStart w:id="26" w:name="_Toc450048855"/>
      <w:r w:rsidRPr="00462901">
        <w:t>Agenda for the 2019 World Radiocommunication Conference</w:t>
      </w:r>
      <w:bookmarkEnd w:id="25"/>
      <w:bookmarkEnd w:id="26"/>
    </w:p>
    <w:p w14:paraId="3C182834" w14:textId="77777777" w:rsidR="001D0B80" w:rsidRPr="00462901" w:rsidRDefault="00A514BD">
      <w:pPr>
        <w:pStyle w:val="Proposal"/>
      </w:pPr>
      <w:r w:rsidRPr="00462901">
        <w:t>(MOD)</w:t>
      </w:r>
      <w:r w:rsidR="00F7489E" w:rsidRPr="00462901">
        <w:tab/>
        <w:t>CHN/209/9</w:t>
      </w:r>
    </w:p>
    <w:p w14:paraId="05CB2F35" w14:textId="77777777" w:rsidR="007B1885" w:rsidRPr="00462901" w:rsidRDefault="00F7489E" w:rsidP="007B1885">
      <w:pPr>
        <w:pStyle w:val="Call"/>
      </w:pPr>
      <w:r w:rsidRPr="00462901">
        <w:t>resolves</w:t>
      </w:r>
    </w:p>
    <w:p w14:paraId="5EDEAF56" w14:textId="77777777" w:rsidR="007B1885" w:rsidRPr="00462901" w:rsidRDefault="00F7489E" w:rsidP="007B1885">
      <w:r w:rsidRPr="00462901">
        <w:t>to recommend to the Council that a world radiocommunication conference be held in 2019 for a maximum period of four weeks, with the following agenda:</w:t>
      </w:r>
    </w:p>
    <w:p w14:paraId="1FF96118" w14:textId="77777777" w:rsidR="007B1885" w:rsidRPr="00462901" w:rsidRDefault="00F7489E" w:rsidP="007B1885">
      <w:r w:rsidRPr="00462901">
        <w:t>1</w:t>
      </w:r>
      <w:r w:rsidRPr="00462901">
        <w:tab/>
        <w:t>on the basis of proposals from administrations, taking account of the results of WRC</w:t>
      </w:r>
      <w:r w:rsidRPr="00462901">
        <w:noBreakHyphen/>
        <w:t>15 and the Report of the Conference Preparatory Meeting, and with due regard to the requirements of existing and future services in the frequency bands under consideration, to consider and take appropriate action in respect of the following items:</w:t>
      </w:r>
    </w:p>
    <w:p w14:paraId="3D0E89F2" w14:textId="77777777" w:rsidR="007B1885" w:rsidRPr="00462901" w:rsidRDefault="00F7489E" w:rsidP="007B1885">
      <w:r w:rsidRPr="00462901">
        <w:t>1.1</w:t>
      </w:r>
      <w:r w:rsidRPr="00462901">
        <w:tab/>
        <w:t>to consider an allocation of the frequency band 50-54 MHz to the amateur service in Region 1, in accordance with Resolution</w:t>
      </w:r>
      <w:r w:rsidRPr="00462901">
        <w:rPr>
          <w:rStyle w:val="Artdef"/>
        </w:rPr>
        <w:t> 658 (WRC</w:t>
      </w:r>
      <w:r w:rsidRPr="00462901">
        <w:rPr>
          <w:rStyle w:val="Artdef"/>
        </w:rPr>
        <w:noBreakHyphen/>
        <w:t>15)</w:t>
      </w:r>
      <w:r w:rsidRPr="00462901">
        <w:t>;</w:t>
      </w:r>
    </w:p>
    <w:p w14:paraId="71CED38A" w14:textId="77777777" w:rsidR="007B1885" w:rsidRPr="00462901" w:rsidRDefault="00F7489E" w:rsidP="007B1885">
      <w:r w:rsidRPr="00462901">
        <w:t>1.2</w:t>
      </w:r>
      <w:r w:rsidRPr="00462901">
        <w:tab/>
        <w:t>to consider in-band power limits for earth stations operating in the mobile-satellite service, meteorological-satellite service and Earth exploration-satellite service in the frequency bands 401-403 MHz and 399.9-400.05 MHz, in accordance with Resolution</w:t>
      </w:r>
      <w:r w:rsidRPr="00462901">
        <w:rPr>
          <w:b/>
          <w:bCs/>
        </w:rPr>
        <w:t> 765 (WRC</w:t>
      </w:r>
      <w:r w:rsidRPr="00462901">
        <w:rPr>
          <w:b/>
          <w:bCs/>
        </w:rPr>
        <w:noBreakHyphen/>
        <w:t>15)</w:t>
      </w:r>
      <w:r w:rsidRPr="00462901">
        <w:t>;</w:t>
      </w:r>
    </w:p>
    <w:p w14:paraId="2696520A" w14:textId="77777777" w:rsidR="007B1885" w:rsidRPr="00462901" w:rsidRDefault="00F7489E" w:rsidP="007B1885">
      <w:r w:rsidRPr="00462901">
        <w:t>1.3</w:t>
      </w:r>
      <w:r w:rsidRPr="00462901">
        <w:tab/>
        <w:t>to consider possible upgrading of the secondary allocation to the meteorological-satellite service (space-to-Earth) to primary status and a possible primary allocation to the Earth exploration-satellite service (space-to-Earth) in the frequency band 460-470 MHz, in accordance with Resolution</w:t>
      </w:r>
      <w:r w:rsidRPr="00462901">
        <w:rPr>
          <w:rStyle w:val="Artdef"/>
        </w:rPr>
        <w:t> 766 (WRC</w:t>
      </w:r>
      <w:r w:rsidRPr="00462901">
        <w:rPr>
          <w:rStyle w:val="Artdef"/>
        </w:rPr>
        <w:noBreakHyphen/>
        <w:t>15)</w:t>
      </w:r>
      <w:r w:rsidRPr="00462901">
        <w:rPr>
          <w:rStyle w:val="Artdef"/>
          <w:b w:val="0"/>
          <w:bCs/>
        </w:rPr>
        <w:t>;</w:t>
      </w:r>
    </w:p>
    <w:p w14:paraId="6FD61BAD" w14:textId="77777777" w:rsidR="007B1885" w:rsidRPr="00462901" w:rsidRDefault="00F7489E" w:rsidP="007B1885">
      <w:r w:rsidRPr="00462901">
        <w:t>1.4</w:t>
      </w:r>
      <w:r w:rsidRPr="00462901">
        <w:tab/>
        <w:t>to consider the results of studies in accordance with Resolution </w:t>
      </w:r>
      <w:r w:rsidRPr="00462901">
        <w:rPr>
          <w:b/>
          <w:bCs/>
        </w:rPr>
        <w:t>557 (WRC</w:t>
      </w:r>
      <w:r w:rsidRPr="00462901">
        <w:rPr>
          <w:b/>
          <w:bCs/>
        </w:rPr>
        <w:noBreakHyphen/>
        <w:t>15)</w:t>
      </w:r>
      <w:r w:rsidRPr="00462901">
        <w:t>, and review, and revise if necessary, the limitations mentioned in Annex 7 to Appendix </w:t>
      </w:r>
      <w:r w:rsidRPr="00462901">
        <w:rPr>
          <w:b/>
          <w:bCs/>
        </w:rPr>
        <w:t>30 (Rev.WRC</w:t>
      </w:r>
      <w:r w:rsidRPr="00462901">
        <w:rPr>
          <w:b/>
          <w:bCs/>
        </w:rPr>
        <w:noBreakHyphen/>
        <w:t>15)</w:t>
      </w:r>
      <w:r w:rsidRPr="00462901">
        <w:t>, while ensuring the protection of, and without imposing additional constraints on, assignments in the Plan and the List and the future development of the broadcasting-satellite service within the Plan, and existing and planned fixed-satellite service networks;</w:t>
      </w:r>
    </w:p>
    <w:p w14:paraId="03F0B815" w14:textId="77777777" w:rsidR="007B1885" w:rsidRPr="00462901" w:rsidRDefault="00F7489E" w:rsidP="007B1885">
      <w:r w:rsidRPr="00462901">
        <w:t>1.5</w:t>
      </w:r>
      <w:r w:rsidRPr="00462901">
        <w:tab/>
        <w:t>to consider the use of the frequency bands 17.7-19.7 GHz (space-to-Earth) and 27.5</w:t>
      </w:r>
      <w:r w:rsidRPr="00462901">
        <w:noBreakHyphen/>
        <w:t>29.5 GHz (Earth-to-space) by earth stations in motion communicating with geostationary space stations in the fixed-satellite service and take appropriate action, in accordance with Resolution </w:t>
      </w:r>
      <w:r w:rsidRPr="00462901">
        <w:rPr>
          <w:b/>
          <w:bCs/>
        </w:rPr>
        <w:t>158 (WRC</w:t>
      </w:r>
      <w:r w:rsidRPr="00462901">
        <w:rPr>
          <w:b/>
          <w:bCs/>
        </w:rPr>
        <w:noBreakHyphen/>
        <w:t>15)</w:t>
      </w:r>
      <w:r w:rsidRPr="00462901">
        <w:t>;</w:t>
      </w:r>
    </w:p>
    <w:p w14:paraId="44D2B766" w14:textId="77777777" w:rsidR="007B1885" w:rsidRPr="00462901" w:rsidRDefault="00F7489E" w:rsidP="007B1885">
      <w:r w:rsidRPr="00462901">
        <w:lastRenderedPageBreak/>
        <w:t>1.6</w:t>
      </w:r>
      <w:r w:rsidRPr="00462901">
        <w:tab/>
        <w:t xml:space="preserve">to consider the development of a regulatory framework for non-GSO FSS satellite systems that may operate in the frequency bands 37.5-39.5 GHz (space-to-Earth), 39.5-42.5 GHz (space-to-Earth), 47.2-50.2 GHz (Earth-to-space) and 50.4-51.4 GHz (Earth-to-space), in accordance with Resolution </w:t>
      </w:r>
      <w:r w:rsidRPr="00462901">
        <w:rPr>
          <w:b/>
          <w:bCs/>
        </w:rPr>
        <w:t>159 (WRC</w:t>
      </w:r>
      <w:r w:rsidRPr="00462901">
        <w:rPr>
          <w:b/>
          <w:bCs/>
        </w:rPr>
        <w:noBreakHyphen/>
        <w:t>15)</w:t>
      </w:r>
      <w:r w:rsidRPr="00462901">
        <w:t>;</w:t>
      </w:r>
    </w:p>
    <w:p w14:paraId="62D29F9E" w14:textId="77777777" w:rsidR="007B1885" w:rsidRPr="00462901" w:rsidRDefault="00F7489E" w:rsidP="007B1885">
      <w:r w:rsidRPr="00462901">
        <w:t>1.7</w:t>
      </w:r>
      <w:r w:rsidRPr="00462901">
        <w:tab/>
        <w:t>to study the spectrum needs for telemetry, tracking and command in the space operation service for non-GSO satellites with short duration missions, to assess the suitability of existing allocations to the space operation service and, if necessary, to consider new allocations, in accordance with Resolution </w:t>
      </w:r>
      <w:r w:rsidRPr="00462901">
        <w:rPr>
          <w:b/>
          <w:bCs/>
        </w:rPr>
        <w:t>659</w:t>
      </w:r>
      <w:r w:rsidRPr="00462901">
        <w:t xml:space="preserve"> </w:t>
      </w:r>
      <w:r w:rsidRPr="00462901">
        <w:rPr>
          <w:b/>
        </w:rPr>
        <w:t>(WRC</w:t>
      </w:r>
      <w:r w:rsidRPr="00462901">
        <w:rPr>
          <w:b/>
        </w:rPr>
        <w:noBreakHyphen/>
        <w:t>15)</w:t>
      </w:r>
      <w:r w:rsidRPr="00462901">
        <w:rPr>
          <w:bCs/>
        </w:rPr>
        <w:t>;</w:t>
      </w:r>
    </w:p>
    <w:p w14:paraId="454248E4" w14:textId="77777777" w:rsidR="007B1885" w:rsidRPr="00462901" w:rsidRDefault="00F7489E" w:rsidP="007B1885">
      <w:r w:rsidRPr="00462901">
        <w:t>1.8</w:t>
      </w:r>
      <w:r w:rsidRPr="00462901">
        <w:tab/>
      </w:r>
      <w:r w:rsidRPr="00462901">
        <w:rPr>
          <w:lang w:eastAsia="zh-CN"/>
        </w:rPr>
        <w:t>to consider possible regulatory actions to support Global Maritime Distress Safety Systems (GMDSS) modernization and to support the introduction of additional satellite systems into the GMDSS, in accordance with Resolution </w:t>
      </w:r>
      <w:r w:rsidRPr="00462901">
        <w:rPr>
          <w:b/>
          <w:lang w:eastAsia="zh-CN"/>
        </w:rPr>
        <w:t>359</w:t>
      </w:r>
      <w:r w:rsidRPr="00462901">
        <w:rPr>
          <w:lang w:eastAsia="zh-CN"/>
        </w:rPr>
        <w:t xml:space="preserve"> (</w:t>
      </w:r>
      <w:r w:rsidRPr="00462901">
        <w:rPr>
          <w:b/>
          <w:lang w:eastAsia="zh-CN"/>
        </w:rPr>
        <w:t>Rev.WRC</w:t>
      </w:r>
      <w:r w:rsidRPr="00462901">
        <w:rPr>
          <w:b/>
          <w:lang w:eastAsia="zh-CN"/>
        </w:rPr>
        <w:noBreakHyphen/>
        <w:t>15</w:t>
      </w:r>
      <w:r w:rsidRPr="00462901">
        <w:rPr>
          <w:lang w:eastAsia="zh-CN"/>
        </w:rPr>
        <w:t>);</w:t>
      </w:r>
    </w:p>
    <w:p w14:paraId="1AF31A2A" w14:textId="77777777" w:rsidR="007B1885" w:rsidRPr="00462901" w:rsidRDefault="00F7489E" w:rsidP="007B1885">
      <w:r w:rsidRPr="00462901">
        <w:t>1.9</w:t>
      </w:r>
      <w:r w:rsidRPr="00462901">
        <w:tab/>
      </w:r>
      <w:r w:rsidRPr="00462901">
        <w:rPr>
          <w:lang w:eastAsia="nl-NL"/>
        </w:rPr>
        <w:t>to consider, based on the results of ITU</w:t>
      </w:r>
      <w:r w:rsidRPr="00462901">
        <w:rPr>
          <w:lang w:eastAsia="nl-NL"/>
        </w:rPr>
        <w:noBreakHyphen/>
        <w:t>R studies:</w:t>
      </w:r>
    </w:p>
    <w:p w14:paraId="7B3F6DBC" w14:textId="77777777" w:rsidR="007B1885" w:rsidRPr="00462901" w:rsidRDefault="00F7489E" w:rsidP="007B1885">
      <w:r w:rsidRPr="00462901">
        <w:t>1.9.1</w:t>
      </w:r>
      <w:r w:rsidRPr="00462901">
        <w:tab/>
        <w:t>regulatory actions within the frequency band 156-162.05 MHz for autonomous maritime radio devices to protect the GMDSS and automatic identifications system (AIS), in accordance with Resolution </w:t>
      </w:r>
      <w:r w:rsidRPr="00462901">
        <w:rPr>
          <w:b/>
          <w:bCs/>
        </w:rPr>
        <w:t>362 (WRC</w:t>
      </w:r>
      <w:r w:rsidRPr="00462901">
        <w:rPr>
          <w:b/>
          <w:bCs/>
        </w:rPr>
        <w:noBreakHyphen/>
        <w:t>15)</w:t>
      </w:r>
      <w:r w:rsidRPr="00462901">
        <w:rPr>
          <w:lang w:eastAsia="zh-CN"/>
        </w:rPr>
        <w:t>;</w:t>
      </w:r>
    </w:p>
    <w:p w14:paraId="4B61B324" w14:textId="77777777" w:rsidR="007B1885" w:rsidRPr="00462901" w:rsidRDefault="00F7489E" w:rsidP="007B1885">
      <w:r w:rsidRPr="00462901">
        <w:t>1.9.2</w:t>
      </w:r>
      <w:r w:rsidRPr="00462901">
        <w:tab/>
      </w:r>
      <w:r w:rsidRPr="00462901">
        <w:rPr>
          <w:lang w:eastAsia="nl-NL"/>
        </w:rPr>
        <w:t>modifications of the Radio Regulations, including new spectrum allocations to the maritime mobile-satellite service (Earth</w:t>
      </w:r>
      <w:r w:rsidRPr="00462901">
        <w:rPr>
          <w:lang w:eastAsia="nl-NL"/>
        </w:rPr>
        <w:noBreakHyphen/>
        <w:t>to</w:t>
      </w:r>
      <w:r w:rsidRPr="00462901">
        <w:rPr>
          <w:lang w:eastAsia="nl-NL"/>
        </w:rPr>
        <w:noBreakHyphen/>
        <w:t xml:space="preserve">space and space-to-Earth), preferably within the frequency bands </w:t>
      </w:r>
      <w:r w:rsidRPr="00462901">
        <w:t>156.0125-157.4375 MHz and 160.6125-162.0375 MHz</w:t>
      </w:r>
      <w:r w:rsidRPr="00462901">
        <w:rPr>
          <w:lang w:eastAsia="nl-NL"/>
        </w:rPr>
        <w:t xml:space="preserve"> of Appendix</w:t>
      </w:r>
      <w:r w:rsidRPr="00462901">
        <w:t> </w:t>
      </w:r>
      <w:r w:rsidRPr="00462901">
        <w:rPr>
          <w:b/>
          <w:bCs/>
          <w:lang w:eastAsia="nl-NL"/>
        </w:rPr>
        <w:t>18</w:t>
      </w:r>
      <w:r w:rsidRPr="00462901">
        <w:rPr>
          <w:lang w:eastAsia="nl-NL"/>
        </w:rPr>
        <w:t>, to enable</w:t>
      </w:r>
      <w:r w:rsidRPr="00462901">
        <w:t xml:space="preserve"> a new VHF data exchange system (VDES) satellite component</w:t>
      </w:r>
      <w:r w:rsidRPr="00462901">
        <w:rPr>
          <w:lang w:eastAsia="nl-NL"/>
        </w:rPr>
        <w:t xml:space="preserve">, while ensuring that this component will not degrade the current terrestrial VDES components, applications specific messages (ASM) and AIS operations and </w:t>
      </w:r>
      <w:r w:rsidRPr="00462901">
        <w:t xml:space="preserve">not impose any additional constraints on existing services in these and adjacent frequency bands as stated in </w:t>
      </w:r>
      <w:r w:rsidRPr="00462901">
        <w:rPr>
          <w:i/>
        </w:rPr>
        <w:t>recognizing</w:t>
      </w:r>
      <w:r w:rsidRPr="00462901">
        <w:t> </w:t>
      </w:r>
      <w:r w:rsidRPr="00462901">
        <w:rPr>
          <w:i/>
        </w:rPr>
        <w:t>d)</w:t>
      </w:r>
      <w:r w:rsidRPr="00462901">
        <w:t xml:space="preserve"> and </w:t>
      </w:r>
      <w:r w:rsidRPr="00462901">
        <w:rPr>
          <w:i/>
        </w:rPr>
        <w:t xml:space="preserve">e) </w:t>
      </w:r>
      <w:r w:rsidRPr="00462901">
        <w:rPr>
          <w:iCs/>
        </w:rPr>
        <w:t>of Resolution </w:t>
      </w:r>
      <w:r w:rsidRPr="00462901">
        <w:rPr>
          <w:b/>
          <w:bCs/>
          <w:iCs/>
        </w:rPr>
        <w:t>360</w:t>
      </w:r>
      <w:r w:rsidRPr="00462901">
        <w:rPr>
          <w:iCs/>
        </w:rPr>
        <w:t xml:space="preserve"> (</w:t>
      </w:r>
      <w:r w:rsidRPr="00462901">
        <w:rPr>
          <w:b/>
          <w:bCs/>
          <w:iCs/>
        </w:rPr>
        <w:t>Rev.WRC</w:t>
      </w:r>
      <w:r w:rsidRPr="00462901">
        <w:rPr>
          <w:b/>
          <w:bCs/>
          <w:iCs/>
        </w:rPr>
        <w:noBreakHyphen/>
        <w:t>15</w:t>
      </w:r>
      <w:r w:rsidRPr="00462901">
        <w:rPr>
          <w:iCs/>
        </w:rPr>
        <w:t>)</w:t>
      </w:r>
      <w:r w:rsidRPr="00462901">
        <w:t>;</w:t>
      </w:r>
    </w:p>
    <w:p w14:paraId="7E225101" w14:textId="77777777" w:rsidR="007B1885" w:rsidRPr="00462901" w:rsidRDefault="00F7489E" w:rsidP="007B1885">
      <w:r w:rsidRPr="00462901">
        <w:t>1.10</w:t>
      </w:r>
      <w:r w:rsidRPr="00462901">
        <w:tab/>
        <w:t>to consider spectrum needs and regulatory provisions for the introduction and use</w:t>
      </w:r>
      <w:r w:rsidRPr="00462901" w:rsidDel="003F2919">
        <w:t xml:space="preserve"> </w:t>
      </w:r>
      <w:r w:rsidRPr="00462901">
        <w:t>of the Global Aeronautical Distress and Safety System (GADSS), in accordance with Resolution </w:t>
      </w:r>
      <w:r w:rsidRPr="00462901">
        <w:rPr>
          <w:b/>
          <w:bCs/>
        </w:rPr>
        <w:t>426 (WRC</w:t>
      </w:r>
      <w:r w:rsidRPr="00462901">
        <w:rPr>
          <w:b/>
          <w:bCs/>
        </w:rPr>
        <w:noBreakHyphen/>
        <w:t>15)</w:t>
      </w:r>
      <w:r w:rsidRPr="00462901">
        <w:t>;</w:t>
      </w:r>
    </w:p>
    <w:p w14:paraId="058A86E8" w14:textId="77777777" w:rsidR="007B1885" w:rsidRPr="00462901" w:rsidRDefault="00F7489E" w:rsidP="007B1885">
      <w:r w:rsidRPr="00462901">
        <w:t>1.11</w:t>
      </w:r>
      <w:r w:rsidRPr="00462901">
        <w:tab/>
      </w:r>
      <w:r w:rsidRPr="00462901">
        <w:rPr>
          <w:rFonts w:eastAsia="SimSun"/>
          <w:lang w:eastAsia="zh-CN"/>
        </w:rPr>
        <w:t>to take necessary actions, as appropriate, to facilitate global or regional harmonized frequency bands to support railway radiocommunication systems between train and trackside</w:t>
      </w:r>
      <w:r w:rsidRPr="00462901">
        <w:t xml:space="preserve"> </w:t>
      </w:r>
      <w:r w:rsidRPr="00462901">
        <w:rPr>
          <w:rFonts w:eastAsia="SimSun"/>
          <w:lang w:eastAsia="zh-CN"/>
        </w:rPr>
        <w:t>within existing mobile service allocations, in accordance with Resolution </w:t>
      </w:r>
      <w:r w:rsidRPr="00462901">
        <w:rPr>
          <w:rFonts w:eastAsia="SimSun"/>
          <w:b/>
          <w:bCs/>
          <w:lang w:eastAsia="zh-CN"/>
        </w:rPr>
        <w:t>236 (WRC</w:t>
      </w:r>
      <w:r w:rsidRPr="00462901">
        <w:rPr>
          <w:rFonts w:eastAsia="SimSun"/>
          <w:b/>
          <w:bCs/>
          <w:lang w:eastAsia="zh-CN"/>
        </w:rPr>
        <w:noBreakHyphen/>
        <w:t>15)</w:t>
      </w:r>
      <w:r w:rsidRPr="00462901">
        <w:rPr>
          <w:rFonts w:eastAsia="SimSun"/>
          <w:lang w:eastAsia="zh-CN"/>
        </w:rPr>
        <w:t>;</w:t>
      </w:r>
    </w:p>
    <w:p w14:paraId="2E66295B" w14:textId="77777777" w:rsidR="007B1885" w:rsidRPr="00462901" w:rsidRDefault="00F7489E" w:rsidP="007B1885">
      <w:r w:rsidRPr="00462901">
        <w:t>1.12</w:t>
      </w:r>
      <w:r w:rsidRPr="00462901">
        <w:tab/>
      </w:r>
      <w:r w:rsidRPr="00462901">
        <w:rPr>
          <w:rFonts w:eastAsiaTheme="minorEastAsia"/>
        </w:rPr>
        <w:t xml:space="preserve">to consider possible global or regional harmonized frequency bands, to the maximum extent possible, for the implementation of evolving </w:t>
      </w:r>
      <w:r w:rsidRPr="00462901">
        <w:t>Intelligent Transport Systems (</w:t>
      </w:r>
      <w:r w:rsidRPr="00462901">
        <w:rPr>
          <w:rFonts w:eastAsiaTheme="minorEastAsia"/>
        </w:rPr>
        <w:t>ITS) under existing mobile-service allocations</w:t>
      </w:r>
      <w:r w:rsidRPr="00462901">
        <w:rPr>
          <w:rFonts w:eastAsia="SimSun"/>
          <w:lang w:eastAsia="zh-CN"/>
        </w:rPr>
        <w:t>, in accordance with Resolution </w:t>
      </w:r>
      <w:r w:rsidRPr="00462901">
        <w:rPr>
          <w:rFonts w:eastAsia="SimSun"/>
          <w:b/>
          <w:bCs/>
          <w:lang w:eastAsia="zh-CN"/>
        </w:rPr>
        <w:t>237 (WRC</w:t>
      </w:r>
      <w:r w:rsidRPr="00462901">
        <w:rPr>
          <w:rFonts w:eastAsia="SimSun"/>
          <w:b/>
          <w:bCs/>
          <w:lang w:eastAsia="zh-CN"/>
        </w:rPr>
        <w:noBreakHyphen/>
        <w:t>15)</w:t>
      </w:r>
      <w:r w:rsidRPr="00462901">
        <w:rPr>
          <w:rFonts w:eastAsia="SimSun"/>
          <w:lang w:eastAsia="zh-CN"/>
        </w:rPr>
        <w:t>;</w:t>
      </w:r>
    </w:p>
    <w:p w14:paraId="204D4EF1" w14:textId="77777777" w:rsidR="007B1885" w:rsidRPr="00462901" w:rsidRDefault="00F7489E" w:rsidP="007B1885">
      <w:r w:rsidRPr="00462901">
        <w:t>1.13</w:t>
      </w:r>
      <w:r w:rsidRPr="00462901">
        <w:tab/>
        <w:t>to consider identification of frequency bands for the future development of International Mobile Telecommunications (IMT), including possible additional allocations to the mobile service on a primary basis, in accordance with Resolution </w:t>
      </w:r>
      <w:r w:rsidRPr="00462901">
        <w:rPr>
          <w:rFonts w:eastAsia="SimSun"/>
          <w:b/>
          <w:bCs/>
        </w:rPr>
        <w:t>238 (WRC</w:t>
      </w:r>
      <w:r w:rsidRPr="00462901">
        <w:rPr>
          <w:rFonts w:eastAsia="SimSun"/>
          <w:b/>
          <w:bCs/>
        </w:rPr>
        <w:noBreakHyphen/>
        <w:t>15)</w:t>
      </w:r>
      <w:r w:rsidRPr="00462901">
        <w:rPr>
          <w:rFonts w:eastAsia="SimSun"/>
        </w:rPr>
        <w:t>;</w:t>
      </w:r>
    </w:p>
    <w:p w14:paraId="50DA46F2" w14:textId="77777777" w:rsidR="007B1885" w:rsidRPr="00462901" w:rsidRDefault="00F7489E" w:rsidP="007B1885">
      <w:r w:rsidRPr="00462901">
        <w:t>1.14</w:t>
      </w:r>
      <w:r w:rsidRPr="00462901">
        <w:tab/>
        <w:t>to consider, on the basis of ITU</w:t>
      </w:r>
      <w:r w:rsidRPr="00462901">
        <w:noBreakHyphen/>
        <w:t>R studies in accordance with Resolution </w:t>
      </w:r>
      <w:r w:rsidRPr="00462901">
        <w:rPr>
          <w:b/>
          <w:bCs/>
        </w:rPr>
        <w:t>160 (WRC</w:t>
      </w:r>
      <w:r w:rsidRPr="00462901">
        <w:rPr>
          <w:b/>
          <w:bCs/>
        </w:rPr>
        <w:noBreakHyphen/>
        <w:t>15)</w:t>
      </w:r>
      <w:r w:rsidRPr="00462901">
        <w:t>, appropriate regulatory actions for high-altitude platform stations (HAPS), within existing fixed-service allocations;</w:t>
      </w:r>
    </w:p>
    <w:p w14:paraId="60E0921F" w14:textId="77777777" w:rsidR="007B1885" w:rsidRPr="00462901" w:rsidRDefault="00F7489E" w:rsidP="007B1885">
      <w:r w:rsidRPr="00462901">
        <w:t>1.15</w:t>
      </w:r>
      <w:r w:rsidRPr="00462901">
        <w:tab/>
        <w:t>to consider identification of frequency bands for use by administrations for the land-mobile and fixed services applications operating in the frequency range 275-450 GHz, in accordance with Resolution</w:t>
      </w:r>
      <w:r w:rsidRPr="00462901">
        <w:rPr>
          <w:b/>
        </w:rPr>
        <w:t> 767 (WRC</w:t>
      </w:r>
      <w:r w:rsidRPr="00462901">
        <w:rPr>
          <w:b/>
        </w:rPr>
        <w:noBreakHyphen/>
        <w:t>15)</w:t>
      </w:r>
      <w:r w:rsidRPr="00462901">
        <w:t>;</w:t>
      </w:r>
    </w:p>
    <w:p w14:paraId="225291CB" w14:textId="77777777" w:rsidR="007B1885" w:rsidRPr="00462901" w:rsidRDefault="00F7489E" w:rsidP="007B1885">
      <w:r w:rsidRPr="00462901">
        <w:t>1.16</w:t>
      </w:r>
      <w:r w:rsidRPr="00462901">
        <w:tab/>
        <w:t>to consider issues related to wireless access systems, including radio local area networks (WAS/RLAN), in the frequency bands between 5 150 MHz and 5 925 MHz, and take the appropriate regulatory actions, including additional spectrum allocations to the mobile service, in accordance with Resolution </w:t>
      </w:r>
      <w:r w:rsidRPr="00462901">
        <w:rPr>
          <w:b/>
          <w:bCs/>
        </w:rPr>
        <w:t>239 (WRC</w:t>
      </w:r>
      <w:r w:rsidRPr="00462901">
        <w:rPr>
          <w:b/>
          <w:bCs/>
        </w:rPr>
        <w:noBreakHyphen/>
        <w:t>15)</w:t>
      </w:r>
      <w:r w:rsidRPr="00462901">
        <w:t>;</w:t>
      </w:r>
    </w:p>
    <w:p w14:paraId="54AFED1D" w14:textId="77777777" w:rsidR="007B1885" w:rsidRPr="00462901" w:rsidRDefault="00F7489E" w:rsidP="007B1885">
      <w:r w:rsidRPr="00462901">
        <w:lastRenderedPageBreak/>
        <w:t>2</w:t>
      </w:r>
      <w:r w:rsidRPr="00462901">
        <w:tab/>
        <w:t>to examine the revised ITU</w:t>
      </w:r>
      <w:r w:rsidRPr="00462901">
        <w:noBreakHyphen/>
        <w:t>R Recommendations incorporated by reference in the Radio Regulations communicated by the Radiocommunication Assembly, in accordance with Resolution</w:t>
      </w:r>
      <w:r w:rsidRPr="00462901">
        <w:rPr>
          <w:sz w:val="18"/>
          <w:szCs w:val="18"/>
        </w:rPr>
        <w:t> </w:t>
      </w:r>
      <w:r w:rsidRPr="00462901">
        <w:rPr>
          <w:b/>
          <w:bCs/>
        </w:rPr>
        <w:t>28 (Rev.WRC</w:t>
      </w:r>
      <w:r w:rsidRPr="00462901">
        <w:rPr>
          <w:b/>
          <w:bCs/>
        </w:rPr>
        <w:noBreakHyphen/>
        <w:t>15)</w:t>
      </w:r>
      <w:r w:rsidRPr="00462901">
        <w:t>, and to decide whether or not to update the corresponding references in the Radio Regulations, in accordance with the principles contained in Annex 1 to Resolution </w:t>
      </w:r>
      <w:r w:rsidRPr="00462901">
        <w:rPr>
          <w:b/>
          <w:bCs/>
        </w:rPr>
        <w:t>27 (Rev.WRC</w:t>
      </w:r>
      <w:r w:rsidRPr="00462901">
        <w:rPr>
          <w:b/>
          <w:bCs/>
        </w:rPr>
        <w:noBreakHyphen/>
        <w:t>12)</w:t>
      </w:r>
      <w:r w:rsidRPr="00462901">
        <w:t>;</w:t>
      </w:r>
    </w:p>
    <w:p w14:paraId="7C285F9A" w14:textId="77777777" w:rsidR="007B1885" w:rsidRPr="00462901" w:rsidRDefault="00F7489E" w:rsidP="007B1885">
      <w:r w:rsidRPr="00462901">
        <w:t>3</w:t>
      </w:r>
      <w:r w:rsidRPr="00462901">
        <w:tab/>
        <w:t>to consider such consequential changes and amendments to the Radio Regulations as may be necessitated by the decisions of the conference;</w:t>
      </w:r>
    </w:p>
    <w:p w14:paraId="33E890A1" w14:textId="77777777" w:rsidR="007B1885" w:rsidRPr="00462901" w:rsidRDefault="00F7489E" w:rsidP="007B1885">
      <w:r w:rsidRPr="00462901">
        <w:t>4</w:t>
      </w:r>
      <w:r w:rsidRPr="00462901">
        <w:tab/>
        <w:t>in accordance with Resolution </w:t>
      </w:r>
      <w:r w:rsidRPr="00462901">
        <w:rPr>
          <w:b/>
          <w:bCs/>
        </w:rPr>
        <w:t>95 (Rev.WRC</w:t>
      </w:r>
      <w:r w:rsidRPr="00462901">
        <w:rPr>
          <w:b/>
          <w:bCs/>
        </w:rPr>
        <w:noBreakHyphen/>
        <w:t>07)</w:t>
      </w:r>
      <w:r w:rsidRPr="00462901">
        <w:t>, to review the Resolutions and Recommendations of previous conferences with a view to their possible revision, replacement or abrogation;</w:t>
      </w:r>
    </w:p>
    <w:p w14:paraId="7C0149B9" w14:textId="77777777" w:rsidR="007B1885" w:rsidRPr="00462901" w:rsidRDefault="00F7489E" w:rsidP="007B1885">
      <w:r w:rsidRPr="00462901">
        <w:t>5</w:t>
      </w:r>
      <w:r w:rsidRPr="00462901">
        <w:tab/>
        <w:t>to review, and take appropriate action on, the Report from the Radiocommunication Assembly submitted in accordance with Nos. 135 and 136 of the Convention;</w:t>
      </w:r>
    </w:p>
    <w:p w14:paraId="58764B39" w14:textId="77777777" w:rsidR="007B1885" w:rsidRPr="00462901" w:rsidRDefault="00F7489E" w:rsidP="007B1885">
      <w:r w:rsidRPr="00462901">
        <w:t>6</w:t>
      </w:r>
      <w:r w:rsidRPr="00462901">
        <w:tab/>
        <w:t>to identify those items requiring urgent action by the radiocommunication study groups in preparation for the next world radiocommunication conference;</w:t>
      </w:r>
    </w:p>
    <w:p w14:paraId="4D309DDA" w14:textId="77777777" w:rsidR="007B1885" w:rsidRPr="00462901" w:rsidRDefault="00F7489E" w:rsidP="007B1885">
      <w:r w:rsidRPr="00462901">
        <w:t>7</w:t>
      </w:r>
      <w:r w:rsidRPr="00462901">
        <w:tab/>
        <w:t>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462901">
        <w:rPr>
          <w:b/>
          <w:bCs/>
        </w:rPr>
        <w:t xml:space="preserve">86 </w:t>
      </w:r>
      <w:r w:rsidRPr="00462901">
        <w:rPr>
          <w:b/>
          <w:bCs/>
          <w:lang w:eastAsia="ja-JP"/>
        </w:rPr>
        <w:t>(Rev.WRC</w:t>
      </w:r>
      <w:r w:rsidRPr="00462901">
        <w:rPr>
          <w:b/>
          <w:bCs/>
          <w:lang w:eastAsia="ja-JP"/>
        </w:rPr>
        <w:noBreakHyphen/>
        <w:t>07)</w:t>
      </w:r>
      <w:r w:rsidRPr="00462901">
        <w:rPr>
          <w:lang w:eastAsia="ja-JP"/>
        </w:rPr>
        <w:t>, in order to facilitate rational, efficient and economical use of radio frequencies and any associated orbits, including the geostationary</w:t>
      </w:r>
      <w:r w:rsidRPr="00462901">
        <w:rPr>
          <w:lang w:eastAsia="ja-JP"/>
        </w:rPr>
        <w:noBreakHyphen/>
        <w:t>satellite orbit</w:t>
      </w:r>
      <w:r w:rsidRPr="00462901">
        <w:t>;</w:t>
      </w:r>
    </w:p>
    <w:p w14:paraId="5D248D5C" w14:textId="77777777" w:rsidR="007B1885" w:rsidRPr="00462901" w:rsidRDefault="00F7489E" w:rsidP="007B1885">
      <w:r w:rsidRPr="00462901">
        <w:t>8</w:t>
      </w:r>
      <w:r w:rsidRPr="00462901">
        <w:tab/>
        <w:t>to consider and take appropriate action on requests from administrations to delete their country footnotes or to have their country name deleted from footnotes, if no longer required, taking into account Resolution </w:t>
      </w:r>
      <w:r w:rsidRPr="00462901">
        <w:rPr>
          <w:b/>
          <w:bCs/>
        </w:rPr>
        <w:t>26 (Rev.WRC</w:t>
      </w:r>
      <w:r w:rsidRPr="00462901">
        <w:rPr>
          <w:b/>
          <w:bCs/>
        </w:rPr>
        <w:noBreakHyphen/>
        <w:t>07)</w:t>
      </w:r>
      <w:r w:rsidRPr="00462901">
        <w:t>;</w:t>
      </w:r>
    </w:p>
    <w:p w14:paraId="5E4FE21B" w14:textId="77777777" w:rsidR="007B1885" w:rsidRPr="00462901" w:rsidRDefault="00F7489E" w:rsidP="007B1885">
      <w:r w:rsidRPr="00462901">
        <w:t>9</w:t>
      </w:r>
      <w:r w:rsidRPr="00462901">
        <w:tab/>
        <w:t>to consider and approve the Report of the Director of the Radiocommunication Bureau, in accordance with Article 7 of the Convention:</w:t>
      </w:r>
    </w:p>
    <w:p w14:paraId="39A1FDED" w14:textId="77777777" w:rsidR="007B1885" w:rsidRPr="00462901" w:rsidRDefault="00F7489E" w:rsidP="007B1885">
      <w:r w:rsidRPr="00462901">
        <w:t>9.1</w:t>
      </w:r>
      <w:r w:rsidRPr="00462901">
        <w:tab/>
        <w:t>on the activities of the Radiocommunication Sector since WRC</w:t>
      </w:r>
      <w:r w:rsidRPr="00462901">
        <w:noBreakHyphen/>
        <w:t>15;</w:t>
      </w:r>
    </w:p>
    <w:p w14:paraId="169737F4" w14:textId="77777777" w:rsidR="007B1885" w:rsidRPr="00462901" w:rsidRDefault="00F7489E" w:rsidP="007B1885">
      <w:r w:rsidRPr="00462901">
        <w:t>9.2</w:t>
      </w:r>
      <w:r w:rsidRPr="00462901">
        <w:tab/>
        <w:t>on any difficulties or inconsistencies encountered in the application of the Radio Regulations</w:t>
      </w:r>
      <w:r w:rsidRPr="00462901">
        <w:rPr>
          <w:rStyle w:val="FootnoteReference"/>
        </w:rPr>
        <w:footnoteReference w:customMarkFollows="1" w:id="2"/>
        <w:t>*</w:t>
      </w:r>
      <w:r w:rsidRPr="00462901">
        <w:t>; and</w:t>
      </w:r>
    </w:p>
    <w:p w14:paraId="424A50BA" w14:textId="77777777" w:rsidR="007B1885" w:rsidRPr="00462901" w:rsidRDefault="00F7489E" w:rsidP="007B1885">
      <w:r w:rsidRPr="00462901">
        <w:t>9.3</w:t>
      </w:r>
      <w:r w:rsidRPr="00462901">
        <w:tab/>
        <w:t>on action in response to Resolution </w:t>
      </w:r>
      <w:r w:rsidRPr="00462901">
        <w:rPr>
          <w:b/>
          <w:bCs/>
        </w:rPr>
        <w:t>80 (Rev.WRC</w:t>
      </w:r>
      <w:r w:rsidRPr="00462901">
        <w:rPr>
          <w:b/>
          <w:bCs/>
        </w:rPr>
        <w:noBreakHyphen/>
        <w:t>07)</w:t>
      </w:r>
      <w:r w:rsidRPr="00462901">
        <w:t>;</w:t>
      </w:r>
    </w:p>
    <w:p w14:paraId="3807B52E" w14:textId="0540A6B1" w:rsidR="007B1885" w:rsidRPr="00462901" w:rsidRDefault="00F7489E" w:rsidP="007B1885">
      <w:r w:rsidRPr="00462901">
        <w:t>10</w:t>
      </w:r>
      <w:r w:rsidRPr="00462901">
        <w:rPr>
          <w:b/>
          <w:bCs/>
        </w:rPr>
        <w:tab/>
      </w:r>
      <w:r w:rsidRPr="00462901">
        <w:t>to recommend to the Council items for inclusion in the agenda for the next WRC, and to give its views on the preliminary agenda for the subsequent conference and on possible agenda items for future conferences, in accordance with Article 7 of the Convention</w:t>
      </w:r>
      <w:r w:rsidR="00052171">
        <w:t>,</w:t>
      </w:r>
    </w:p>
    <w:p w14:paraId="1ABE75BD" w14:textId="77777777" w:rsidR="001D0B80" w:rsidRPr="00462901" w:rsidRDefault="00F7489E">
      <w:pPr>
        <w:pStyle w:val="Reasons"/>
      </w:pPr>
      <w:r w:rsidRPr="00462901">
        <w:rPr>
          <w:b/>
        </w:rPr>
        <w:t>Reasons:</w:t>
      </w:r>
      <w:r w:rsidRPr="00462901">
        <w:tab/>
        <w:t>Chinese only</w:t>
      </w:r>
      <w:r w:rsidR="005557D4" w:rsidRPr="00462901">
        <w:t>.</w:t>
      </w:r>
    </w:p>
    <w:p w14:paraId="17B786D7" w14:textId="77777777" w:rsidR="007B1885" w:rsidRPr="00462901" w:rsidRDefault="00F7489E" w:rsidP="007B1885">
      <w:pPr>
        <w:pStyle w:val="ResNo"/>
      </w:pPr>
      <w:bookmarkStart w:id="27" w:name="_Toc450048872"/>
      <w:r w:rsidRPr="00462901">
        <w:lastRenderedPageBreak/>
        <w:t xml:space="preserve">RESOLUTION </w:t>
      </w:r>
      <w:r w:rsidRPr="00462901">
        <w:rPr>
          <w:rStyle w:val="href"/>
        </w:rPr>
        <w:t>958</w:t>
      </w:r>
      <w:r w:rsidRPr="00462901">
        <w:t xml:space="preserve"> (WRC-15)</w:t>
      </w:r>
      <w:bookmarkEnd w:id="27"/>
    </w:p>
    <w:p w14:paraId="76BC9BE7" w14:textId="77777777" w:rsidR="007B1885" w:rsidRPr="00462901" w:rsidRDefault="00F7489E" w:rsidP="007B1885">
      <w:pPr>
        <w:pStyle w:val="Restitle"/>
      </w:pPr>
      <w:bookmarkStart w:id="28" w:name="_Toc450048873"/>
      <w:r w:rsidRPr="00462901">
        <w:t>Urgent studies required in preparation for the</w:t>
      </w:r>
      <w:r w:rsidRPr="00462901">
        <w:br/>
        <w:t>2019 World Radiocommunication Conference</w:t>
      </w:r>
      <w:bookmarkEnd w:id="28"/>
    </w:p>
    <w:p w14:paraId="3CB5D6CB" w14:textId="77777777" w:rsidR="001D0B80" w:rsidRPr="00462901" w:rsidRDefault="00A514BD">
      <w:pPr>
        <w:pStyle w:val="Proposal"/>
      </w:pPr>
      <w:r w:rsidRPr="00462901">
        <w:t>(MOD)</w:t>
      </w:r>
      <w:r w:rsidR="00F7489E" w:rsidRPr="00462901">
        <w:tab/>
        <w:t>CHN/209/10</w:t>
      </w:r>
    </w:p>
    <w:p w14:paraId="26FDF68D" w14:textId="77777777" w:rsidR="007B1885" w:rsidRPr="00462901" w:rsidRDefault="00F7489E" w:rsidP="007B1885">
      <w:pPr>
        <w:pStyle w:val="AnnexNo"/>
      </w:pPr>
      <w:r w:rsidRPr="00462901">
        <w:t>ANNEX TO RESOLUTION 958 (WRC-15)</w:t>
      </w:r>
    </w:p>
    <w:p w14:paraId="77E839AA" w14:textId="77777777" w:rsidR="007B1885" w:rsidRPr="00462901" w:rsidRDefault="00F7489E" w:rsidP="007B1885">
      <w:pPr>
        <w:pStyle w:val="Annextitle"/>
      </w:pPr>
      <w:r w:rsidRPr="00462901">
        <w:t xml:space="preserve">Urgent studies required in preparation for the </w:t>
      </w:r>
      <w:r w:rsidRPr="00462901">
        <w:br/>
        <w:t>2019 World Radiocommunication Conference</w:t>
      </w:r>
    </w:p>
    <w:p w14:paraId="22F922AD" w14:textId="77777777" w:rsidR="007B1885" w:rsidRPr="00462901" w:rsidRDefault="00F7489E" w:rsidP="00075111">
      <w:pPr>
        <w:pStyle w:val="Normalaftertitle"/>
      </w:pPr>
      <w:r w:rsidRPr="00462901">
        <w:t>1)</w:t>
      </w:r>
      <w:r w:rsidRPr="00462901">
        <w:tab/>
        <w:t>Studies concerning Wireless Power Transmission (WPT) for electric vehicles:</w:t>
      </w:r>
    </w:p>
    <w:p w14:paraId="4AB3FA53" w14:textId="77777777" w:rsidR="007B1885" w:rsidRPr="00462901" w:rsidRDefault="00F7489E" w:rsidP="007B1885">
      <w:pPr>
        <w:pStyle w:val="enumlev1"/>
      </w:pPr>
      <w:r w:rsidRPr="00462901">
        <w:t>a)</w:t>
      </w:r>
      <w:r w:rsidRPr="00462901">
        <w:tab/>
        <w:t>to assess the impact of WPT for electric vehicles on radiocommunication services;</w:t>
      </w:r>
    </w:p>
    <w:p w14:paraId="759713D2" w14:textId="77777777" w:rsidR="007B1885" w:rsidRPr="00462901" w:rsidRDefault="00F7489E" w:rsidP="007B1885">
      <w:pPr>
        <w:pStyle w:val="enumlev1"/>
      </w:pPr>
      <w:r w:rsidRPr="00462901">
        <w:t>b)</w:t>
      </w:r>
      <w:r w:rsidRPr="00462901">
        <w:tab/>
        <w:t>to study suitable harmonized frequency ranges which would minimize the impact on radiocommunication services from WPT for electrical vehicles.</w:t>
      </w:r>
    </w:p>
    <w:p w14:paraId="3FE05F0B" w14:textId="77777777" w:rsidR="007B1885" w:rsidRPr="00462901" w:rsidRDefault="00F7489E" w:rsidP="007B1885">
      <w:r w:rsidRPr="00462901">
        <w:rPr>
          <w:lang w:eastAsia="zh-CN"/>
        </w:rPr>
        <w:t>These studies should take into account that the International Electrotechnical Commission (IEC), the International Organization for Standardization (ISO) and the Society of Automotive Engineers (SAE) are in the process of approving standards intended for global and regional harmonization of WPT technologies for electric vehicles</w:t>
      </w:r>
      <w:r w:rsidRPr="00462901">
        <w:t>.</w:t>
      </w:r>
    </w:p>
    <w:p w14:paraId="1DAAF74C" w14:textId="77777777" w:rsidR="007B1885" w:rsidRPr="00462901" w:rsidRDefault="00F7489E" w:rsidP="00075111">
      <w:pPr>
        <w:pStyle w:val="enumlev1"/>
      </w:pPr>
      <w:r w:rsidRPr="00462901">
        <w:t>2)</w:t>
      </w:r>
      <w:r w:rsidRPr="00462901">
        <w:tab/>
        <w:t>Studies to examine:</w:t>
      </w:r>
    </w:p>
    <w:p w14:paraId="42DDF155" w14:textId="77777777" w:rsidR="007B1885" w:rsidRPr="00462901" w:rsidRDefault="00F7489E" w:rsidP="007B1885">
      <w:pPr>
        <w:pStyle w:val="enumlev1"/>
      </w:pPr>
      <w:r w:rsidRPr="00462901">
        <w:t>a)</w:t>
      </w:r>
      <w:r w:rsidRPr="00462901">
        <w:tab/>
        <w:t>whether there is a need for possible additional measures in order</w:t>
      </w:r>
      <w:r w:rsidRPr="00462901">
        <w:rPr>
          <w:lang w:eastAsia="zh-CN"/>
        </w:rPr>
        <w:t xml:space="preserve"> to limit uplink transmissions of terminals to those authorized terminals in accordance with No.</w:t>
      </w:r>
      <w:r w:rsidRPr="00462901">
        <w:rPr>
          <w:b/>
          <w:bCs/>
          <w:lang w:eastAsia="zh-CN"/>
        </w:rPr>
        <w:t> </w:t>
      </w:r>
      <w:r w:rsidRPr="00462901">
        <w:rPr>
          <w:rStyle w:val="Artref"/>
          <w:b/>
          <w:bCs/>
        </w:rPr>
        <w:t>18.1</w:t>
      </w:r>
      <w:r w:rsidRPr="00462901">
        <w:rPr>
          <w:lang w:eastAsia="zh-CN"/>
        </w:rPr>
        <w:t xml:space="preserve">; </w:t>
      </w:r>
    </w:p>
    <w:p w14:paraId="578011BC" w14:textId="77777777" w:rsidR="007B1885" w:rsidRPr="00462901" w:rsidRDefault="00F7489E" w:rsidP="007B1885">
      <w:pPr>
        <w:pStyle w:val="enumlev1"/>
      </w:pPr>
      <w:r w:rsidRPr="00462901">
        <w:t>b)</w:t>
      </w:r>
      <w:r w:rsidRPr="00462901">
        <w:tab/>
        <w:t>the possible methods that will assist administrations in managing the unauthorized operation of earth station terminals deployed within its territory, as a tool to guide their national spectrum management programme, in accordance with Resolution ITU</w:t>
      </w:r>
      <w:r w:rsidRPr="00462901">
        <w:noBreakHyphen/>
        <w:t>R 64 (RA</w:t>
      </w:r>
      <w:r w:rsidRPr="00462901">
        <w:noBreakHyphen/>
        <w:t>15).</w:t>
      </w:r>
    </w:p>
    <w:p w14:paraId="67353A8D" w14:textId="77777777" w:rsidR="007B1885" w:rsidRPr="00462901" w:rsidRDefault="00F7489E" w:rsidP="006C61D1">
      <w:r w:rsidRPr="00462901">
        <w:t>3)</w:t>
      </w:r>
      <w:r w:rsidRPr="00462901">
        <w:tab/>
        <w:t>Studies on the technical and operational aspects of radio networks and systems, as well as spectrum needed, including possible harmonized use of spectrum to support the implementation of narrowband and broadband machine-type communication infrastructures, in order to develop Recommendations, Reports and/or Handbooks, as appropriate, and to take appropriate actions within the ITU Radiocommunication Sector (ITU-R) scope of work</w:t>
      </w:r>
      <w:r w:rsidR="003C7CC8" w:rsidRPr="00462901">
        <w:t>.</w:t>
      </w:r>
    </w:p>
    <w:p w14:paraId="00142A96" w14:textId="77777777" w:rsidR="001D0B80" w:rsidRPr="00462901" w:rsidRDefault="00F7489E">
      <w:pPr>
        <w:pStyle w:val="Reasons"/>
      </w:pPr>
      <w:r w:rsidRPr="00462901">
        <w:rPr>
          <w:b/>
        </w:rPr>
        <w:t>Reasons:</w:t>
      </w:r>
      <w:r w:rsidRPr="00462901">
        <w:tab/>
        <w:t>Chinese only</w:t>
      </w:r>
      <w:r w:rsidR="005557D4" w:rsidRPr="00462901">
        <w:t>.</w:t>
      </w:r>
    </w:p>
    <w:p w14:paraId="20B27D88" w14:textId="77777777" w:rsidR="005557D4" w:rsidRPr="00462901" w:rsidRDefault="005557D4" w:rsidP="005557D4"/>
    <w:p w14:paraId="7A86975B" w14:textId="77777777" w:rsidR="005557D4" w:rsidRDefault="005557D4" w:rsidP="005557D4">
      <w:pPr>
        <w:jc w:val="center"/>
      </w:pPr>
      <w:r w:rsidRPr="00462901">
        <w:t>______________</w:t>
      </w:r>
    </w:p>
    <w:sectPr w:rsidR="005557D4">
      <w:headerReference w:type="default" r:id="rId13"/>
      <w:footerReference w:type="even" r:id="rId14"/>
      <w:footerReference w:type="default" r:id="rId15"/>
      <w:footerReference w:type="first" r:id="rId16"/>
      <w:type w:val="nextColumn"/>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3B1307" w14:textId="77777777" w:rsidR="00EB6B64" w:rsidRDefault="00EB6B64">
      <w:r>
        <w:separator/>
      </w:r>
    </w:p>
  </w:endnote>
  <w:endnote w:type="continuationSeparator" w:id="0">
    <w:p w14:paraId="6A564A0D" w14:textId="77777777" w:rsidR="00EB6B64" w:rsidRDefault="00EB6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A23F8" w14:textId="77777777" w:rsidR="00E45D05" w:rsidRDefault="00E45D05">
    <w:pPr>
      <w:framePr w:wrap="around" w:vAnchor="text" w:hAnchor="margin" w:xAlign="right" w:y="1"/>
    </w:pPr>
    <w:r>
      <w:fldChar w:fldCharType="begin"/>
    </w:r>
    <w:r>
      <w:instrText xml:space="preserve">PAGE  </w:instrText>
    </w:r>
    <w:r>
      <w:fldChar w:fldCharType="end"/>
    </w:r>
  </w:p>
  <w:p w14:paraId="65E2DBD3" w14:textId="2D4706AD"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7489E">
      <w:rPr>
        <w:noProof/>
        <w:lang w:val="en-US"/>
      </w:rPr>
      <w:t>\\BLUE\dfs\WRC19-SYNC\APP\WRC-19\DOC\INPUT\209E.docx</w:t>
    </w:r>
    <w:r>
      <w:fldChar w:fldCharType="end"/>
    </w:r>
    <w:r w:rsidRPr="0041348E">
      <w:rPr>
        <w:lang w:val="en-US"/>
      </w:rPr>
      <w:tab/>
    </w:r>
    <w:r>
      <w:fldChar w:fldCharType="begin"/>
    </w:r>
    <w:r>
      <w:instrText xml:space="preserve"> SAVEDATE \@ DD.MM.YY </w:instrText>
    </w:r>
    <w:r>
      <w:fldChar w:fldCharType="separate"/>
    </w:r>
    <w:r w:rsidR="00DE0155">
      <w:rPr>
        <w:noProof/>
      </w:rPr>
      <w:t>07.11.19</w:t>
    </w:r>
    <w:r>
      <w:fldChar w:fldCharType="end"/>
    </w:r>
    <w:r w:rsidRPr="0041348E">
      <w:rPr>
        <w:lang w:val="en-US"/>
      </w:rPr>
      <w:tab/>
    </w:r>
    <w:r>
      <w:fldChar w:fldCharType="begin"/>
    </w:r>
    <w:r>
      <w:instrText xml:space="preserve"> PRINTDATE \@ DD.MM.YY </w:instrText>
    </w:r>
    <w:r>
      <w:fldChar w:fldCharType="separate"/>
    </w:r>
    <w:r w:rsidR="00F7489E">
      <w:rPr>
        <w:noProof/>
      </w:rPr>
      <w:t>07.11.19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C5B86" w14:textId="5DAE652E" w:rsidR="00E45D05" w:rsidRDefault="00E45D05" w:rsidP="009B1EA1">
    <w:pPr>
      <w:pStyle w:val="Footer"/>
    </w:pPr>
    <w:r>
      <w:fldChar w:fldCharType="begin"/>
    </w:r>
    <w:r w:rsidRPr="0041348E">
      <w:rPr>
        <w:lang w:val="en-US"/>
      </w:rPr>
      <w:instrText xml:space="preserve"> FILENAME \p  \* MERGEFORMAT </w:instrText>
    </w:r>
    <w:r>
      <w:fldChar w:fldCharType="separate"/>
    </w:r>
    <w:r w:rsidR="006A7C03">
      <w:rPr>
        <w:lang w:val="en-US"/>
      </w:rPr>
      <w:t>P:\ENG\ITU-R\CONF-R\CMR19\200\209E.docx</w:t>
    </w:r>
    <w:r>
      <w:fldChar w:fldCharType="end"/>
    </w:r>
    <w:r w:rsidR="006A7C03">
      <w:t xml:space="preserve"> (463862)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667E3" w14:textId="0C2850ED"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6A7C03">
      <w:rPr>
        <w:lang w:val="en-US"/>
      </w:rPr>
      <w:t>P:\ENG\ITU-R\CONF-R\CMR19\200\209E.docx</w:t>
    </w:r>
    <w:r>
      <w:fldChar w:fldCharType="end"/>
    </w:r>
    <w:r w:rsidR="006A7C03">
      <w:t xml:space="preserve"> (463862)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E61091" w14:textId="77777777" w:rsidR="00EB6B64" w:rsidRDefault="00EB6B64">
      <w:r>
        <w:rPr>
          <w:b/>
        </w:rPr>
        <w:t>_______________</w:t>
      </w:r>
    </w:p>
  </w:footnote>
  <w:footnote w:type="continuationSeparator" w:id="0">
    <w:p w14:paraId="57EC98AC" w14:textId="77777777" w:rsidR="00EB6B64" w:rsidRDefault="00EB6B64">
      <w:r>
        <w:continuationSeparator/>
      </w:r>
    </w:p>
  </w:footnote>
  <w:footnote w:id="1">
    <w:p w14:paraId="26E71D75" w14:textId="77777777" w:rsidR="006C1544" w:rsidRPr="006C1544" w:rsidRDefault="00F7489E">
      <w:pPr>
        <w:pStyle w:val="FootnoteText"/>
        <w:rPr>
          <w:lang w:val="en-US"/>
        </w:rPr>
      </w:pPr>
      <w:r>
        <w:rPr>
          <w:rStyle w:val="FootnoteReference"/>
        </w:rPr>
        <w:t>*</w:t>
      </w:r>
      <w:r>
        <w:t xml:space="preserve"> </w:t>
      </w:r>
      <w:r>
        <w:rPr>
          <w:lang w:val="en-US"/>
        </w:rPr>
        <w:tab/>
      </w:r>
      <w:r w:rsidRPr="00C22E98">
        <w:t>This agenda item is strictly limited to the Report of the Director on any difficulties or inconsistencies encountered in the application of the Radio Regulations and the comments from administrations</w:t>
      </w:r>
      <w:r>
        <w:t>.</w:t>
      </w:r>
    </w:p>
  </w:footnote>
  <w:footnote w:id="2">
    <w:p w14:paraId="0B61E55A" w14:textId="77777777" w:rsidR="00875133" w:rsidRPr="00326597" w:rsidRDefault="00F7489E" w:rsidP="007B1885">
      <w:pPr>
        <w:pStyle w:val="FootnoteText"/>
        <w:rPr>
          <w:lang w:val="en-US"/>
        </w:rPr>
      </w:pPr>
      <w:r>
        <w:rPr>
          <w:rStyle w:val="FootnoteReference"/>
        </w:rPr>
        <w:t>*</w:t>
      </w:r>
      <w:r>
        <w:t xml:space="preserve"> </w:t>
      </w:r>
      <w:r>
        <w:rPr>
          <w:lang w:val="en-US"/>
        </w:rPr>
        <w:tab/>
        <w:t>This agenda item is strictly limited to the Report of the Director on any difficulties or inconsistencies encountered in the application of the Radio Regulations and the comments from administrations.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695C8" w14:textId="77777777" w:rsidR="00E45D05" w:rsidRDefault="00A066F1" w:rsidP="00187BD9">
    <w:pPr>
      <w:pStyle w:val="Header"/>
    </w:pPr>
    <w:r>
      <w:fldChar w:fldCharType="begin"/>
    </w:r>
    <w:r>
      <w:instrText xml:space="preserve"> PAGE  \* MERGEFORMAT </w:instrText>
    </w:r>
    <w:r>
      <w:fldChar w:fldCharType="separate"/>
    </w:r>
    <w:r w:rsidR="00462901">
      <w:rPr>
        <w:noProof/>
      </w:rPr>
      <w:t>3</w:t>
    </w:r>
    <w:r>
      <w:fldChar w:fldCharType="end"/>
    </w:r>
  </w:p>
  <w:p w14:paraId="199CC6B1" w14:textId="77777777" w:rsidR="00A066F1" w:rsidRPr="00A066F1" w:rsidRDefault="00187BD9" w:rsidP="00241FA2">
    <w:pPr>
      <w:pStyle w:val="Header"/>
    </w:pPr>
    <w:r>
      <w:t>CMR1</w:t>
    </w:r>
    <w:r w:rsidR="00202756">
      <w:t>9</w:t>
    </w:r>
    <w:r w:rsidR="00A066F1">
      <w:t>/</w:t>
    </w:r>
    <w:bookmarkStart w:id="29" w:name="OLE_LINK1"/>
    <w:bookmarkStart w:id="30" w:name="OLE_LINK2"/>
    <w:bookmarkStart w:id="31" w:name="OLE_LINK3"/>
    <w:r w:rsidR="00EB55C6">
      <w:t>209</w:t>
    </w:r>
    <w:bookmarkEnd w:id="29"/>
    <w:bookmarkEnd w:id="30"/>
    <w:bookmarkEnd w:id="31"/>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52171"/>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87BD9"/>
    <w:rsid w:val="00190B55"/>
    <w:rsid w:val="001C3B5F"/>
    <w:rsid w:val="001D058F"/>
    <w:rsid w:val="001D0B80"/>
    <w:rsid w:val="002009EA"/>
    <w:rsid w:val="00202756"/>
    <w:rsid w:val="00202CA0"/>
    <w:rsid w:val="00216B6D"/>
    <w:rsid w:val="00241FA2"/>
    <w:rsid w:val="00271316"/>
    <w:rsid w:val="002B349C"/>
    <w:rsid w:val="002D58BE"/>
    <w:rsid w:val="002F4747"/>
    <w:rsid w:val="00302605"/>
    <w:rsid w:val="00361B37"/>
    <w:rsid w:val="00377BD3"/>
    <w:rsid w:val="00384088"/>
    <w:rsid w:val="003852CE"/>
    <w:rsid w:val="0039169B"/>
    <w:rsid w:val="003A7F8C"/>
    <w:rsid w:val="003B2284"/>
    <w:rsid w:val="003B532E"/>
    <w:rsid w:val="003C7CC8"/>
    <w:rsid w:val="003D0F8B"/>
    <w:rsid w:val="003E0DB6"/>
    <w:rsid w:val="0041348E"/>
    <w:rsid w:val="00420873"/>
    <w:rsid w:val="00462901"/>
    <w:rsid w:val="00492075"/>
    <w:rsid w:val="004969AD"/>
    <w:rsid w:val="004A26C4"/>
    <w:rsid w:val="004B13CB"/>
    <w:rsid w:val="004D26EA"/>
    <w:rsid w:val="004D2BFB"/>
    <w:rsid w:val="004D5D5C"/>
    <w:rsid w:val="004F3DC0"/>
    <w:rsid w:val="0050139F"/>
    <w:rsid w:val="0055140B"/>
    <w:rsid w:val="005557D4"/>
    <w:rsid w:val="005964A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A7C03"/>
    <w:rsid w:val="006B7C2A"/>
    <w:rsid w:val="006C23DA"/>
    <w:rsid w:val="006E3D45"/>
    <w:rsid w:val="006E650C"/>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B43F2"/>
    <w:rsid w:val="008B6CFF"/>
    <w:rsid w:val="00911B4D"/>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14BD"/>
    <w:rsid w:val="00A538A6"/>
    <w:rsid w:val="00A54C25"/>
    <w:rsid w:val="00A66FDD"/>
    <w:rsid w:val="00A710E7"/>
    <w:rsid w:val="00A7372E"/>
    <w:rsid w:val="00A93B85"/>
    <w:rsid w:val="00AA0B18"/>
    <w:rsid w:val="00AA3C65"/>
    <w:rsid w:val="00AA666F"/>
    <w:rsid w:val="00AD7914"/>
    <w:rsid w:val="00AE514B"/>
    <w:rsid w:val="00B40888"/>
    <w:rsid w:val="00B639E9"/>
    <w:rsid w:val="00B817CD"/>
    <w:rsid w:val="00B81A7D"/>
    <w:rsid w:val="00B94AD0"/>
    <w:rsid w:val="00BB3A95"/>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44AF"/>
    <w:rsid w:val="00DE0155"/>
    <w:rsid w:val="00DE2AC3"/>
    <w:rsid w:val="00DE5692"/>
    <w:rsid w:val="00DE6300"/>
    <w:rsid w:val="00DF4BC6"/>
    <w:rsid w:val="00E03C94"/>
    <w:rsid w:val="00E205BC"/>
    <w:rsid w:val="00E26226"/>
    <w:rsid w:val="00E45D05"/>
    <w:rsid w:val="00E55816"/>
    <w:rsid w:val="00E55AEF"/>
    <w:rsid w:val="00E976C1"/>
    <w:rsid w:val="00EA12E5"/>
    <w:rsid w:val="00EB55C6"/>
    <w:rsid w:val="00EB6B64"/>
    <w:rsid w:val="00EF1932"/>
    <w:rsid w:val="00EF71B6"/>
    <w:rsid w:val="00F02766"/>
    <w:rsid w:val="00F05BD4"/>
    <w:rsid w:val="00F06473"/>
    <w:rsid w:val="00F47D7F"/>
    <w:rsid w:val="00F6155B"/>
    <w:rsid w:val="00F65C19"/>
    <w:rsid w:val="00F7489E"/>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0A2841A"/>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character" w:customStyle="1" w:styleId="ArtrefBold">
    <w:name w:val="Art_ref + Bold"/>
    <w:basedOn w:val="Artref"/>
    <w:rsid w:val="009B463A"/>
    <w:rPr>
      <w:b/>
      <w:bCs/>
      <w:color w:val="auto"/>
    </w:rPr>
  </w:style>
  <w:style w:type="character" w:customStyle="1" w:styleId="ApprefBold">
    <w:name w:val="App_ref +  Bold"/>
    <w:basedOn w:val="DefaultParagraphFont"/>
    <w:rsid w:val="009B463A"/>
    <w:rPr>
      <w:b/>
      <w:color w:val="auto"/>
    </w:rPr>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R16-WRC19-C-0209!!MSW-E</DPM_x0020_File_x0020_name>
    <DPM_x0020_Author xmlns="32a1a8c5-2265-4ebc-b7a0-2071e2c5c9bb" xsi:nil="false">DPM</DPM_x0020_Author>
    <DPM_x0020_Version xmlns="32a1a8c5-2265-4ebc-b7a0-2071e2c5c9bb" xsi:nil="false">DPM_2019.11.06.03</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A0AA34-C536-4501-990C-909469D25145}">
  <ds:schemaRefs>
    <ds:schemaRef ds:uri="http://www.w3.org/XML/1998/namespace"/>
    <ds:schemaRef ds:uri="http://purl.org/dc/terms/"/>
    <ds:schemaRef ds:uri="http://purl.org/dc/elements/1.1/"/>
    <ds:schemaRef ds:uri="32a1a8c5-2265-4ebc-b7a0-2071e2c5c9bb"/>
    <ds:schemaRef ds:uri="http://purl.org/dc/dcmitype/"/>
    <ds:schemaRef ds:uri="996b2e75-67fd-4955-a3b0-5ab9934cb50b"/>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9F4446C7-19C3-42B4-B620-2DD8C961DA54}">
  <ds:schemaRefs>
    <ds:schemaRef ds:uri="http://schemas.microsoft.com/sharepoint/v3/contenttype/forms"/>
  </ds:schemaRefs>
</ds:datastoreItem>
</file>

<file path=customXml/itemProps5.xml><?xml version="1.0" encoding="utf-8"?>
<ds:datastoreItem xmlns:ds="http://schemas.openxmlformats.org/officeDocument/2006/customXml" ds:itemID="{76B83585-C3E1-47E5-A078-C8DEA3D46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3621</Words>
  <Characters>20833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R16-WRC19-C-0209!!MSW-E</vt:lpstr>
    </vt:vector>
  </TitlesOfParts>
  <Manager>General Secretariat - Pool</Manager>
  <Company>International Telecommunication Union (ITU)</Company>
  <LinksUpToDate>false</LinksUpToDate>
  <CharactersWithSpaces>24406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R16-WRC19-C-0209!!MSW-E</dc:title>
  <dc:subject>World Radiocommunication Conference - 2019</dc:subject>
  <dc:creator>Documents Proposals Manager (DPM)</dc:creator>
  <cp:keywords>DPM_v2019.11.6.2_prod</cp:keywords>
  <dc:description>Uploaded on 2015.07.06</dc:description>
  <cp:lastModifiedBy>Turnbull, Karen</cp:lastModifiedBy>
  <cp:revision>5</cp:revision>
  <cp:lastPrinted>2019-11-07T08:30:00Z</cp:lastPrinted>
  <dcterms:created xsi:type="dcterms:W3CDTF">2019-11-07T10:07:00Z</dcterms:created>
  <dcterms:modified xsi:type="dcterms:W3CDTF">2019-11-07T10:25:00Z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