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A01BA" w14:paraId="3B19A11C" w14:textId="77777777" w:rsidTr="0050008E">
        <w:trPr>
          <w:cantSplit/>
        </w:trPr>
        <w:tc>
          <w:tcPr>
            <w:tcW w:w="6911" w:type="dxa"/>
          </w:tcPr>
          <w:p w14:paraId="03AC2725" w14:textId="77777777" w:rsidR="0090121B" w:rsidRPr="006A01BA" w:rsidRDefault="005D46FB" w:rsidP="00C44E9E">
            <w:pPr>
              <w:spacing w:before="400" w:after="48" w:line="240" w:lineRule="atLeast"/>
              <w:rPr>
                <w:rFonts w:ascii="Verdana" w:hAnsi="Verdana"/>
                <w:position w:val="6"/>
                <w:lang w:val="es-ES"/>
              </w:rPr>
            </w:pPr>
            <w:r w:rsidRPr="006A01BA">
              <w:rPr>
                <w:rFonts w:ascii="Verdana" w:hAnsi="Verdana" w:cs="Times"/>
                <w:b/>
                <w:position w:val="6"/>
                <w:sz w:val="20"/>
                <w:lang w:val="es-ES"/>
              </w:rPr>
              <w:t>Conferencia Mundial de Radiocomunicaciones (CMR-1</w:t>
            </w:r>
            <w:r w:rsidR="00C44E9E" w:rsidRPr="006A01BA">
              <w:rPr>
                <w:rFonts w:ascii="Verdana" w:hAnsi="Verdana" w:cs="Times"/>
                <w:b/>
                <w:position w:val="6"/>
                <w:sz w:val="20"/>
                <w:lang w:val="es-ES"/>
              </w:rPr>
              <w:t>9</w:t>
            </w:r>
            <w:r w:rsidRPr="006A01BA">
              <w:rPr>
                <w:rFonts w:ascii="Verdana" w:hAnsi="Verdana" w:cs="Times"/>
                <w:b/>
                <w:position w:val="6"/>
                <w:sz w:val="20"/>
                <w:lang w:val="es-ES"/>
              </w:rPr>
              <w:t>)</w:t>
            </w:r>
            <w:r w:rsidRPr="006A01BA">
              <w:rPr>
                <w:rFonts w:ascii="Verdana" w:hAnsi="Verdana" w:cs="Times"/>
                <w:b/>
                <w:position w:val="6"/>
                <w:sz w:val="20"/>
                <w:lang w:val="es-ES"/>
              </w:rPr>
              <w:br/>
            </w:r>
            <w:r w:rsidR="006124AD" w:rsidRPr="006A01BA">
              <w:rPr>
                <w:rFonts w:ascii="Verdana" w:hAnsi="Verdana"/>
                <w:b/>
                <w:bCs/>
                <w:position w:val="6"/>
                <w:sz w:val="17"/>
                <w:szCs w:val="17"/>
                <w:lang w:val="es-ES"/>
              </w:rPr>
              <w:t>Sharm el-Sheikh (Egipto)</w:t>
            </w:r>
            <w:r w:rsidRPr="006A01BA">
              <w:rPr>
                <w:rFonts w:ascii="Verdana" w:hAnsi="Verdana"/>
                <w:b/>
                <w:bCs/>
                <w:position w:val="6"/>
                <w:sz w:val="17"/>
                <w:szCs w:val="17"/>
                <w:lang w:val="es-ES"/>
              </w:rPr>
              <w:t>, 2</w:t>
            </w:r>
            <w:r w:rsidR="00C44E9E" w:rsidRPr="006A01BA">
              <w:rPr>
                <w:rFonts w:ascii="Verdana" w:hAnsi="Verdana"/>
                <w:b/>
                <w:bCs/>
                <w:position w:val="6"/>
                <w:sz w:val="17"/>
                <w:szCs w:val="17"/>
                <w:lang w:val="es-ES"/>
              </w:rPr>
              <w:t xml:space="preserve">8 de octubre </w:t>
            </w:r>
            <w:r w:rsidR="00DE1C31" w:rsidRPr="006A01BA">
              <w:rPr>
                <w:rFonts w:ascii="Verdana" w:hAnsi="Verdana"/>
                <w:b/>
                <w:bCs/>
                <w:position w:val="6"/>
                <w:sz w:val="17"/>
                <w:szCs w:val="17"/>
                <w:lang w:val="es-ES"/>
              </w:rPr>
              <w:t>–</w:t>
            </w:r>
            <w:r w:rsidR="00C44E9E" w:rsidRPr="006A01BA">
              <w:rPr>
                <w:rFonts w:ascii="Verdana" w:hAnsi="Verdana"/>
                <w:b/>
                <w:bCs/>
                <w:position w:val="6"/>
                <w:sz w:val="17"/>
                <w:szCs w:val="17"/>
                <w:lang w:val="es-ES"/>
              </w:rPr>
              <w:t xml:space="preserve"> </w:t>
            </w:r>
            <w:r w:rsidRPr="006A01BA">
              <w:rPr>
                <w:rFonts w:ascii="Verdana" w:hAnsi="Verdana"/>
                <w:b/>
                <w:bCs/>
                <w:position w:val="6"/>
                <w:sz w:val="17"/>
                <w:szCs w:val="17"/>
                <w:lang w:val="es-ES"/>
              </w:rPr>
              <w:t>2</w:t>
            </w:r>
            <w:r w:rsidR="00C44E9E" w:rsidRPr="006A01BA">
              <w:rPr>
                <w:rFonts w:ascii="Verdana" w:hAnsi="Verdana"/>
                <w:b/>
                <w:bCs/>
                <w:position w:val="6"/>
                <w:sz w:val="17"/>
                <w:szCs w:val="17"/>
                <w:lang w:val="es-ES"/>
              </w:rPr>
              <w:t>2</w:t>
            </w:r>
            <w:r w:rsidRPr="006A01BA">
              <w:rPr>
                <w:rFonts w:ascii="Verdana" w:hAnsi="Verdana"/>
                <w:b/>
                <w:bCs/>
                <w:position w:val="6"/>
                <w:sz w:val="17"/>
                <w:szCs w:val="17"/>
                <w:lang w:val="es-ES"/>
              </w:rPr>
              <w:t xml:space="preserve"> de noviembre de 201</w:t>
            </w:r>
            <w:r w:rsidR="00C44E9E" w:rsidRPr="006A01BA">
              <w:rPr>
                <w:rFonts w:ascii="Verdana" w:hAnsi="Verdana"/>
                <w:b/>
                <w:bCs/>
                <w:position w:val="6"/>
                <w:sz w:val="17"/>
                <w:szCs w:val="17"/>
                <w:lang w:val="es-ES"/>
              </w:rPr>
              <w:t>9</w:t>
            </w:r>
          </w:p>
        </w:tc>
        <w:tc>
          <w:tcPr>
            <w:tcW w:w="3120" w:type="dxa"/>
          </w:tcPr>
          <w:p w14:paraId="7E667168" w14:textId="77777777" w:rsidR="0090121B" w:rsidRPr="006A01BA" w:rsidRDefault="00DA71A3" w:rsidP="00CE7431">
            <w:pPr>
              <w:spacing w:before="0" w:line="240" w:lineRule="atLeast"/>
              <w:jc w:val="right"/>
              <w:rPr>
                <w:lang w:val="es-ES"/>
              </w:rPr>
            </w:pPr>
            <w:r w:rsidRPr="006A01BA">
              <w:rPr>
                <w:rFonts w:ascii="Verdana" w:hAnsi="Verdana"/>
                <w:b/>
                <w:bCs/>
                <w:noProof/>
                <w:szCs w:val="24"/>
                <w:lang w:val="es-ES" w:eastAsia="zh-CN"/>
              </w:rPr>
              <w:drawing>
                <wp:inline distT="0" distB="0" distL="0" distR="0" wp14:anchorId="4CDC7D27" wp14:editId="41BA3070">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6A01BA" w14:paraId="34CF493C" w14:textId="77777777" w:rsidTr="0050008E">
        <w:trPr>
          <w:cantSplit/>
        </w:trPr>
        <w:tc>
          <w:tcPr>
            <w:tcW w:w="6911" w:type="dxa"/>
            <w:tcBorders>
              <w:bottom w:val="single" w:sz="12" w:space="0" w:color="auto"/>
            </w:tcBorders>
          </w:tcPr>
          <w:p w14:paraId="6146929A" w14:textId="77777777" w:rsidR="0090121B" w:rsidRPr="006A01BA" w:rsidRDefault="0090121B" w:rsidP="0090121B">
            <w:pPr>
              <w:spacing w:before="0" w:after="48" w:line="240" w:lineRule="atLeast"/>
              <w:rPr>
                <w:b/>
                <w:smallCaps/>
                <w:szCs w:val="24"/>
                <w:lang w:val="es-ES"/>
              </w:rPr>
            </w:pPr>
            <w:bookmarkStart w:id="0" w:name="dhead"/>
          </w:p>
        </w:tc>
        <w:tc>
          <w:tcPr>
            <w:tcW w:w="3120" w:type="dxa"/>
            <w:tcBorders>
              <w:bottom w:val="single" w:sz="12" w:space="0" w:color="auto"/>
            </w:tcBorders>
          </w:tcPr>
          <w:p w14:paraId="6B72F935" w14:textId="77777777" w:rsidR="0090121B" w:rsidRPr="006A01BA" w:rsidRDefault="0090121B" w:rsidP="0090121B">
            <w:pPr>
              <w:spacing w:before="0" w:line="240" w:lineRule="atLeast"/>
              <w:rPr>
                <w:rFonts w:ascii="Verdana" w:hAnsi="Verdana"/>
                <w:szCs w:val="24"/>
                <w:lang w:val="es-ES"/>
              </w:rPr>
            </w:pPr>
          </w:p>
        </w:tc>
      </w:tr>
      <w:tr w:rsidR="0090121B" w:rsidRPr="006A01BA" w14:paraId="3CB8DEB3" w14:textId="77777777" w:rsidTr="0090121B">
        <w:trPr>
          <w:cantSplit/>
        </w:trPr>
        <w:tc>
          <w:tcPr>
            <w:tcW w:w="6911" w:type="dxa"/>
            <w:tcBorders>
              <w:top w:val="single" w:sz="12" w:space="0" w:color="auto"/>
            </w:tcBorders>
          </w:tcPr>
          <w:p w14:paraId="0F395AB1" w14:textId="77777777" w:rsidR="0090121B" w:rsidRPr="006A01BA" w:rsidRDefault="0090121B" w:rsidP="0090121B">
            <w:pPr>
              <w:spacing w:before="0" w:after="48" w:line="240" w:lineRule="atLeast"/>
              <w:rPr>
                <w:rFonts w:ascii="Verdana" w:hAnsi="Verdana"/>
                <w:b/>
                <w:smallCaps/>
                <w:sz w:val="20"/>
                <w:lang w:val="es-ES"/>
              </w:rPr>
            </w:pPr>
          </w:p>
        </w:tc>
        <w:tc>
          <w:tcPr>
            <w:tcW w:w="3120" w:type="dxa"/>
            <w:tcBorders>
              <w:top w:val="single" w:sz="12" w:space="0" w:color="auto"/>
            </w:tcBorders>
          </w:tcPr>
          <w:p w14:paraId="2658EE40" w14:textId="77777777" w:rsidR="0090121B" w:rsidRPr="006A01BA" w:rsidRDefault="0090121B" w:rsidP="0090121B">
            <w:pPr>
              <w:spacing w:before="0" w:line="240" w:lineRule="atLeast"/>
              <w:rPr>
                <w:rFonts w:ascii="Verdana" w:hAnsi="Verdana"/>
                <w:sz w:val="20"/>
                <w:lang w:val="es-ES"/>
              </w:rPr>
            </w:pPr>
          </w:p>
        </w:tc>
      </w:tr>
      <w:tr w:rsidR="0090121B" w:rsidRPr="006A01BA" w14:paraId="14E5A058" w14:textId="77777777" w:rsidTr="0090121B">
        <w:trPr>
          <w:cantSplit/>
        </w:trPr>
        <w:tc>
          <w:tcPr>
            <w:tcW w:w="6911" w:type="dxa"/>
          </w:tcPr>
          <w:p w14:paraId="1B443D84" w14:textId="357C3D4F" w:rsidR="0090121B" w:rsidRPr="006A01BA" w:rsidRDefault="00FF0AD4" w:rsidP="00EA77F0">
            <w:pPr>
              <w:pStyle w:val="Committee"/>
              <w:framePr w:hSpace="0" w:wrap="auto" w:hAnchor="text" w:yAlign="inline"/>
              <w:rPr>
                <w:sz w:val="18"/>
                <w:szCs w:val="18"/>
                <w:lang w:val="es-ES"/>
              </w:rPr>
            </w:pPr>
            <w:r w:rsidRPr="006A01BA">
              <w:rPr>
                <w:sz w:val="18"/>
                <w:szCs w:val="18"/>
                <w:lang w:val="es-ES"/>
              </w:rPr>
              <w:t>COMISIÓN 6</w:t>
            </w:r>
          </w:p>
        </w:tc>
        <w:tc>
          <w:tcPr>
            <w:tcW w:w="3120" w:type="dxa"/>
          </w:tcPr>
          <w:p w14:paraId="23F8A52E" w14:textId="77777777" w:rsidR="0090121B" w:rsidRPr="006A01BA" w:rsidRDefault="00AE658F" w:rsidP="0045384C">
            <w:pPr>
              <w:spacing w:before="0"/>
              <w:rPr>
                <w:rFonts w:ascii="Verdana" w:hAnsi="Verdana"/>
                <w:sz w:val="18"/>
                <w:szCs w:val="18"/>
                <w:lang w:val="es-ES"/>
              </w:rPr>
            </w:pPr>
            <w:r w:rsidRPr="006A01BA">
              <w:rPr>
                <w:rFonts w:ascii="Verdana" w:hAnsi="Verdana"/>
                <w:b/>
                <w:sz w:val="18"/>
                <w:szCs w:val="18"/>
                <w:lang w:val="es-ES"/>
              </w:rPr>
              <w:t>Documento 209</w:t>
            </w:r>
            <w:r w:rsidR="0090121B" w:rsidRPr="006A01BA">
              <w:rPr>
                <w:rFonts w:ascii="Verdana" w:hAnsi="Verdana"/>
                <w:b/>
                <w:sz w:val="18"/>
                <w:szCs w:val="18"/>
                <w:lang w:val="es-ES"/>
              </w:rPr>
              <w:t>-</w:t>
            </w:r>
            <w:r w:rsidRPr="006A01BA">
              <w:rPr>
                <w:rFonts w:ascii="Verdana" w:hAnsi="Verdana"/>
                <w:b/>
                <w:sz w:val="18"/>
                <w:szCs w:val="18"/>
                <w:lang w:val="es-ES"/>
              </w:rPr>
              <w:t>S</w:t>
            </w:r>
          </w:p>
        </w:tc>
      </w:tr>
      <w:bookmarkEnd w:id="0"/>
      <w:tr w:rsidR="000A5B9A" w:rsidRPr="006A01BA" w14:paraId="5F833831" w14:textId="77777777" w:rsidTr="0090121B">
        <w:trPr>
          <w:cantSplit/>
        </w:trPr>
        <w:tc>
          <w:tcPr>
            <w:tcW w:w="6911" w:type="dxa"/>
          </w:tcPr>
          <w:p w14:paraId="48450026" w14:textId="77777777" w:rsidR="000A5B9A" w:rsidRPr="006A01BA" w:rsidRDefault="000A5B9A" w:rsidP="0045384C">
            <w:pPr>
              <w:spacing w:before="0" w:after="48"/>
              <w:rPr>
                <w:rFonts w:ascii="Verdana" w:hAnsi="Verdana"/>
                <w:b/>
                <w:smallCaps/>
                <w:sz w:val="18"/>
                <w:szCs w:val="18"/>
                <w:lang w:val="es-ES"/>
              </w:rPr>
            </w:pPr>
          </w:p>
        </w:tc>
        <w:tc>
          <w:tcPr>
            <w:tcW w:w="3120" w:type="dxa"/>
          </w:tcPr>
          <w:p w14:paraId="1A2383C7" w14:textId="77777777" w:rsidR="000A5B9A" w:rsidRPr="006A01BA" w:rsidRDefault="000A5B9A" w:rsidP="0045384C">
            <w:pPr>
              <w:spacing w:before="0"/>
              <w:rPr>
                <w:rFonts w:ascii="Verdana" w:hAnsi="Verdana"/>
                <w:b/>
                <w:sz w:val="18"/>
                <w:szCs w:val="18"/>
                <w:lang w:val="es-ES"/>
              </w:rPr>
            </w:pPr>
            <w:r w:rsidRPr="006A01BA">
              <w:rPr>
                <w:rFonts w:ascii="Verdana" w:hAnsi="Verdana"/>
                <w:b/>
                <w:sz w:val="18"/>
                <w:szCs w:val="18"/>
                <w:lang w:val="es-ES"/>
              </w:rPr>
              <w:t>6 de noviembre de 2019</w:t>
            </w:r>
          </w:p>
        </w:tc>
      </w:tr>
      <w:tr w:rsidR="000A5B9A" w:rsidRPr="006A01BA" w14:paraId="4BB05DA9" w14:textId="77777777" w:rsidTr="0090121B">
        <w:trPr>
          <w:cantSplit/>
        </w:trPr>
        <w:tc>
          <w:tcPr>
            <w:tcW w:w="6911" w:type="dxa"/>
          </w:tcPr>
          <w:p w14:paraId="480F93E8" w14:textId="77777777" w:rsidR="000A5B9A" w:rsidRPr="006A01BA" w:rsidRDefault="000A5B9A" w:rsidP="0045384C">
            <w:pPr>
              <w:spacing w:before="0" w:after="48"/>
              <w:rPr>
                <w:rFonts w:ascii="Verdana" w:hAnsi="Verdana"/>
                <w:b/>
                <w:smallCaps/>
                <w:sz w:val="18"/>
                <w:szCs w:val="18"/>
                <w:lang w:val="es-ES"/>
              </w:rPr>
            </w:pPr>
          </w:p>
        </w:tc>
        <w:tc>
          <w:tcPr>
            <w:tcW w:w="3120" w:type="dxa"/>
          </w:tcPr>
          <w:p w14:paraId="18A9F889" w14:textId="77777777" w:rsidR="000A5B9A" w:rsidRPr="006A01BA" w:rsidRDefault="000A5B9A" w:rsidP="0045384C">
            <w:pPr>
              <w:spacing w:before="0"/>
              <w:rPr>
                <w:rFonts w:ascii="Verdana" w:hAnsi="Verdana"/>
                <w:b/>
                <w:sz w:val="18"/>
                <w:szCs w:val="18"/>
                <w:lang w:val="es-ES"/>
              </w:rPr>
            </w:pPr>
            <w:r w:rsidRPr="006A01BA">
              <w:rPr>
                <w:rFonts w:ascii="Verdana" w:hAnsi="Verdana"/>
                <w:b/>
                <w:sz w:val="18"/>
                <w:szCs w:val="18"/>
                <w:lang w:val="es-ES"/>
              </w:rPr>
              <w:t>Original: chino</w:t>
            </w:r>
          </w:p>
        </w:tc>
      </w:tr>
      <w:tr w:rsidR="000A5B9A" w:rsidRPr="006A01BA" w14:paraId="27F7EB25" w14:textId="77777777" w:rsidTr="006744FC">
        <w:trPr>
          <w:cantSplit/>
        </w:trPr>
        <w:tc>
          <w:tcPr>
            <w:tcW w:w="10031" w:type="dxa"/>
            <w:gridSpan w:val="2"/>
          </w:tcPr>
          <w:p w14:paraId="4805F795" w14:textId="77777777" w:rsidR="000A5B9A" w:rsidRPr="006A01BA" w:rsidRDefault="000A5B9A" w:rsidP="0045384C">
            <w:pPr>
              <w:spacing w:before="0"/>
              <w:rPr>
                <w:rFonts w:ascii="Verdana" w:hAnsi="Verdana"/>
                <w:b/>
                <w:sz w:val="18"/>
                <w:szCs w:val="22"/>
                <w:lang w:val="es-ES"/>
              </w:rPr>
            </w:pPr>
          </w:p>
        </w:tc>
      </w:tr>
      <w:tr w:rsidR="000A5B9A" w:rsidRPr="006A01BA" w14:paraId="657B8E6B" w14:textId="77777777" w:rsidTr="0050008E">
        <w:trPr>
          <w:cantSplit/>
        </w:trPr>
        <w:tc>
          <w:tcPr>
            <w:tcW w:w="10031" w:type="dxa"/>
            <w:gridSpan w:val="2"/>
          </w:tcPr>
          <w:p w14:paraId="6D04A003" w14:textId="77777777" w:rsidR="000A5B9A" w:rsidRPr="006A01BA" w:rsidRDefault="000A5B9A" w:rsidP="000A5B9A">
            <w:pPr>
              <w:pStyle w:val="Source"/>
              <w:rPr>
                <w:lang w:val="es-ES"/>
              </w:rPr>
            </w:pPr>
            <w:bookmarkStart w:id="1" w:name="dsource" w:colFirst="0" w:colLast="0"/>
            <w:r w:rsidRPr="006A01BA">
              <w:rPr>
                <w:lang w:val="es-ES"/>
              </w:rPr>
              <w:t>China (República Popular de)</w:t>
            </w:r>
          </w:p>
        </w:tc>
      </w:tr>
      <w:tr w:rsidR="000A5B9A" w:rsidRPr="006A01BA" w14:paraId="1BB36E9D" w14:textId="77777777" w:rsidTr="0050008E">
        <w:trPr>
          <w:cantSplit/>
        </w:trPr>
        <w:tc>
          <w:tcPr>
            <w:tcW w:w="10031" w:type="dxa"/>
            <w:gridSpan w:val="2"/>
          </w:tcPr>
          <w:p w14:paraId="50139E79" w14:textId="77777777" w:rsidR="000A5B9A" w:rsidRPr="006A01BA" w:rsidRDefault="000A5B9A" w:rsidP="000A5B9A">
            <w:pPr>
              <w:pStyle w:val="Title1"/>
              <w:rPr>
                <w:lang w:val="es-ES"/>
              </w:rPr>
            </w:pPr>
            <w:bookmarkStart w:id="2" w:name="dtitle1" w:colFirst="0" w:colLast="0"/>
            <w:bookmarkEnd w:id="1"/>
            <w:r w:rsidRPr="006A01BA">
              <w:rPr>
                <w:lang w:val="es-ES"/>
              </w:rPr>
              <w:t>Propuestas para los trabajos de la Conferencia</w:t>
            </w:r>
          </w:p>
        </w:tc>
      </w:tr>
      <w:tr w:rsidR="000A5B9A" w:rsidRPr="006A01BA" w14:paraId="211CAD5A" w14:textId="77777777" w:rsidTr="0050008E">
        <w:trPr>
          <w:cantSplit/>
        </w:trPr>
        <w:tc>
          <w:tcPr>
            <w:tcW w:w="10031" w:type="dxa"/>
            <w:gridSpan w:val="2"/>
          </w:tcPr>
          <w:p w14:paraId="4DA72AAA" w14:textId="77777777" w:rsidR="000A5B9A" w:rsidRPr="006A01BA" w:rsidRDefault="000A5B9A" w:rsidP="000A5B9A">
            <w:pPr>
              <w:pStyle w:val="Title2"/>
              <w:rPr>
                <w:lang w:val="es-ES"/>
              </w:rPr>
            </w:pPr>
            <w:bookmarkStart w:id="3" w:name="dtitle2" w:colFirst="0" w:colLast="0"/>
            <w:bookmarkEnd w:id="2"/>
          </w:p>
        </w:tc>
      </w:tr>
      <w:tr w:rsidR="000A5B9A" w:rsidRPr="006A01BA" w14:paraId="17101659" w14:textId="77777777" w:rsidTr="0050008E">
        <w:trPr>
          <w:cantSplit/>
        </w:trPr>
        <w:tc>
          <w:tcPr>
            <w:tcW w:w="10031" w:type="dxa"/>
            <w:gridSpan w:val="2"/>
          </w:tcPr>
          <w:p w14:paraId="64331741" w14:textId="77777777" w:rsidR="000A5B9A" w:rsidRPr="006A01BA" w:rsidRDefault="000A5B9A" w:rsidP="000A5B9A">
            <w:pPr>
              <w:pStyle w:val="Agendaitem"/>
              <w:rPr>
                <w:lang w:val="es-ES"/>
              </w:rPr>
            </w:pPr>
            <w:bookmarkStart w:id="4" w:name="dtitle3" w:colFirst="0" w:colLast="0"/>
            <w:bookmarkEnd w:id="3"/>
            <w:r w:rsidRPr="006A01BA">
              <w:rPr>
                <w:lang w:val="es-ES"/>
              </w:rPr>
              <w:t>Punto 9.2 del orden del día</w:t>
            </w:r>
          </w:p>
        </w:tc>
      </w:tr>
    </w:tbl>
    <w:bookmarkEnd w:id="4"/>
    <w:p w14:paraId="5F35FFDD" w14:textId="77777777" w:rsidR="001C0E40" w:rsidRPr="006A01BA" w:rsidRDefault="00E37EEF" w:rsidP="003A37B0">
      <w:pPr>
        <w:rPr>
          <w:lang w:val="es-ES"/>
        </w:rPr>
      </w:pPr>
      <w:r w:rsidRPr="006A01BA">
        <w:rPr>
          <w:lang w:val="es-ES"/>
        </w:rPr>
        <w:t>9</w:t>
      </w:r>
      <w:r w:rsidRPr="006A01BA">
        <w:rPr>
          <w:lang w:val="es-ES"/>
        </w:rPr>
        <w:tab/>
        <w:t>examinar y aprobar el Informe del Director de la Oficina de Radiocomunicaciones, de conformidad con el Artículo 7 del Convenio:</w:t>
      </w:r>
    </w:p>
    <w:p w14:paraId="35A5AF95" w14:textId="77777777" w:rsidR="001C0E40" w:rsidRPr="006A01BA" w:rsidRDefault="00E37EEF" w:rsidP="003A37B0">
      <w:pPr>
        <w:rPr>
          <w:lang w:val="es-ES"/>
        </w:rPr>
      </w:pPr>
      <w:r w:rsidRPr="006A01BA">
        <w:rPr>
          <w:lang w:val="es-ES"/>
        </w:rPr>
        <w:t>9.2</w:t>
      </w:r>
      <w:r w:rsidRPr="006A01BA">
        <w:rPr>
          <w:lang w:val="es-ES"/>
        </w:rPr>
        <w:tab/>
        <w:t>sobre las dificultades o incoherencias observadas en la aplicación del Reglamento de Radiocomunicaciones</w:t>
      </w:r>
      <w:r w:rsidRPr="006A01BA">
        <w:rPr>
          <w:position w:val="6"/>
          <w:sz w:val="18"/>
          <w:lang w:val="es-ES"/>
        </w:rPr>
        <w:footnoteReference w:customMarkFollows="1" w:id="1"/>
        <w:t>*</w:t>
      </w:r>
      <w:r w:rsidRPr="006A01BA">
        <w:rPr>
          <w:lang w:val="es-ES"/>
        </w:rPr>
        <w:t>; y</w:t>
      </w:r>
    </w:p>
    <w:p w14:paraId="637E20A5" w14:textId="77777777" w:rsidR="00A93A69" w:rsidRPr="006A01BA" w:rsidRDefault="00A93A69" w:rsidP="00A93A69">
      <w:pPr>
        <w:pStyle w:val="Headingb"/>
        <w:rPr>
          <w:lang w:val="es-ES"/>
        </w:rPr>
      </w:pPr>
      <w:r w:rsidRPr="006A01BA">
        <w:rPr>
          <w:lang w:val="es-ES"/>
        </w:rPr>
        <w:t>Introducción</w:t>
      </w:r>
    </w:p>
    <w:p w14:paraId="78B734D4" w14:textId="6E5DAE30" w:rsidR="00A93A69" w:rsidRPr="006A01BA" w:rsidRDefault="00A93A69" w:rsidP="00A93A69">
      <w:pPr>
        <w:rPr>
          <w:lang w:val="es-ES"/>
        </w:rPr>
      </w:pPr>
      <w:r w:rsidRPr="006A01BA">
        <w:rPr>
          <w:lang w:val="es-ES"/>
        </w:rPr>
        <w:t xml:space="preserve">A raíz del examen de la versión en chino del Reglamento de Radiocomunicaciones, se ha señalado a la atención de esta Administración que determinados textos del Reglamento de Radiocomunicaciones en </w:t>
      </w:r>
      <w:r w:rsidR="00070346" w:rsidRPr="006A01BA">
        <w:rPr>
          <w:lang w:val="es-ES"/>
        </w:rPr>
        <w:t>dicho idioma</w:t>
      </w:r>
      <w:r w:rsidRPr="006A01BA">
        <w:rPr>
          <w:lang w:val="es-ES"/>
        </w:rPr>
        <w:t xml:space="preserve"> no están armonizados con </w:t>
      </w:r>
      <w:r w:rsidR="000D4322" w:rsidRPr="006A01BA">
        <w:rPr>
          <w:lang w:val="es-ES"/>
        </w:rPr>
        <w:t xml:space="preserve">respecto a </w:t>
      </w:r>
      <w:r w:rsidRPr="006A01BA">
        <w:rPr>
          <w:lang w:val="es-ES"/>
        </w:rPr>
        <w:t xml:space="preserve">los demás idiomas oficiales de la Unión, o difieren de estos. En consecuencia, </w:t>
      </w:r>
      <w:r w:rsidR="00EF449D" w:rsidRPr="006A01BA">
        <w:rPr>
          <w:lang w:val="es-ES"/>
        </w:rPr>
        <w:t>en</w:t>
      </w:r>
      <w:r w:rsidRPr="006A01BA">
        <w:rPr>
          <w:lang w:val="es-ES"/>
        </w:rPr>
        <w:t xml:space="preserve"> la presente contribución se proponen varios cambios de redacción </w:t>
      </w:r>
      <w:r w:rsidR="00EF449D" w:rsidRPr="006A01BA">
        <w:rPr>
          <w:lang w:val="es-ES"/>
        </w:rPr>
        <w:t>aplicables a</w:t>
      </w:r>
      <w:r w:rsidRPr="006A01BA">
        <w:rPr>
          <w:lang w:val="es-ES"/>
        </w:rPr>
        <w:t xml:space="preserve"> los textos de la versión en chino del Reglamento de Radiocomunicaciones (edición de 2016), para que los examine la Conferencia en el marco del punto</w:t>
      </w:r>
      <w:r w:rsidR="00654EE1" w:rsidRPr="006A01BA">
        <w:rPr>
          <w:lang w:val="es-ES"/>
        </w:rPr>
        <w:t> </w:t>
      </w:r>
      <w:r w:rsidRPr="006A01BA">
        <w:rPr>
          <w:lang w:val="es-ES"/>
        </w:rPr>
        <w:t>9.2 del orden del día.</w:t>
      </w:r>
    </w:p>
    <w:p w14:paraId="27728F85" w14:textId="3FFD2ABF" w:rsidR="00A93A69" w:rsidRPr="006A01BA" w:rsidRDefault="00A93A69" w:rsidP="00A93A69">
      <w:pPr>
        <w:rPr>
          <w:lang w:val="es-ES"/>
        </w:rPr>
      </w:pPr>
      <w:r w:rsidRPr="006A01BA">
        <w:rPr>
          <w:lang w:val="es-ES"/>
        </w:rPr>
        <w:t xml:space="preserve">En las propuestas que figuran a continuación se detallan dichos cambios de redacción, </w:t>
      </w:r>
      <w:r w:rsidR="000616CA" w:rsidRPr="006A01BA">
        <w:rPr>
          <w:lang w:val="es-ES"/>
        </w:rPr>
        <w:t>aplicables</w:t>
      </w:r>
      <w:r w:rsidRPr="006A01BA">
        <w:rPr>
          <w:lang w:val="es-ES"/>
        </w:rPr>
        <w:t xml:space="preserve"> únicamente a la versión en chino del Reglamento de Radiocomunicaciones. No es necesario modificar las demás versiones en otros idiomas.</w:t>
      </w:r>
    </w:p>
    <w:p w14:paraId="2E58E527" w14:textId="77777777" w:rsidR="008750A8" w:rsidRPr="006A01BA" w:rsidRDefault="008750A8" w:rsidP="008750A8">
      <w:pPr>
        <w:tabs>
          <w:tab w:val="clear" w:pos="1134"/>
          <w:tab w:val="clear" w:pos="1871"/>
          <w:tab w:val="clear" w:pos="2268"/>
        </w:tabs>
        <w:overflowPunct/>
        <w:autoSpaceDE/>
        <w:autoSpaceDN/>
        <w:adjustRightInd/>
        <w:spacing w:before="0"/>
        <w:textAlignment w:val="auto"/>
        <w:rPr>
          <w:lang w:val="es-ES"/>
        </w:rPr>
      </w:pPr>
      <w:r w:rsidRPr="006A01BA">
        <w:rPr>
          <w:lang w:val="es-ES"/>
        </w:rPr>
        <w:br w:type="page"/>
      </w:r>
    </w:p>
    <w:p w14:paraId="5CE0DDB7" w14:textId="77777777" w:rsidR="00EA28D3" w:rsidRPr="006A01BA" w:rsidRDefault="00EA28D3" w:rsidP="00EA28D3">
      <w:pPr>
        <w:pStyle w:val="Headingb"/>
        <w:rPr>
          <w:lang w:val="es-ES"/>
        </w:rPr>
      </w:pPr>
      <w:r w:rsidRPr="006A01BA">
        <w:rPr>
          <w:lang w:val="es-ES"/>
        </w:rPr>
        <w:lastRenderedPageBreak/>
        <w:t>Propuestas</w:t>
      </w:r>
    </w:p>
    <w:p w14:paraId="235BCA95" w14:textId="5D4A3113" w:rsidR="006537F1" w:rsidRPr="006A01BA" w:rsidRDefault="00E37EEF" w:rsidP="00EA28D3">
      <w:pPr>
        <w:pStyle w:val="ArtNo"/>
        <w:rPr>
          <w:lang w:val="es-ES"/>
        </w:rPr>
      </w:pPr>
      <w:r w:rsidRPr="006A01BA">
        <w:rPr>
          <w:lang w:val="es-ES"/>
        </w:rPr>
        <w:t xml:space="preserve">ARTÍCULO </w:t>
      </w:r>
      <w:r w:rsidRPr="006A01BA">
        <w:rPr>
          <w:rStyle w:val="href"/>
          <w:lang w:val="es-ES"/>
        </w:rPr>
        <w:t>5</w:t>
      </w:r>
    </w:p>
    <w:p w14:paraId="13777F90" w14:textId="77777777" w:rsidR="006537F1" w:rsidRPr="006A01BA" w:rsidRDefault="00E37EEF" w:rsidP="006537F1">
      <w:pPr>
        <w:pStyle w:val="Arttitle"/>
        <w:rPr>
          <w:lang w:val="es-ES"/>
        </w:rPr>
      </w:pPr>
      <w:r w:rsidRPr="006A01BA">
        <w:rPr>
          <w:lang w:val="es-ES"/>
        </w:rPr>
        <w:t>Atribuciones de frecuencia</w:t>
      </w:r>
    </w:p>
    <w:p w14:paraId="6A656B16" w14:textId="77777777" w:rsidR="006537F1" w:rsidRPr="006A01BA" w:rsidRDefault="00E37EEF" w:rsidP="006537F1">
      <w:pPr>
        <w:pStyle w:val="Section1"/>
        <w:rPr>
          <w:lang w:val="es-ES"/>
        </w:rPr>
      </w:pPr>
      <w:r w:rsidRPr="006A01BA">
        <w:rPr>
          <w:lang w:val="es-ES"/>
        </w:rPr>
        <w:t>Sección IV – Cuadro de atribución de bandas de frecuencias</w:t>
      </w:r>
      <w:r w:rsidRPr="006A01BA">
        <w:rPr>
          <w:lang w:val="es-ES"/>
        </w:rPr>
        <w:br/>
      </w:r>
      <w:r w:rsidRPr="006A01BA">
        <w:rPr>
          <w:b w:val="0"/>
          <w:bCs/>
          <w:lang w:val="es-ES"/>
        </w:rPr>
        <w:t>(Véase el número</w:t>
      </w:r>
      <w:r w:rsidRPr="006A01BA">
        <w:rPr>
          <w:lang w:val="es-ES"/>
        </w:rPr>
        <w:t xml:space="preserve"> </w:t>
      </w:r>
      <w:r w:rsidRPr="006A01BA">
        <w:rPr>
          <w:rStyle w:val="Artref"/>
          <w:lang w:val="es-ES"/>
        </w:rPr>
        <w:t>2.1</w:t>
      </w:r>
      <w:r w:rsidRPr="006A01BA">
        <w:rPr>
          <w:b w:val="0"/>
          <w:bCs/>
          <w:lang w:val="es-ES"/>
        </w:rPr>
        <w:t>)</w:t>
      </w:r>
      <w:r w:rsidRPr="006A01BA">
        <w:rPr>
          <w:lang w:val="es-ES"/>
        </w:rPr>
        <w:br/>
      </w:r>
    </w:p>
    <w:p w14:paraId="4FCA1889" w14:textId="77777777" w:rsidR="003A3A98" w:rsidRPr="006A01BA" w:rsidRDefault="00E37EEF">
      <w:pPr>
        <w:pStyle w:val="Proposal"/>
        <w:rPr>
          <w:lang w:val="es-ES"/>
        </w:rPr>
      </w:pPr>
      <w:r w:rsidRPr="006A01BA">
        <w:rPr>
          <w:lang w:val="es-ES"/>
        </w:rPr>
        <w:t>(MOD)</w:t>
      </w:r>
      <w:r w:rsidRPr="006A01BA">
        <w:rPr>
          <w:lang w:val="es-ES"/>
        </w:rPr>
        <w:tab/>
        <w:t>CHN/209/1</w:t>
      </w:r>
    </w:p>
    <w:p w14:paraId="171C2F0A" w14:textId="77777777" w:rsidR="006537F1" w:rsidRPr="006A01BA" w:rsidRDefault="00E37EEF" w:rsidP="003344F9">
      <w:pPr>
        <w:pStyle w:val="Note"/>
        <w:rPr>
          <w:lang w:val="es-ES"/>
        </w:rPr>
      </w:pPr>
      <w:r w:rsidRPr="006A01BA">
        <w:rPr>
          <w:rStyle w:val="Artdef"/>
          <w:szCs w:val="24"/>
          <w:lang w:val="es-ES"/>
        </w:rPr>
        <w:t>5.323</w:t>
      </w:r>
      <w:r w:rsidRPr="006A01BA">
        <w:rPr>
          <w:rStyle w:val="Artdef"/>
          <w:szCs w:val="24"/>
          <w:lang w:val="es-ES"/>
        </w:rPr>
        <w:tab/>
      </w:r>
      <w:r w:rsidRPr="006A01BA">
        <w:rPr>
          <w:i/>
          <w:iCs/>
          <w:lang w:val="es-ES"/>
        </w:rPr>
        <w:t>Atribución adicional:  </w:t>
      </w:r>
      <w:r w:rsidRPr="006A01BA">
        <w:rPr>
          <w:lang w:val="es-ES"/>
        </w:rPr>
        <w:t>en Armenia, Azerbaiyán, Belarús, Federación de Rusia, Kazajstán, Uzbekistán, Kirguistán, Tayikistán, Turkmenistán y Ucrania, la banda 862</w:t>
      </w:r>
      <w:r w:rsidRPr="006A01BA">
        <w:rPr>
          <w:lang w:val="es-ES"/>
        </w:rPr>
        <w:noBreakHyphen/>
        <w:t>960 MHz, y en Bulgaria las bandas 862-890,2 MHz y 900</w:t>
      </w:r>
      <w:r w:rsidRPr="006A01BA">
        <w:rPr>
          <w:lang w:val="es-ES"/>
        </w:rPr>
        <w:noBreakHyphen/>
        <w:t>935,2 MHz, en Polonia la banda 862-876 MHz hasta el 31 de diciembre de 2017, y en Rumania las bandas 862</w:t>
      </w:r>
      <w:r w:rsidRPr="006A01BA">
        <w:rPr>
          <w:lang w:val="es-ES"/>
        </w:rPr>
        <w:noBreakHyphen/>
        <w:t>880 MHz y 915-925 MHz, están también atribuidas a título primario al servicio de radionavegación aeronáutica. Esta utilización está sujeta al acuerdo obtenido en virtud del número </w:t>
      </w:r>
      <w:r w:rsidRPr="006A01BA">
        <w:rPr>
          <w:b/>
          <w:bCs/>
          <w:lang w:val="es-ES"/>
        </w:rPr>
        <w:t>9.21</w:t>
      </w:r>
      <w:r w:rsidRPr="006A01BA">
        <w:rPr>
          <w:lang w:val="es-ES"/>
        </w:rPr>
        <w:t xml:space="preserve"> con las administraciones pertinentes y está limitada a las radiobalizas en tierra que se encontraban en servicio el 27 de octubre de 1997, hasta el final de su vida útil.</w:t>
      </w:r>
      <w:r w:rsidRPr="006A01BA">
        <w:rPr>
          <w:sz w:val="16"/>
          <w:szCs w:val="16"/>
          <w:lang w:val="es-ES"/>
        </w:rPr>
        <w:t>     (CMR</w:t>
      </w:r>
      <w:r w:rsidRPr="006A01BA">
        <w:rPr>
          <w:sz w:val="16"/>
          <w:szCs w:val="16"/>
          <w:lang w:val="es-ES"/>
        </w:rPr>
        <w:noBreakHyphen/>
        <w:t>12)</w:t>
      </w:r>
    </w:p>
    <w:p w14:paraId="2F45625C" w14:textId="63468519"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p>
    <w:p w14:paraId="13DB2117" w14:textId="77777777" w:rsidR="003A3A98" w:rsidRPr="006A01BA" w:rsidRDefault="00E37EEF">
      <w:pPr>
        <w:pStyle w:val="Proposal"/>
        <w:rPr>
          <w:lang w:val="es-ES"/>
        </w:rPr>
      </w:pPr>
      <w:r w:rsidRPr="006A01BA">
        <w:rPr>
          <w:lang w:val="es-ES"/>
        </w:rPr>
        <w:t>(MOD)</w:t>
      </w:r>
      <w:r w:rsidRPr="006A01BA">
        <w:rPr>
          <w:lang w:val="es-ES"/>
        </w:rPr>
        <w:tab/>
        <w:t>CHN/209/2</w:t>
      </w:r>
    </w:p>
    <w:p w14:paraId="589135A3" w14:textId="77777777" w:rsidR="006A62DA" w:rsidRPr="006A01BA" w:rsidRDefault="00E37EEF" w:rsidP="006A62DA">
      <w:pPr>
        <w:pStyle w:val="Note"/>
        <w:rPr>
          <w:lang w:val="es-ES"/>
        </w:rPr>
      </w:pPr>
      <w:r w:rsidRPr="006A01BA">
        <w:rPr>
          <w:rStyle w:val="Artdef"/>
          <w:szCs w:val="24"/>
          <w:lang w:val="es-ES"/>
        </w:rPr>
        <w:t>5.484A</w:t>
      </w:r>
      <w:r w:rsidRPr="006A01BA">
        <w:rPr>
          <w:color w:val="000000"/>
          <w:szCs w:val="24"/>
          <w:lang w:val="es-ES"/>
        </w:rPr>
        <w:tab/>
      </w:r>
      <w:r w:rsidRPr="006A01BA">
        <w:rPr>
          <w:lang w:val="es-ES"/>
        </w:rPr>
        <w:t>La utilización de las bandas 10,95-11,2 GHz (espacio-Tierra), 11,45-11,7 GHz (espacio</w:t>
      </w:r>
      <w:r w:rsidRPr="006A01BA">
        <w:rPr>
          <w:lang w:val="es-ES"/>
        </w:rPr>
        <w:noBreakHyphen/>
        <w:t>Tierra), 11,7-12,2 GHz (espacio-Tierra) en la Región 2, 12,2-12,75 GHz (espacio-Tierra) en la Región 3, 12,5-12,75 GHz (espacio-Tierra) en la Región 1, 13,75-14,5 GHz (Tierra</w:t>
      </w:r>
      <w:r w:rsidRPr="006A01BA">
        <w:rPr>
          <w:lang w:val="es-ES"/>
        </w:rPr>
        <w:noBreakHyphen/>
        <w:t>espacio), 17,8</w:t>
      </w:r>
      <w:r w:rsidRPr="006A01BA">
        <w:rPr>
          <w:lang w:val="es-ES"/>
        </w:rPr>
        <w:noBreakHyphen/>
        <w:t>18,6 GHz (espacio-Tierra), 19,7-20,2 GHz (espacio-Tierra), 27,5</w:t>
      </w:r>
      <w:r w:rsidRPr="006A01BA">
        <w:rPr>
          <w:lang w:val="es-ES"/>
        </w:rPr>
        <w:noBreakHyphen/>
        <w:t>28,6 GHz (Tierra-espacio) y 29,5</w:t>
      </w:r>
      <w:r w:rsidRPr="006A01BA">
        <w:rPr>
          <w:lang w:val="es-ES"/>
        </w:rPr>
        <w:noBreakHyphen/>
        <w:t>30 GHz (Tierra-espacio) por un sistema de satélites no geoestacionarios del servicio fijo por satélite está sujeta a la aplicación de las disposiciones del número </w:t>
      </w:r>
      <w:r w:rsidRPr="006A01BA">
        <w:rPr>
          <w:b/>
          <w:bCs/>
          <w:lang w:val="es-ES"/>
        </w:rPr>
        <w:t>9.12</w:t>
      </w:r>
      <w:r w:rsidRPr="006A01BA">
        <w:rPr>
          <w:lang w:val="es-ES"/>
        </w:rPr>
        <w:t xml:space="preserve"> para la coordinación con otros sistemas de satélites no geoestacionarios del servicio fijo por satélite. Los sistemas de satélites no geoestacionarios del servicio fijo por satélite no reclamarán protección con relación a las redes de satélites geoestacionarios del servicio fijo por satélite que funcionen de conformidad con el Reglamento de Radiocomunicaciones, sea cual sea la fecha en que la Oficina reciba la información completa de coordinación o de notificación, según proceda, de los sistemas de satélites no geoestacionarios del servicio fijo por satélite y la información completa de coordinación o de notificación, según proceda, de las redes de satélites geoestacionarios. El número </w:t>
      </w:r>
      <w:r w:rsidRPr="006A01BA">
        <w:rPr>
          <w:b/>
          <w:bCs/>
          <w:lang w:val="es-ES"/>
        </w:rPr>
        <w:t>5.43A</w:t>
      </w:r>
      <w:r w:rsidRPr="006A01BA">
        <w:rPr>
          <w:lang w:val="es-ES"/>
        </w:rPr>
        <w:t xml:space="preserve"> no se aplica. Los sistemas de satélites no geoestacionarios del servicio fijo por satélite se explotarán en las bandas precitadas de forma que cualquier interferencia inaceptable que pueda producirse durante su explotación se elimine rápidamente.</w:t>
      </w:r>
      <w:r w:rsidRPr="006A01BA">
        <w:rPr>
          <w:sz w:val="16"/>
          <w:szCs w:val="16"/>
          <w:lang w:val="es-ES"/>
        </w:rPr>
        <w:t>     (CMR</w:t>
      </w:r>
      <w:r w:rsidRPr="006A01BA">
        <w:rPr>
          <w:sz w:val="16"/>
          <w:szCs w:val="16"/>
          <w:lang w:val="es-ES"/>
        </w:rPr>
        <w:noBreakHyphen/>
        <w:t>2000)</w:t>
      </w:r>
    </w:p>
    <w:p w14:paraId="55C39697" w14:textId="4561817C"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4B74F9AB" w14:textId="77777777" w:rsidR="003A3A98" w:rsidRPr="006A01BA" w:rsidRDefault="00E37EEF">
      <w:pPr>
        <w:pStyle w:val="Proposal"/>
        <w:rPr>
          <w:lang w:val="es-ES"/>
        </w:rPr>
      </w:pPr>
      <w:r w:rsidRPr="006A01BA">
        <w:rPr>
          <w:lang w:val="es-ES"/>
        </w:rPr>
        <w:t>(MOD)</w:t>
      </w:r>
      <w:r w:rsidRPr="006A01BA">
        <w:rPr>
          <w:lang w:val="es-ES"/>
        </w:rPr>
        <w:tab/>
        <w:t>CHN/209/3</w:t>
      </w:r>
    </w:p>
    <w:p w14:paraId="619AF4A7" w14:textId="77777777" w:rsidR="006537F1" w:rsidRPr="006A01BA" w:rsidRDefault="00E37EEF" w:rsidP="006537F1">
      <w:pPr>
        <w:pStyle w:val="Tabletitle"/>
        <w:rPr>
          <w:lang w:val="es-ES"/>
        </w:rPr>
      </w:pPr>
      <w:r w:rsidRPr="006A01BA">
        <w:rPr>
          <w:lang w:val="es-ES"/>
        </w:rPr>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6537F1" w:rsidRPr="006A01BA" w14:paraId="2F5739B7"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10A89B37" w14:textId="77777777" w:rsidR="006537F1" w:rsidRPr="006A01BA" w:rsidRDefault="00E37EEF" w:rsidP="00141CC8">
            <w:pPr>
              <w:pStyle w:val="Tablehead"/>
              <w:rPr>
                <w:color w:val="000000"/>
                <w:lang w:val="es-ES"/>
              </w:rPr>
            </w:pPr>
            <w:r w:rsidRPr="006A01BA">
              <w:rPr>
                <w:color w:val="000000"/>
                <w:lang w:val="es-ES"/>
              </w:rPr>
              <w:t>Atribución a los servicios</w:t>
            </w:r>
          </w:p>
        </w:tc>
      </w:tr>
      <w:tr w:rsidR="006537F1" w:rsidRPr="006A01BA" w14:paraId="4E134A02" w14:textId="77777777" w:rsidTr="006537F1">
        <w:trPr>
          <w:cantSplit/>
        </w:trPr>
        <w:tc>
          <w:tcPr>
            <w:tcW w:w="3101" w:type="dxa"/>
            <w:tcBorders>
              <w:top w:val="single" w:sz="6" w:space="0" w:color="auto"/>
              <w:left w:val="single" w:sz="6" w:space="0" w:color="auto"/>
              <w:bottom w:val="single" w:sz="6" w:space="0" w:color="auto"/>
              <w:right w:val="single" w:sz="6" w:space="0" w:color="auto"/>
            </w:tcBorders>
          </w:tcPr>
          <w:p w14:paraId="404DE5D1" w14:textId="77777777" w:rsidR="006537F1" w:rsidRPr="006A01BA" w:rsidRDefault="00E37EEF" w:rsidP="00141CC8">
            <w:pPr>
              <w:pStyle w:val="Tablehead"/>
              <w:rPr>
                <w:color w:val="000000"/>
                <w:lang w:val="es-ES"/>
              </w:rPr>
            </w:pPr>
            <w:r w:rsidRPr="006A01BA">
              <w:rPr>
                <w:color w:val="000000"/>
                <w:lang w:val="es-ES"/>
              </w:rPr>
              <w:t>Región 1</w:t>
            </w:r>
          </w:p>
        </w:tc>
        <w:tc>
          <w:tcPr>
            <w:tcW w:w="3101" w:type="dxa"/>
            <w:tcBorders>
              <w:top w:val="single" w:sz="6" w:space="0" w:color="auto"/>
              <w:left w:val="single" w:sz="6" w:space="0" w:color="auto"/>
              <w:bottom w:val="single" w:sz="6" w:space="0" w:color="auto"/>
              <w:right w:val="single" w:sz="6" w:space="0" w:color="auto"/>
            </w:tcBorders>
          </w:tcPr>
          <w:p w14:paraId="07764F95" w14:textId="77777777" w:rsidR="006537F1" w:rsidRPr="006A01BA" w:rsidRDefault="00E37EEF" w:rsidP="00141CC8">
            <w:pPr>
              <w:pStyle w:val="Tablehead"/>
              <w:rPr>
                <w:color w:val="000000"/>
                <w:lang w:val="es-ES"/>
              </w:rPr>
            </w:pPr>
            <w:r w:rsidRPr="006A01BA">
              <w:rPr>
                <w:color w:val="000000"/>
                <w:lang w:val="es-ES"/>
              </w:rPr>
              <w:t>Región 2</w:t>
            </w:r>
          </w:p>
        </w:tc>
        <w:tc>
          <w:tcPr>
            <w:tcW w:w="3101" w:type="dxa"/>
            <w:tcBorders>
              <w:top w:val="single" w:sz="6" w:space="0" w:color="auto"/>
              <w:left w:val="single" w:sz="6" w:space="0" w:color="auto"/>
              <w:bottom w:val="single" w:sz="6" w:space="0" w:color="auto"/>
              <w:right w:val="single" w:sz="6" w:space="0" w:color="auto"/>
            </w:tcBorders>
          </w:tcPr>
          <w:p w14:paraId="60D7B3A2" w14:textId="77777777" w:rsidR="006537F1" w:rsidRPr="006A01BA" w:rsidRDefault="00E37EEF" w:rsidP="00141CC8">
            <w:pPr>
              <w:pStyle w:val="Tablehead"/>
              <w:rPr>
                <w:color w:val="000000"/>
                <w:lang w:val="es-ES"/>
              </w:rPr>
            </w:pPr>
            <w:r w:rsidRPr="006A01BA">
              <w:rPr>
                <w:color w:val="000000"/>
                <w:lang w:val="es-ES"/>
              </w:rPr>
              <w:t>Región 3</w:t>
            </w:r>
          </w:p>
        </w:tc>
      </w:tr>
      <w:tr w:rsidR="006537F1" w:rsidRPr="006A01BA" w14:paraId="264D6CB5"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550B07BE" w14:textId="77777777" w:rsidR="006537F1" w:rsidRPr="006A01BA" w:rsidRDefault="00E37EEF" w:rsidP="00141CC8">
            <w:pPr>
              <w:pStyle w:val="TableTextS5"/>
              <w:rPr>
                <w:color w:val="000000"/>
                <w:lang w:val="es-ES"/>
              </w:rPr>
            </w:pPr>
            <w:r w:rsidRPr="006A01BA">
              <w:rPr>
                <w:rStyle w:val="Tablefreq"/>
                <w:color w:val="000000"/>
                <w:lang w:val="es-ES"/>
              </w:rPr>
              <w:t>66-71</w:t>
            </w:r>
            <w:r w:rsidRPr="006A01BA">
              <w:rPr>
                <w:color w:val="000000"/>
                <w:lang w:val="es-ES"/>
              </w:rPr>
              <w:tab/>
            </w:r>
            <w:r w:rsidRPr="006A01BA">
              <w:rPr>
                <w:color w:val="000000"/>
                <w:lang w:val="es-ES"/>
              </w:rPr>
              <w:tab/>
            </w:r>
            <w:r w:rsidRPr="006A01BA">
              <w:rPr>
                <w:color w:val="000000"/>
                <w:lang w:val="es-ES"/>
              </w:rPr>
              <w:tab/>
              <w:t>ENTRE SATÉLITES</w:t>
            </w:r>
          </w:p>
          <w:p w14:paraId="2334D5C6"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 xml:space="preserve">MÓVIL  </w:t>
            </w:r>
            <w:r w:rsidRPr="006A01BA">
              <w:rPr>
                <w:rStyle w:val="Artref"/>
                <w:color w:val="000000"/>
                <w:lang w:val="es-ES"/>
              </w:rPr>
              <w:t>5.553</w:t>
            </w:r>
            <w:r w:rsidRPr="006A01BA">
              <w:rPr>
                <w:color w:val="000000"/>
                <w:lang w:val="es-ES"/>
              </w:rPr>
              <w:t xml:space="preserve">  </w:t>
            </w:r>
            <w:r w:rsidRPr="006A01BA">
              <w:rPr>
                <w:rStyle w:val="Artref"/>
                <w:color w:val="000000"/>
                <w:lang w:val="es-ES"/>
              </w:rPr>
              <w:t>5.558</w:t>
            </w:r>
          </w:p>
          <w:p w14:paraId="3CF9C6ED"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MÓVIL POR SATÉLITE</w:t>
            </w:r>
          </w:p>
          <w:p w14:paraId="55513C33" w14:textId="77777777" w:rsidR="006537F1" w:rsidRPr="006A01BA" w:rsidRDefault="00E37EEF" w:rsidP="00141CC8">
            <w:pPr>
              <w:pStyle w:val="TableTextS5"/>
              <w:rPr>
                <w:color w:val="000000"/>
                <w:lang w:val="es-ES"/>
              </w:rPr>
            </w:pPr>
            <w:r w:rsidRPr="006A01BA">
              <w:rPr>
                <w:color w:val="000000"/>
                <w:lang w:val="es-ES"/>
              </w:rPr>
              <w:lastRenderedPageBreak/>
              <w:tab/>
            </w:r>
            <w:r w:rsidRPr="006A01BA">
              <w:rPr>
                <w:color w:val="000000"/>
                <w:lang w:val="es-ES"/>
              </w:rPr>
              <w:tab/>
            </w:r>
            <w:r w:rsidRPr="006A01BA">
              <w:rPr>
                <w:color w:val="000000"/>
                <w:lang w:val="es-ES"/>
              </w:rPr>
              <w:tab/>
            </w:r>
            <w:r w:rsidRPr="006A01BA">
              <w:rPr>
                <w:color w:val="000000"/>
                <w:lang w:val="es-ES"/>
              </w:rPr>
              <w:tab/>
              <w:t>RADIONAVEGACIÓN</w:t>
            </w:r>
          </w:p>
          <w:p w14:paraId="287F6305"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RADIONAVEGACIÓN POR SATÉLITE</w:t>
            </w:r>
          </w:p>
          <w:p w14:paraId="3A067F46"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
                <w:color w:val="000000"/>
                <w:lang w:val="es-ES"/>
              </w:rPr>
              <w:t>5.554</w:t>
            </w:r>
          </w:p>
        </w:tc>
      </w:tr>
      <w:tr w:rsidR="006537F1" w:rsidRPr="006A01BA" w14:paraId="2BEBFD1E"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03503226" w14:textId="77777777" w:rsidR="006537F1" w:rsidRPr="006A01BA" w:rsidRDefault="00E37EEF" w:rsidP="00141CC8">
            <w:pPr>
              <w:pStyle w:val="TableTextS5"/>
              <w:rPr>
                <w:color w:val="000000"/>
                <w:lang w:val="es-ES"/>
              </w:rPr>
            </w:pPr>
            <w:r w:rsidRPr="006A01BA">
              <w:rPr>
                <w:rStyle w:val="Tablefreq"/>
                <w:color w:val="000000"/>
                <w:lang w:val="es-ES"/>
              </w:rPr>
              <w:lastRenderedPageBreak/>
              <w:t>71-74</w:t>
            </w:r>
            <w:r w:rsidRPr="006A01BA">
              <w:rPr>
                <w:color w:val="000000"/>
                <w:lang w:val="es-ES"/>
              </w:rPr>
              <w:tab/>
            </w:r>
            <w:r w:rsidRPr="006A01BA">
              <w:rPr>
                <w:color w:val="000000"/>
                <w:lang w:val="es-ES"/>
              </w:rPr>
              <w:tab/>
            </w:r>
            <w:r w:rsidRPr="006A01BA">
              <w:rPr>
                <w:color w:val="000000"/>
                <w:lang w:val="es-ES"/>
              </w:rPr>
              <w:tab/>
              <w:t>FIJO</w:t>
            </w:r>
          </w:p>
          <w:p w14:paraId="36A09FD7"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FIJO POR SATÉLITE (espacio-Tierra)</w:t>
            </w:r>
          </w:p>
          <w:p w14:paraId="4B20D240"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MÓVIL</w:t>
            </w:r>
          </w:p>
          <w:p w14:paraId="452EB53F"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MÓVIL POR SATÉLITE (espacio-Tierra)</w:t>
            </w:r>
          </w:p>
        </w:tc>
      </w:tr>
      <w:tr w:rsidR="006537F1" w:rsidRPr="006A01BA" w14:paraId="4C373165"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175A2977" w14:textId="77777777" w:rsidR="006537F1" w:rsidRPr="006A01BA" w:rsidRDefault="00E37EEF" w:rsidP="00141CC8">
            <w:pPr>
              <w:pStyle w:val="TableTextS5"/>
              <w:rPr>
                <w:color w:val="000000"/>
                <w:lang w:val="es-ES"/>
              </w:rPr>
            </w:pPr>
            <w:r w:rsidRPr="006A01BA">
              <w:rPr>
                <w:rStyle w:val="Tablefreq"/>
                <w:bCs/>
                <w:color w:val="000000"/>
                <w:lang w:val="es-ES"/>
              </w:rPr>
              <w:t>74-76</w:t>
            </w:r>
            <w:r w:rsidRPr="006A01BA">
              <w:rPr>
                <w:color w:val="000000"/>
                <w:lang w:val="es-ES"/>
              </w:rPr>
              <w:tab/>
            </w:r>
            <w:r w:rsidRPr="006A01BA">
              <w:rPr>
                <w:color w:val="000000"/>
                <w:lang w:val="es-ES"/>
              </w:rPr>
              <w:tab/>
            </w:r>
            <w:r w:rsidRPr="006A01BA">
              <w:rPr>
                <w:color w:val="000000"/>
                <w:lang w:val="es-ES"/>
              </w:rPr>
              <w:tab/>
              <w:t>FIJO</w:t>
            </w:r>
          </w:p>
          <w:p w14:paraId="78F56B3B"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FIJO POR SATÉLITE (espacio-Tierra)</w:t>
            </w:r>
          </w:p>
          <w:p w14:paraId="7A1FAEB1"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MÓVIL</w:t>
            </w:r>
          </w:p>
          <w:p w14:paraId="2C7DAAAC"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RADIODIFUSIÓN</w:t>
            </w:r>
          </w:p>
          <w:p w14:paraId="6C095163"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RADIODIFUSIÓN POR SATÉLITE</w:t>
            </w:r>
          </w:p>
          <w:p w14:paraId="3C84390D"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 xml:space="preserve">Investigación espacial (espacio-Tierra) </w:t>
            </w:r>
          </w:p>
          <w:p w14:paraId="378D8BC1" w14:textId="77777777" w:rsidR="006537F1" w:rsidRPr="006A01BA" w:rsidRDefault="00E37EEF" w:rsidP="00141CC8">
            <w:pPr>
              <w:pStyle w:val="TableTextS5"/>
              <w:rPr>
                <w:rStyle w:val="Artref"/>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
                <w:color w:val="000000"/>
                <w:lang w:val="es-ES"/>
              </w:rPr>
              <w:t>5.561</w:t>
            </w:r>
          </w:p>
        </w:tc>
      </w:tr>
      <w:tr w:rsidR="006537F1" w:rsidRPr="006A01BA" w14:paraId="2FC4D47E"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7C6ED810" w14:textId="77777777" w:rsidR="006537F1" w:rsidRPr="006A01BA" w:rsidRDefault="00E37EEF" w:rsidP="00141CC8">
            <w:pPr>
              <w:pStyle w:val="TableTextS5"/>
              <w:rPr>
                <w:color w:val="000000"/>
                <w:lang w:val="es-ES"/>
              </w:rPr>
            </w:pPr>
            <w:r w:rsidRPr="006A01BA">
              <w:rPr>
                <w:rStyle w:val="Tablefreq"/>
                <w:color w:val="000000"/>
                <w:lang w:val="es-ES"/>
              </w:rPr>
              <w:t>76-77,5</w:t>
            </w:r>
            <w:r w:rsidRPr="006A01BA">
              <w:rPr>
                <w:color w:val="000000"/>
                <w:lang w:val="es-ES"/>
              </w:rPr>
              <w:tab/>
            </w:r>
            <w:r w:rsidRPr="006A01BA">
              <w:rPr>
                <w:color w:val="000000"/>
                <w:lang w:val="es-ES"/>
              </w:rPr>
              <w:tab/>
              <w:t>RADIOASTRONOMÍA</w:t>
            </w:r>
          </w:p>
          <w:p w14:paraId="4363DEFD"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RADIOLOCALIZACIÓN</w:t>
            </w:r>
          </w:p>
          <w:p w14:paraId="696E6F71"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w:t>
            </w:r>
          </w:p>
          <w:p w14:paraId="4CB63298"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 por satélite</w:t>
            </w:r>
          </w:p>
          <w:p w14:paraId="04BFC451"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Investigación espacial (espacio-Tierra)</w:t>
            </w:r>
          </w:p>
          <w:p w14:paraId="4BDB1BC3"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
                <w:color w:val="000000"/>
                <w:lang w:val="es-ES"/>
              </w:rPr>
              <w:t>5.149</w:t>
            </w:r>
          </w:p>
        </w:tc>
      </w:tr>
      <w:tr w:rsidR="006537F1" w:rsidRPr="006A01BA" w14:paraId="168F36ED"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2D18B8A5" w14:textId="77777777" w:rsidR="006537F1" w:rsidRPr="006A01BA" w:rsidRDefault="00E37EEF" w:rsidP="00141CC8">
            <w:pPr>
              <w:pStyle w:val="TableTextS5"/>
              <w:rPr>
                <w:color w:val="000000"/>
                <w:lang w:val="es-ES"/>
              </w:rPr>
            </w:pPr>
            <w:r w:rsidRPr="006A01BA">
              <w:rPr>
                <w:rStyle w:val="Tablefreq"/>
                <w:bCs/>
                <w:color w:val="000000"/>
                <w:lang w:val="es-ES"/>
              </w:rPr>
              <w:t>77,5-78</w:t>
            </w:r>
            <w:r w:rsidRPr="006A01BA">
              <w:rPr>
                <w:color w:val="000000"/>
                <w:lang w:val="es-ES"/>
              </w:rPr>
              <w:tab/>
            </w:r>
            <w:r w:rsidRPr="006A01BA">
              <w:rPr>
                <w:color w:val="000000"/>
                <w:lang w:val="es-ES"/>
              </w:rPr>
              <w:tab/>
              <w:t>AFICIONADOS</w:t>
            </w:r>
          </w:p>
          <w:p w14:paraId="287067BC"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 POR SATÉLITE  5.559B</w:t>
            </w:r>
          </w:p>
          <w:p w14:paraId="7B48704F"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Radioastronomía</w:t>
            </w:r>
          </w:p>
          <w:p w14:paraId="25097ED0"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Investigación espacial (espacio-Tierra)</w:t>
            </w:r>
          </w:p>
          <w:p w14:paraId="7852ABA1"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
                <w:color w:val="000000"/>
                <w:lang w:val="es-ES"/>
              </w:rPr>
              <w:t>5.149</w:t>
            </w:r>
          </w:p>
        </w:tc>
      </w:tr>
      <w:tr w:rsidR="006537F1" w:rsidRPr="006A01BA" w14:paraId="41D77E3B"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0F3AEA42" w14:textId="77777777" w:rsidR="006537F1" w:rsidRPr="006A01BA" w:rsidRDefault="00E37EEF" w:rsidP="00141CC8">
            <w:pPr>
              <w:pStyle w:val="TableTextS5"/>
              <w:rPr>
                <w:color w:val="000000"/>
                <w:lang w:val="es-ES"/>
              </w:rPr>
            </w:pPr>
            <w:r w:rsidRPr="006A01BA">
              <w:rPr>
                <w:rStyle w:val="Tablefreq"/>
                <w:color w:val="000000"/>
                <w:lang w:val="es-ES"/>
              </w:rPr>
              <w:t>78-79</w:t>
            </w:r>
            <w:r w:rsidRPr="006A01BA">
              <w:rPr>
                <w:color w:val="000000"/>
                <w:lang w:val="es-ES"/>
              </w:rPr>
              <w:tab/>
            </w:r>
            <w:r w:rsidRPr="006A01BA">
              <w:rPr>
                <w:color w:val="000000"/>
                <w:lang w:val="es-ES"/>
              </w:rPr>
              <w:tab/>
            </w:r>
            <w:r w:rsidRPr="006A01BA">
              <w:rPr>
                <w:color w:val="000000"/>
                <w:lang w:val="es-ES"/>
              </w:rPr>
              <w:tab/>
              <w:t>RADIOLOCALIZACIÓN</w:t>
            </w:r>
          </w:p>
          <w:p w14:paraId="62399661"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w:t>
            </w:r>
          </w:p>
          <w:p w14:paraId="564AEE1D"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 por satélite</w:t>
            </w:r>
          </w:p>
          <w:p w14:paraId="139DB770"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Radioastronomía</w:t>
            </w:r>
          </w:p>
          <w:p w14:paraId="2493028E"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Investigación espacial (espacio-Tierra)</w:t>
            </w:r>
          </w:p>
          <w:p w14:paraId="36D5C446" w14:textId="77777777" w:rsidR="006537F1" w:rsidRPr="006A01BA" w:rsidRDefault="00E37EEF" w:rsidP="00141CC8">
            <w:pPr>
              <w:pStyle w:val="TableTextS5"/>
              <w:rPr>
                <w:rStyle w:val="Tablefreq"/>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10pt"/>
                <w:lang w:val="es-ES"/>
              </w:rPr>
              <w:t>5.149</w:t>
            </w:r>
            <w:r w:rsidRPr="006A01BA">
              <w:rPr>
                <w:color w:val="000000"/>
                <w:lang w:val="es-ES"/>
              </w:rPr>
              <w:t xml:space="preserve">  </w:t>
            </w:r>
            <w:r w:rsidRPr="006A01BA">
              <w:rPr>
                <w:rStyle w:val="Artref10pt"/>
                <w:lang w:val="es-ES"/>
              </w:rPr>
              <w:t>5.560</w:t>
            </w:r>
          </w:p>
        </w:tc>
      </w:tr>
      <w:tr w:rsidR="006537F1" w:rsidRPr="006A01BA" w14:paraId="6741DAE5" w14:textId="77777777" w:rsidTr="006537F1">
        <w:trPr>
          <w:cantSplit/>
        </w:trPr>
        <w:tc>
          <w:tcPr>
            <w:tcW w:w="9299" w:type="dxa"/>
            <w:gridSpan w:val="3"/>
            <w:tcBorders>
              <w:top w:val="single" w:sz="6" w:space="0" w:color="auto"/>
              <w:left w:val="single" w:sz="6" w:space="0" w:color="auto"/>
              <w:bottom w:val="single" w:sz="6" w:space="0" w:color="auto"/>
              <w:right w:val="single" w:sz="6" w:space="0" w:color="auto"/>
            </w:tcBorders>
          </w:tcPr>
          <w:p w14:paraId="03127E3F" w14:textId="77777777" w:rsidR="006537F1" w:rsidRPr="006A01BA" w:rsidRDefault="00E37EEF" w:rsidP="00141CC8">
            <w:pPr>
              <w:pStyle w:val="TableTextS5"/>
              <w:rPr>
                <w:color w:val="000000"/>
                <w:lang w:val="es-ES"/>
              </w:rPr>
            </w:pPr>
            <w:r w:rsidRPr="006A01BA">
              <w:rPr>
                <w:rStyle w:val="Tablefreq"/>
                <w:bCs/>
                <w:color w:val="000000"/>
                <w:lang w:val="es-ES"/>
              </w:rPr>
              <w:t>79-81</w:t>
            </w:r>
            <w:r w:rsidRPr="006A01BA">
              <w:rPr>
                <w:color w:val="000000"/>
                <w:lang w:val="es-ES"/>
              </w:rPr>
              <w:tab/>
            </w:r>
            <w:r w:rsidRPr="006A01BA">
              <w:rPr>
                <w:color w:val="000000"/>
                <w:lang w:val="es-ES"/>
              </w:rPr>
              <w:tab/>
            </w:r>
            <w:r w:rsidRPr="006A01BA">
              <w:rPr>
                <w:color w:val="000000"/>
                <w:lang w:val="es-ES"/>
              </w:rPr>
              <w:tab/>
              <w:t>RADIOASTRONOMÍA</w:t>
            </w:r>
          </w:p>
          <w:p w14:paraId="7781DE12"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RADIOLOCALIZACIÓN</w:t>
            </w:r>
          </w:p>
          <w:p w14:paraId="4C3158AB"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w:t>
            </w:r>
          </w:p>
          <w:p w14:paraId="1C2379E8"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Aficionados por satélite</w:t>
            </w:r>
          </w:p>
          <w:p w14:paraId="18086E55" w14:textId="77777777" w:rsidR="006537F1" w:rsidRPr="006A01BA" w:rsidRDefault="00E37EEF" w:rsidP="00141CC8">
            <w:pPr>
              <w:pStyle w:val="TableTextS5"/>
              <w:rPr>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t>Investigación espacial (espacio-Tierra)</w:t>
            </w:r>
          </w:p>
          <w:p w14:paraId="167D7D6F" w14:textId="77777777" w:rsidR="006537F1" w:rsidRPr="006A01BA" w:rsidRDefault="00E37EEF" w:rsidP="00141CC8">
            <w:pPr>
              <w:pStyle w:val="TableTextS5"/>
              <w:rPr>
                <w:rStyle w:val="Artref"/>
                <w:color w:val="000000"/>
                <w:lang w:val="es-ES"/>
              </w:rPr>
            </w:pPr>
            <w:r w:rsidRPr="006A01BA">
              <w:rPr>
                <w:color w:val="000000"/>
                <w:lang w:val="es-ES"/>
              </w:rPr>
              <w:tab/>
            </w:r>
            <w:r w:rsidRPr="006A01BA">
              <w:rPr>
                <w:color w:val="000000"/>
                <w:lang w:val="es-ES"/>
              </w:rPr>
              <w:tab/>
            </w:r>
            <w:r w:rsidRPr="006A01BA">
              <w:rPr>
                <w:color w:val="000000"/>
                <w:lang w:val="es-ES"/>
              </w:rPr>
              <w:tab/>
            </w:r>
            <w:r w:rsidRPr="006A01BA">
              <w:rPr>
                <w:color w:val="000000"/>
                <w:lang w:val="es-ES"/>
              </w:rPr>
              <w:tab/>
            </w:r>
            <w:r w:rsidRPr="006A01BA">
              <w:rPr>
                <w:rStyle w:val="Artref"/>
                <w:color w:val="000000"/>
                <w:lang w:val="es-ES"/>
              </w:rPr>
              <w:t>5.149</w:t>
            </w:r>
          </w:p>
        </w:tc>
      </w:tr>
    </w:tbl>
    <w:p w14:paraId="64777FA5" w14:textId="4B3CAFBD"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5768D1D4" w14:textId="77777777" w:rsidR="003A3A98" w:rsidRPr="006A01BA" w:rsidRDefault="00E37EEF">
      <w:pPr>
        <w:pStyle w:val="Proposal"/>
        <w:rPr>
          <w:lang w:val="es-ES"/>
        </w:rPr>
      </w:pPr>
      <w:r w:rsidRPr="006A01BA">
        <w:rPr>
          <w:lang w:val="es-ES"/>
        </w:rPr>
        <w:t>(MOD)</w:t>
      </w:r>
      <w:r w:rsidRPr="006A01BA">
        <w:rPr>
          <w:lang w:val="es-ES"/>
        </w:rPr>
        <w:tab/>
        <w:t>CHN/209/4</w:t>
      </w:r>
    </w:p>
    <w:p w14:paraId="6B4699A4" w14:textId="77777777" w:rsidR="006A62DA" w:rsidRPr="006A01BA" w:rsidRDefault="00E37EEF" w:rsidP="006A62DA">
      <w:pPr>
        <w:pStyle w:val="Note"/>
        <w:rPr>
          <w:lang w:val="es-ES"/>
        </w:rPr>
      </w:pPr>
      <w:r w:rsidRPr="006A01BA">
        <w:rPr>
          <w:rStyle w:val="Artdef"/>
          <w:szCs w:val="24"/>
          <w:lang w:val="es-ES"/>
        </w:rPr>
        <w:t>5.562B</w:t>
      </w:r>
      <w:r w:rsidRPr="006A01BA">
        <w:rPr>
          <w:rStyle w:val="Artdef"/>
          <w:szCs w:val="24"/>
          <w:lang w:val="es-ES"/>
        </w:rPr>
        <w:tab/>
      </w:r>
      <w:r w:rsidRPr="006A01BA">
        <w:rPr>
          <w:lang w:val="es-ES"/>
        </w:rPr>
        <w:t>En las bandas 105-109,5 GHz, 111,8-114,25 GHz, 155,5-158,5 GHz y 217-226 GHz, el uso de esta atribución se limita estrictamente a las misiones espaciales de radioastronomía.</w:t>
      </w:r>
      <w:r w:rsidRPr="006A01BA">
        <w:rPr>
          <w:sz w:val="16"/>
          <w:szCs w:val="16"/>
          <w:lang w:val="es-ES"/>
        </w:rPr>
        <w:t>     (CMR</w:t>
      </w:r>
      <w:r w:rsidRPr="006A01BA">
        <w:rPr>
          <w:sz w:val="16"/>
          <w:szCs w:val="16"/>
          <w:lang w:val="es-ES"/>
        </w:rPr>
        <w:noBreakHyphen/>
        <w:t>2000)</w:t>
      </w:r>
    </w:p>
    <w:p w14:paraId="0E810A70" w14:textId="31308C87"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077A26DC" w14:textId="77777777" w:rsidR="006537F1" w:rsidRPr="006A01BA" w:rsidRDefault="00E37EEF" w:rsidP="001C5723">
      <w:pPr>
        <w:pStyle w:val="ArtNo"/>
        <w:rPr>
          <w:lang w:val="es-ES"/>
        </w:rPr>
      </w:pPr>
      <w:r w:rsidRPr="006A01BA">
        <w:rPr>
          <w:lang w:val="es-ES"/>
        </w:rPr>
        <w:lastRenderedPageBreak/>
        <w:t xml:space="preserve">ARTÍCULO </w:t>
      </w:r>
      <w:r w:rsidRPr="006A01BA">
        <w:rPr>
          <w:rStyle w:val="href"/>
          <w:lang w:val="es-ES"/>
        </w:rPr>
        <w:t>22</w:t>
      </w:r>
    </w:p>
    <w:p w14:paraId="743173ED" w14:textId="77777777" w:rsidR="006537F1" w:rsidRPr="006A01BA" w:rsidRDefault="00E37EEF" w:rsidP="006537F1">
      <w:pPr>
        <w:pStyle w:val="Arttitle"/>
        <w:rPr>
          <w:position w:val="6"/>
          <w:sz w:val="18"/>
          <w:lang w:val="es-ES"/>
        </w:rPr>
      </w:pPr>
      <w:r w:rsidRPr="006A01BA">
        <w:rPr>
          <w:lang w:val="es-ES"/>
        </w:rPr>
        <w:t>Servicios espaciales</w:t>
      </w:r>
      <w:r w:rsidRPr="006A01BA">
        <w:rPr>
          <w:rStyle w:val="FootnoteReference"/>
          <w:lang w:val="es-ES"/>
        </w:rPr>
        <w:t>1</w:t>
      </w:r>
    </w:p>
    <w:p w14:paraId="2839392B" w14:textId="77777777" w:rsidR="006537F1" w:rsidRPr="006A01BA" w:rsidRDefault="00E37EEF" w:rsidP="006537F1">
      <w:pPr>
        <w:pStyle w:val="Section1"/>
        <w:rPr>
          <w:lang w:val="es-ES"/>
        </w:rPr>
      </w:pPr>
      <w:r w:rsidRPr="006A01BA">
        <w:rPr>
          <w:lang w:val="es-ES"/>
        </w:rPr>
        <w:t>Sección II – Medidas contra las interferencias causadas</w:t>
      </w:r>
      <w:r w:rsidRPr="006A01BA">
        <w:rPr>
          <w:lang w:val="es-ES"/>
        </w:rPr>
        <w:br/>
        <w:t>a los sistemas de satélites geoestacionarios</w:t>
      </w:r>
    </w:p>
    <w:p w14:paraId="3652FA04" w14:textId="77777777" w:rsidR="003A3A98" w:rsidRPr="006A01BA" w:rsidRDefault="00E37EEF">
      <w:pPr>
        <w:pStyle w:val="Proposal"/>
        <w:rPr>
          <w:lang w:val="es-ES"/>
        </w:rPr>
      </w:pPr>
      <w:r w:rsidRPr="006A01BA">
        <w:rPr>
          <w:lang w:val="es-ES"/>
        </w:rPr>
        <w:t>(MOD)</w:t>
      </w:r>
      <w:r w:rsidRPr="006A01BA">
        <w:rPr>
          <w:lang w:val="es-ES"/>
        </w:rPr>
        <w:tab/>
        <w:t>CHN/209/5</w:t>
      </w:r>
    </w:p>
    <w:p w14:paraId="284E4BAA" w14:textId="77777777" w:rsidR="00E611B7" w:rsidRPr="006A01BA" w:rsidRDefault="00E37EEF" w:rsidP="00E611B7">
      <w:pPr>
        <w:rPr>
          <w:lang w:val="es-ES"/>
        </w:rPr>
      </w:pPr>
      <w:r w:rsidRPr="006A01BA">
        <w:rPr>
          <w:rStyle w:val="Artdef"/>
          <w:lang w:val="es-ES"/>
        </w:rPr>
        <w:t>22.2</w:t>
      </w:r>
      <w:r w:rsidRPr="006A01BA">
        <w:rPr>
          <w:lang w:val="es-ES"/>
        </w:rPr>
        <w:tab/>
        <w:t>§ 2</w:t>
      </w:r>
      <w:r w:rsidRPr="006A01BA">
        <w:rPr>
          <w:lang w:val="es-ES"/>
        </w:rPr>
        <w:tab/>
        <w:t>1)</w:t>
      </w:r>
      <w:r w:rsidRPr="006A01BA">
        <w:rPr>
          <w:lang w:val="es-ES"/>
        </w:rPr>
        <w:tab/>
        <w:t>Los sistemas de satélites no geoestacionarios no deberán causar interferencia inaceptable a las redes de satélite geoestacionario del servicio fijo por satélite y del servicio de radiodifusión por satélite que funcionen de conformidad con las disposiciones del presente Reglamento y, a menos que se indique lo contrario en el presente Reglamento, no deberán reclamar protección contra las mismas. El número </w:t>
      </w:r>
      <w:r w:rsidRPr="006A01BA">
        <w:rPr>
          <w:b/>
          <w:bCs/>
          <w:lang w:val="es-ES"/>
        </w:rPr>
        <w:t>5.43A</w:t>
      </w:r>
      <w:r w:rsidRPr="006A01BA">
        <w:rPr>
          <w:lang w:val="es-ES"/>
        </w:rPr>
        <w:t xml:space="preserve"> no se aplica en este caso.</w:t>
      </w:r>
      <w:r w:rsidRPr="006A01BA">
        <w:rPr>
          <w:sz w:val="16"/>
          <w:szCs w:val="16"/>
          <w:lang w:val="es-ES"/>
        </w:rPr>
        <w:t>     (CMR-07)</w:t>
      </w:r>
    </w:p>
    <w:p w14:paraId="5EB974EC" w14:textId="33FA977C"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0BC77C78" w14:textId="77777777" w:rsidR="007B7DBC" w:rsidRPr="006A01BA" w:rsidRDefault="00E37EEF" w:rsidP="001C5723">
      <w:pPr>
        <w:pStyle w:val="ResNo"/>
        <w:rPr>
          <w:lang w:val="es-ES"/>
        </w:rPr>
      </w:pPr>
      <w:r w:rsidRPr="006A01BA">
        <w:rPr>
          <w:lang w:val="es-ES"/>
        </w:rPr>
        <w:t xml:space="preserve">RESOLUCIÓN </w:t>
      </w:r>
      <w:r w:rsidRPr="006A01BA">
        <w:rPr>
          <w:rStyle w:val="href"/>
          <w:lang w:val="es-ES"/>
        </w:rPr>
        <w:t xml:space="preserve">34 </w:t>
      </w:r>
      <w:r w:rsidRPr="006A01BA">
        <w:rPr>
          <w:lang w:val="es-ES"/>
        </w:rPr>
        <w:t>(Rev.CMR-15)</w:t>
      </w:r>
    </w:p>
    <w:p w14:paraId="7EFECF4C" w14:textId="77777777" w:rsidR="007B7DBC" w:rsidRPr="006A01BA" w:rsidRDefault="00E37EEF" w:rsidP="007B7DBC">
      <w:pPr>
        <w:pStyle w:val="Restitle"/>
        <w:rPr>
          <w:lang w:val="es-ES"/>
        </w:rPr>
      </w:pPr>
      <w:bookmarkStart w:id="5" w:name="_Toc328141240"/>
      <w:r w:rsidRPr="006A01BA">
        <w:rPr>
          <w:lang w:val="es-ES"/>
        </w:rPr>
        <w:t xml:space="preserve">Introducción del servicio de radiodifusión por satélite en la Región 3 </w:t>
      </w:r>
      <w:r w:rsidRPr="006A01BA">
        <w:rPr>
          <w:lang w:val="es-ES"/>
        </w:rPr>
        <w:br/>
        <w:t>en la banda de frecuencias 12,5</w:t>
      </w:r>
      <w:r w:rsidRPr="006A01BA">
        <w:rPr>
          <w:lang w:val="es-ES"/>
        </w:rPr>
        <w:noBreakHyphen/>
        <w:t>12,75 GHz y compartición con</w:t>
      </w:r>
      <w:r w:rsidRPr="006A01BA">
        <w:rPr>
          <w:lang w:val="es-ES"/>
        </w:rPr>
        <w:br/>
        <w:t>los servicios espaciales y terrenales en las Regiones 1, 2 y 3</w:t>
      </w:r>
      <w:bookmarkEnd w:id="5"/>
    </w:p>
    <w:p w14:paraId="1063904C" w14:textId="77777777" w:rsidR="003A3A98" w:rsidRPr="006A01BA" w:rsidRDefault="00E37EEF">
      <w:pPr>
        <w:pStyle w:val="Proposal"/>
        <w:rPr>
          <w:lang w:val="es-ES"/>
        </w:rPr>
      </w:pPr>
      <w:r w:rsidRPr="006A01BA">
        <w:rPr>
          <w:lang w:val="es-ES"/>
        </w:rPr>
        <w:t>(MOD)</w:t>
      </w:r>
      <w:r w:rsidRPr="006A01BA">
        <w:rPr>
          <w:lang w:val="es-ES"/>
        </w:rPr>
        <w:tab/>
        <w:t>CHN/209/6</w:t>
      </w:r>
    </w:p>
    <w:p w14:paraId="56A3667C" w14:textId="77777777" w:rsidR="007B7DBC" w:rsidRPr="006A01BA" w:rsidRDefault="00E37EEF" w:rsidP="007B7DBC">
      <w:pPr>
        <w:pStyle w:val="Call"/>
        <w:rPr>
          <w:lang w:val="es-ES"/>
        </w:rPr>
      </w:pPr>
      <w:r w:rsidRPr="006A01BA">
        <w:rPr>
          <w:lang w:val="es-ES"/>
        </w:rPr>
        <w:t>resuelve</w:t>
      </w:r>
    </w:p>
    <w:p w14:paraId="559F89B3" w14:textId="77777777" w:rsidR="007B7DBC" w:rsidRPr="006A01BA" w:rsidRDefault="00E37EEF" w:rsidP="007B7DBC">
      <w:pPr>
        <w:rPr>
          <w:lang w:val="es-ES"/>
        </w:rPr>
      </w:pPr>
      <w:r w:rsidRPr="006A01BA">
        <w:rPr>
          <w:lang w:val="es-ES"/>
        </w:rPr>
        <w:t>1</w:t>
      </w:r>
      <w:r w:rsidRPr="006A01BA">
        <w:rPr>
          <w:lang w:val="es-ES"/>
        </w:rPr>
        <w:tab/>
        <w:t>que, en espera de que pueda establecerse un plan para el servicio de radiodifusión por satélite en la banda de frecuencias 12,5</w:t>
      </w:r>
      <w:r w:rsidRPr="006A01BA">
        <w:rPr>
          <w:lang w:val="es-ES"/>
        </w:rPr>
        <w:noBreakHyphen/>
        <w:t>12,75 GHz en la Región 3, continúen aplicándose las disposiciones pertinentes de las Secciones A y B de la Resolución </w:t>
      </w:r>
      <w:r w:rsidRPr="006A01BA">
        <w:rPr>
          <w:b/>
          <w:bCs/>
          <w:lang w:val="es-ES"/>
        </w:rPr>
        <w:t>33</w:t>
      </w:r>
      <w:r w:rsidRPr="006A01BA">
        <w:rPr>
          <w:lang w:val="es-ES"/>
        </w:rPr>
        <w:t xml:space="preserve"> </w:t>
      </w:r>
      <w:r w:rsidRPr="006A01BA">
        <w:rPr>
          <w:b/>
          <w:lang w:val="es-ES"/>
        </w:rPr>
        <w:t>(Rev.CMR</w:t>
      </w:r>
      <w:r w:rsidRPr="006A01BA">
        <w:rPr>
          <w:b/>
          <w:lang w:val="es-ES"/>
        </w:rPr>
        <w:noBreakHyphen/>
        <w:t>15)</w:t>
      </w:r>
      <w:r w:rsidRPr="006A01BA">
        <w:rPr>
          <w:lang w:val="es-ES"/>
        </w:rPr>
        <w:t>, o el Artículo </w:t>
      </w:r>
      <w:r w:rsidRPr="006A01BA">
        <w:rPr>
          <w:rStyle w:val="Artref"/>
          <w:b/>
          <w:lang w:val="es-ES"/>
        </w:rPr>
        <w:t>9</w:t>
      </w:r>
      <w:r w:rsidRPr="006A01BA">
        <w:rPr>
          <w:lang w:val="es-ES"/>
        </w:rPr>
        <w:t>, según proceda (ver la Resolución </w:t>
      </w:r>
      <w:r w:rsidRPr="006A01BA">
        <w:rPr>
          <w:b/>
          <w:bCs/>
          <w:lang w:val="es-ES"/>
        </w:rPr>
        <w:t>33 (Rev.CMR</w:t>
      </w:r>
      <w:r w:rsidRPr="006A01BA">
        <w:rPr>
          <w:b/>
          <w:bCs/>
          <w:lang w:val="es-ES"/>
        </w:rPr>
        <w:noBreakHyphen/>
        <w:t>15)</w:t>
      </w:r>
      <w:r w:rsidRPr="006A01BA">
        <w:rPr>
          <w:lang w:val="es-ES"/>
        </w:rPr>
        <w:t>), a la coordinación entre estaciones del servicio de radiodifusión por satélite en la Región 3, así como a las:</w:t>
      </w:r>
    </w:p>
    <w:p w14:paraId="64726C05" w14:textId="77777777" w:rsidR="007B7DBC" w:rsidRPr="006A01BA" w:rsidRDefault="00E37EEF" w:rsidP="007B7DBC">
      <w:pPr>
        <w:pStyle w:val="enumlev1"/>
        <w:rPr>
          <w:lang w:val="es-ES"/>
        </w:rPr>
      </w:pPr>
      <w:r w:rsidRPr="006A01BA">
        <w:rPr>
          <w:i/>
          <w:iCs/>
          <w:lang w:val="es-ES"/>
        </w:rPr>
        <w:t>a)</w:t>
      </w:r>
      <w:r w:rsidRPr="006A01BA">
        <w:rPr>
          <w:lang w:val="es-ES"/>
        </w:rPr>
        <w:tab/>
        <w:t>estaciones espaciales de los servicios de radiodifusión por satélite y fijo por satélite en las Regiones 1, 2 y 3;</w:t>
      </w:r>
    </w:p>
    <w:p w14:paraId="14A6ED69" w14:textId="77777777" w:rsidR="007B7DBC" w:rsidRPr="006A01BA" w:rsidRDefault="00E37EEF" w:rsidP="007B7DBC">
      <w:pPr>
        <w:pStyle w:val="enumlev1"/>
        <w:rPr>
          <w:lang w:val="es-ES"/>
        </w:rPr>
      </w:pPr>
      <w:r w:rsidRPr="006A01BA">
        <w:rPr>
          <w:i/>
          <w:iCs/>
          <w:lang w:val="es-ES"/>
        </w:rPr>
        <w:t>b)</w:t>
      </w:r>
      <w:r w:rsidRPr="006A01BA">
        <w:rPr>
          <w:lang w:val="es-ES"/>
        </w:rPr>
        <w:tab/>
        <w:t>estaciones terrenales en las Regiones 1, 2 y 3;</w:t>
      </w:r>
    </w:p>
    <w:p w14:paraId="62EE96B4" w14:textId="77777777" w:rsidR="007B7DBC" w:rsidRPr="006A01BA" w:rsidRDefault="00E37EEF" w:rsidP="007B7DBC">
      <w:pPr>
        <w:rPr>
          <w:lang w:val="es-ES"/>
        </w:rPr>
      </w:pPr>
      <w:r w:rsidRPr="006A01BA">
        <w:rPr>
          <w:lang w:val="es-ES"/>
        </w:rPr>
        <w:t>2</w:t>
      </w:r>
      <w:r w:rsidRPr="006A01BA">
        <w:rPr>
          <w:lang w:val="es-ES"/>
        </w:rPr>
        <w:tab/>
        <w:t>que el UIT</w:t>
      </w:r>
      <w:r w:rsidRPr="006A01BA">
        <w:rPr>
          <w:lang w:val="es-ES"/>
        </w:rPr>
        <w:noBreakHyphen/>
        <w:t>R estudie con carácter urgente las disposiciones técnicas adecuadas para la compartición entre estaciones del servicio de radiodifusión por satélite en la Región 3 y:</w:t>
      </w:r>
    </w:p>
    <w:p w14:paraId="7618751E" w14:textId="77777777" w:rsidR="007B7DBC" w:rsidRPr="006A01BA" w:rsidRDefault="00E37EEF" w:rsidP="007B7DBC">
      <w:pPr>
        <w:pStyle w:val="enumlev1"/>
        <w:rPr>
          <w:lang w:val="es-ES"/>
        </w:rPr>
      </w:pPr>
      <w:r w:rsidRPr="006A01BA">
        <w:rPr>
          <w:i/>
          <w:iCs/>
          <w:lang w:val="es-ES"/>
        </w:rPr>
        <w:t>a)</w:t>
      </w:r>
      <w:r w:rsidRPr="006A01BA">
        <w:rPr>
          <w:lang w:val="es-ES"/>
        </w:rPr>
        <w:tab/>
        <w:t>estaciones espaciales de los servicios de radiodifusión por satélite y fijo por satélite en las Regiones 1 y 2;</w:t>
      </w:r>
    </w:p>
    <w:p w14:paraId="2351F829" w14:textId="77777777" w:rsidR="007B7DBC" w:rsidRPr="006A01BA" w:rsidRDefault="00E37EEF" w:rsidP="007B7DBC">
      <w:pPr>
        <w:pStyle w:val="enumlev1"/>
        <w:rPr>
          <w:lang w:val="es-ES"/>
        </w:rPr>
      </w:pPr>
      <w:r w:rsidRPr="006A01BA">
        <w:rPr>
          <w:i/>
          <w:iCs/>
          <w:lang w:val="es-ES"/>
        </w:rPr>
        <w:t>b)</w:t>
      </w:r>
      <w:r w:rsidRPr="006A01BA">
        <w:rPr>
          <w:lang w:val="es-ES"/>
        </w:rPr>
        <w:tab/>
        <w:t>estaciones terrenales en las Regiones 1 y 2;</w:t>
      </w:r>
    </w:p>
    <w:p w14:paraId="1AAA04E7" w14:textId="77777777" w:rsidR="007B7DBC" w:rsidRPr="006A01BA" w:rsidRDefault="00E37EEF" w:rsidP="007B7DBC">
      <w:pPr>
        <w:rPr>
          <w:lang w:val="es-ES"/>
        </w:rPr>
      </w:pPr>
      <w:r w:rsidRPr="006A01BA">
        <w:rPr>
          <w:lang w:val="es-ES"/>
        </w:rPr>
        <w:t>3</w:t>
      </w:r>
      <w:r w:rsidRPr="006A01BA">
        <w:rPr>
          <w:lang w:val="es-ES"/>
        </w:rPr>
        <w:tab/>
        <w:t>que, en espera de que estas disposiciones técnicas sean elaboradas por el UIT</w:t>
      </w:r>
      <w:r w:rsidRPr="006A01BA">
        <w:rPr>
          <w:lang w:val="es-ES"/>
        </w:rPr>
        <w:noBreakHyphen/>
        <w:t>R y aceptadas por las administraciones interesadas de conformidad con la Resolución </w:t>
      </w:r>
      <w:r w:rsidRPr="006A01BA">
        <w:rPr>
          <w:b/>
          <w:bCs/>
          <w:lang w:val="es-ES"/>
        </w:rPr>
        <w:t>703</w:t>
      </w:r>
      <w:r w:rsidRPr="006A01BA">
        <w:rPr>
          <w:lang w:val="es-ES"/>
        </w:rPr>
        <w:t xml:space="preserve"> </w:t>
      </w:r>
      <w:r w:rsidRPr="006A01BA">
        <w:rPr>
          <w:b/>
          <w:lang w:val="es-ES"/>
        </w:rPr>
        <w:t>(Rev.CMR</w:t>
      </w:r>
      <w:r w:rsidRPr="006A01BA">
        <w:rPr>
          <w:b/>
          <w:lang w:val="es-ES"/>
        </w:rPr>
        <w:noBreakHyphen/>
        <w:t>07)</w:t>
      </w:r>
      <w:r w:rsidRPr="006A01BA">
        <w:rPr>
          <w:lang w:val="es-ES"/>
        </w:rPr>
        <w:t xml:space="preserve"> la compartición entre estaciones espaciales del servicio de radiodifusión por satélite en la Región 3 y los servicios terrenales en las Regiones 1, 2 y 3 se base en los siguientes criterios:</w:t>
      </w:r>
    </w:p>
    <w:p w14:paraId="078ADAC1" w14:textId="77777777" w:rsidR="007B7DBC" w:rsidRPr="006A01BA" w:rsidRDefault="00E37EEF" w:rsidP="007B7DBC">
      <w:pPr>
        <w:pStyle w:val="enumlev1"/>
        <w:rPr>
          <w:lang w:val="es-ES"/>
        </w:rPr>
      </w:pPr>
      <w:r w:rsidRPr="006A01BA">
        <w:rPr>
          <w:i/>
          <w:iCs/>
          <w:lang w:val="es-ES"/>
        </w:rPr>
        <w:t>a)</w:t>
      </w:r>
      <w:r w:rsidRPr="006A01BA">
        <w:rPr>
          <w:lang w:val="es-ES"/>
        </w:rPr>
        <w:tab/>
        <w:t>la densidad de flujo de potencia producida en la superficie de la Tierra por las emisiones de una estación espacial del servicio de radiodifusión por satélite en la Región 3, para todas las condiciones y métodos de modulación, no excederá de los límites indicados en el Anexo 5 al Apéndice </w:t>
      </w:r>
      <w:r w:rsidRPr="006A01BA">
        <w:rPr>
          <w:rStyle w:val="Appref"/>
          <w:b/>
          <w:lang w:val="es-ES"/>
        </w:rPr>
        <w:t>30</w:t>
      </w:r>
      <w:r w:rsidRPr="006A01BA">
        <w:rPr>
          <w:lang w:val="es-ES"/>
        </w:rPr>
        <w:t>;</w:t>
      </w:r>
    </w:p>
    <w:p w14:paraId="74F6C081" w14:textId="77777777" w:rsidR="007B7DBC" w:rsidRPr="006A01BA" w:rsidRDefault="00E37EEF" w:rsidP="007B7DBC">
      <w:pPr>
        <w:pStyle w:val="enumlev1"/>
        <w:rPr>
          <w:lang w:val="es-ES"/>
        </w:rPr>
      </w:pPr>
      <w:r w:rsidRPr="006A01BA">
        <w:rPr>
          <w:i/>
          <w:iCs/>
          <w:lang w:val="es-ES"/>
        </w:rPr>
        <w:lastRenderedPageBreak/>
        <w:t>b)</w:t>
      </w:r>
      <w:r w:rsidRPr="006A01BA">
        <w:rPr>
          <w:lang w:val="es-ES"/>
        </w:rPr>
        <w:tab/>
        <w:t xml:space="preserve">además de lo indicado en el </w:t>
      </w:r>
      <w:r w:rsidRPr="006A01BA">
        <w:rPr>
          <w:i/>
          <w:iCs/>
          <w:lang w:val="es-ES"/>
        </w:rPr>
        <w:t>resuelve</w:t>
      </w:r>
      <w:r w:rsidRPr="006A01BA">
        <w:rPr>
          <w:lang w:val="es-ES"/>
        </w:rPr>
        <w:t> 3 </w:t>
      </w:r>
      <w:r w:rsidRPr="006A01BA">
        <w:rPr>
          <w:i/>
          <w:iCs/>
          <w:lang w:val="es-ES"/>
        </w:rPr>
        <w:t>a)</w:t>
      </w:r>
      <w:r w:rsidRPr="006A01BA">
        <w:rPr>
          <w:lang w:val="es-ES"/>
        </w:rPr>
        <w:t xml:space="preserve"> precedente, se aplicarán las disposiciones del Artículo </w:t>
      </w:r>
      <w:r w:rsidRPr="006A01BA">
        <w:rPr>
          <w:rStyle w:val="Artref"/>
          <w:b/>
          <w:lang w:val="es-ES"/>
        </w:rPr>
        <w:t>21</w:t>
      </w:r>
      <w:r w:rsidRPr="006A01BA">
        <w:rPr>
          <w:lang w:val="es-ES"/>
        </w:rPr>
        <w:t xml:space="preserve"> (Cuadro </w:t>
      </w:r>
      <w:r w:rsidRPr="006A01BA">
        <w:rPr>
          <w:b/>
          <w:bCs/>
          <w:lang w:val="es-ES"/>
        </w:rPr>
        <w:t>21-4</w:t>
      </w:r>
      <w:r w:rsidRPr="006A01BA">
        <w:rPr>
          <w:lang w:val="es-ES"/>
        </w:rPr>
        <w:t>) en los países mencionados en los números </w:t>
      </w:r>
      <w:r w:rsidRPr="006A01BA">
        <w:rPr>
          <w:rStyle w:val="Artref"/>
          <w:b/>
          <w:lang w:val="es-ES"/>
        </w:rPr>
        <w:t>5.494</w:t>
      </w:r>
      <w:r w:rsidRPr="006A01BA">
        <w:rPr>
          <w:lang w:val="es-ES"/>
        </w:rPr>
        <w:t xml:space="preserve"> y </w:t>
      </w:r>
      <w:r w:rsidRPr="006A01BA">
        <w:rPr>
          <w:rStyle w:val="Artref"/>
          <w:b/>
          <w:lang w:val="es-ES"/>
        </w:rPr>
        <w:t>5.496</w:t>
      </w:r>
      <w:r w:rsidRPr="006A01BA">
        <w:rPr>
          <w:lang w:val="es-ES"/>
        </w:rPr>
        <w:t>;</w:t>
      </w:r>
    </w:p>
    <w:p w14:paraId="3943FD04" w14:textId="77777777" w:rsidR="007B7DBC" w:rsidRPr="006A01BA" w:rsidRDefault="00E37EEF" w:rsidP="007B7DBC">
      <w:pPr>
        <w:pStyle w:val="enumlev1"/>
        <w:rPr>
          <w:lang w:val="es-ES"/>
        </w:rPr>
      </w:pPr>
      <w:r w:rsidRPr="006A01BA">
        <w:rPr>
          <w:i/>
          <w:iCs/>
          <w:lang w:val="es-ES"/>
        </w:rPr>
        <w:t>c)</w:t>
      </w:r>
      <w:r w:rsidRPr="006A01BA">
        <w:rPr>
          <w:lang w:val="es-ES"/>
        </w:rPr>
        <w:tab/>
        <w:t xml:space="preserve">los límites indicados en los </w:t>
      </w:r>
      <w:r w:rsidRPr="006A01BA">
        <w:rPr>
          <w:i/>
          <w:iCs/>
          <w:lang w:val="es-ES"/>
        </w:rPr>
        <w:t>resuelve</w:t>
      </w:r>
      <w:r w:rsidRPr="006A01BA">
        <w:rPr>
          <w:lang w:val="es-ES"/>
        </w:rPr>
        <w:t xml:space="preserve"> 3 </w:t>
      </w:r>
      <w:r w:rsidRPr="006A01BA">
        <w:rPr>
          <w:i/>
          <w:iCs/>
          <w:lang w:val="es-ES"/>
        </w:rPr>
        <w:t>a)</w:t>
      </w:r>
      <w:r w:rsidRPr="006A01BA">
        <w:rPr>
          <w:lang w:val="es-ES"/>
        </w:rPr>
        <w:t xml:space="preserve"> y </w:t>
      </w:r>
      <w:r w:rsidRPr="006A01BA">
        <w:rPr>
          <w:i/>
          <w:iCs/>
          <w:lang w:val="es-ES"/>
        </w:rPr>
        <w:t>b)</w:t>
      </w:r>
      <w:r w:rsidRPr="006A01BA">
        <w:rPr>
          <w:lang w:val="es-ES"/>
        </w:rPr>
        <w:t xml:space="preserve"> precedentes, podrán ser rebasados en el territorio de cualquier país cuya administración así lo haya aceptado.</w:t>
      </w:r>
    </w:p>
    <w:p w14:paraId="004E4884" w14:textId="6EB4E5EB"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56409D0F" w14:textId="77777777" w:rsidR="007B7DBC" w:rsidRPr="006A01BA" w:rsidRDefault="00E37EEF" w:rsidP="001C5723">
      <w:pPr>
        <w:pStyle w:val="ResNo"/>
        <w:rPr>
          <w:lang w:val="es-ES"/>
        </w:rPr>
      </w:pPr>
      <w:r w:rsidRPr="006A01BA">
        <w:rPr>
          <w:lang w:val="es-ES"/>
        </w:rPr>
        <w:t xml:space="preserve">RESOLUCIÓN </w:t>
      </w:r>
      <w:r w:rsidRPr="006A01BA">
        <w:rPr>
          <w:rStyle w:val="href"/>
          <w:lang w:val="es-ES"/>
        </w:rPr>
        <w:t>212</w:t>
      </w:r>
      <w:r w:rsidRPr="006A01BA">
        <w:rPr>
          <w:lang w:val="es-ES"/>
        </w:rPr>
        <w:t xml:space="preserve"> (Rev.CMR-15)</w:t>
      </w:r>
    </w:p>
    <w:p w14:paraId="07D62FA1" w14:textId="77777777" w:rsidR="007B7DBC" w:rsidRPr="006A01BA" w:rsidRDefault="00E37EEF" w:rsidP="007B7DBC">
      <w:pPr>
        <w:pStyle w:val="Restitle"/>
        <w:rPr>
          <w:lang w:val="es-ES"/>
        </w:rPr>
      </w:pPr>
      <w:bookmarkStart w:id="6" w:name="_Toc328141316"/>
      <w:r w:rsidRPr="006A01BA">
        <w:rPr>
          <w:lang w:val="es-ES"/>
        </w:rPr>
        <w:t>Introducción de las telecomunicaciones móviles internacionales (IMT)</w:t>
      </w:r>
      <w:r w:rsidRPr="006A01BA">
        <w:rPr>
          <w:lang w:val="es-ES"/>
        </w:rPr>
        <w:br/>
        <w:t>en las bandas de frecuencias 1 885</w:t>
      </w:r>
      <w:r w:rsidRPr="006A01BA">
        <w:rPr>
          <w:lang w:val="es-ES"/>
        </w:rPr>
        <w:noBreakHyphen/>
        <w:t>2 025 MHz y 2 110</w:t>
      </w:r>
      <w:r w:rsidRPr="006A01BA">
        <w:rPr>
          <w:lang w:val="es-ES"/>
        </w:rPr>
        <w:noBreakHyphen/>
        <w:t>2 200 MHz</w:t>
      </w:r>
      <w:bookmarkEnd w:id="6"/>
    </w:p>
    <w:p w14:paraId="3EEDF9EC" w14:textId="77777777" w:rsidR="003A3A98" w:rsidRPr="006A01BA" w:rsidRDefault="00E37EEF">
      <w:pPr>
        <w:pStyle w:val="Proposal"/>
        <w:rPr>
          <w:lang w:val="es-ES"/>
        </w:rPr>
      </w:pPr>
      <w:r w:rsidRPr="006A01BA">
        <w:rPr>
          <w:lang w:val="es-ES"/>
        </w:rPr>
        <w:t>(MOD)</w:t>
      </w:r>
      <w:r w:rsidRPr="006A01BA">
        <w:rPr>
          <w:lang w:val="es-ES"/>
        </w:rPr>
        <w:tab/>
        <w:t>CHN/209/7</w:t>
      </w:r>
    </w:p>
    <w:p w14:paraId="4A99A2AF" w14:textId="77777777" w:rsidR="007B7DBC" w:rsidRPr="006A01BA" w:rsidRDefault="00E37EEF" w:rsidP="007B7DBC">
      <w:pPr>
        <w:pStyle w:val="Call"/>
        <w:rPr>
          <w:lang w:val="es-ES"/>
        </w:rPr>
      </w:pPr>
      <w:r w:rsidRPr="006A01BA">
        <w:rPr>
          <w:lang w:val="es-ES"/>
        </w:rPr>
        <w:t>considerando</w:t>
      </w:r>
    </w:p>
    <w:p w14:paraId="0302E626" w14:textId="77777777" w:rsidR="007B7DBC" w:rsidRPr="006A01BA" w:rsidRDefault="00E37EEF" w:rsidP="007B7DBC">
      <w:pPr>
        <w:rPr>
          <w:lang w:val="es-ES"/>
        </w:rPr>
      </w:pPr>
      <w:r w:rsidRPr="006A01BA">
        <w:rPr>
          <w:i/>
          <w:lang w:val="es-ES"/>
        </w:rPr>
        <w:t>a)</w:t>
      </w:r>
      <w:r w:rsidRPr="006A01BA">
        <w:rPr>
          <w:lang w:val="es-ES"/>
        </w:rPr>
        <w:tab/>
        <w:t>que en la Resolución UIT-R 56 se define la denominación de las Telecomunicaciones Móviles Internacionales (IMT);</w:t>
      </w:r>
    </w:p>
    <w:p w14:paraId="2143F9BA" w14:textId="77777777" w:rsidR="007B7DBC" w:rsidRPr="006A01BA" w:rsidRDefault="00E37EEF" w:rsidP="007B7DBC">
      <w:pPr>
        <w:rPr>
          <w:lang w:val="es-ES"/>
        </w:rPr>
      </w:pPr>
      <w:r w:rsidRPr="006A01BA">
        <w:rPr>
          <w:i/>
          <w:lang w:val="es-ES"/>
        </w:rPr>
        <w:t>b)</w:t>
      </w:r>
      <w:r w:rsidRPr="006A01BA">
        <w:rPr>
          <w:lang w:val="es-ES"/>
        </w:rPr>
        <w:tab/>
        <w:t>que, para la CMR</w:t>
      </w:r>
      <w:r w:rsidRPr="006A01BA">
        <w:rPr>
          <w:lang w:val="es-ES"/>
        </w:rPr>
        <w:noBreakHyphen/>
        <w:t>97, el Sector de Radiocomunicaciones de la UIT (UIT-R) recomendó que se utilizaran aproximadamente 230 MHz para la componente terrenal y de satélite de las IMT;</w:t>
      </w:r>
    </w:p>
    <w:p w14:paraId="47D017B5" w14:textId="77777777" w:rsidR="007B7DBC" w:rsidRPr="006A01BA" w:rsidRDefault="00E37EEF" w:rsidP="007B7DBC">
      <w:pPr>
        <w:rPr>
          <w:lang w:val="es-ES"/>
        </w:rPr>
      </w:pPr>
      <w:r w:rsidRPr="006A01BA">
        <w:rPr>
          <w:i/>
          <w:iCs/>
          <w:lang w:val="es-ES"/>
        </w:rPr>
        <w:t>c)</w:t>
      </w:r>
      <w:r w:rsidRPr="006A01BA">
        <w:rPr>
          <w:i/>
          <w:iCs/>
          <w:lang w:val="es-ES"/>
        </w:rPr>
        <w:tab/>
      </w:r>
      <w:r w:rsidRPr="006A01BA">
        <w:rPr>
          <w:lang w:val="es-ES"/>
        </w:rPr>
        <w:t>que, como resultado de los estudios del UIT</w:t>
      </w:r>
      <w:r w:rsidRPr="006A01BA">
        <w:rPr>
          <w:lang w:val="es-ES"/>
        </w:rPr>
        <w:noBreakHyphen/>
        <w:t>R se previó que podría necesitarse espectro adicional para los futuros servicios de las IMT y para atender los futuros requisitos de usuario y de instalaciones de redes;</w:t>
      </w:r>
    </w:p>
    <w:p w14:paraId="152A6202" w14:textId="77777777" w:rsidR="007B7DBC" w:rsidRPr="006A01BA" w:rsidRDefault="00E37EEF" w:rsidP="007B7DBC">
      <w:pPr>
        <w:rPr>
          <w:lang w:val="es-ES"/>
        </w:rPr>
      </w:pPr>
      <w:r w:rsidRPr="006A01BA">
        <w:rPr>
          <w:i/>
          <w:lang w:val="es-ES"/>
        </w:rPr>
        <w:t>d)</w:t>
      </w:r>
      <w:r w:rsidRPr="006A01BA">
        <w:rPr>
          <w:i/>
          <w:lang w:val="es-ES"/>
        </w:rPr>
        <w:tab/>
      </w:r>
      <w:r w:rsidRPr="006A01BA">
        <w:rPr>
          <w:lang w:val="es-ES"/>
        </w:rPr>
        <w:t>que el UIT</w:t>
      </w:r>
      <w:r w:rsidRPr="006A01BA">
        <w:rPr>
          <w:lang w:val="es-ES"/>
        </w:rPr>
        <w:noBreakHyphen/>
        <w:t>R ha reconocido que las técnicas espaciales forman parte integrante de las IMT;</w:t>
      </w:r>
    </w:p>
    <w:p w14:paraId="15FEA5BF" w14:textId="77777777" w:rsidR="007B7DBC" w:rsidRPr="006A01BA" w:rsidRDefault="00E37EEF" w:rsidP="007B7DBC">
      <w:pPr>
        <w:rPr>
          <w:lang w:val="es-ES"/>
        </w:rPr>
      </w:pPr>
      <w:r w:rsidRPr="006A01BA">
        <w:rPr>
          <w:i/>
          <w:lang w:val="es-ES"/>
        </w:rPr>
        <w:t>e)</w:t>
      </w:r>
      <w:r w:rsidRPr="006A01BA">
        <w:rPr>
          <w:lang w:val="es-ES"/>
        </w:rPr>
        <w:tab/>
        <w:t>que, en el número </w:t>
      </w:r>
      <w:r w:rsidRPr="006A01BA">
        <w:rPr>
          <w:rStyle w:val="Artref"/>
          <w:b/>
          <w:lang w:val="es-ES"/>
        </w:rPr>
        <w:t>5.388</w:t>
      </w:r>
      <w:r w:rsidRPr="006A01BA">
        <w:rPr>
          <w:rStyle w:val="Artref"/>
          <w:bCs/>
          <w:lang w:val="es-ES"/>
        </w:rPr>
        <w:t>,</w:t>
      </w:r>
      <w:r w:rsidRPr="006A01BA">
        <w:rPr>
          <w:rStyle w:val="Artref"/>
          <w:b/>
          <w:lang w:val="es-ES"/>
        </w:rPr>
        <w:t xml:space="preserve"> </w:t>
      </w:r>
      <w:r w:rsidRPr="006A01BA">
        <w:rPr>
          <w:lang w:val="es-ES"/>
        </w:rPr>
        <w:t>la CAMR</w:t>
      </w:r>
      <w:r w:rsidRPr="006A01BA">
        <w:rPr>
          <w:lang w:val="es-ES"/>
        </w:rPr>
        <w:noBreakHyphen/>
        <w:t>92 identificó bandas de frecuencias para determinados servicios móviles que ahora se denominan IMT,</w:t>
      </w:r>
    </w:p>
    <w:p w14:paraId="65293AA5" w14:textId="72E5044C" w:rsidR="003A3A98" w:rsidRPr="006A01BA" w:rsidRDefault="00E37EEF">
      <w:pPr>
        <w:pStyle w:val="Reasons"/>
        <w:rPr>
          <w:lang w:val="es-ES"/>
        </w:rPr>
      </w:pPr>
      <w:r w:rsidRPr="006A01BA">
        <w:rPr>
          <w:b/>
          <w:lang w:val="es-ES"/>
        </w:rPr>
        <w:t>Motivos:</w:t>
      </w:r>
      <w:r w:rsidRPr="006A01BA">
        <w:rPr>
          <w:lang w:val="es-ES"/>
        </w:rPr>
        <w:tab/>
      </w:r>
      <w:r w:rsidR="00A93A69" w:rsidRPr="006A01BA">
        <w:rPr>
          <w:lang w:val="es-ES"/>
        </w:rPr>
        <w:t>Únicamente en chino</w:t>
      </w:r>
      <w:r w:rsidR="001C5723" w:rsidRPr="006A01BA">
        <w:rPr>
          <w:lang w:val="es-ES"/>
        </w:rPr>
        <w:t>.</w:t>
      </w:r>
    </w:p>
    <w:p w14:paraId="79BBB6DC" w14:textId="77777777" w:rsidR="007B7DBC" w:rsidRPr="006A01BA" w:rsidRDefault="00E37EEF" w:rsidP="001C5723">
      <w:pPr>
        <w:pStyle w:val="ResNo"/>
        <w:rPr>
          <w:lang w:val="es-ES"/>
        </w:rPr>
      </w:pPr>
      <w:r w:rsidRPr="006A01BA">
        <w:rPr>
          <w:lang w:val="es-ES"/>
        </w:rPr>
        <w:t xml:space="preserve">RESOLUCIÓN </w:t>
      </w:r>
      <w:r w:rsidRPr="006A01BA">
        <w:rPr>
          <w:rStyle w:val="href"/>
          <w:lang w:val="es-ES"/>
        </w:rPr>
        <w:t>750</w:t>
      </w:r>
      <w:r w:rsidRPr="006A01BA">
        <w:rPr>
          <w:lang w:val="es-ES"/>
        </w:rPr>
        <w:t xml:space="preserve"> (Rev.CMR-15)</w:t>
      </w:r>
    </w:p>
    <w:p w14:paraId="31631DD8" w14:textId="77777777" w:rsidR="007B7DBC" w:rsidRPr="006A01BA" w:rsidRDefault="00E37EEF" w:rsidP="007B7DBC">
      <w:pPr>
        <w:pStyle w:val="Restitle"/>
        <w:rPr>
          <w:lang w:val="es-ES"/>
        </w:rPr>
      </w:pPr>
      <w:bookmarkStart w:id="7" w:name="_Toc320536595"/>
      <w:bookmarkStart w:id="8" w:name="_Toc328141477"/>
      <w:r w:rsidRPr="006A01BA">
        <w:rPr>
          <w:lang w:val="es-ES"/>
        </w:rPr>
        <w:t>Compatibilidad entre el servicio de exploración de la Tierra</w:t>
      </w:r>
      <w:r w:rsidRPr="006A01BA">
        <w:rPr>
          <w:lang w:val="es-ES"/>
        </w:rPr>
        <w:br/>
        <w:t>por satélite (pasivo) y los servicios activos pertinentes</w:t>
      </w:r>
      <w:bookmarkEnd w:id="7"/>
      <w:bookmarkEnd w:id="8"/>
    </w:p>
    <w:p w14:paraId="427CAE20" w14:textId="77777777" w:rsidR="003A3A98" w:rsidRPr="006A01BA" w:rsidRDefault="00E37EEF">
      <w:pPr>
        <w:pStyle w:val="Proposal"/>
        <w:rPr>
          <w:lang w:val="es-ES"/>
        </w:rPr>
      </w:pPr>
      <w:r w:rsidRPr="006A01BA">
        <w:rPr>
          <w:lang w:val="es-ES"/>
        </w:rPr>
        <w:t>(MOD)</w:t>
      </w:r>
      <w:r w:rsidRPr="006A01BA">
        <w:rPr>
          <w:lang w:val="es-ES"/>
        </w:rPr>
        <w:tab/>
        <w:t>CHN/209/8</w:t>
      </w:r>
    </w:p>
    <w:p w14:paraId="4430E67B" w14:textId="77777777" w:rsidR="007B7DBC" w:rsidRPr="006A01BA" w:rsidRDefault="00E37EEF" w:rsidP="007B7DBC">
      <w:pPr>
        <w:pStyle w:val="Call"/>
        <w:rPr>
          <w:lang w:val="es-ES"/>
        </w:rPr>
      </w:pPr>
      <w:r w:rsidRPr="006A01BA">
        <w:rPr>
          <w:lang w:val="es-ES"/>
        </w:rPr>
        <w:t>resuelve</w:t>
      </w:r>
    </w:p>
    <w:p w14:paraId="2306C2E5" w14:textId="77777777" w:rsidR="007B7DBC" w:rsidRPr="006A01BA" w:rsidRDefault="00E37EEF" w:rsidP="007B7DBC">
      <w:pPr>
        <w:rPr>
          <w:lang w:val="es-ES"/>
        </w:rPr>
      </w:pPr>
      <w:r w:rsidRPr="006A01BA">
        <w:rPr>
          <w:lang w:val="es-ES"/>
        </w:rPr>
        <w:t>1</w:t>
      </w:r>
      <w:r w:rsidRPr="006A01BA">
        <w:rPr>
          <w:lang w:val="es-ES"/>
        </w:rPr>
        <w:tab/>
        <w:t>que las emisiones no deseadas de estaciones puestas en servicio en las bandas de frecuencias y los servicios del Cuadro 1</w:t>
      </w:r>
      <w:r w:rsidRPr="006A01BA">
        <w:rPr>
          <w:lang w:val="es-ES"/>
        </w:rPr>
        <w:noBreakHyphen/>
        <w:t>1 que figura a continuación no deberán rebasar los correspondientes límites indicados en dicho Cuadro, ateniéndose a las condiciones especificadas;</w:t>
      </w:r>
    </w:p>
    <w:p w14:paraId="556F863C" w14:textId="77777777" w:rsidR="007B7DBC" w:rsidRPr="006A01BA" w:rsidRDefault="00E37EEF" w:rsidP="007B7DBC">
      <w:pPr>
        <w:rPr>
          <w:lang w:val="es-ES"/>
        </w:rPr>
      </w:pPr>
      <w:r w:rsidRPr="006A01BA">
        <w:rPr>
          <w:lang w:val="es-ES"/>
        </w:rPr>
        <w:t>2</w:t>
      </w:r>
      <w:r w:rsidRPr="006A01BA">
        <w:rPr>
          <w:lang w:val="es-ES"/>
        </w:rPr>
        <w:tab/>
        <w:t>instar a las administraciones a que adopten todas las medidas razonables para garantizar que las emisiones no deseadas de las estaciones de los servicios activos en las bandas de frecuencias y los servicios consignados en el Cuadro 1-2 que figura a continuación no rebasen los valores máximos recomendados que figuran en dicho Cuadro, habida cuenta de que los sensores del SETS (pasivo) efectúan mediciones a escala mundial que resultan útiles a todos los países, incluso a los que no explotan dichos sensores;</w:t>
      </w:r>
    </w:p>
    <w:p w14:paraId="327D8ABB" w14:textId="77777777" w:rsidR="007B7DBC" w:rsidRPr="006A01BA" w:rsidRDefault="00E37EEF" w:rsidP="007B7DBC">
      <w:pPr>
        <w:rPr>
          <w:lang w:val="es-ES"/>
        </w:rPr>
      </w:pPr>
      <w:r w:rsidRPr="006A01BA">
        <w:rPr>
          <w:lang w:val="es-ES"/>
        </w:rPr>
        <w:lastRenderedPageBreak/>
        <w:t>3</w:t>
      </w:r>
      <w:r w:rsidRPr="006A01BA">
        <w:rPr>
          <w:lang w:val="es-ES"/>
        </w:rPr>
        <w:tab/>
        <w:t>que la Oficina de Radiocomunicaciones no deberá realizar exámenes ni formular conclusión alguna en lo que respecta al cumplimiento de la presente Resolución con arreglo a los Artículos </w:t>
      </w:r>
      <w:r w:rsidRPr="006A01BA">
        <w:rPr>
          <w:b/>
          <w:bCs/>
          <w:lang w:val="es-ES"/>
        </w:rPr>
        <w:t>9</w:t>
      </w:r>
      <w:r w:rsidRPr="006A01BA">
        <w:rPr>
          <w:lang w:val="es-ES"/>
        </w:rPr>
        <w:t xml:space="preserve"> u </w:t>
      </w:r>
      <w:r w:rsidRPr="006A01BA">
        <w:rPr>
          <w:b/>
          <w:bCs/>
          <w:lang w:val="es-ES"/>
        </w:rPr>
        <w:t>11</w:t>
      </w:r>
      <w:r w:rsidRPr="006A01BA">
        <w:rPr>
          <w:lang w:val="es-ES"/>
        </w:rPr>
        <w:t>.</w:t>
      </w:r>
    </w:p>
    <w:p w14:paraId="15400718" w14:textId="77777777" w:rsidR="007B7DBC" w:rsidRPr="006A01BA" w:rsidRDefault="00E37EEF" w:rsidP="007B7DBC">
      <w:pPr>
        <w:pStyle w:val="TableNo"/>
        <w:rPr>
          <w:lang w:val="es-ES"/>
        </w:rPr>
      </w:pPr>
      <w:r w:rsidRPr="006A01BA">
        <w:rPr>
          <w:lang w:val="es-ES"/>
        </w:rPr>
        <w:t>CUADRO 1-1</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7B7DBC" w:rsidRPr="006A01BA" w14:paraId="19DB8FAB"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545CF16B" w14:textId="77777777" w:rsidR="007B7DBC" w:rsidRPr="006A01BA" w:rsidRDefault="00E37EEF" w:rsidP="00EB5C01">
            <w:pPr>
              <w:pStyle w:val="Tablehead"/>
              <w:rPr>
                <w:lang w:val="es-ES"/>
              </w:rPr>
            </w:pPr>
            <w:r w:rsidRPr="006A01BA">
              <w:rPr>
                <w:lang w:val="es-ES"/>
              </w:rPr>
              <w:t>Banda atribuida al SETS (pasivo)</w:t>
            </w:r>
          </w:p>
        </w:tc>
        <w:tc>
          <w:tcPr>
            <w:tcW w:w="1644" w:type="dxa"/>
            <w:tcBorders>
              <w:top w:val="single" w:sz="4" w:space="0" w:color="auto"/>
              <w:left w:val="single" w:sz="4" w:space="0" w:color="auto"/>
              <w:bottom w:val="single" w:sz="4" w:space="0" w:color="auto"/>
              <w:right w:val="single" w:sz="4" w:space="0" w:color="auto"/>
            </w:tcBorders>
            <w:vAlign w:val="center"/>
          </w:tcPr>
          <w:p w14:paraId="0CA67D93" w14:textId="77777777" w:rsidR="007B7DBC" w:rsidRPr="006A01BA" w:rsidRDefault="00E37EEF" w:rsidP="00EB5C01">
            <w:pPr>
              <w:pStyle w:val="Tablehead"/>
              <w:rPr>
                <w:lang w:val="es-ES"/>
              </w:rPr>
            </w:pPr>
            <w:r w:rsidRPr="006A01BA">
              <w:rPr>
                <w:lang w:val="es-ES"/>
              </w:rPr>
              <w:t>Banda atribuida</w:t>
            </w:r>
            <w:r w:rsidRPr="006A01BA">
              <w:rPr>
                <w:lang w:val="es-ES"/>
              </w:rPr>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6A2C32DD" w14:textId="77777777" w:rsidR="007B7DBC" w:rsidRPr="006A01BA" w:rsidRDefault="00E37EEF" w:rsidP="00EB5C01">
            <w:pPr>
              <w:pStyle w:val="Tablehead"/>
              <w:rPr>
                <w:lang w:val="es-ES"/>
              </w:rPr>
            </w:pPr>
            <w:r w:rsidRPr="006A01BA">
              <w:rPr>
                <w:lang w:val="es-ES"/>
              </w:rPr>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3CA8268C" w14:textId="77777777" w:rsidR="007B7DBC" w:rsidRPr="006A01BA" w:rsidRDefault="00E37EEF" w:rsidP="00EB5C01">
            <w:pPr>
              <w:pStyle w:val="Tablehead"/>
              <w:rPr>
                <w:lang w:val="es-ES"/>
              </w:rPr>
            </w:pPr>
            <w:r w:rsidRPr="006A01BA">
              <w:rPr>
                <w:lang w:val="es-ES"/>
              </w:rPr>
              <w:t>Límites de la potencia de las emisiones no deseadas de las estaciones de servicios activos en un ancho de banda determinado en la banda</w:t>
            </w:r>
            <w:r w:rsidRPr="006A01BA">
              <w:rPr>
                <w:lang w:val="es-ES"/>
              </w:rPr>
              <w:br/>
              <w:t>atribuida al SETS (pasivo)</w:t>
            </w:r>
            <w:r w:rsidRPr="006A01BA">
              <w:rPr>
                <w:vertAlign w:val="superscript"/>
                <w:lang w:val="es-ES"/>
              </w:rPr>
              <w:t>1</w:t>
            </w:r>
          </w:p>
        </w:tc>
      </w:tr>
      <w:tr w:rsidR="007B7DBC" w:rsidRPr="006A01BA" w14:paraId="32DFB47F"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17235F8D" w14:textId="77777777" w:rsidR="007B7DBC" w:rsidRPr="006A01BA" w:rsidRDefault="00E37EEF" w:rsidP="00EB5C01">
            <w:pPr>
              <w:pStyle w:val="Tabletext"/>
              <w:jc w:val="center"/>
              <w:rPr>
                <w:lang w:val="es-ES"/>
              </w:rPr>
            </w:pPr>
            <w:r w:rsidRPr="006A01BA">
              <w:rPr>
                <w:lang w:val="es-ES"/>
              </w:rPr>
              <w:t>1 400-1 427 MHz</w:t>
            </w:r>
          </w:p>
        </w:tc>
        <w:tc>
          <w:tcPr>
            <w:tcW w:w="1644" w:type="dxa"/>
            <w:tcBorders>
              <w:top w:val="single" w:sz="4" w:space="0" w:color="auto"/>
              <w:left w:val="single" w:sz="4" w:space="0" w:color="auto"/>
              <w:bottom w:val="single" w:sz="4" w:space="0" w:color="auto"/>
              <w:right w:val="single" w:sz="4" w:space="0" w:color="auto"/>
            </w:tcBorders>
            <w:vAlign w:val="center"/>
          </w:tcPr>
          <w:p w14:paraId="43156230" w14:textId="77777777" w:rsidR="007B7DBC" w:rsidRPr="006A01BA" w:rsidRDefault="00E37EEF" w:rsidP="00EB5C01">
            <w:pPr>
              <w:pStyle w:val="Tabletext"/>
              <w:jc w:val="center"/>
              <w:rPr>
                <w:lang w:val="es-ES"/>
              </w:rPr>
            </w:pPr>
            <w:r w:rsidRPr="006A01BA">
              <w:rPr>
                <w:lang w:val="es-ES"/>
              </w:rPr>
              <w:t>1 427-1 452 MHz</w:t>
            </w:r>
          </w:p>
        </w:tc>
        <w:tc>
          <w:tcPr>
            <w:tcW w:w="1757" w:type="dxa"/>
            <w:tcBorders>
              <w:top w:val="single" w:sz="4" w:space="0" w:color="auto"/>
              <w:left w:val="single" w:sz="4" w:space="0" w:color="auto"/>
              <w:bottom w:val="single" w:sz="4" w:space="0" w:color="auto"/>
              <w:right w:val="single" w:sz="4" w:space="0" w:color="auto"/>
            </w:tcBorders>
            <w:vAlign w:val="center"/>
          </w:tcPr>
          <w:p w14:paraId="2664AD98" w14:textId="77777777" w:rsidR="007B7DBC" w:rsidRPr="006A01BA" w:rsidRDefault="00E37EEF" w:rsidP="00EB5C01">
            <w:pPr>
              <w:pStyle w:val="Tabletext"/>
              <w:jc w:val="center"/>
              <w:rPr>
                <w:lang w:val="es-ES"/>
              </w:rPr>
            </w:pPr>
            <w:r w:rsidRPr="006A01BA">
              <w:rPr>
                <w:lang w:val="es-ES"/>
              </w:rPr>
              <w:t>Móvil</w:t>
            </w:r>
          </w:p>
        </w:tc>
        <w:tc>
          <w:tcPr>
            <w:tcW w:w="4706" w:type="dxa"/>
            <w:tcBorders>
              <w:top w:val="single" w:sz="4" w:space="0" w:color="auto"/>
              <w:left w:val="single" w:sz="4" w:space="0" w:color="auto"/>
              <w:bottom w:val="single" w:sz="4" w:space="0" w:color="auto"/>
              <w:right w:val="single" w:sz="4" w:space="0" w:color="auto"/>
            </w:tcBorders>
          </w:tcPr>
          <w:p w14:paraId="7F64781B" w14:textId="77777777" w:rsidR="007B7DBC" w:rsidRPr="006A01BA" w:rsidRDefault="00E37EEF" w:rsidP="00EB5C01">
            <w:pPr>
              <w:pStyle w:val="Tabletext"/>
              <w:tabs>
                <w:tab w:val="clear" w:pos="1134"/>
              </w:tabs>
              <w:rPr>
                <w:lang w:val="es-ES"/>
              </w:rPr>
            </w:pPr>
            <w:r w:rsidRPr="006A01BA">
              <w:rPr>
                <w:lang w:val="es-ES"/>
              </w:rPr>
              <w:t>–72 dBW en los 27 MHz de la banda del SETS (pasivo) para estaciones base IMT</w:t>
            </w:r>
          </w:p>
          <w:p w14:paraId="4C60A67C" w14:textId="77777777" w:rsidR="007B7DBC" w:rsidRPr="006A01BA" w:rsidRDefault="00E37EEF" w:rsidP="00EB5C01">
            <w:pPr>
              <w:pStyle w:val="Tabletext"/>
              <w:tabs>
                <w:tab w:val="clear" w:pos="1134"/>
              </w:tabs>
              <w:rPr>
                <w:lang w:val="es-ES"/>
              </w:rPr>
            </w:pPr>
            <w:r w:rsidRPr="006A01BA">
              <w:rPr>
                <w:lang w:val="es-ES"/>
              </w:rPr>
              <w:t>–62 dBW en los 27 MHz de la banda del SETS (pasivo) para estaciones móviles IMT</w:t>
            </w:r>
            <w:r w:rsidRPr="006A01BA">
              <w:rPr>
                <w:vertAlign w:val="superscript"/>
                <w:lang w:val="es-ES"/>
              </w:rPr>
              <w:t>2, 3</w:t>
            </w:r>
          </w:p>
        </w:tc>
      </w:tr>
      <w:tr w:rsidR="007B7DBC" w:rsidRPr="006A01BA" w14:paraId="1DC141A4"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4B1C309F" w14:textId="77777777" w:rsidR="007B7DBC" w:rsidRPr="006A01BA" w:rsidRDefault="00E37EEF" w:rsidP="00EB5C01">
            <w:pPr>
              <w:pStyle w:val="Tabletext"/>
              <w:jc w:val="center"/>
              <w:rPr>
                <w:lang w:val="es-ES"/>
              </w:rPr>
            </w:pPr>
            <w:r w:rsidRPr="006A01BA">
              <w:rPr>
                <w:lang w:val="es-ES"/>
              </w:rPr>
              <w:t>23,6-24,0 GHz</w:t>
            </w:r>
          </w:p>
        </w:tc>
        <w:tc>
          <w:tcPr>
            <w:tcW w:w="1644" w:type="dxa"/>
            <w:tcBorders>
              <w:top w:val="single" w:sz="4" w:space="0" w:color="auto"/>
              <w:left w:val="single" w:sz="4" w:space="0" w:color="auto"/>
              <w:bottom w:val="single" w:sz="4" w:space="0" w:color="auto"/>
              <w:right w:val="single" w:sz="4" w:space="0" w:color="auto"/>
            </w:tcBorders>
            <w:vAlign w:val="center"/>
          </w:tcPr>
          <w:p w14:paraId="13821E5A" w14:textId="77777777" w:rsidR="007B7DBC" w:rsidRPr="006A01BA" w:rsidRDefault="00E37EEF" w:rsidP="00EB5C01">
            <w:pPr>
              <w:pStyle w:val="Tabletext"/>
              <w:jc w:val="center"/>
              <w:rPr>
                <w:lang w:val="es-ES"/>
              </w:rPr>
            </w:pPr>
            <w:r w:rsidRPr="006A01BA">
              <w:rPr>
                <w:lang w:val="es-ES"/>
              </w:rPr>
              <w:t>22,55-23,55 GHz</w:t>
            </w:r>
          </w:p>
        </w:tc>
        <w:tc>
          <w:tcPr>
            <w:tcW w:w="1757" w:type="dxa"/>
            <w:tcBorders>
              <w:top w:val="single" w:sz="4" w:space="0" w:color="auto"/>
              <w:left w:val="single" w:sz="4" w:space="0" w:color="auto"/>
              <w:bottom w:val="single" w:sz="4" w:space="0" w:color="auto"/>
              <w:right w:val="single" w:sz="4" w:space="0" w:color="auto"/>
            </w:tcBorders>
            <w:vAlign w:val="center"/>
          </w:tcPr>
          <w:p w14:paraId="01D32D54" w14:textId="77777777" w:rsidR="007B7DBC" w:rsidRPr="006A01BA" w:rsidRDefault="00E37EEF" w:rsidP="00EB5C01">
            <w:pPr>
              <w:pStyle w:val="Tabletext"/>
              <w:jc w:val="center"/>
              <w:rPr>
                <w:lang w:val="es-ES"/>
              </w:rPr>
            </w:pPr>
            <w:r w:rsidRPr="006A01BA">
              <w:rPr>
                <w:lang w:val="es-ES"/>
              </w:rPr>
              <w:t>Entre satélites</w:t>
            </w:r>
          </w:p>
        </w:tc>
        <w:tc>
          <w:tcPr>
            <w:tcW w:w="4706" w:type="dxa"/>
            <w:tcBorders>
              <w:top w:val="single" w:sz="4" w:space="0" w:color="auto"/>
              <w:left w:val="single" w:sz="4" w:space="0" w:color="auto"/>
              <w:bottom w:val="single" w:sz="4" w:space="0" w:color="auto"/>
              <w:right w:val="single" w:sz="4" w:space="0" w:color="auto"/>
            </w:tcBorders>
          </w:tcPr>
          <w:p w14:paraId="1D7E9FB2" w14:textId="77777777" w:rsidR="007B7DBC" w:rsidRPr="006A01BA" w:rsidRDefault="00E37EEF" w:rsidP="00EB5C01">
            <w:pPr>
              <w:pStyle w:val="Tabletext"/>
              <w:rPr>
                <w:lang w:val="es-ES"/>
              </w:rPr>
            </w:pPr>
            <w:r w:rsidRPr="006A01BA">
              <w:rPr>
                <w:lang w:val="es-ES"/>
              </w:rPr>
              <w:t xml:space="preserve">–36 dBW en cualquier porción de 200 MHz de la banda atribuida al SETS (pasivo) para los sistemas de satélites no geoestacionarios (no OSG) del SES respecto de los cuales la Oficina reciba la información completa para la publicación anticipada antes del 1 de enero de 2020, y </w:t>
            </w:r>
            <w:r w:rsidRPr="006A01BA">
              <w:rPr>
                <w:lang w:val="es-ES"/>
              </w:rPr>
              <w:fldChar w:fldCharType="begin"/>
            </w:r>
            <w:r w:rsidRPr="006A01BA">
              <w:rPr>
                <w:lang w:val="es-ES"/>
              </w:rPr>
              <w:instrText xml:space="preserve"> EQ  –46 dBW </w:instrText>
            </w:r>
            <w:r w:rsidRPr="006A01BA">
              <w:rPr>
                <w:lang w:val="es-ES"/>
              </w:rPr>
              <w:fldChar w:fldCharType="end"/>
            </w:r>
            <w:r w:rsidRPr="006A01BA">
              <w:rPr>
                <w:lang w:val="es-ES"/>
              </w:rPr>
              <w:t>en cualquier porción de 200 MHz de la banda atribuida al SETS (pasivo) para los sistemas no OSG del SES para los cuales la Oficina reciba la información completa para la publicación anticipada a partir del 1 de enero de 2020, inclusive.</w:t>
            </w:r>
          </w:p>
        </w:tc>
      </w:tr>
      <w:tr w:rsidR="007B7DBC" w:rsidRPr="006A01BA" w14:paraId="52E6929C"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19FFF01F" w14:textId="77777777" w:rsidR="007B7DBC" w:rsidRPr="006A01BA" w:rsidRDefault="00E37EEF" w:rsidP="00EB5C01">
            <w:pPr>
              <w:pStyle w:val="Tabletext"/>
              <w:jc w:val="center"/>
              <w:rPr>
                <w:lang w:val="es-ES"/>
              </w:rPr>
            </w:pPr>
            <w:r w:rsidRPr="006A01BA">
              <w:rPr>
                <w:lang w:val="es-ES"/>
              </w:rPr>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0AAB89F1" w14:textId="77777777" w:rsidR="007B7DBC" w:rsidRPr="006A01BA" w:rsidRDefault="00E37EEF" w:rsidP="00EB5C01">
            <w:pPr>
              <w:pStyle w:val="Tabletext"/>
              <w:jc w:val="center"/>
              <w:rPr>
                <w:lang w:val="es-ES"/>
              </w:rPr>
            </w:pPr>
            <w:r w:rsidRPr="006A01BA">
              <w:rPr>
                <w:lang w:val="es-ES"/>
              </w:rPr>
              <w:t>31-31,3 GHz</w:t>
            </w:r>
          </w:p>
        </w:tc>
        <w:tc>
          <w:tcPr>
            <w:tcW w:w="1757" w:type="dxa"/>
            <w:tcBorders>
              <w:top w:val="single" w:sz="4" w:space="0" w:color="auto"/>
              <w:left w:val="single" w:sz="4" w:space="0" w:color="auto"/>
              <w:bottom w:val="single" w:sz="4" w:space="0" w:color="auto"/>
              <w:right w:val="single" w:sz="4" w:space="0" w:color="auto"/>
            </w:tcBorders>
            <w:vAlign w:val="center"/>
          </w:tcPr>
          <w:p w14:paraId="71D78A43" w14:textId="77777777" w:rsidR="007B7DBC" w:rsidRPr="006A01BA" w:rsidRDefault="00E37EEF" w:rsidP="00EB5C01">
            <w:pPr>
              <w:pStyle w:val="Tabletext"/>
              <w:jc w:val="center"/>
              <w:rPr>
                <w:lang w:val="es-ES"/>
              </w:rPr>
            </w:pPr>
            <w:r w:rsidRPr="006A01BA">
              <w:rPr>
                <w:lang w:val="es-ES"/>
              </w:rPr>
              <w:t>Fijo (salvo las estaciones sobre plataforma a gran altitud – HAPS)</w:t>
            </w:r>
          </w:p>
        </w:tc>
        <w:tc>
          <w:tcPr>
            <w:tcW w:w="4706" w:type="dxa"/>
            <w:tcBorders>
              <w:top w:val="single" w:sz="4" w:space="0" w:color="auto"/>
              <w:left w:val="single" w:sz="4" w:space="0" w:color="auto"/>
              <w:bottom w:val="single" w:sz="4" w:space="0" w:color="auto"/>
              <w:right w:val="single" w:sz="4" w:space="0" w:color="auto"/>
            </w:tcBorders>
          </w:tcPr>
          <w:p w14:paraId="74E01084" w14:textId="77777777" w:rsidR="007B7DBC" w:rsidRPr="006A01BA" w:rsidRDefault="00E37EEF" w:rsidP="00EB5C01">
            <w:pPr>
              <w:pStyle w:val="Tabletext"/>
              <w:rPr>
                <w:lang w:val="es-ES"/>
              </w:rPr>
            </w:pPr>
            <w:r w:rsidRPr="006A01BA">
              <w:rPr>
                <w:lang w:val="es-ES"/>
              </w:rPr>
              <w:t>Para las estaciones que se pongan en servicio después del 1 de enero de 2012: –38 dBW en cualquier porción de 100 MHz de la banda atribuida al SETS (pasivo). Este límite no se aplica a las estaciones autorizadas antes del 1 de enero de 2012</w:t>
            </w:r>
          </w:p>
        </w:tc>
      </w:tr>
      <w:tr w:rsidR="007B7DBC" w:rsidRPr="006A01BA" w14:paraId="145BC489"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729351D8" w14:textId="77777777" w:rsidR="007B7DBC" w:rsidRPr="006A01BA" w:rsidRDefault="00E37EEF" w:rsidP="00EB5C01">
            <w:pPr>
              <w:pStyle w:val="Tabletext"/>
              <w:jc w:val="center"/>
              <w:rPr>
                <w:lang w:val="es-ES"/>
              </w:rPr>
            </w:pPr>
            <w:r w:rsidRPr="006A01BA">
              <w:rPr>
                <w:lang w:val="es-ES"/>
              </w:rPr>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18B7D03F" w14:textId="77777777" w:rsidR="007B7DBC" w:rsidRPr="006A01BA" w:rsidRDefault="00E37EEF" w:rsidP="00EB5C01">
            <w:pPr>
              <w:pStyle w:val="Tabletext"/>
              <w:jc w:val="center"/>
              <w:rPr>
                <w:lang w:val="es-ES"/>
              </w:rPr>
            </w:pPr>
            <w:r w:rsidRPr="006A01BA">
              <w:rPr>
                <w:lang w:val="es-ES"/>
              </w:rPr>
              <w:t>49,7-50,2 GHz</w:t>
            </w:r>
          </w:p>
        </w:tc>
        <w:tc>
          <w:tcPr>
            <w:tcW w:w="1757" w:type="dxa"/>
            <w:tcBorders>
              <w:top w:val="single" w:sz="4" w:space="0" w:color="auto"/>
              <w:left w:val="single" w:sz="4" w:space="0" w:color="auto"/>
              <w:bottom w:val="single" w:sz="4" w:space="0" w:color="auto"/>
              <w:right w:val="single" w:sz="4" w:space="0" w:color="auto"/>
            </w:tcBorders>
            <w:vAlign w:val="center"/>
          </w:tcPr>
          <w:p w14:paraId="5EBCAF44" w14:textId="77777777" w:rsidR="007B7DBC" w:rsidRPr="006A01BA" w:rsidRDefault="00E37EEF" w:rsidP="00EB5C01">
            <w:pPr>
              <w:pStyle w:val="Tabletext"/>
              <w:jc w:val="center"/>
              <w:rPr>
                <w:lang w:val="es-ES"/>
              </w:rPr>
            </w:pPr>
            <w:r w:rsidRPr="006A01BA">
              <w:rPr>
                <w:lang w:val="es-ES"/>
              </w:rPr>
              <w:t>Fijo por satélite (Tierra-espacio)</w:t>
            </w:r>
            <w:r w:rsidRPr="006A01BA">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079CAE41" w14:textId="77777777" w:rsidR="007B7DBC" w:rsidRPr="006A01BA" w:rsidRDefault="00E37EEF" w:rsidP="00EB5C01">
            <w:pPr>
              <w:pStyle w:val="Tabletext"/>
              <w:rPr>
                <w:lang w:val="es-ES"/>
              </w:rPr>
            </w:pPr>
            <w:r w:rsidRPr="006A01BA">
              <w:rPr>
                <w:lang w:val="es-ES"/>
              </w:rPr>
              <w:t>Para las estaciones que se pongan en servicio después de la fecha de entrada en vigor de las Actas Finales de la CMR-07:</w:t>
            </w:r>
          </w:p>
          <w:p w14:paraId="20D5B255" w14:textId="77777777" w:rsidR="007B7DBC" w:rsidRPr="006A01BA" w:rsidRDefault="00E37EEF" w:rsidP="00EB5C01">
            <w:pPr>
              <w:pStyle w:val="Tabletext"/>
              <w:rPr>
                <w:lang w:val="es-ES"/>
              </w:rPr>
            </w:pPr>
            <w:r w:rsidRPr="006A01BA">
              <w:rPr>
                <w:lang w:val="es-ES"/>
              </w:rPr>
              <w:t>–10 dBW</w:t>
            </w:r>
            <w:r w:rsidRPr="006A01BA" w:rsidDel="008F017D">
              <w:rPr>
                <w:lang w:val="es-ES"/>
              </w:rPr>
              <w:t xml:space="preserve"> </w:t>
            </w:r>
            <w:r w:rsidRPr="006A01BA">
              <w:rPr>
                <w:lang w:val="es-ES"/>
              </w:rPr>
              <w:t>en los 200 MHz de la banda atribuida al SETS (pasivo) para estaciones terrenas con una ganancia de antena mayor o igual que 57 dBi</w:t>
            </w:r>
          </w:p>
          <w:p w14:paraId="41271BA1" w14:textId="77777777" w:rsidR="007B7DBC" w:rsidRPr="006A01BA" w:rsidRDefault="00E37EEF" w:rsidP="00EB5C01">
            <w:pPr>
              <w:pStyle w:val="Tabletext"/>
              <w:rPr>
                <w:lang w:val="es-ES"/>
              </w:rPr>
            </w:pPr>
            <w:r w:rsidRPr="006A01BA">
              <w:rPr>
                <w:lang w:val="es-ES"/>
              </w:rPr>
              <w:t>–20 dBW</w:t>
            </w:r>
            <w:r w:rsidRPr="006A01BA" w:rsidDel="008F017D">
              <w:rPr>
                <w:lang w:val="es-ES"/>
              </w:rPr>
              <w:t xml:space="preserve"> </w:t>
            </w:r>
            <w:r w:rsidRPr="006A01BA">
              <w:rPr>
                <w:lang w:val="es-ES"/>
              </w:rPr>
              <w:t>en los 200 MHz de la banda atribuida al SETS (pasivo) de las estaciones terrenas con una ganancia de antena menor que 57 dBi</w:t>
            </w:r>
          </w:p>
        </w:tc>
      </w:tr>
      <w:tr w:rsidR="007B7DBC" w:rsidRPr="006A01BA" w14:paraId="20F3CC1C"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1F8F7577" w14:textId="77777777" w:rsidR="007B7DBC" w:rsidRPr="006A01BA" w:rsidRDefault="00E37EEF" w:rsidP="00EB5C01">
            <w:pPr>
              <w:pStyle w:val="Tabletext"/>
              <w:jc w:val="center"/>
              <w:rPr>
                <w:lang w:val="es-ES"/>
              </w:rPr>
            </w:pPr>
            <w:r w:rsidRPr="006A01BA">
              <w:rPr>
                <w:lang w:val="es-ES"/>
              </w:rPr>
              <w:t>50,2-50,4 GHz</w:t>
            </w:r>
          </w:p>
        </w:tc>
        <w:tc>
          <w:tcPr>
            <w:tcW w:w="1644" w:type="dxa"/>
            <w:tcBorders>
              <w:top w:val="single" w:sz="4" w:space="0" w:color="auto"/>
              <w:left w:val="single" w:sz="4" w:space="0" w:color="auto"/>
              <w:bottom w:val="single" w:sz="4" w:space="0" w:color="auto"/>
              <w:right w:val="single" w:sz="4" w:space="0" w:color="auto"/>
            </w:tcBorders>
            <w:vAlign w:val="center"/>
          </w:tcPr>
          <w:p w14:paraId="5D9A2AD3" w14:textId="77777777" w:rsidR="007B7DBC" w:rsidRPr="006A01BA" w:rsidRDefault="00E37EEF" w:rsidP="00EB5C01">
            <w:pPr>
              <w:pStyle w:val="Tabletext"/>
              <w:jc w:val="center"/>
              <w:rPr>
                <w:lang w:val="es-ES"/>
              </w:rPr>
            </w:pPr>
            <w:r w:rsidRPr="006A01BA">
              <w:rPr>
                <w:lang w:val="es-ES"/>
              </w:rPr>
              <w:t>50,4-50,9 GHz</w:t>
            </w:r>
          </w:p>
        </w:tc>
        <w:tc>
          <w:tcPr>
            <w:tcW w:w="1757" w:type="dxa"/>
            <w:tcBorders>
              <w:top w:val="single" w:sz="4" w:space="0" w:color="auto"/>
              <w:left w:val="single" w:sz="4" w:space="0" w:color="auto"/>
              <w:bottom w:val="single" w:sz="4" w:space="0" w:color="auto"/>
              <w:right w:val="single" w:sz="4" w:space="0" w:color="auto"/>
            </w:tcBorders>
            <w:vAlign w:val="center"/>
          </w:tcPr>
          <w:p w14:paraId="7E69BD43" w14:textId="77777777" w:rsidR="007B7DBC" w:rsidRPr="006A01BA" w:rsidRDefault="00E37EEF" w:rsidP="00EB5C01">
            <w:pPr>
              <w:pStyle w:val="Tabletext"/>
              <w:jc w:val="center"/>
              <w:rPr>
                <w:lang w:val="es-ES"/>
              </w:rPr>
            </w:pPr>
            <w:r w:rsidRPr="006A01BA">
              <w:rPr>
                <w:lang w:val="es-ES"/>
              </w:rPr>
              <w:t>Fijo por satélite (Tierra-espacio)</w:t>
            </w:r>
            <w:r w:rsidRPr="006A01BA">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398EA0A9" w14:textId="77777777" w:rsidR="007B7DBC" w:rsidRPr="006A01BA" w:rsidRDefault="00E37EEF" w:rsidP="00EB5C01">
            <w:pPr>
              <w:pStyle w:val="Tabletext"/>
              <w:rPr>
                <w:lang w:val="es-ES"/>
              </w:rPr>
            </w:pPr>
            <w:r w:rsidRPr="006A01BA">
              <w:rPr>
                <w:lang w:val="es-ES"/>
              </w:rPr>
              <w:t>Para las estaciones que se pongan en servicio después de la fecha de entrada en vigor de las Actas Finales de la CMR-07:</w:t>
            </w:r>
          </w:p>
          <w:p w14:paraId="2FB64DD6" w14:textId="77777777" w:rsidR="007B7DBC" w:rsidRPr="006A01BA" w:rsidRDefault="00E37EEF" w:rsidP="00EB5C01">
            <w:pPr>
              <w:pStyle w:val="Tabletext"/>
              <w:rPr>
                <w:lang w:val="es-ES"/>
              </w:rPr>
            </w:pPr>
            <w:r w:rsidRPr="006A01BA">
              <w:rPr>
                <w:lang w:val="es-ES"/>
              </w:rPr>
              <w:t>–10 dBW en los 200 MHz de la banda atribuida al SETS (pasivo) para estaciones terrenas con una ganancia de antena mayor o igual que 57 dBi</w:t>
            </w:r>
          </w:p>
          <w:p w14:paraId="7FD4C76E" w14:textId="77777777" w:rsidR="007B7DBC" w:rsidRPr="006A01BA" w:rsidRDefault="00E37EEF" w:rsidP="00EB5C01">
            <w:pPr>
              <w:pStyle w:val="Tabletext"/>
              <w:rPr>
                <w:lang w:val="es-ES"/>
              </w:rPr>
            </w:pPr>
            <w:r w:rsidRPr="006A01BA">
              <w:rPr>
                <w:lang w:val="es-ES"/>
              </w:rPr>
              <w:t>–20 dBW</w:t>
            </w:r>
            <w:r w:rsidRPr="006A01BA" w:rsidDel="008F017D">
              <w:rPr>
                <w:lang w:val="es-ES"/>
              </w:rPr>
              <w:t xml:space="preserve"> </w:t>
            </w:r>
            <w:r w:rsidRPr="006A01BA">
              <w:rPr>
                <w:lang w:val="es-ES"/>
              </w:rPr>
              <w:t>en los 200 MHz de la banda atribuida al SETS (pasivo) para estaciones terrenas con una ganancia de antena menor que 57 dBi</w:t>
            </w:r>
          </w:p>
        </w:tc>
      </w:tr>
      <w:tr w:rsidR="007B7DBC" w:rsidRPr="006A01BA" w14:paraId="6A056872"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43EA1F78" w14:textId="77777777" w:rsidR="007B7DBC" w:rsidRPr="006A01BA" w:rsidRDefault="00E37EEF" w:rsidP="00EB5C01">
            <w:pPr>
              <w:pStyle w:val="Tabletext"/>
              <w:jc w:val="center"/>
              <w:rPr>
                <w:lang w:val="es-ES"/>
              </w:rPr>
            </w:pPr>
            <w:r w:rsidRPr="006A01BA">
              <w:rPr>
                <w:lang w:val="es-ES"/>
              </w:rPr>
              <w:t>52,6-54,25 GHz</w:t>
            </w:r>
          </w:p>
        </w:tc>
        <w:tc>
          <w:tcPr>
            <w:tcW w:w="1644" w:type="dxa"/>
            <w:tcBorders>
              <w:top w:val="single" w:sz="4" w:space="0" w:color="auto"/>
              <w:left w:val="single" w:sz="4" w:space="0" w:color="auto"/>
              <w:bottom w:val="single" w:sz="4" w:space="0" w:color="auto"/>
              <w:right w:val="single" w:sz="4" w:space="0" w:color="auto"/>
            </w:tcBorders>
            <w:vAlign w:val="center"/>
          </w:tcPr>
          <w:p w14:paraId="07C61B82" w14:textId="77777777" w:rsidR="007B7DBC" w:rsidRPr="006A01BA" w:rsidRDefault="00E37EEF" w:rsidP="00EB5C01">
            <w:pPr>
              <w:pStyle w:val="Tabletext"/>
              <w:jc w:val="center"/>
              <w:rPr>
                <w:lang w:val="es-ES"/>
              </w:rPr>
            </w:pPr>
            <w:r w:rsidRPr="006A01BA">
              <w:rPr>
                <w:lang w:val="es-ES"/>
              </w:rPr>
              <w:t>51,4-52,6 GHz</w:t>
            </w:r>
          </w:p>
        </w:tc>
        <w:tc>
          <w:tcPr>
            <w:tcW w:w="1757" w:type="dxa"/>
            <w:tcBorders>
              <w:top w:val="single" w:sz="4" w:space="0" w:color="auto"/>
              <w:left w:val="single" w:sz="4" w:space="0" w:color="auto"/>
              <w:bottom w:val="single" w:sz="4" w:space="0" w:color="auto"/>
              <w:right w:val="single" w:sz="4" w:space="0" w:color="auto"/>
            </w:tcBorders>
            <w:vAlign w:val="center"/>
          </w:tcPr>
          <w:p w14:paraId="561A06B1" w14:textId="77777777" w:rsidR="007B7DBC" w:rsidRPr="006A01BA" w:rsidRDefault="00E37EEF" w:rsidP="00EB5C01">
            <w:pPr>
              <w:pStyle w:val="Tabletext"/>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3F7FA48B" w14:textId="77777777" w:rsidR="007B7DBC" w:rsidRPr="006A01BA" w:rsidRDefault="00E37EEF" w:rsidP="00EB5C01">
            <w:pPr>
              <w:pStyle w:val="Tabletext"/>
              <w:rPr>
                <w:lang w:val="es-ES"/>
              </w:rPr>
            </w:pPr>
            <w:r w:rsidRPr="006A01BA">
              <w:rPr>
                <w:lang w:val="es-ES"/>
              </w:rPr>
              <w:t>Para las estaciones que se pongan en servicio después de la fecha de entrada en vigor de las Actas Finales de la CMR-07:</w:t>
            </w:r>
          </w:p>
          <w:p w14:paraId="1ED84615" w14:textId="77777777" w:rsidR="007B7DBC" w:rsidRPr="006A01BA" w:rsidRDefault="00E37EEF" w:rsidP="00EB5C01">
            <w:pPr>
              <w:pStyle w:val="Tabletext"/>
              <w:rPr>
                <w:lang w:val="es-ES"/>
              </w:rPr>
            </w:pPr>
            <w:r w:rsidRPr="006A01BA">
              <w:rPr>
                <w:lang w:val="es-ES"/>
              </w:rPr>
              <w:t>–33 dBW en cualquier porción de 100 MHz de la banda pasiva</w:t>
            </w:r>
          </w:p>
        </w:tc>
      </w:tr>
      <w:tr w:rsidR="007B7DBC" w:rsidRPr="006A01BA" w14:paraId="4A1FBE26" w14:textId="77777777" w:rsidTr="00EB5C01">
        <w:tc>
          <w:tcPr>
            <w:tcW w:w="9638" w:type="dxa"/>
            <w:gridSpan w:val="4"/>
            <w:tcBorders>
              <w:left w:val="nil"/>
              <w:bottom w:val="nil"/>
              <w:right w:val="nil"/>
            </w:tcBorders>
          </w:tcPr>
          <w:p w14:paraId="6C84CEEE" w14:textId="77777777" w:rsidR="007B7DBC" w:rsidRPr="006A01BA" w:rsidRDefault="00E37EEF" w:rsidP="00EB5C01">
            <w:pPr>
              <w:pStyle w:val="Tablelegend"/>
              <w:spacing w:before="80" w:after="0"/>
              <w:rPr>
                <w:lang w:val="es-ES"/>
              </w:rPr>
            </w:pPr>
            <w:r w:rsidRPr="006A01BA">
              <w:rPr>
                <w:vertAlign w:val="superscript"/>
                <w:lang w:val="es-ES"/>
              </w:rPr>
              <w:t>1</w:t>
            </w:r>
            <w:r w:rsidRPr="006A01BA">
              <w:rPr>
                <w:lang w:val="es-ES"/>
              </w:rPr>
              <w:tab/>
              <w:t>El nivel de potencia de las emisiones no deseadas corresponde aquí al nivel medido en el puerto de la antena.</w:t>
            </w:r>
          </w:p>
          <w:p w14:paraId="3E03616B" w14:textId="77777777" w:rsidR="007B7DBC" w:rsidRPr="006A01BA" w:rsidRDefault="00E37EEF" w:rsidP="00EB5C01">
            <w:pPr>
              <w:pStyle w:val="Tablelegend"/>
              <w:spacing w:before="60" w:after="0"/>
              <w:rPr>
                <w:vertAlign w:val="superscript"/>
                <w:lang w:val="es-ES"/>
              </w:rPr>
            </w:pPr>
            <w:r w:rsidRPr="006A01BA">
              <w:rPr>
                <w:vertAlign w:val="superscript"/>
                <w:lang w:val="es-ES"/>
              </w:rPr>
              <w:lastRenderedPageBreak/>
              <w:t>2</w:t>
            </w:r>
            <w:r w:rsidRPr="006A01BA">
              <w:rPr>
                <w:vertAlign w:val="superscript"/>
                <w:lang w:val="es-ES"/>
              </w:rPr>
              <w:tab/>
            </w:r>
            <w:r w:rsidRPr="006A01BA">
              <w:rPr>
                <w:lang w:val="es-ES"/>
              </w:rPr>
              <w:t>Este límite no se aplica a estaciones móviles de los sistemas IMT respecto de los cuales la Oficina de Radiocomunicaciones ha recibido la notificación con la información correspondiente antes del 28 de noviembre de 2015. Para estos sistemas, se aplica −60 dBW/ 27 MHz como valor recomendado</w:t>
            </w:r>
            <w:r w:rsidRPr="006A01BA">
              <w:rPr>
                <w:lang w:val="es-ES" w:eastAsia="ja-JP"/>
              </w:rPr>
              <w:t>.</w:t>
            </w:r>
          </w:p>
          <w:p w14:paraId="22BD2183" w14:textId="77777777" w:rsidR="007B7DBC" w:rsidRPr="006A01BA" w:rsidRDefault="00E37EEF" w:rsidP="00EB5C01">
            <w:pPr>
              <w:pStyle w:val="Tablelegend"/>
              <w:spacing w:before="60" w:after="0"/>
              <w:rPr>
                <w:lang w:val="es-ES" w:eastAsia="ja-JP"/>
              </w:rPr>
            </w:pPr>
            <w:r w:rsidRPr="006A01BA">
              <w:rPr>
                <w:vertAlign w:val="superscript"/>
                <w:lang w:val="es-ES"/>
              </w:rPr>
              <w:t>3</w:t>
            </w:r>
            <w:r w:rsidRPr="006A01BA">
              <w:rPr>
                <w:vertAlign w:val="superscript"/>
                <w:lang w:val="es-ES"/>
              </w:rPr>
              <w:tab/>
            </w:r>
            <w:r w:rsidRPr="006A01BA">
              <w:rPr>
                <w:lang w:val="es-ES"/>
              </w:rPr>
              <w:t>El nivel de potencia de emisiones no deseadas corresponde aquí al nivel medido con la estación móvil transmitiendo con una potencia media de salida de 15 dBm</w:t>
            </w:r>
            <w:r w:rsidRPr="006A01BA">
              <w:rPr>
                <w:lang w:val="es-ES" w:eastAsia="ja-JP"/>
              </w:rPr>
              <w:t xml:space="preserve">. </w:t>
            </w:r>
          </w:p>
          <w:p w14:paraId="4CBB57AF" w14:textId="77777777" w:rsidR="007B7DBC" w:rsidRPr="006A01BA" w:rsidRDefault="00E37EEF" w:rsidP="00EB5C01">
            <w:pPr>
              <w:pStyle w:val="Tablelegend"/>
              <w:spacing w:before="60" w:after="0"/>
              <w:rPr>
                <w:lang w:val="es-ES"/>
              </w:rPr>
            </w:pPr>
            <w:r w:rsidRPr="006A01BA">
              <w:rPr>
                <w:vertAlign w:val="superscript"/>
                <w:lang w:val="es-ES"/>
              </w:rPr>
              <w:t>4</w:t>
            </w:r>
            <w:r w:rsidRPr="006A01BA">
              <w:rPr>
                <w:lang w:val="es-ES"/>
              </w:rPr>
              <w:tab/>
              <w:t>Los límites se aplican en condiciones de cielo despejado. En caso de desvanecimiento, las estaciones terrenas podrán rebasar estos límites siempre y cuando empleen el control de potencia para el enlace ascendente.</w:t>
            </w:r>
          </w:p>
        </w:tc>
      </w:tr>
    </w:tbl>
    <w:p w14:paraId="3ECE8F06" w14:textId="77777777" w:rsidR="007B7DBC" w:rsidRPr="006A01BA" w:rsidRDefault="00E37EEF" w:rsidP="007B7DBC">
      <w:pPr>
        <w:pStyle w:val="TableNo"/>
        <w:rPr>
          <w:lang w:val="es-ES"/>
        </w:rPr>
      </w:pPr>
      <w:r w:rsidRPr="006A01BA">
        <w:rPr>
          <w:lang w:val="es-ES"/>
        </w:rPr>
        <w:lastRenderedPageBreak/>
        <w:t>CUADRO 1-2</w:t>
      </w:r>
    </w:p>
    <w:tbl>
      <w:tblPr>
        <w:tblpPr w:leftFromText="180" w:rightFromText="180" w:vertAnchor="text" w:tblpXSpec="center" w:tblpY="1"/>
        <w:tblOverlap w:val="never"/>
        <w:tblW w:w="9638" w:type="dxa"/>
        <w:tblLayout w:type="fixed"/>
        <w:tblLook w:val="01E0" w:firstRow="1" w:lastRow="1" w:firstColumn="1" w:lastColumn="1" w:noHBand="0" w:noVBand="0"/>
      </w:tblPr>
      <w:tblGrid>
        <w:gridCol w:w="1531"/>
        <w:gridCol w:w="1644"/>
        <w:gridCol w:w="1757"/>
        <w:gridCol w:w="4706"/>
      </w:tblGrid>
      <w:tr w:rsidR="007B7DBC" w:rsidRPr="006A01BA" w14:paraId="32BBB0E8"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15519D25" w14:textId="77777777" w:rsidR="007B7DBC" w:rsidRPr="006A01BA" w:rsidRDefault="00E37EEF" w:rsidP="00EB5C01">
            <w:pPr>
              <w:pStyle w:val="Tablehead"/>
              <w:spacing w:before="40" w:after="40"/>
              <w:rPr>
                <w:lang w:val="es-ES"/>
              </w:rPr>
            </w:pPr>
            <w:r w:rsidRPr="006A01BA">
              <w:rPr>
                <w:lang w:val="es-ES"/>
              </w:rPr>
              <w:t>Banda atribuida</w:t>
            </w:r>
            <w:r w:rsidRPr="006A01BA">
              <w:rPr>
                <w:lang w:val="es-ES"/>
              </w:rPr>
              <w:br/>
              <w:t>al SETS</w:t>
            </w:r>
            <w:r w:rsidRPr="006A01BA">
              <w:rPr>
                <w:lang w:val="es-ES"/>
              </w:rPr>
              <w:br/>
              <w:t>(pasivo)</w:t>
            </w:r>
          </w:p>
        </w:tc>
        <w:tc>
          <w:tcPr>
            <w:tcW w:w="1644" w:type="dxa"/>
            <w:tcBorders>
              <w:top w:val="single" w:sz="4" w:space="0" w:color="auto"/>
              <w:left w:val="single" w:sz="4" w:space="0" w:color="auto"/>
              <w:bottom w:val="single" w:sz="4" w:space="0" w:color="auto"/>
              <w:right w:val="single" w:sz="4" w:space="0" w:color="auto"/>
            </w:tcBorders>
            <w:vAlign w:val="center"/>
          </w:tcPr>
          <w:p w14:paraId="77063E40" w14:textId="77777777" w:rsidR="007B7DBC" w:rsidRPr="006A01BA" w:rsidRDefault="00E37EEF" w:rsidP="00EB5C01">
            <w:pPr>
              <w:pStyle w:val="Tablehead"/>
              <w:spacing w:before="40" w:after="40"/>
              <w:rPr>
                <w:lang w:val="es-ES"/>
              </w:rPr>
            </w:pPr>
            <w:r w:rsidRPr="006A01BA">
              <w:rPr>
                <w:lang w:val="es-ES"/>
              </w:rPr>
              <w:t>Banda atribuida</w:t>
            </w:r>
            <w:r w:rsidRPr="006A01BA">
              <w:rPr>
                <w:lang w:val="es-ES"/>
              </w:rPr>
              <w:br/>
              <w:t>a los servicios activos</w:t>
            </w:r>
          </w:p>
        </w:tc>
        <w:tc>
          <w:tcPr>
            <w:tcW w:w="1757" w:type="dxa"/>
            <w:tcBorders>
              <w:top w:val="single" w:sz="4" w:space="0" w:color="auto"/>
              <w:left w:val="single" w:sz="4" w:space="0" w:color="auto"/>
              <w:bottom w:val="single" w:sz="4" w:space="0" w:color="auto"/>
              <w:right w:val="single" w:sz="4" w:space="0" w:color="auto"/>
            </w:tcBorders>
            <w:vAlign w:val="center"/>
          </w:tcPr>
          <w:p w14:paraId="458F04BA" w14:textId="77777777" w:rsidR="007B7DBC" w:rsidRPr="006A01BA" w:rsidRDefault="00E37EEF" w:rsidP="00EB5C01">
            <w:pPr>
              <w:pStyle w:val="Tablehead"/>
              <w:spacing w:before="40" w:after="40"/>
              <w:rPr>
                <w:lang w:val="es-ES"/>
              </w:rPr>
            </w:pPr>
            <w:r w:rsidRPr="006A01BA">
              <w:rPr>
                <w:lang w:val="es-ES"/>
              </w:rPr>
              <w:t>Servicio activo</w:t>
            </w:r>
          </w:p>
        </w:tc>
        <w:tc>
          <w:tcPr>
            <w:tcW w:w="4706" w:type="dxa"/>
            <w:tcBorders>
              <w:top w:val="single" w:sz="4" w:space="0" w:color="auto"/>
              <w:left w:val="single" w:sz="4" w:space="0" w:color="auto"/>
              <w:bottom w:val="single" w:sz="4" w:space="0" w:color="auto"/>
              <w:right w:val="single" w:sz="4" w:space="0" w:color="auto"/>
            </w:tcBorders>
            <w:vAlign w:val="center"/>
          </w:tcPr>
          <w:p w14:paraId="1AB52791" w14:textId="77777777" w:rsidR="007B7DBC" w:rsidRPr="006A01BA" w:rsidRDefault="00E37EEF" w:rsidP="00EB5C01">
            <w:pPr>
              <w:pStyle w:val="Tablehead"/>
              <w:spacing w:before="40" w:after="40"/>
              <w:rPr>
                <w:lang w:val="es-ES"/>
              </w:rPr>
            </w:pPr>
            <w:r w:rsidRPr="006A01BA">
              <w:rPr>
                <w:lang w:val="es-ES"/>
              </w:rPr>
              <w:t>Niveles de potencia máximos recomendados</w:t>
            </w:r>
            <w:r w:rsidRPr="006A01BA">
              <w:rPr>
                <w:lang w:val="es-ES"/>
              </w:rPr>
              <w:br/>
              <w:t>de las emisiones no deseadas de las estaciones</w:t>
            </w:r>
            <w:r w:rsidRPr="006A01BA">
              <w:rPr>
                <w:lang w:val="es-ES"/>
              </w:rPr>
              <w:br/>
              <w:t>de los servicios activos en un ancho de banda determinado de la banda atribuida al SETS (pasivo)</w:t>
            </w:r>
            <w:r w:rsidRPr="006A01BA">
              <w:rPr>
                <w:b w:val="0"/>
                <w:bCs/>
                <w:vertAlign w:val="superscript"/>
                <w:lang w:val="es-ES"/>
              </w:rPr>
              <w:t>1</w:t>
            </w:r>
          </w:p>
        </w:tc>
      </w:tr>
      <w:tr w:rsidR="007B7DBC" w:rsidRPr="006A01BA" w14:paraId="3FA43B74" w14:textId="77777777" w:rsidTr="00EB5C01">
        <w:tc>
          <w:tcPr>
            <w:tcW w:w="1531" w:type="dxa"/>
            <w:vMerge w:val="restart"/>
            <w:tcBorders>
              <w:top w:val="single" w:sz="4" w:space="0" w:color="auto"/>
              <w:left w:val="single" w:sz="4" w:space="0" w:color="auto"/>
              <w:bottom w:val="single" w:sz="4" w:space="0" w:color="auto"/>
              <w:right w:val="single" w:sz="4" w:space="0" w:color="auto"/>
            </w:tcBorders>
            <w:vAlign w:val="center"/>
          </w:tcPr>
          <w:p w14:paraId="657E75D7" w14:textId="77777777" w:rsidR="007B7DBC" w:rsidRPr="006A01BA" w:rsidRDefault="00E37EEF" w:rsidP="00EB5C01">
            <w:pPr>
              <w:pStyle w:val="Arttitle"/>
              <w:spacing w:before="20" w:after="20"/>
              <w:rPr>
                <w:b w:val="0"/>
                <w:sz w:val="20"/>
                <w:lang w:val="es-ES"/>
              </w:rPr>
            </w:pPr>
            <w:bookmarkStart w:id="9" w:name="_Toc320536596"/>
            <w:r w:rsidRPr="006A01BA">
              <w:rPr>
                <w:b w:val="0"/>
                <w:sz w:val="20"/>
                <w:lang w:val="es-ES"/>
              </w:rPr>
              <w:t>1</w:t>
            </w:r>
            <w:r w:rsidRPr="006A01BA">
              <w:rPr>
                <w:b w:val="0"/>
                <w:sz w:val="24"/>
                <w:lang w:val="es-ES"/>
              </w:rPr>
              <w:t> </w:t>
            </w:r>
            <w:r w:rsidRPr="006A01BA">
              <w:rPr>
                <w:b w:val="0"/>
                <w:sz w:val="20"/>
                <w:lang w:val="es-ES"/>
              </w:rPr>
              <w:t>400-1</w:t>
            </w:r>
            <w:r w:rsidRPr="006A01BA">
              <w:rPr>
                <w:b w:val="0"/>
                <w:sz w:val="24"/>
                <w:lang w:val="es-ES"/>
              </w:rPr>
              <w:t> </w:t>
            </w:r>
            <w:r w:rsidRPr="006A01BA">
              <w:rPr>
                <w:b w:val="0"/>
                <w:sz w:val="20"/>
                <w:lang w:val="es-ES"/>
              </w:rPr>
              <w:t>427 MHz</w:t>
            </w:r>
            <w:bookmarkEnd w:id="9"/>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F7BB6D6" w14:textId="77777777" w:rsidR="007B7DBC" w:rsidRPr="006A01BA" w:rsidRDefault="00E37EEF" w:rsidP="00EB5C01">
            <w:pPr>
              <w:pStyle w:val="Tabletext"/>
              <w:spacing w:before="20" w:after="20"/>
              <w:jc w:val="center"/>
              <w:rPr>
                <w:lang w:val="es-ES"/>
              </w:rPr>
            </w:pPr>
            <w:r w:rsidRPr="006A01BA">
              <w:rPr>
                <w:lang w:val="es-ES"/>
              </w:rPr>
              <w:t>1 350-1 400 MHz</w:t>
            </w:r>
          </w:p>
        </w:tc>
        <w:tc>
          <w:tcPr>
            <w:tcW w:w="1757" w:type="dxa"/>
            <w:tcBorders>
              <w:top w:val="single" w:sz="4" w:space="0" w:color="auto"/>
              <w:left w:val="single" w:sz="4" w:space="0" w:color="auto"/>
              <w:bottom w:val="single" w:sz="4" w:space="0" w:color="auto"/>
              <w:right w:val="single" w:sz="4" w:space="0" w:color="auto"/>
            </w:tcBorders>
            <w:vAlign w:val="center"/>
          </w:tcPr>
          <w:p w14:paraId="082201A4" w14:textId="77777777" w:rsidR="007B7DBC" w:rsidRPr="006A01BA" w:rsidRDefault="00E37EEF" w:rsidP="00EB5C01">
            <w:pPr>
              <w:pStyle w:val="Tabletext"/>
              <w:spacing w:before="20" w:after="20"/>
              <w:jc w:val="center"/>
              <w:rPr>
                <w:lang w:val="es-ES"/>
              </w:rPr>
            </w:pPr>
            <w:r w:rsidRPr="006A01BA">
              <w:rPr>
                <w:lang w:val="es-ES"/>
              </w:rPr>
              <w:t>Radiolocalización</w:t>
            </w:r>
            <w:r w:rsidRPr="006A01BA">
              <w:rPr>
                <w:vertAlign w:val="superscript"/>
                <w:lang w:val="es-ES"/>
              </w:rPr>
              <w:t>2</w:t>
            </w:r>
          </w:p>
        </w:tc>
        <w:tc>
          <w:tcPr>
            <w:tcW w:w="4706" w:type="dxa"/>
            <w:tcBorders>
              <w:top w:val="single" w:sz="4" w:space="0" w:color="auto"/>
              <w:left w:val="single" w:sz="4" w:space="0" w:color="auto"/>
              <w:bottom w:val="single" w:sz="4" w:space="0" w:color="auto"/>
              <w:right w:val="single" w:sz="4" w:space="0" w:color="auto"/>
            </w:tcBorders>
            <w:vAlign w:val="center"/>
          </w:tcPr>
          <w:p w14:paraId="1BA5B883" w14:textId="77777777" w:rsidR="007B7DBC" w:rsidRPr="006A01BA" w:rsidRDefault="00E37EEF" w:rsidP="00EB5C01">
            <w:pPr>
              <w:pStyle w:val="Tabletext"/>
              <w:rPr>
                <w:lang w:val="es-ES"/>
              </w:rPr>
            </w:pPr>
            <w:r w:rsidRPr="006A01BA">
              <w:rPr>
                <w:lang w:val="es-ES"/>
              </w:rPr>
              <w:t>–29 dBW en los 27 MHz de la banda atribuida al SETS (pasivo)</w:t>
            </w:r>
          </w:p>
        </w:tc>
      </w:tr>
      <w:tr w:rsidR="007B7DBC" w:rsidRPr="006A01BA" w14:paraId="18B257C8"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1A899E05" w14:textId="77777777" w:rsidR="007B7DBC" w:rsidRPr="006A01BA" w:rsidRDefault="007B6802"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2C7FE73B" w14:textId="77777777" w:rsidR="007B7DBC" w:rsidRPr="006A01BA" w:rsidRDefault="007B6802"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41D68BDD" w14:textId="77777777" w:rsidR="007B7DBC" w:rsidRPr="006A01BA" w:rsidRDefault="00E37EEF" w:rsidP="00EB5C01">
            <w:pPr>
              <w:pStyle w:val="Tabletext"/>
              <w:spacing w:before="20" w:after="20"/>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5EC0776C" w14:textId="77777777" w:rsidR="007B7DBC" w:rsidRPr="006A01BA" w:rsidRDefault="00E37EEF" w:rsidP="00EB5C01">
            <w:pPr>
              <w:pStyle w:val="Tabletext"/>
              <w:rPr>
                <w:lang w:val="es-ES"/>
              </w:rPr>
            </w:pPr>
            <w:r w:rsidRPr="006A01BA">
              <w:rPr>
                <w:lang w:val="es-ES"/>
              </w:rPr>
              <w:t>–45 dBW en los 27 MHz de la banda atribuida al SETS (pasivo) para los sistemas punto a punto</w:t>
            </w:r>
          </w:p>
        </w:tc>
      </w:tr>
      <w:tr w:rsidR="007B7DBC" w:rsidRPr="006A01BA" w14:paraId="60C14677"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0CDE5C91" w14:textId="77777777" w:rsidR="007B7DBC" w:rsidRPr="006A01BA" w:rsidRDefault="007B6802"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4991D009" w14:textId="77777777" w:rsidR="007B7DBC" w:rsidRPr="006A01BA" w:rsidRDefault="007B6802"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79E6CD4C" w14:textId="77777777" w:rsidR="007B7DBC" w:rsidRPr="006A01BA" w:rsidRDefault="00E37EEF" w:rsidP="00EB5C01">
            <w:pPr>
              <w:pStyle w:val="Tabletext"/>
              <w:spacing w:before="20" w:after="20"/>
              <w:jc w:val="center"/>
              <w:rPr>
                <w:lang w:val="es-ES"/>
              </w:rPr>
            </w:pPr>
            <w:r w:rsidRPr="006A01BA">
              <w:rPr>
                <w:lang w:val="es-ES"/>
              </w:rPr>
              <w:t>Móvil</w:t>
            </w:r>
          </w:p>
        </w:tc>
        <w:tc>
          <w:tcPr>
            <w:tcW w:w="4706" w:type="dxa"/>
            <w:tcBorders>
              <w:top w:val="single" w:sz="4" w:space="0" w:color="auto"/>
              <w:left w:val="single" w:sz="4" w:space="0" w:color="auto"/>
              <w:bottom w:val="single" w:sz="4" w:space="0" w:color="auto"/>
              <w:right w:val="single" w:sz="4" w:space="0" w:color="auto"/>
            </w:tcBorders>
            <w:vAlign w:val="center"/>
          </w:tcPr>
          <w:p w14:paraId="265EC942" w14:textId="77777777" w:rsidR="007B7DBC" w:rsidRPr="006A01BA" w:rsidRDefault="00E37EEF" w:rsidP="00EB5C01">
            <w:pPr>
              <w:pStyle w:val="Tabletext"/>
              <w:rPr>
                <w:lang w:val="es-ES"/>
              </w:rPr>
            </w:pPr>
            <w:r w:rsidRPr="006A01BA">
              <w:rPr>
                <w:lang w:val="es-ES"/>
              </w:rPr>
              <w:t xml:space="preserve">–60 dBW en los 27 MHz de la banda atribuida al SETS (pasivo) para las estaciones del servicio móvil, salvo las estaciones de radioenlaces transportables, </w:t>
            </w:r>
          </w:p>
          <w:p w14:paraId="1D5BAB24" w14:textId="77777777" w:rsidR="007B7DBC" w:rsidRPr="006A01BA" w:rsidRDefault="00E37EEF" w:rsidP="00EB5C01">
            <w:pPr>
              <w:pStyle w:val="Tabletext"/>
              <w:rPr>
                <w:lang w:val="es-ES"/>
              </w:rPr>
            </w:pPr>
            <w:r w:rsidRPr="006A01BA">
              <w:rPr>
                <w:lang w:val="es-ES"/>
              </w:rPr>
              <w:t>–45 dBW en los 27 MHz de la banda atribuida al SETS (pasivo)para estaciones de radioenlaces transportables</w:t>
            </w:r>
          </w:p>
        </w:tc>
      </w:tr>
      <w:tr w:rsidR="007B7DBC" w:rsidRPr="006A01BA" w14:paraId="6D0AADD8"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71B91A85" w14:textId="77777777" w:rsidR="007B7DBC" w:rsidRPr="006A01BA" w:rsidRDefault="007B6802" w:rsidP="00EB5C01">
            <w:pPr>
              <w:pStyle w:val="Tabletext"/>
              <w:spacing w:before="20" w:after="20"/>
              <w:jc w:val="center"/>
              <w:rPr>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653B519B" w14:textId="77777777" w:rsidR="007B7DBC" w:rsidRPr="006A01BA" w:rsidRDefault="00E37EEF" w:rsidP="00EB5C01">
            <w:pPr>
              <w:pStyle w:val="Tabletext"/>
              <w:spacing w:before="20" w:after="20"/>
              <w:jc w:val="center"/>
              <w:rPr>
                <w:lang w:val="es-ES"/>
              </w:rPr>
            </w:pPr>
            <w:r w:rsidRPr="006A01BA">
              <w:rPr>
                <w:lang w:val="es-ES"/>
              </w:rPr>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2FB699BA" w14:textId="77777777" w:rsidR="007B7DBC" w:rsidRPr="006A01BA" w:rsidRDefault="00E37EEF" w:rsidP="00EB5C01">
            <w:pPr>
              <w:pStyle w:val="Tabletext"/>
              <w:spacing w:before="20" w:after="20"/>
              <w:jc w:val="center"/>
              <w:rPr>
                <w:lang w:val="es-ES"/>
              </w:rPr>
            </w:pPr>
            <w:r w:rsidRPr="006A01BA">
              <w:rPr>
                <w:lang w:val="es-ES"/>
              </w:rPr>
              <w:t>Operaciones espaciales (Tierra</w:t>
            </w:r>
            <w:r w:rsidRPr="006A01BA">
              <w:rPr>
                <w:lang w:val="es-ES"/>
              </w:rPr>
              <w:noBreakHyphen/>
              <w:t>espacio)</w:t>
            </w:r>
          </w:p>
        </w:tc>
        <w:tc>
          <w:tcPr>
            <w:tcW w:w="4706" w:type="dxa"/>
            <w:tcBorders>
              <w:top w:val="single" w:sz="4" w:space="0" w:color="auto"/>
              <w:left w:val="single" w:sz="4" w:space="0" w:color="auto"/>
              <w:bottom w:val="single" w:sz="4" w:space="0" w:color="auto"/>
              <w:right w:val="single" w:sz="4" w:space="0" w:color="auto"/>
            </w:tcBorders>
            <w:vAlign w:val="center"/>
          </w:tcPr>
          <w:p w14:paraId="0B343610" w14:textId="77777777" w:rsidR="007B7DBC" w:rsidRPr="006A01BA" w:rsidRDefault="00E37EEF" w:rsidP="00EB5C01">
            <w:pPr>
              <w:pStyle w:val="Tabletext"/>
              <w:rPr>
                <w:lang w:val="es-ES"/>
              </w:rPr>
            </w:pPr>
            <w:r w:rsidRPr="006A01BA">
              <w:rPr>
                <w:lang w:val="es-ES"/>
              </w:rPr>
              <w:t>–36 dBW en los 27 MHz de la banda atribuida al SETS (pasivo)</w:t>
            </w:r>
          </w:p>
        </w:tc>
      </w:tr>
      <w:tr w:rsidR="007B7DBC" w:rsidRPr="006A01BA" w14:paraId="24067B03"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4DBC33D9" w14:textId="77777777" w:rsidR="007B7DBC" w:rsidRPr="006A01BA" w:rsidRDefault="007B6802" w:rsidP="00EB5C01">
            <w:pPr>
              <w:pStyle w:val="Tabletext"/>
              <w:spacing w:before="20" w:after="20"/>
              <w:jc w:val="center"/>
              <w:rPr>
                <w:lang w:val="es-ES"/>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481DF9C0" w14:textId="77777777" w:rsidR="007B7DBC" w:rsidRPr="006A01BA" w:rsidRDefault="00E37EEF" w:rsidP="00EB5C01">
            <w:pPr>
              <w:pStyle w:val="Tabletext"/>
              <w:spacing w:before="20" w:after="20"/>
              <w:jc w:val="center"/>
              <w:rPr>
                <w:lang w:val="es-ES"/>
              </w:rPr>
            </w:pPr>
            <w:r w:rsidRPr="006A01BA">
              <w:rPr>
                <w:lang w:val="es-ES"/>
              </w:rPr>
              <w:t>1 427-1 429 MHz</w:t>
            </w:r>
          </w:p>
        </w:tc>
        <w:tc>
          <w:tcPr>
            <w:tcW w:w="1757" w:type="dxa"/>
            <w:tcBorders>
              <w:top w:val="single" w:sz="4" w:space="0" w:color="auto"/>
              <w:left w:val="single" w:sz="4" w:space="0" w:color="auto"/>
              <w:bottom w:val="single" w:sz="4" w:space="0" w:color="auto"/>
              <w:right w:val="single" w:sz="4" w:space="0" w:color="auto"/>
            </w:tcBorders>
            <w:vAlign w:val="center"/>
          </w:tcPr>
          <w:p w14:paraId="4103267F" w14:textId="77777777" w:rsidR="007B7DBC" w:rsidRPr="006A01BA" w:rsidRDefault="00E37EEF" w:rsidP="00EB5C01">
            <w:pPr>
              <w:pStyle w:val="Tabletext"/>
              <w:spacing w:before="20" w:after="20"/>
              <w:jc w:val="center"/>
              <w:rPr>
                <w:lang w:val="es-ES"/>
              </w:rPr>
            </w:pPr>
            <w:r w:rsidRPr="006A01BA">
              <w:rPr>
                <w:lang w:val="es-ES"/>
              </w:rPr>
              <w:t>Móvil, salvo móvil aeronáutico</w:t>
            </w:r>
          </w:p>
        </w:tc>
        <w:tc>
          <w:tcPr>
            <w:tcW w:w="4706" w:type="dxa"/>
            <w:tcBorders>
              <w:top w:val="single" w:sz="4" w:space="0" w:color="auto"/>
              <w:left w:val="single" w:sz="4" w:space="0" w:color="auto"/>
              <w:bottom w:val="single" w:sz="4" w:space="0" w:color="auto"/>
              <w:right w:val="single" w:sz="4" w:space="0" w:color="auto"/>
            </w:tcBorders>
            <w:vAlign w:val="center"/>
          </w:tcPr>
          <w:p w14:paraId="30E8B79F" w14:textId="77777777" w:rsidR="007B7DBC" w:rsidRPr="006A01BA" w:rsidRDefault="00E37EEF" w:rsidP="00EB5C01">
            <w:pPr>
              <w:pStyle w:val="Tabletext"/>
              <w:rPr>
                <w:lang w:val="es-ES"/>
              </w:rPr>
            </w:pPr>
            <w:r w:rsidRPr="006A01BA">
              <w:rPr>
                <w:lang w:val="es-ES"/>
              </w:rPr>
              <w:t>–60 dBW en los 27 MHz de la banda atribuida al SETS (pasivo) para las estaciones del servicio móvil, salvo las estaciones IMT y las estaciones de radioenlaces transportables</w:t>
            </w:r>
            <w:r w:rsidRPr="006A01BA">
              <w:rPr>
                <w:vertAlign w:val="superscript"/>
                <w:lang w:val="es-ES"/>
              </w:rPr>
              <w:t>3</w:t>
            </w:r>
          </w:p>
          <w:p w14:paraId="6AD90E4C" w14:textId="77777777" w:rsidR="007B7DBC" w:rsidRPr="006A01BA" w:rsidRDefault="00E37EEF" w:rsidP="00EB5C01">
            <w:pPr>
              <w:pStyle w:val="Tabletext"/>
              <w:rPr>
                <w:lang w:val="es-ES"/>
              </w:rPr>
            </w:pPr>
            <w:r w:rsidRPr="006A01BA">
              <w:rPr>
                <w:lang w:val="es-ES"/>
              </w:rPr>
              <w:t>–45 dBW en los 27 MHz de la banda atribuida al SETS (pasivo) para estaciones de radioenlaces transportables</w:t>
            </w:r>
          </w:p>
        </w:tc>
      </w:tr>
      <w:tr w:rsidR="007B7DBC" w:rsidRPr="006A01BA" w14:paraId="21348071"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27A9F03E" w14:textId="77777777" w:rsidR="007B7DBC" w:rsidRPr="006A01BA" w:rsidRDefault="007B6802"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3D723F4F" w14:textId="77777777" w:rsidR="007B7DBC" w:rsidRPr="006A01BA" w:rsidRDefault="007B6802"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62F389CC" w14:textId="77777777" w:rsidR="007B7DBC" w:rsidRPr="006A01BA" w:rsidRDefault="00E37EEF" w:rsidP="00EB5C01">
            <w:pPr>
              <w:pStyle w:val="Tabletext"/>
              <w:spacing w:before="20" w:after="20"/>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33FA379E" w14:textId="77777777" w:rsidR="007B7DBC" w:rsidRPr="006A01BA" w:rsidRDefault="00E37EEF" w:rsidP="00EB5C01">
            <w:pPr>
              <w:pStyle w:val="Tabletext"/>
              <w:rPr>
                <w:lang w:val="es-ES"/>
              </w:rPr>
            </w:pPr>
            <w:r w:rsidRPr="006A01BA">
              <w:rPr>
                <w:lang w:val="es-ES"/>
              </w:rPr>
              <w:t>–45 dBW en los 27 MHz de la banda atribuida al SETS (pasivo) para los sistemas punto a punto</w:t>
            </w:r>
          </w:p>
        </w:tc>
      </w:tr>
      <w:tr w:rsidR="007B7DBC" w:rsidRPr="006A01BA" w14:paraId="281850A0"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763032EF" w14:textId="77777777" w:rsidR="007B7DBC" w:rsidRPr="006A01BA" w:rsidRDefault="007B6802" w:rsidP="00EB5C01">
            <w:pPr>
              <w:pStyle w:val="Tabletext"/>
              <w:spacing w:before="20" w:after="20"/>
              <w:jc w:val="center"/>
              <w:rPr>
                <w:lang w:val="es-ES"/>
              </w:rPr>
            </w:pP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321EEA65" w14:textId="77777777" w:rsidR="007B7DBC" w:rsidRPr="006A01BA" w:rsidRDefault="00E37EEF" w:rsidP="00EB5C01">
            <w:pPr>
              <w:pStyle w:val="Tabletext"/>
              <w:spacing w:before="20" w:after="20"/>
              <w:jc w:val="center"/>
              <w:rPr>
                <w:lang w:val="es-ES"/>
              </w:rPr>
            </w:pPr>
            <w:r w:rsidRPr="006A01BA">
              <w:rPr>
                <w:lang w:val="es-ES"/>
              </w:rPr>
              <w:t>1 429-1 452 MHz</w:t>
            </w:r>
          </w:p>
        </w:tc>
        <w:tc>
          <w:tcPr>
            <w:tcW w:w="1757" w:type="dxa"/>
            <w:tcBorders>
              <w:top w:val="single" w:sz="4" w:space="0" w:color="auto"/>
              <w:left w:val="single" w:sz="4" w:space="0" w:color="auto"/>
              <w:bottom w:val="single" w:sz="4" w:space="0" w:color="auto"/>
              <w:right w:val="single" w:sz="4" w:space="0" w:color="auto"/>
            </w:tcBorders>
            <w:vAlign w:val="center"/>
          </w:tcPr>
          <w:p w14:paraId="6712E9FF" w14:textId="77777777" w:rsidR="007B7DBC" w:rsidRPr="006A01BA" w:rsidRDefault="00E37EEF" w:rsidP="00EB5C01">
            <w:pPr>
              <w:pStyle w:val="Tabletext"/>
              <w:spacing w:before="20" w:after="20"/>
              <w:jc w:val="center"/>
              <w:rPr>
                <w:lang w:val="es-ES"/>
              </w:rPr>
            </w:pPr>
            <w:r w:rsidRPr="006A01BA">
              <w:rPr>
                <w:lang w:val="es-ES"/>
              </w:rPr>
              <w:t>Móvil</w:t>
            </w:r>
          </w:p>
        </w:tc>
        <w:tc>
          <w:tcPr>
            <w:tcW w:w="4706" w:type="dxa"/>
            <w:tcBorders>
              <w:top w:val="single" w:sz="4" w:space="0" w:color="auto"/>
              <w:left w:val="single" w:sz="4" w:space="0" w:color="auto"/>
              <w:bottom w:val="single" w:sz="4" w:space="0" w:color="auto"/>
              <w:right w:val="single" w:sz="4" w:space="0" w:color="auto"/>
            </w:tcBorders>
            <w:vAlign w:val="center"/>
          </w:tcPr>
          <w:p w14:paraId="5BA7DC83" w14:textId="77777777" w:rsidR="007B7DBC" w:rsidRPr="006A01BA" w:rsidRDefault="00E37EEF" w:rsidP="00EB5C01">
            <w:pPr>
              <w:pStyle w:val="Tabletext"/>
              <w:rPr>
                <w:lang w:val="es-ES"/>
              </w:rPr>
            </w:pPr>
            <w:r w:rsidRPr="006A01BA">
              <w:rPr>
                <w:lang w:val="es-ES"/>
              </w:rPr>
              <w:t>–60 dBW en los 27 MHz de la banda atribuida al SETS (pasivo) para las estaciones del servicio móvil, salvo las estaciones IMT, las estaciones de radioenlaces transportables y las estaciones de telemedida aeronáutica</w:t>
            </w:r>
          </w:p>
          <w:p w14:paraId="51C3779D" w14:textId="77777777" w:rsidR="007B7DBC" w:rsidRPr="006A01BA" w:rsidRDefault="00E37EEF" w:rsidP="00EB5C01">
            <w:pPr>
              <w:pStyle w:val="Tabletext"/>
              <w:rPr>
                <w:lang w:val="es-ES"/>
              </w:rPr>
            </w:pPr>
            <w:r w:rsidRPr="006A01BA">
              <w:rPr>
                <w:lang w:val="es-ES"/>
              </w:rPr>
              <w:t>–45 dBW en los 27 MHz de la banda atribuida al SETS (pasivo) para las estaciones de radioenlaces transportables</w:t>
            </w:r>
          </w:p>
          <w:p w14:paraId="52D09CB3" w14:textId="77777777" w:rsidR="007B7DBC" w:rsidRPr="006A01BA" w:rsidRDefault="00E37EEF" w:rsidP="00EB5C01">
            <w:pPr>
              <w:pStyle w:val="Tabletext"/>
              <w:rPr>
                <w:lang w:val="es-ES"/>
              </w:rPr>
            </w:pPr>
            <w:r w:rsidRPr="006A01BA">
              <w:rPr>
                <w:lang w:val="es-ES"/>
              </w:rPr>
              <w:t>–28 dBW en los 27 MHz de la banda atribuida al SETS (pasivo) para estaciones de telemedida aeronáutica</w:t>
            </w:r>
            <w:r w:rsidRPr="006A01BA">
              <w:rPr>
                <w:vertAlign w:val="superscript"/>
                <w:lang w:val="es-ES"/>
              </w:rPr>
              <w:t>3</w:t>
            </w:r>
          </w:p>
        </w:tc>
      </w:tr>
      <w:tr w:rsidR="007B7DBC" w:rsidRPr="006A01BA" w14:paraId="061C82D3"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47D9DC8C" w14:textId="77777777" w:rsidR="007B7DBC" w:rsidRPr="006A01BA" w:rsidRDefault="007B6802" w:rsidP="00EB5C01">
            <w:pPr>
              <w:pStyle w:val="Tabletext"/>
              <w:spacing w:before="20" w:after="20"/>
              <w:jc w:val="center"/>
              <w:rPr>
                <w:lang w:val="es-ES"/>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0BEEB936" w14:textId="77777777" w:rsidR="007B7DBC" w:rsidRPr="006A01BA" w:rsidRDefault="007B6802" w:rsidP="00EB5C01">
            <w:pPr>
              <w:pStyle w:val="Tabletext"/>
              <w:spacing w:before="20" w:after="20"/>
              <w:jc w:val="center"/>
              <w:rPr>
                <w:lang w:val="es-ES"/>
              </w:rPr>
            </w:pPr>
          </w:p>
        </w:tc>
        <w:tc>
          <w:tcPr>
            <w:tcW w:w="1757" w:type="dxa"/>
            <w:tcBorders>
              <w:top w:val="single" w:sz="4" w:space="0" w:color="auto"/>
              <w:left w:val="single" w:sz="4" w:space="0" w:color="auto"/>
              <w:bottom w:val="single" w:sz="4" w:space="0" w:color="auto"/>
              <w:right w:val="single" w:sz="4" w:space="0" w:color="auto"/>
            </w:tcBorders>
            <w:vAlign w:val="center"/>
          </w:tcPr>
          <w:p w14:paraId="6043F1A1" w14:textId="77777777" w:rsidR="007B7DBC" w:rsidRPr="006A01BA" w:rsidRDefault="00E37EEF" w:rsidP="00EB5C01">
            <w:pPr>
              <w:pStyle w:val="Tabletext"/>
              <w:spacing w:before="20" w:after="20"/>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vAlign w:val="center"/>
          </w:tcPr>
          <w:p w14:paraId="2999A35A" w14:textId="77777777" w:rsidR="007B7DBC" w:rsidRPr="006A01BA" w:rsidRDefault="00E37EEF" w:rsidP="00EB5C01">
            <w:pPr>
              <w:pStyle w:val="Tabletext"/>
              <w:rPr>
                <w:lang w:val="es-ES"/>
              </w:rPr>
            </w:pPr>
            <w:r w:rsidRPr="006A01BA">
              <w:rPr>
                <w:lang w:val="es-ES"/>
              </w:rPr>
              <w:t>–45 dBW en los 27 MHz de la banda atribuida al SETS (pasivo) para los sistemas punto a punto</w:t>
            </w:r>
          </w:p>
        </w:tc>
      </w:tr>
      <w:tr w:rsidR="007B7DBC" w:rsidRPr="006A01BA" w14:paraId="6B31D489" w14:textId="77777777" w:rsidTr="00EB5C01">
        <w:tc>
          <w:tcPr>
            <w:tcW w:w="1531" w:type="dxa"/>
            <w:tcBorders>
              <w:top w:val="single" w:sz="4" w:space="0" w:color="auto"/>
              <w:left w:val="single" w:sz="4" w:space="0" w:color="auto"/>
              <w:bottom w:val="single" w:sz="4" w:space="0" w:color="auto"/>
              <w:right w:val="single" w:sz="4" w:space="0" w:color="auto"/>
            </w:tcBorders>
            <w:vAlign w:val="center"/>
          </w:tcPr>
          <w:p w14:paraId="0ED384F0" w14:textId="77777777" w:rsidR="007B7DBC" w:rsidRPr="006A01BA" w:rsidRDefault="00E37EEF" w:rsidP="00EB5C01">
            <w:pPr>
              <w:pStyle w:val="Tabletext"/>
              <w:spacing w:before="20" w:after="20"/>
              <w:jc w:val="center"/>
              <w:rPr>
                <w:lang w:val="es-ES"/>
              </w:rPr>
            </w:pPr>
            <w:r w:rsidRPr="006A01BA">
              <w:rPr>
                <w:lang w:val="es-ES"/>
              </w:rPr>
              <w:t>31,3-31,5 GHz</w:t>
            </w:r>
          </w:p>
        </w:tc>
        <w:tc>
          <w:tcPr>
            <w:tcW w:w="1644" w:type="dxa"/>
            <w:tcBorders>
              <w:top w:val="single" w:sz="4" w:space="0" w:color="auto"/>
              <w:left w:val="single" w:sz="4" w:space="0" w:color="auto"/>
              <w:bottom w:val="single" w:sz="4" w:space="0" w:color="auto"/>
              <w:right w:val="single" w:sz="4" w:space="0" w:color="auto"/>
            </w:tcBorders>
            <w:vAlign w:val="center"/>
          </w:tcPr>
          <w:p w14:paraId="639FAC13" w14:textId="77777777" w:rsidR="007B7DBC" w:rsidRPr="006A01BA" w:rsidRDefault="00E37EEF" w:rsidP="00EB5C01">
            <w:pPr>
              <w:pStyle w:val="Tabletext"/>
              <w:spacing w:before="20" w:after="20"/>
              <w:jc w:val="center"/>
              <w:rPr>
                <w:lang w:val="es-ES"/>
              </w:rPr>
            </w:pPr>
            <w:r w:rsidRPr="006A01BA">
              <w:rPr>
                <w:lang w:val="es-ES"/>
              </w:rPr>
              <w:t>30,0-31,0 GHz</w:t>
            </w:r>
          </w:p>
        </w:tc>
        <w:tc>
          <w:tcPr>
            <w:tcW w:w="1757" w:type="dxa"/>
            <w:tcBorders>
              <w:top w:val="single" w:sz="4" w:space="0" w:color="auto"/>
              <w:left w:val="single" w:sz="4" w:space="0" w:color="auto"/>
              <w:bottom w:val="single" w:sz="4" w:space="0" w:color="auto"/>
              <w:right w:val="single" w:sz="4" w:space="0" w:color="auto"/>
            </w:tcBorders>
            <w:vAlign w:val="center"/>
          </w:tcPr>
          <w:p w14:paraId="7F993A47" w14:textId="77777777" w:rsidR="007B7DBC" w:rsidRPr="006A01BA" w:rsidRDefault="00E37EEF" w:rsidP="00EB5C01">
            <w:pPr>
              <w:pStyle w:val="Tabletext"/>
              <w:spacing w:before="20" w:after="20"/>
              <w:jc w:val="center"/>
              <w:rPr>
                <w:lang w:val="es-ES"/>
              </w:rPr>
            </w:pPr>
            <w:r w:rsidRPr="006A01BA">
              <w:rPr>
                <w:lang w:val="es-ES"/>
              </w:rPr>
              <w:t>Fijo por satélite</w:t>
            </w:r>
            <w:r w:rsidRPr="006A01BA">
              <w:rPr>
                <w:lang w:val="es-ES"/>
              </w:rPr>
              <w:br/>
              <w:t>(Tierra-espacio)</w:t>
            </w:r>
            <w:r w:rsidRPr="006A01BA">
              <w:rPr>
                <w:vertAlign w:val="superscript"/>
                <w:lang w:val="es-ES"/>
              </w:rPr>
              <w:t>4</w:t>
            </w:r>
          </w:p>
        </w:tc>
        <w:tc>
          <w:tcPr>
            <w:tcW w:w="4706" w:type="dxa"/>
            <w:tcBorders>
              <w:top w:val="single" w:sz="4" w:space="0" w:color="auto"/>
              <w:left w:val="single" w:sz="4" w:space="0" w:color="auto"/>
              <w:bottom w:val="single" w:sz="4" w:space="0" w:color="auto"/>
              <w:right w:val="single" w:sz="4" w:space="0" w:color="auto"/>
            </w:tcBorders>
          </w:tcPr>
          <w:p w14:paraId="345DACC8" w14:textId="77777777" w:rsidR="007B7DBC" w:rsidRPr="006A01BA" w:rsidRDefault="00E37EEF" w:rsidP="00EB5C01">
            <w:pPr>
              <w:pStyle w:val="Tabletext"/>
              <w:rPr>
                <w:lang w:val="es-ES"/>
              </w:rPr>
            </w:pPr>
            <w:r w:rsidRPr="006A01BA">
              <w:rPr>
                <w:lang w:val="es-ES"/>
              </w:rPr>
              <w:t>–9 dBW</w:t>
            </w:r>
            <w:r w:rsidRPr="006A01BA" w:rsidDel="008F017D">
              <w:rPr>
                <w:lang w:val="es-ES"/>
              </w:rPr>
              <w:t xml:space="preserve"> </w:t>
            </w:r>
            <w:r w:rsidRPr="006A01BA">
              <w:rPr>
                <w:lang w:val="es-ES"/>
              </w:rPr>
              <w:t>en los 200 MHz de la banda atribuida al SETS (pasivo) para las estaciones terrenas con ganancia de antena mayor o igual que 56 dBi</w:t>
            </w:r>
          </w:p>
          <w:p w14:paraId="08BA3938" w14:textId="77777777" w:rsidR="007B7DBC" w:rsidRPr="006A01BA" w:rsidRDefault="00E37EEF" w:rsidP="00EB5C01">
            <w:pPr>
              <w:pStyle w:val="Tabletext"/>
              <w:rPr>
                <w:lang w:val="es-ES"/>
              </w:rPr>
            </w:pPr>
            <w:r w:rsidRPr="006A01BA">
              <w:rPr>
                <w:lang w:val="es-ES"/>
              </w:rPr>
              <w:t>–20 dBW</w:t>
            </w:r>
            <w:r w:rsidRPr="006A01BA" w:rsidDel="008F017D">
              <w:rPr>
                <w:lang w:val="es-ES"/>
              </w:rPr>
              <w:t xml:space="preserve"> </w:t>
            </w:r>
            <w:r w:rsidRPr="006A01BA">
              <w:rPr>
                <w:lang w:val="es-ES"/>
              </w:rPr>
              <w:t>en los 200 MHz de la banda atribuida al SETS (pasivo) para las estaciones terrenas con ganancia de antena inferior a 56 dBi</w:t>
            </w:r>
          </w:p>
        </w:tc>
      </w:tr>
      <w:tr w:rsidR="007B7DBC" w:rsidRPr="006A01BA" w14:paraId="109355DD" w14:textId="77777777" w:rsidTr="00EB5C01">
        <w:tc>
          <w:tcPr>
            <w:tcW w:w="1531" w:type="dxa"/>
            <w:vMerge w:val="restart"/>
            <w:tcBorders>
              <w:top w:val="single" w:sz="4" w:space="0" w:color="auto"/>
              <w:left w:val="single" w:sz="4" w:space="0" w:color="auto"/>
              <w:bottom w:val="single" w:sz="4" w:space="0" w:color="auto"/>
              <w:right w:val="single" w:sz="4" w:space="0" w:color="auto"/>
            </w:tcBorders>
            <w:vAlign w:val="center"/>
          </w:tcPr>
          <w:p w14:paraId="71B378A3" w14:textId="77777777" w:rsidR="007B7DBC" w:rsidRPr="006A01BA" w:rsidRDefault="00E37EEF" w:rsidP="00EB5C01">
            <w:pPr>
              <w:pStyle w:val="Tabletext"/>
              <w:spacing w:before="20" w:after="20"/>
              <w:jc w:val="center"/>
              <w:rPr>
                <w:lang w:val="es-ES"/>
              </w:rPr>
            </w:pPr>
            <w:r w:rsidRPr="006A01BA">
              <w:rPr>
                <w:lang w:val="es-ES"/>
              </w:rPr>
              <w:lastRenderedPageBreak/>
              <w:t>86-92 GHz</w:t>
            </w:r>
            <w:r w:rsidRPr="006A01BA">
              <w:rPr>
                <w:vertAlign w:val="superscript"/>
                <w:lang w:val="es-ES"/>
              </w:rPr>
              <w:t>5</w:t>
            </w:r>
          </w:p>
        </w:tc>
        <w:tc>
          <w:tcPr>
            <w:tcW w:w="1644" w:type="dxa"/>
            <w:tcBorders>
              <w:top w:val="single" w:sz="4" w:space="0" w:color="auto"/>
              <w:left w:val="single" w:sz="4" w:space="0" w:color="auto"/>
              <w:bottom w:val="single" w:sz="4" w:space="0" w:color="auto"/>
              <w:right w:val="single" w:sz="4" w:space="0" w:color="auto"/>
            </w:tcBorders>
            <w:vAlign w:val="center"/>
          </w:tcPr>
          <w:p w14:paraId="0D280293" w14:textId="77777777" w:rsidR="007B7DBC" w:rsidRPr="006A01BA" w:rsidRDefault="00E37EEF" w:rsidP="00EB5C01">
            <w:pPr>
              <w:pStyle w:val="Tabletext"/>
              <w:spacing w:before="20" w:after="20"/>
              <w:jc w:val="center"/>
              <w:rPr>
                <w:lang w:val="es-ES"/>
              </w:rPr>
            </w:pPr>
            <w:r w:rsidRPr="006A01BA">
              <w:rPr>
                <w:lang w:val="es-ES"/>
              </w:rPr>
              <w:t>81-86 GHz</w:t>
            </w:r>
          </w:p>
        </w:tc>
        <w:tc>
          <w:tcPr>
            <w:tcW w:w="1757" w:type="dxa"/>
            <w:tcBorders>
              <w:top w:val="single" w:sz="4" w:space="0" w:color="auto"/>
              <w:left w:val="single" w:sz="4" w:space="0" w:color="auto"/>
              <w:bottom w:val="single" w:sz="4" w:space="0" w:color="auto"/>
              <w:right w:val="single" w:sz="4" w:space="0" w:color="auto"/>
            </w:tcBorders>
            <w:vAlign w:val="center"/>
          </w:tcPr>
          <w:p w14:paraId="52F77088" w14:textId="77777777" w:rsidR="007B7DBC" w:rsidRPr="006A01BA" w:rsidRDefault="00E37EEF" w:rsidP="00EB5C01">
            <w:pPr>
              <w:pStyle w:val="Tabletext"/>
              <w:spacing w:before="20" w:after="20"/>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79A4F4E8" w14:textId="77777777" w:rsidR="007B7DBC" w:rsidRPr="006A01BA" w:rsidRDefault="00E37EEF" w:rsidP="00EB5C01">
            <w:pPr>
              <w:pStyle w:val="Tabletext"/>
              <w:rPr>
                <w:lang w:val="es-ES"/>
              </w:rPr>
            </w:pPr>
            <w:r w:rsidRPr="006A01BA">
              <w:rPr>
                <w:lang w:val="es-ES"/>
              </w:rPr>
              <w:t>–41 – 14(</w:t>
            </w:r>
            <w:r w:rsidRPr="006A01BA">
              <w:rPr>
                <w:i/>
                <w:iCs/>
                <w:lang w:val="es-ES"/>
              </w:rPr>
              <w:t>f</w:t>
            </w:r>
            <w:r w:rsidRPr="006A01BA">
              <w:rPr>
                <w:lang w:val="es-ES"/>
              </w:rPr>
              <w:t xml:space="preserve"> – 86) dBW/100 MHz para 86,05 </w:t>
            </w:r>
            <w:r w:rsidRPr="006A01BA">
              <w:rPr>
                <w:lang w:val="es-ES"/>
              </w:rPr>
              <w:sym w:font="Symbol" w:char="F0A3"/>
            </w:r>
            <w:r w:rsidRPr="006A01BA">
              <w:rPr>
                <w:lang w:val="es-ES"/>
              </w:rPr>
              <w:t xml:space="preserve"> </w:t>
            </w:r>
            <w:r w:rsidRPr="006A01BA">
              <w:rPr>
                <w:i/>
                <w:iCs/>
                <w:lang w:val="es-ES"/>
              </w:rPr>
              <w:t xml:space="preserve">f </w:t>
            </w:r>
            <w:r w:rsidRPr="006A01BA">
              <w:rPr>
                <w:lang w:val="es-ES"/>
              </w:rPr>
              <w:sym w:font="Symbol" w:char="F0A3"/>
            </w:r>
            <w:r w:rsidRPr="006A01BA">
              <w:rPr>
                <w:lang w:val="es-ES"/>
              </w:rPr>
              <w:t xml:space="preserve"> 87 GHz</w:t>
            </w:r>
          </w:p>
          <w:p w14:paraId="485470E0" w14:textId="77777777" w:rsidR="007B7DBC" w:rsidRPr="006A01BA" w:rsidRDefault="00E37EEF" w:rsidP="00EB5C01">
            <w:pPr>
              <w:pStyle w:val="Tabletext"/>
              <w:rPr>
                <w:lang w:val="es-ES"/>
              </w:rPr>
            </w:pPr>
            <w:r w:rsidRPr="006A01BA">
              <w:rPr>
                <w:lang w:val="es-ES"/>
              </w:rPr>
              <w:t>–55 dBW/100 MHz para 87 </w:t>
            </w:r>
            <w:r w:rsidRPr="006A01BA">
              <w:rPr>
                <w:lang w:val="es-ES"/>
              </w:rPr>
              <w:sym w:font="Symbol" w:char="F0A3"/>
            </w:r>
            <w:r w:rsidRPr="006A01BA">
              <w:rPr>
                <w:lang w:val="es-ES"/>
              </w:rPr>
              <w:t> </w:t>
            </w:r>
            <w:r w:rsidRPr="006A01BA">
              <w:rPr>
                <w:i/>
                <w:iCs/>
                <w:lang w:val="es-ES"/>
              </w:rPr>
              <w:t>f</w:t>
            </w:r>
            <w:r w:rsidRPr="006A01BA">
              <w:rPr>
                <w:lang w:val="es-ES"/>
              </w:rPr>
              <w:t> </w:t>
            </w:r>
            <w:r w:rsidRPr="006A01BA">
              <w:rPr>
                <w:lang w:val="es-ES"/>
              </w:rPr>
              <w:sym w:font="Symbol" w:char="F0A3"/>
            </w:r>
            <w:r w:rsidRPr="006A01BA">
              <w:rPr>
                <w:lang w:val="es-ES"/>
              </w:rPr>
              <w:t> 91,95 GHz</w:t>
            </w:r>
          </w:p>
          <w:p w14:paraId="6A7B204F" w14:textId="77777777" w:rsidR="007B7DBC" w:rsidRPr="006A01BA" w:rsidRDefault="00E37EEF" w:rsidP="00EB5C01">
            <w:pPr>
              <w:pStyle w:val="Tabletext"/>
              <w:rPr>
                <w:lang w:val="es-ES"/>
              </w:rPr>
            </w:pPr>
            <w:r w:rsidRPr="006A01BA">
              <w:rPr>
                <w:lang w:val="es-ES"/>
              </w:rPr>
              <w:t xml:space="preserve">donde </w:t>
            </w:r>
            <w:r w:rsidRPr="006A01BA">
              <w:rPr>
                <w:i/>
                <w:iCs/>
                <w:lang w:val="es-ES"/>
              </w:rPr>
              <w:t>f</w:t>
            </w:r>
            <w:r w:rsidRPr="006A01BA">
              <w:rPr>
                <w:lang w:val="es-ES"/>
              </w:rPr>
              <w:t xml:space="preserve"> es la frecuencia central del ancho de banda de referencia de 100 MHz expresado en GHz</w:t>
            </w:r>
          </w:p>
        </w:tc>
      </w:tr>
      <w:tr w:rsidR="007B7DBC" w:rsidRPr="006A01BA" w14:paraId="5F85A478" w14:textId="77777777" w:rsidTr="00EB5C01">
        <w:tc>
          <w:tcPr>
            <w:tcW w:w="1531" w:type="dxa"/>
            <w:vMerge/>
            <w:tcBorders>
              <w:top w:val="single" w:sz="4" w:space="0" w:color="auto"/>
              <w:left w:val="single" w:sz="4" w:space="0" w:color="auto"/>
              <w:bottom w:val="single" w:sz="4" w:space="0" w:color="auto"/>
              <w:right w:val="single" w:sz="4" w:space="0" w:color="auto"/>
            </w:tcBorders>
            <w:vAlign w:val="center"/>
          </w:tcPr>
          <w:p w14:paraId="7F51A69E" w14:textId="77777777" w:rsidR="007B7DBC" w:rsidRPr="006A01BA" w:rsidRDefault="007B6802" w:rsidP="00EB5C01">
            <w:pPr>
              <w:pStyle w:val="Tabletext"/>
              <w:spacing w:before="20" w:after="20"/>
              <w:jc w:val="center"/>
              <w:rPr>
                <w:lang w:val="es-ES"/>
              </w:rPr>
            </w:pPr>
          </w:p>
        </w:tc>
        <w:tc>
          <w:tcPr>
            <w:tcW w:w="1644" w:type="dxa"/>
            <w:tcBorders>
              <w:top w:val="single" w:sz="4" w:space="0" w:color="auto"/>
              <w:left w:val="single" w:sz="4" w:space="0" w:color="auto"/>
              <w:bottom w:val="single" w:sz="4" w:space="0" w:color="auto"/>
              <w:right w:val="single" w:sz="4" w:space="0" w:color="auto"/>
            </w:tcBorders>
            <w:vAlign w:val="center"/>
          </w:tcPr>
          <w:p w14:paraId="7A720976" w14:textId="77777777" w:rsidR="007B7DBC" w:rsidRPr="006A01BA" w:rsidRDefault="00E37EEF" w:rsidP="00EB5C01">
            <w:pPr>
              <w:pStyle w:val="Tabletext"/>
              <w:spacing w:before="20" w:after="20"/>
              <w:jc w:val="center"/>
              <w:rPr>
                <w:lang w:val="es-ES"/>
              </w:rPr>
            </w:pPr>
            <w:r w:rsidRPr="006A01BA">
              <w:rPr>
                <w:lang w:val="es-ES"/>
              </w:rPr>
              <w:t>92-94 GHz</w:t>
            </w:r>
          </w:p>
        </w:tc>
        <w:tc>
          <w:tcPr>
            <w:tcW w:w="1757" w:type="dxa"/>
            <w:tcBorders>
              <w:top w:val="single" w:sz="4" w:space="0" w:color="auto"/>
              <w:left w:val="single" w:sz="4" w:space="0" w:color="auto"/>
              <w:bottom w:val="single" w:sz="4" w:space="0" w:color="auto"/>
              <w:right w:val="single" w:sz="4" w:space="0" w:color="auto"/>
            </w:tcBorders>
            <w:vAlign w:val="center"/>
          </w:tcPr>
          <w:p w14:paraId="03E1DCB2" w14:textId="77777777" w:rsidR="007B7DBC" w:rsidRPr="006A01BA" w:rsidRDefault="00E37EEF" w:rsidP="00EB5C01">
            <w:pPr>
              <w:pStyle w:val="Tabletext"/>
              <w:spacing w:before="20" w:after="20"/>
              <w:jc w:val="center"/>
              <w:rPr>
                <w:lang w:val="es-ES"/>
              </w:rPr>
            </w:pPr>
            <w:r w:rsidRPr="006A01BA">
              <w:rPr>
                <w:lang w:val="es-ES"/>
              </w:rPr>
              <w:t>Fijo</w:t>
            </w:r>
          </w:p>
        </w:tc>
        <w:tc>
          <w:tcPr>
            <w:tcW w:w="4706" w:type="dxa"/>
            <w:tcBorders>
              <w:top w:val="single" w:sz="4" w:space="0" w:color="auto"/>
              <w:left w:val="single" w:sz="4" w:space="0" w:color="auto"/>
              <w:bottom w:val="single" w:sz="4" w:space="0" w:color="auto"/>
              <w:right w:val="single" w:sz="4" w:space="0" w:color="auto"/>
            </w:tcBorders>
          </w:tcPr>
          <w:p w14:paraId="0ADC50A4" w14:textId="77777777" w:rsidR="007B7DBC" w:rsidRPr="006A01BA" w:rsidRDefault="00E37EEF" w:rsidP="00EB5C01">
            <w:pPr>
              <w:pStyle w:val="Tabletext"/>
              <w:rPr>
                <w:lang w:val="es-ES"/>
              </w:rPr>
            </w:pPr>
            <w:r w:rsidRPr="006A01BA">
              <w:rPr>
                <w:lang w:val="es-ES"/>
              </w:rPr>
              <w:t xml:space="preserve">–41 – 14(92 – </w:t>
            </w:r>
            <w:r w:rsidRPr="006A01BA">
              <w:rPr>
                <w:i/>
                <w:iCs/>
                <w:lang w:val="es-ES"/>
              </w:rPr>
              <w:t>f</w:t>
            </w:r>
            <w:r w:rsidRPr="006A01BA">
              <w:rPr>
                <w:lang w:val="es-ES"/>
              </w:rPr>
              <w:t xml:space="preserve">) dBW/100 MHz para 91 </w:t>
            </w:r>
            <w:r w:rsidRPr="006A01BA">
              <w:rPr>
                <w:lang w:val="es-ES"/>
              </w:rPr>
              <w:sym w:font="Symbol" w:char="F0A3"/>
            </w:r>
            <w:r w:rsidRPr="006A01BA">
              <w:rPr>
                <w:lang w:val="es-ES"/>
              </w:rPr>
              <w:t xml:space="preserve"> </w:t>
            </w:r>
            <w:r w:rsidRPr="006A01BA">
              <w:rPr>
                <w:i/>
                <w:iCs/>
                <w:lang w:val="es-ES"/>
              </w:rPr>
              <w:t xml:space="preserve">f </w:t>
            </w:r>
            <w:r w:rsidRPr="006A01BA">
              <w:rPr>
                <w:lang w:val="es-ES"/>
              </w:rPr>
              <w:sym w:font="Symbol" w:char="F0A3"/>
            </w:r>
            <w:r w:rsidRPr="006A01BA">
              <w:rPr>
                <w:lang w:val="es-ES"/>
              </w:rPr>
              <w:t xml:space="preserve"> 91,95 GHz</w:t>
            </w:r>
          </w:p>
          <w:p w14:paraId="410E4AFE" w14:textId="77777777" w:rsidR="007B7DBC" w:rsidRPr="006A01BA" w:rsidRDefault="00E37EEF" w:rsidP="00EB5C01">
            <w:pPr>
              <w:pStyle w:val="Tabletext"/>
              <w:rPr>
                <w:lang w:val="es-ES"/>
              </w:rPr>
            </w:pPr>
            <w:r w:rsidRPr="006A01BA">
              <w:rPr>
                <w:lang w:val="es-ES"/>
              </w:rPr>
              <w:t xml:space="preserve">–55 dBW/100 MHz para 86,05 </w:t>
            </w:r>
            <w:r w:rsidRPr="006A01BA">
              <w:rPr>
                <w:lang w:val="es-ES"/>
              </w:rPr>
              <w:sym w:font="Symbol" w:char="F0A3"/>
            </w:r>
            <w:r w:rsidRPr="006A01BA">
              <w:rPr>
                <w:lang w:val="es-ES"/>
              </w:rPr>
              <w:t> </w:t>
            </w:r>
            <w:r w:rsidRPr="006A01BA">
              <w:rPr>
                <w:i/>
                <w:iCs/>
                <w:lang w:val="es-ES"/>
              </w:rPr>
              <w:t>f</w:t>
            </w:r>
            <w:r w:rsidRPr="006A01BA">
              <w:rPr>
                <w:lang w:val="es-ES"/>
              </w:rPr>
              <w:t> </w:t>
            </w:r>
            <w:r w:rsidRPr="006A01BA">
              <w:rPr>
                <w:lang w:val="es-ES"/>
              </w:rPr>
              <w:sym w:font="Symbol" w:char="F0A3"/>
            </w:r>
            <w:r w:rsidRPr="006A01BA">
              <w:rPr>
                <w:lang w:val="es-ES"/>
              </w:rPr>
              <w:t> 91 GHz</w:t>
            </w:r>
          </w:p>
          <w:p w14:paraId="5C5FBA94" w14:textId="77777777" w:rsidR="007B7DBC" w:rsidRPr="006A01BA" w:rsidRDefault="00E37EEF" w:rsidP="00EB5C01">
            <w:pPr>
              <w:pStyle w:val="Tabletext"/>
              <w:rPr>
                <w:lang w:val="es-ES"/>
              </w:rPr>
            </w:pPr>
            <w:r w:rsidRPr="006A01BA">
              <w:rPr>
                <w:lang w:val="es-ES"/>
              </w:rPr>
              <w:t xml:space="preserve">donde </w:t>
            </w:r>
            <w:r w:rsidRPr="006A01BA">
              <w:rPr>
                <w:i/>
                <w:iCs/>
                <w:lang w:val="es-ES"/>
              </w:rPr>
              <w:t>f</w:t>
            </w:r>
            <w:r w:rsidRPr="006A01BA">
              <w:rPr>
                <w:lang w:val="es-ES"/>
              </w:rPr>
              <w:t xml:space="preserve"> es la frecuencia central del ancho de banda de referencia de 100 MHz expresado en GHz</w:t>
            </w:r>
          </w:p>
        </w:tc>
      </w:tr>
    </w:tbl>
    <w:p w14:paraId="25036E3B" w14:textId="77777777" w:rsidR="007B7DBC" w:rsidRPr="006A01BA" w:rsidRDefault="007B6802" w:rsidP="007B7DBC">
      <w:pPr>
        <w:rPr>
          <w:lang w:val="es-ES"/>
        </w:rPr>
      </w:pPr>
    </w:p>
    <w:tbl>
      <w:tblPr>
        <w:tblpPr w:leftFromText="180" w:rightFromText="180" w:vertAnchor="text" w:tblpXSpec="center" w:tblpY="1"/>
        <w:tblOverlap w:val="never"/>
        <w:tblW w:w="9694" w:type="dxa"/>
        <w:tblLayout w:type="fixed"/>
        <w:tblLook w:val="01E0" w:firstRow="1" w:lastRow="1" w:firstColumn="1" w:lastColumn="1" w:noHBand="0" w:noVBand="0"/>
      </w:tblPr>
      <w:tblGrid>
        <w:gridCol w:w="9694"/>
      </w:tblGrid>
      <w:tr w:rsidR="007B7DBC" w:rsidRPr="006A01BA" w14:paraId="332C4F97" w14:textId="77777777" w:rsidTr="00EB5C01">
        <w:tc>
          <w:tcPr>
            <w:tcW w:w="9694" w:type="dxa"/>
            <w:tcBorders>
              <w:left w:val="nil"/>
              <w:right w:val="nil"/>
            </w:tcBorders>
            <w:vAlign w:val="center"/>
          </w:tcPr>
          <w:p w14:paraId="0FA890B9" w14:textId="77777777" w:rsidR="007B7DBC" w:rsidRPr="006A01BA" w:rsidRDefault="00E37EEF" w:rsidP="00EB5C01">
            <w:pPr>
              <w:pStyle w:val="Tablelegend"/>
              <w:keepNext/>
              <w:keepLines/>
              <w:spacing w:beforeLines="40" w:before="96" w:after="0"/>
              <w:rPr>
                <w:i/>
                <w:iCs/>
                <w:lang w:val="es-ES"/>
              </w:rPr>
            </w:pPr>
            <w:r w:rsidRPr="006A01BA">
              <w:rPr>
                <w:i/>
                <w:iCs/>
                <w:lang w:val="es-ES"/>
              </w:rPr>
              <w:t>Notas relativas al Cuadro 1-2:</w:t>
            </w:r>
          </w:p>
          <w:p w14:paraId="50C4C107" w14:textId="77777777" w:rsidR="007B7DBC" w:rsidRPr="006A01BA" w:rsidRDefault="00E37EEF" w:rsidP="00EB5C01">
            <w:pPr>
              <w:pStyle w:val="Tablelegend"/>
              <w:keepNext/>
              <w:keepLines/>
              <w:spacing w:beforeLines="40" w:before="96" w:after="0"/>
              <w:rPr>
                <w:lang w:val="es-ES"/>
              </w:rPr>
            </w:pPr>
            <w:r w:rsidRPr="006A01BA">
              <w:rPr>
                <w:vertAlign w:val="superscript"/>
                <w:lang w:val="es-ES"/>
              </w:rPr>
              <w:t>1</w:t>
            </w:r>
            <w:r w:rsidRPr="006A01BA">
              <w:rPr>
                <w:lang w:val="es-ES"/>
              </w:rPr>
              <w:tab/>
              <w:t>El nivel de potencia de emisiones no deseadas corresponde aquí al nivel medido en el puerto de la antena.</w:t>
            </w:r>
          </w:p>
          <w:p w14:paraId="272E0FBF" w14:textId="77777777" w:rsidR="007B7DBC" w:rsidRPr="006A01BA" w:rsidRDefault="00E37EEF" w:rsidP="00EB5C01">
            <w:pPr>
              <w:pStyle w:val="Tablelegend"/>
              <w:keepLines/>
              <w:spacing w:beforeLines="40" w:before="96" w:after="0"/>
              <w:rPr>
                <w:lang w:val="es-ES"/>
              </w:rPr>
            </w:pPr>
            <w:r w:rsidRPr="006A01BA">
              <w:rPr>
                <w:vertAlign w:val="superscript"/>
                <w:lang w:val="es-ES"/>
              </w:rPr>
              <w:t>2</w:t>
            </w:r>
            <w:r w:rsidRPr="006A01BA">
              <w:rPr>
                <w:lang w:val="es-ES"/>
              </w:rPr>
              <w:tab/>
              <w:t>Por potencia media se entiende la potencia total medida en el puerto de la antena (o su equivalente) en la banda de frecuencias 1 400</w:t>
            </w:r>
            <w:r w:rsidRPr="006A01BA">
              <w:rPr>
                <w:lang w:val="es-ES"/>
              </w:rPr>
              <w:noBreakHyphen/>
              <w:t>1 427 MHz, promediada durante un periodo de unos 5 s.</w:t>
            </w:r>
          </w:p>
          <w:p w14:paraId="2D1EE2F0" w14:textId="77777777" w:rsidR="007B7DBC" w:rsidRPr="006A01BA" w:rsidRDefault="00E37EEF" w:rsidP="00EB5C01">
            <w:pPr>
              <w:pStyle w:val="Tablelegend"/>
              <w:spacing w:beforeLines="40" w:before="96" w:after="0"/>
              <w:rPr>
                <w:lang w:val="es-ES" w:eastAsia="ja-JP"/>
              </w:rPr>
            </w:pPr>
            <w:r w:rsidRPr="006A01BA">
              <w:rPr>
                <w:vertAlign w:val="superscript"/>
                <w:lang w:val="es-ES"/>
              </w:rPr>
              <w:t>3</w:t>
            </w:r>
            <w:r w:rsidRPr="006A01BA">
              <w:rPr>
                <w:lang w:val="es-ES" w:eastAsia="ja-JP"/>
              </w:rPr>
              <w:tab/>
              <w:t xml:space="preserve">La banda </w:t>
            </w:r>
            <w:r w:rsidRPr="006A01BA">
              <w:rPr>
                <w:lang w:val="es-ES"/>
              </w:rPr>
              <w:t>de frecuencias </w:t>
            </w:r>
            <w:r w:rsidRPr="006A01BA">
              <w:rPr>
                <w:lang w:val="es-ES" w:eastAsia="ja-JP"/>
              </w:rPr>
              <w:t>1</w:t>
            </w:r>
            <w:r w:rsidRPr="006A01BA">
              <w:rPr>
                <w:lang w:val="es-ES"/>
              </w:rPr>
              <w:t> </w:t>
            </w:r>
            <w:r w:rsidRPr="006A01BA">
              <w:rPr>
                <w:lang w:val="es-ES" w:eastAsia="ja-JP"/>
              </w:rPr>
              <w:t>429-1</w:t>
            </w:r>
            <w:r w:rsidRPr="006A01BA">
              <w:rPr>
                <w:lang w:val="es-ES"/>
              </w:rPr>
              <w:t> </w:t>
            </w:r>
            <w:r w:rsidRPr="006A01BA">
              <w:rPr>
                <w:lang w:val="es-ES" w:eastAsia="ja-JP"/>
              </w:rPr>
              <w:t>435</w:t>
            </w:r>
            <w:r w:rsidRPr="006A01BA">
              <w:rPr>
                <w:lang w:val="es-ES"/>
              </w:rPr>
              <w:t> </w:t>
            </w:r>
            <w:r w:rsidRPr="006A01BA">
              <w:rPr>
                <w:lang w:val="es-ES" w:eastAsia="ja-JP"/>
              </w:rPr>
              <w:t>MHz está también atribuida al servicio móvil aeronáutico en ocho administraciones de la Región 1 a título primario, exclusivamente para la telemedida aeronáutica dentro de sus respectivos territorios (</w:t>
            </w:r>
            <w:r w:rsidRPr="006A01BA">
              <w:rPr>
                <w:bCs/>
                <w:lang w:val="es-ES" w:eastAsia="ja-JP"/>
              </w:rPr>
              <w:t>número </w:t>
            </w:r>
            <w:r w:rsidRPr="006A01BA">
              <w:rPr>
                <w:b/>
                <w:bCs/>
                <w:lang w:val="es-ES" w:eastAsia="ja-JP"/>
              </w:rPr>
              <w:t>5.342</w:t>
            </w:r>
            <w:r w:rsidRPr="006A01BA">
              <w:rPr>
                <w:lang w:val="es-ES" w:eastAsia="ja-JP"/>
              </w:rPr>
              <w:t>).</w:t>
            </w:r>
          </w:p>
          <w:p w14:paraId="14F4CEC8" w14:textId="77777777" w:rsidR="007B7DBC" w:rsidRPr="006A01BA" w:rsidRDefault="00E37EEF" w:rsidP="00EB5C01">
            <w:pPr>
              <w:pStyle w:val="Tablelegend"/>
              <w:spacing w:beforeLines="40" w:before="96" w:after="0"/>
              <w:rPr>
                <w:lang w:val="es-ES"/>
              </w:rPr>
            </w:pPr>
            <w:r w:rsidRPr="006A01BA">
              <w:rPr>
                <w:vertAlign w:val="superscript"/>
                <w:lang w:val="es-ES"/>
              </w:rPr>
              <w:t>4</w:t>
            </w:r>
            <w:r w:rsidRPr="006A01BA">
              <w:rPr>
                <w:lang w:val="es-ES"/>
              </w:rPr>
              <w:tab/>
              <w:t>Los niveles máximos recomendados se aplican en condiciones de cielo despejado. En caso de desvanecimiento, las estaciones terrenas podrán rebasar estos límites siempre y cuando empleen el control de potencia para el enlace ascendente.</w:t>
            </w:r>
          </w:p>
          <w:p w14:paraId="0EAD8DF9" w14:textId="77777777" w:rsidR="007B7DBC" w:rsidRPr="006A01BA" w:rsidRDefault="00E37EEF" w:rsidP="00EB5C01">
            <w:pPr>
              <w:pStyle w:val="Tablelegend"/>
              <w:spacing w:beforeLines="40" w:before="96" w:after="0"/>
              <w:rPr>
                <w:lang w:val="es-ES"/>
              </w:rPr>
            </w:pPr>
            <w:r w:rsidRPr="006A01BA">
              <w:rPr>
                <w:vertAlign w:val="superscript"/>
                <w:lang w:val="es-ES"/>
              </w:rPr>
              <w:t>5</w:t>
            </w:r>
            <w:r w:rsidRPr="006A01BA">
              <w:rPr>
                <w:lang w:val="es-ES"/>
              </w:rPr>
              <w:tab/>
              <w:t>Se podrán determinar otros niveles máximos de las emisiones no deseadas a partir de los diferentes casos que figuran en el Informe UIT-R F.2239 para la banda de frecuencias 86-92 GHz.</w:t>
            </w:r>
          </w:p>
        </w:tc>
      </w:tr>
    </w:tbl>
    <w:p w14:paraId="45F62E4B" w14:textId="04750035" w:rsidR="003A3A98" w:rsidRPr="006A01BA" w:rsidRDefault="00E37EEF">
      <w:pPr>
        <w:pStyle w:val="Reasons"/>
        <w:rPr>
          <w:lang w:val="es-ES"/>
        </w:rPr>
      </w:pPr>
      <w:r w:rsidRPr="006A01BA">
        <w:rPr>
          <w:b/>
          <w:lang w:val="es-ES"/>
        </w:rPr>
        <w:t>Motivos:</w:t>
      </w:r>
      <w:r w:rsidRPr="006A01BA">
        <w:rPr>
          <w:lang w:val="es-ES"/>
        </w:rPr>
        <w:tab/>
      </w:r>
      <w:r w:rsidR="00380507" w:rsidRPr="006A01BA">
        <w:rPr>
          <w:lang w:val="es-ES"/>
        </w:rPr>
        <w:t>Únicamente en chino</w:t>
      </w:r>
      <w:r w:rsidR="001C5723" w:rsidRPr="006A01BA">
        <w:rPr>
          <w:lang w:val="es-ES"/>
        </w:rPr>
        <w:t>.</w:t>
      </w:r>
    </w:p>
    <w:p w14:paraId="105AD64E" w14:textId="77777777" w:rsidR="007B7DBC" w:rsidRPr="006A01BA" w:rsidRDefault="00E37EEF" w:rsidP="001C5723">
      <w:pPr>
        <w:pStyle w:val="ResNo"/>
        <w:rPr>
          <w:lang w:val="es-ES"/>
        </w:rPr>
      </w:pPr>
      <w:r w:rsidRPr="006A01BA">
        <w:rPr>
          <w:lang w:val="es-ES"/>
        </w:rPr>
        <w:t xml:space="preserve">RESOLUCIÓN </w:t>
      </w:r>
      <w:r w:rsidRPr="006A01BA">
        <w:rPr>
          <w:rStyle w:val="href"/>
          <w:lang w:val="es-ES"/>
        </w:rPr>
        <w:t>809</w:t>
      </w:r>
      <w:r w:rsidRPr="006A01BA">
        <w:rPr>
          <w:lang w:val="es-ES"/>
        </w:rPr>
        <w:t xml:space="preserve"> (CMR-15)</w:t>
      </w:r>
    </w:p>
    <w:p w14:paraId="07DC26C3" w14:textId="77777777" w:rsidR="007B7DBC" w:rsidRPr="006A01BA" w:rsidRDefault="00E37EEF" w:rsidP="007B7DBC">
      <w:pPr>
        <w:pStyle w:val="Restitle"/>
        <w:rPr>
          <w:lang w:val="es-ES"/>
        </w:rPr>
      </w:pPr>
      <w:r w:rsidRPr="006A01BA">
        <w:rPr>
          <w:lang w:val="es-ES"/>
        </w:rPr>
        <w:t>Orden del día de la Conferencia Mundial</w:t>
      </w:r>
      <w:r w:rsidRPr="006A01BA">
        <w:rPr>
          <w:lang w:val="es-ES"/>
        </w:rPr>
        <w:br/>
        <w:t>de Radiocomunicaciones de 2019</w:t>
      </w:r>
    </w:p>
    <w:p w14:paraId="23C7B1B3" w14:textId="77777777" w:rsidR="003A3A98" w:rsidRPr="006A01BA" w:rsidRDefault="00E37EEF">
      <w:pPr>
        <w:pStyle w:val="Proposal"/>
        <w:rPr>
          <w:lang w:val="es-ES"/>
        </w:rPr>
      </w:pPr>
      <w:r w:rsidRPr="006A01BA">
        <w:rPr>
          <w:lang w:val="es-ES"/>
        </w:rPr>
        <w:t>(MOD)</w:t>
      </w:r>
      <w:r w:rsidRPr="006A01BA">
        <w:rPr>
          <w:lang w:val="es-ES"/>
        </w:rPr>
        <w:tab/>
        <w:t>CHN/209/9</w:t>
      </w:r>
    </w:p>
    <w:p w14:paraId="3EF8F5F8" w14:textId="77777777" w:rsidR="007B7DBC" w:rsidRPr="006A01BA" w:rsidRDefault="00E37EEF" w:rsidP="007B7DBC">
      <w:pPr>
        <w:pStyle w:val="Call"/>
        <w:rPr>
          <w:lang w:val="es-ES"/>
        </w:rPr>
      </w:pPr>
      <w:r w:rsidRPr="006A01BA">
        <w:rPr>
          <w:lang w:val="es-ES"/>
        </w:rPr>
        <w:t>resuelve</w:t>
      </w:r>
    </w:p>
    <w:p w14:paraId="7001120B" w14:textId="77777777" w:rsidR="007B7DBC" w:rsidRPr="006A01BA" w:rsidRDefault="00E37EEF" w:rsidP="007B7DBC">
      <w:pPr>
        <w:rPr>
          <w:rStyle w:val="BRNormal"/>
          <w:lang w:val="es-ES"/>
        </w:rPr>
      </w:pPr>
      <w:r w:rsidRPr="006A01BA">
        <w:rPr>
          <w:lang w:val="es-ES"/>
        </w:rPr>
        <w:t>recomendar al Consejo la celebración de una Conferencia Mundial de Radiocomunicaciones en 2019 con una duración de cuatro semanas, y el siguiente orden del día</w:t>
      </w:r>
      <w:r w:rsidRPr="006A01BA">
        <w:rPr>
          <w:rStyle w:val="BRNormal"/>
          <w:lang w:val="es-ES"/>
        </w:rPr>
        <w:t>:</w:t>
      </w:r>
    </w:p>
    <w:p w14:paraId="741E1FDC" w14:textId="77777777" w:rsidR="007B7DBC" w:rsidRPr="006A01BA" w:rsidRDefault="00E37EEF" w:rsidP="007B7DBC">
      <w:pPr>
        <w:rPr>
          <w:lang w:val="es-ES"/>
        </w:rPr>
      </w:pPr>
      <w:r w:rsidRPr="006A01BA">
        <w:rPr>
          <w:lang w:val="es-ES"/>
        </w:rPr>
        <w:t>1</w:t>
      </w:r>
      <w:r w:rsidRPr="006A01BA">
        <w:rPr>
          <w:lang w:val="es-ES"/>
        </w:rPr>
        <w:tab/>
        <w:t>sobre la base de las propuestas de las administraciones, teniendo en cuenta los resultados de la CMR-15 y del Informe de la Reunión Preparatoria de la Conferencia, y con la debida consideración a las necesidades de servicios existentes y futuros en las bandas de frecuencias consideradas, examinar y adoptar las medidas oportunas en relación con los temas siguientes:</w:t>
      </w:r>
    </w:p>
    <w:p w14:paraId="42B94278" w14:textId="77777777" w:rsidR="007B7DBC" w:rsidRPr="006A01BA" w:rsidRDefault="00E37EEF" w:rsidP="007B7DBC">
      <w:pPr>
        <w:rPr>
          <w:lang w:val="es-ES"/>
        </w:rPr>
      </w:pPr>
      <w:r w:rsidRPr="006A01BA">
        <w:rPr>
          <w:lang w:val="es-ES"/>
        </w:rPr>
        <w:t>1.1</w:t>
      </w:r>
      <w:r w:rsidRPr="006A01BA">
        <w:rPr>
          <w:lang w:val="es-ES"/>
        </w:rPr>
        <w:tab/>
        <w:t xml:space="preserve">considerar la posibilidad de efectuar una atribución al servicio de aficionados en la banda de frecuencias 50-54 MHz en la Región 1, de conformidad con la Resolución </w:t>
      </w:r>
      <w:r w:rsidRPr="006A01BA">
        <w:rPr>
          <w:rStyle w:val="Artdef"/>
          <w:lang w:val="es-ES"/>
        </w:rPr>
        <w:t>658 (CMR</w:t>
      </w:r>
      <w:r w:rsidRPr="006A01BA">
        <w:rPr>
          <w:rStyle w:val="Artdef"/>
          <w:lang w:val="es-ES"/>
        </w:rPr>
        <w:noBreakHyphen/>
        <w:t>15)</w:t>
      </w:r>
      <w:r w:rsidRPr="006A01BA">
        <w:rPr>
          <w:lang w:val="es-ES"/>
        </w:rPr>
        <w:t>;</w:t>
      </w:r>
    </w:p>
    <w:p w14:paraId="5837BFB2" w14:textId="77777777" w:rsidR="007B7DBC" w:rsidRPr="006A01BA" w:rsidRDefault="00E37EEF" w:rsidP="007B7DBC">
      <w:pPr>
        <w:rPr>
          <w:lang w:val="es-ES"/>
        </w:rPr>
      </w:pPr>
      <w:r w:rsidRPr="006A01BA">
        <w:rPr>
          <w:lang w:val="es-ES"/>
        </w:rPr>
        <w:t>1.2</w:t>
      </w:r>
      <w:r w:rsidRPr="006A01BA">
        <w:rPr>
          <w:lang w:val="es-ES"/>
        </w:rPr>
        <w:tab/>
        <w:t>considerar posibles límites de potencia dentro de la banda de frecuencias para las estaciones terrenas que funcionan en el servicio móvil por satélite, el servicio de meteorología por satélite y el servicio de exploración de la Tierra por satélite en las bandas de frecuencias 401</w:t>
      </w:r>
      <w:r w:rsidRPr="006A01BA">
        <w:rPr>
          <w:lang w:val="es-ES"/>
        </w:rPr>
        <w:noBreakHyphen/>
        <w:t xml:space="preserve">403 MHz y 399,9-400,05 MHz, de conformidad con la Resolución </w:t>
      </w:r>
      <w:r w:rsidRPr="006A01BA">
        <w:rPr>
          <w:b/>
          <w:bCs/>
          <w:lang w:val="es-ES"/>
        </w:rPr>
        <w:t>765 </w:t>
      </w:r>
      <w:r w:rsidRPr="006A01BA">
        <w:rPr>
          <w:b/>
          <w:lang w:val="es-ES"/>
        </w:rPr>
        <w:t>(CMR-15);</w:t>
      </w:r>
    </w:p>
    <w:p w14:paraId="6DC20227" w14:textId="77777777" w:rsidR="007B7DBC" w:rsidRPr="006A01BA" w:rsidRDefault="00E37EEF" w:rsidP="007B7DBC">
      <w:pPr>
        <w:rPr>
          <w:lang w:val="es-ES"/>
        </w:rPr>
      </w:pPr>
      <w:r w:rsidRPr="006A01BA">
        <w:rPr>
          <w:lang w:val="es-ES"/>
        </w:rPr>
        <w:lastRenderedPageBreak/>
        <w:t>1.3</w:t>
      </w:r>
      <w:r w:rsidRPr="006A01BA">
        <w:rPr>
          <w:lang w:val="es-ES"/>
        </w:rPr>
        <w:tab/>
        <w:t>considerar la posibilidad de efectuar la conversión de título secundario a primario de la atribución al servicio de meteorología por satélite (espacio-Tierra) y una posible atribución a título primario al servicio de exploración de la Tierra por satélite (espacio-Tierra), en la banda de frecuencias 460</w:t>
      </w:r>
      <w:r w:rsidRPr="006A01BA">
        <w:rPr>
          <w:lang w:val="es-ES"/>
        </w:rPr>
        <w:noBreakHyphen/>
        <w:t>470 MHz, de conformidad con la Resolución </w:t>
      </w:r>
      <w:r w:rsidRPr="006A01BA">
        <w:rPr>
          <w:b/>
          <w:bCs/>
          <w:lang w:val="es-ES"/>
        </w:rPr>
        <w:t>766 (</w:t>
      </w:r>
      <w:r w:rsidRPr="006A01BA">
        <w:rPr>
          <w:rStyle w:val="Artdef"/>
          <w:lang w:val="es-ES"/>
        </w:rPr>
        <w:t>CMR</w:t>
      </w:r>
      <w:r w:rsidRPr="006A01BA">
        <w:rPr>
          <w:rStyle w:val="Artdef"/>
          <w:lang w:val="es-ES"/>
        </w:rPr>
        <w:noBreakHyphen/>
        <w:t>15)</w:t>
      </w:r>
      <w:r w:rsidRPr="006A01BA">
        <w:rPr>
          <w:rStyle w:val="Artdef"/>
          <w:b w:val="0"/>
          <w:bCs/>
          <w:lang w:val="es-ES"/>
        </w:rPr>
        <w:t>;</w:t>
      </w:r>
    </w:p>
    <w:p w14:paraId="46D980FD" w14:textId="77777777" w:rsidR="007B7DBC" w:rsidRPr="006A01BA" w:rsidRDefault="00E37EEF" w:rsidP="007B7DBC">
      <w:pPr>
        <w:rPr>
          <w:lang w:val="es-ES"/>
        </w:rPr>
      </w:pPr>
      <w:r w:rsidRPr="006A01BA">
        <w:rPr>
          <w:lang w:val="es-ES"/>
        </w:rPr>
        <w:t>1.4</w:t>
      </w:r>
      <w:r w:rsidRPr="006A01BA">
        <w:rPr>
          <w:lang w:val="es-ES"/>
        </w:rPr>
        <w:tab/>
        <w:t xml:space="preserve">considerar los resultados de los estudios con arreglo a la Resolución </w:t>
      </w:r>
      <w:r w:rsidRPr="006A01BA">
        <w:rPr>
          <w:b/>
          <w:bCs/>
          <w:lang w:val="es-ES"/>
        </w:rPr>
        <w:t>557</w:t>
      </w:r>
      <w:r w:rsidRPr="006A01BA">
        <w:rPr>
          <w:b/>
          <w:lang w:val="es-ES"/>
        </w:rPr>
        <w:t xml:space="preserve"> (CMR</w:t>
      </w:r>
      <w:r w:rsidRPr="006A01BA">
        <w:rPr>
          <w:b/>
          <w:lang w:val="es-ES"/>
        </w:rPr>
        <w:noBreakHyphen/>
        <w:t>15)</w:t>
      </w:r>
      <w:r w:rsidRPr="006A01BA">
        <w:rPr>
          <w:bCs/>
          <w:lang w:val="es-ES"/>
        </w:rPr>
        <w:t>,</w:t>
      </w:r>
      <w:r w:rsidRPr="006A01BA">
        <w:rPr>
          <w:lang w:val="es-ES"/>
        </w:rPr>
        <w:t xml:space="preserve"> y examinar y, si procede, revisar las restricciones mencionadas en el Anexo 7 del Apéndice </w:t>
      </w:r>
      <w:r w:rsidRPr="006A01BA">
        <w:rPr>
          <w:b/>
          <w:lang w:val="es-ES"/>
        </w:rPr>
        <w:t>30 (Rev.CMR-15</w:t>
      </w:r>
      <w:r w:rsidRPr="006A01BA">
        <w:rPr>
          <w:lang w:val="es-ES"/>
        </w:rPr>
        <w:t>) garantizando al mismo tiempo la protección de las asignaciones del Plan y de la Lista y los futuros desarrollos del servicio de radiodifusión por satélite en el Plan, y las redes del servicio fijo por satélite existentes y planificadas, sin imponer restricciones adicionales a esas redes;</w:t>
      </w:r>
    </w:p>
    <w:p w14:paraId="21363644" w14:textId="77777777" w:rsidR="007B7DBC" w:rsidRPr="006A01BA" w:rsidRDefault="00E37EEF" w:rsidP="007B7DBC">
      <w:pPr>
        <w:rPr>
          <w:lang w:val="es-ES"/>
        </w:rPr>
      </w:pPr>
      <w:r w:rsidRPr="006A01BA">
        <w:rPr>
          <w:lang w:val="es-ES"/>
        </w:rPr>
        <w:t>1.5</w:t>
      </w:r>
      <w:r w:rsidRPr="006A01BA">
        <w:rPr>
          <w:lang w:val="es-ES"/>
        </w:rPr>
        <w:tab/>
        <w:t>considerar la utilización de las bandas de frecuencias 17,7-19,7 GHz (espacio</w:t>
      </w:r>
      <w:r w:rsidRPr="006A01BA">
        <w:rPr>
          <w:lang w:val="es-ES"/>
        </w:rPr>
        <w:noBreakHyphen/>
        <w:t>Tierra) y 27,5-29,5 GHz (Tierra</w:t>
      </w:r>
      <w:r w:rsidRPr="006A01BA">
        <w:rPr>
          <w:lang w:val="es-ES"/>
        </w:rPr>
        <w:noBreakHyphen/>
        <w:t xml:space="preserve">espacio) utilizadas por estaciones terrenas en movimiento que se comunican con estaciones espaciales geoestacionarias en el servicio fijo por satélite, y tomar las medidas oportunas, de conformidad con la Resolución </w:t>
      </w:r>
      <w:r w:rsidRPr="006A01BA">
        <w:rPr>
          <w:b/>
          <w:lang w:val="es-ES"/>
        </w:rPr>
        <w:t>158 (CMR-15)</w:t>
      </w:r>
      <w:r w:rsidRPr="006A01BA">
        <w:rPr>
          <w:lang w:val="es-ES"/>
        </w:rPr>
        <w:t>;</w:t>
      </w:r>
    </w:p>
    <w:p w14:paraId="37CC85B4" w14:textId="500447A2" w:rsidR="007B7DBC" w:rsidRPr="006A01BA" w:rsidRDefault="00E37EEF" w:rsidP="007B7DBC">
      <w:pPr>
        <w:rPr>
          <w:lang w:val="es-ES"/>
        </w:rPr>
      </w:pPr>
      <w:r w:rsidRPr="006A01BA">
        <w:rPr>
          <w:lang w:val="es-ES"/>
        </w:rPr>
        <w:t>1.6</w:t>
      </w:r>
      <w:r w:rsidRPr="006A01BA">
        <w:rPr>
          <w:lang w:val="es-ES"/>
        </w:rPr>
        <w:tab/>
      </w:r>
      <w:r w:rsidRPr="006A01BA">
        <w:rPr>
          <w:bCs/>
          <w:szCs w:val="24"/>
          <w:lang w:val="es-ES"/>
        </w:rPr>
        <w:t>que considere</w:t>
      </w:r>
      <w:r w:rsidRPr="006A01BA">
        <w:rPr>
          <w:lang w:val="es-ES" w:eastAsia="nl-NL"/>
        </w:rPr>
        <w:t xml:space="preserve"> la posibilidad de </w:t>
      </w:r>
      <w:r w:rsidRPr="006A01BA">
        <w:rPr>
          <w:lang w:val="es-ES"/>
        </w:rPr>
        <w:t>formular un marco reglamentario para sistemas de satélite no OSG d</w:t>
      </w:r>
      <w:bookmarkStart w:id="10" w:name="_GoBack"/>
      <w:bookmarkEnd w:id="10"/>
      <w:r w:rsidRPr="006A01BA">
        <w:rPr>
          <w:lang w:val="es-ES"/>
        </w:rPr>
        <w:t>el SFS que funcionen en las bandas de frecuencias 37,5</w:t>
      </w:r>
      <w:r w:rsidRPr="006A01BA">
        <w:rPr>
          <w:lang w:val="es-ES"/>
        </w:rPr>
        <w:noBreakHyphen/>
        <w:t>39,5 GHz (</w:t>
      </w:r>
      <w:r w:rsidRPr="006A01BA">
        <w:rPr>
          <w:szCs w:val="24"/>
          <w:lang w:val="es-ES"/>
        </w:rPr>
        <w:t>espacio</w:t>
      </w:r>
      <w:r w:rsidRPr="006A01BA">
        <w:rPr>
          <w:szCs w:val="24"/>
          <w:lang w:val="es-ES"/>
        </w:rPr>
        <w:noBreakHyphen/>
        <w:t>Tierra</w:t>
      </w:r>
      <w:r w:rsidRPr="006A01BA">
        <w:rPr>
          <w:lang w:val="es-ES"/>
        </w:rPr>
        <w:t>), 39,5</w:t>
      </w:r>
      <w:r w:rsidRPr="006A01BA">
        <w:rPr>
          <w:lang w:val="es-ES"/>
        </w:rPr>
        <w:noBreakHyphen/>
        <w:t>42,5 GHz (</w:t>
      </w:r>
      <w:r w:rsidRPr="006A01BA">
        <w:rPr>
          <w:szCs w:val="24"/>
          <w:lang w:val="es-ES"/>
        </w:rPr>
        <w:t>espacio</w:t>
      </w:r>
      <w:r w:rsidRPr="006A01BA">
        <w:rPr>
          <w:szCs w:val="24"/>
          <w:lang w:val="es-ES"/>
        </w:rPr>
        <w:noBreakHyphen/>
        <w:t>Tierra</w:t>
      </w:r>
      <w:r w:rsidRPr="006A01BA">
        <w:rPr>
          <w:lang w:val="es-ES"/>
        </w:rPr>
        <w:t>), 47,2</w:t>
      </w:r>
      <w:r w:rsidRPr="006A01BA">
        <w:rPr>
          <w:lang w:val="es-ES"/>
        </w:rPr>
        <w:noBreakHyphen/>
        <w:t>50,2 GHz (Tierra</w:t>
      </w:r>
      <w:r w:rsidRPr="006A01BA">
        <w:rPr>
          <w:lang w:val="es-ES"/>
        </w:rPr>
        <w:noBreakHyphen/>
        <w:t>espacio) y 50,4</w:t>
      </w:r>
      <w:r w:rsidRPr="006A01BA">
        <w:rPr>
          <w:lang w:val="es-ES"/>
        </w:rPr>
        <w:noBreakHyphen/>
        <w:t>51,4 GHz (</w:t>
      </w:r>
      <w:r w:rsidRPr="006A01BA">
        <w:rPr>
          <w:szCs w:val="24"/>
          <w:lang w:val="es-ES"/>
        </w:rPr>
        <w:t>Tierra</w:t>
      </w:r>
      <w:r w:rsidRPr="006A01BA">
        <w:rPr>
          <w:szCs w:val="24"/>
          <w:lang w:val="es-ES"/>
        </w:rPr>
        <w:noBreakHyphen/>
        <w:t>espacio</w:t>
      </w:r>
      <w:r w:rsidRPr="006A01BA">
        <w:rPr>
          <w:lang w:val="es-ES"/>
        </w:rPr>
        <w:t>)</w:t>
      </w:r>
      <w:r w:rsidRPr="006A01BA">
        <w:rPr>
          <w:szCs w:val="24"/>
          <w:lang w:val="es-ES"/>
        </w:rPr>
        <w:t>, de conformidad con la Resolución </w:t>
      </w:r>
      <w:r w:rsidRPr="006A01BA">
        <w:rPr>
          <w:b/>
          <w:bCs/>
          <w:szCs w:val="24"/>
          <w:lang w:val="es-ES"/>
        </w:rPr>
        <w:t>159 (CMR-15)</w:t>
      </w:r>
      <w:r w:rsidRPr="006A01BA">
        <w:rPr>
          <w:szCs w:val="24"/>
          <w:lang w:val="es-ES"/>
        </w:rPr>
        <w:t>;</w:t>
      </w:r>
    </w:p>
    <w:p w14:paraId="3C320A4E" w14:textId="77777777" w:rsidR="007B7DBC" w:rsidRPr="006A01BA" w:rsidRDefault="00E37EEF" w:rsidP="007B7DBC">
      <w:pPr>
        <w:rPr>
          <w:lang w:val="es-ES"/>
        </w:rPr>
      </w:pPr>
      <w:r w:rsidRPr="006A01BA">
        <w:rPr>
          <w:lang w:val="es-ES"/>
        </w:rPr>
        <w:t>1.7</w:t>
      </w:r>
      <w:r w:rsidRPr="006A01BA">
        <w:rPr>
          <w:lang w:val="es-ES"/>
        </w:rPr>
        <w:tab/>
        <w:t xml:space="preserve">estudiar las necesidades de espectro para seguimiento, telemedida y telemando del servicio de operaciones espaciales para satélites no OSG con misiones de corta duración, a fin de evaluar la adecuación de las atribuciones existentes al servicio de operaciones espaciales y, si es necesario, considerar nuevas atribuciones, de conformidad con la Resolución </w:t>
      </w:r>
      <w:r w:rsidRPr="006A01BA">
        <w:rPr>
          <w:b/>
          <w:bCs/>
          <w:lang w:val="es-ES"/>
        </w:rPr>
        <w:t>659 (CMR</w:t>
      </w:r>
      <w:r w:rsidRPr="006A01BA">
        <w:rPr>
          <w:b/>
          <w:bCs/>
          <w:lang w:val="es-ES"/>
        </w:rPr>
        <w:noBreakHyphen/>
        <w:t>15)</w:t>
      </w:r>
      <w:r w:rsidRPr="006A01BA">
        <w:rPr>
          <w:lang w:val="es-ES"/>
        </w:rPr>
        <w:t>;</w:t>
      </w:r>
    </w:p>
    <w:p w14:paraId="66C229DA" w14:textId="77777777" w:rsidR="007B7DBC" w:rsidRPr="006A01BA" w:rsidRDefault="00E37EEF" w:rsidP="007B7DBC">
      <w:pPr>
        <w:rPr>
          <w:lang w:val="es-ES" w:eastAsia="zh-CN"/>
        </w:rPr>
      </w:pPr>
      <w:r w:rsidRPr="006A01BA">
        <w:rPr>
          <w:lang w:val="es-ES"/>
        </w:rPr>
        <w:t>1.8</w:t>
      </w:r>
      <w:r w:rsidRPr="006A01BA">
        <w:rPr>
          <w:lang w:val="es-ES"/>
        </w:rPr>
        <w:tab/>
        <w:t>examinar las posibles medidas reglamentarias para la modernización del sistema mundial de socorro y seguridad marítimos (SMSSM) y dar soporte a la introducción de sistemas de satélites adicionales en el SMSSM, de conformidad con la Resolución </w:t>
      </w:r>
      <w:r w:rsidRPr="006A01BA">
        <w:rPr>
          <w:b/>
          <w:lang w:val="es-ES" w:eastAsia="zh-CN"/>
        </w:rPr>
        <w:t>359</w:t>
      </w:r>
      <w:r w:rsidRPr="006A01BA">
        <w:rPr>
          <w:lang w:val="es-ES" w:eastAsia="zh-CN"/>
        </w:rPr>
        <w:t xml:space="preserve"> (</w:t>
      </w:r>
      <w:r w:rsidRPr="006A01BA">
        <w:rPr>
          <w:b/>
          <w:lang w:val="es-ES" w:eastAsia="zh-CN"/>
        </w:rPr>
        <w:t>Rev.CMR-15</w:t>
      </w:r>
      <w:r w:rsidRPr="006A01BA">
        <w:rPr>
          <w:lang w:val="es-ES" w:eastAsia="zh-CN"/>
        </w:rPr>
        <w:t>);</w:t>
      </w:r>
    </w:p>
    <w:p w14:paraId="41CC7007" w14:textId="77777777" w:rsidR="007B7DBC" w:rsidRPr="006A01BA" w:rsidRDefault="00E37EEF" w:rsidP="007B7DBC">
      <w:pPr>
        <w:rPr>
          <w:lang w:val="es-ES"/>
        </w:rPr>
      </w:pPr>
      <w:r w:rsidRPr="006A01BA">
        <w:rPr>
          <w:lang w:val="es-ES" w:eastAsia="zh-CN"/>
        </w:rPr>
        <w:t>1.9</w:t>
      </w:r>
      <w:r w:rsidRPr="006A01BA">
        <w:rPr>
          <w:lang w:val="es-ES" w:eastAsia="zh-CN"/>
        </w:rPr>
        <w:tab/>
      </w:r>
      <w:r w:rsidRPr="006A01BA">
        <w:rPr>
          <w:lang w:val="es-ES" w:eastAsia="nl-NL"/>
        </w:rPr>
        <w:t>considerar, basándose en los resultados de los estudios del UIT</w:t>
      </w:r>
      <w:r w:rsidRPr="006A01BA">
        <w:rPr>
          <w:lang w:val="es-ES" w:eastAsia="nl-NL"/>
        </w:rPr>
        <w:noBreakHyphen/>
        <w:t>R:</w:t>
      </w:r>
    </w:p>
    <w:p w14:paraId="5AF2A298" w14:textId="77777777" w:rsidR="007B7DBC" w:rsidRPr="006A01BA" w:rsidRDefault="00E37EEF" w:rsidP="007B7DBC">
      <w:pPr>
        <w:rPr>
          <w:lang w:val="es-ES"/>
        </w:rPr>
      </w:pPr>
      <w:r w:rsidRPr="006A01BA">
        <w:rPr>
          <w:lang w:val="es-ES"/>
        </w:rPr>
        <w:t>1.9.1</w:t>
      </w:r>
      <w:r w:rsidRPr="006A01BA">
        <w:rPr>
          <w:lang w:val="es-ES"/>
        </w:rPr>
        <w:tab/>
        <w:t>la posibilidad de adoptar medidas reglamentarias en la banda de frecuencias 156</w:t>
      </w:r>
      <w:r w:rsidRPr="006A01BA">
        <w:rPr>
          <w:lang w:val="es-ES"/>
        </w:rPr>
        <w:noBreakHyphen/>
        <w:t xml:space="preserve">162,05 MHz, para los dispositivos autónomos de radiocomunicaciones marítimas para proteger el SMSSM y el sistema de identificación automática (SIA) de conformidad con la Resolución </w:t>
      </w:r>
      <w:r w:rsidRPr="006A01BA">
        <w:rPr>
          <w:b/>
          <w:bCs/>
          <w:lang w:val="es-ES"/>
        </w:rPr>
        <w:t>362</w:t>
      </w:r>
      <w:r w:rsidRPr="006A01BA">
        <w:rPr>
          <w:b/>
          <w:lang w:val="es-ES"/>
        </w:rPr>
        <w:t xml:space="preserve"> (CMR-15)</w:t>
      </w:r>
      <w:r w:rsidRPr="006A01BA">
        <w:rPr>
          <w:lang w:val="es-ES"/>
        </w:rPr>
        <w:t>;</w:t>
      </w:r>
    </w:p>
    <w:p w14:paraId="29548A32" w14:textId="77777777" w:rsidR="007B7DBC" w:rsidRPr="006A01BA" w:rsidRDefault="00E37EEF" w:rsidP="007B7DBC">
      <w:pPr>
        <w:rPr>
          <w:lang w:val="es-ES"/>
        </w:rPr>
      </w:pPr>
      <w:r w:rsidRPr="006A01BA">
        <w:rPr>
          <w:lang w:val="es-ES"/>
        </w:rPr>
        <w:t>1.9.2</w:t>
      </w:r>
      <w:r w:rsidRPr="006A01BA">
        <w:rPr>
          <w:lang w:val="es-ES"/>
        </w:rPr>
        <w:tab/>
      </w:r>
      <w:r w:rsidRPr="006A01BA">
        <w:rPr>
          <w:lang w:val="es-ES" w:eastAsia="nl-NL"/>
        </w:rPr>
        <w:t>la posibilidad de modificar el Reglamento de Radiocomunicaciones, comprendidas las nuevas atribuciones de espectro al servicio móvil marítimo por satélite (Tierra-espacio y espacio</w:t>
      </w:r>
      <w:r w:rsidRPr="006A01BA">
        <w:rPr>
          <w:lang w:val="es-ES" w:eastAsia="nl-NL"/>
        </w:rPr>
        <w:noBreakHyphen/>
        <w:t>Tierra) preferentemente en las bandas de frecuencias 156,0125</w:t>
      </w:r>
      <w:r w:rsidRPr="006A01BA">
        <w:rPr>
          <w:lang w:val="es-ES" w:eastAsia="nl-NL"/>
        </w:rPr>
        <w:noBreakHyphen/>
        <w:t>157,4375 MHz y 160,6125</w:t>
      </w:r>
      <w:r w:rsidRPr="006A01BA">
        <w:rPr>
          <w:lang w:val="es-ES" w:eastAsia="nl-NL"/>
        </w:rPr>
        <w:noBreakHyphen/>
        <w:t>162,0375 MHz del Apéndice </w:t>
      </w:r>
      <w:r w:rsidRPr="006A01BA">
        <w:rPr>
          <w:b/>
          <w:bCs/>
          <w:lang w:val="es-ES" w:eastAsia="nl-NL"/>
        </w:rPr>
        <w:t>18</w:t>
      </w:r>
      <w:r w:rsidRPr="006A01BA">
        <w:rPr>
          <w:lang w:val="es-ES" w:eastAsia="nl-NL"/>
        </w:rPr>
        <w:t xml:space="preserve">, para permitir una nueva componente de satélite del sistema de intercambio de datos en ondas métricas (VDES), garantizando además que esa componente no degrade las actuales componentes terrenales del VDES ni el funcionamiento del SIA y del ASM y no imponga ninguna limitación adicional a los servicios existentes en esas bandas de frecuencias y en las bandas de frecuencias adyacentes indicadas en los </w:t>
      </w:r>
      <w:r w:rsidRPr="006A01BA">
        <w:rPr>
          <w:i/>
          <w:iCs/>
          <w:lang w:val="es-ES" w:eastAsia="nl-NL"/>
        </w:rPr>
        <w:t xml:space="preserve">reconociendo d) </w:t>
      </w:r>
      <w:r w:rsidRPr="006A01BA">
        <w:rPr>
          <w:lang w:val="es-ES" w:eastAsia="nl-NL"/>
        </w:rPr>
        <w:t xml:space="preserve">y </w:t>
      </w:r>
      <w:r w:rsidRPr="006A01BA">
        <w:rPr>
          <w:i/>
          <w:iCs/>
          <w:lang w:val="es-ES" w:eastAsia="nl-NL"/>
        </w:rPr>
        <w:t>e)</w:t>
      </w:r>
      <w:r w:rsidRPr="006A01BA">
        <w:rPr>
          <w:lang w:val="es-ES" w:eastAsia="nl-NL"/>
        </w:rPr>
        <w:t xml:space="preserve"> de la Resolución </w:t>
      </w:r>
      <w:r w:rsidRPr="006A01BA">
        <w:rPr>
          <w:b/>
          <w:bCs/>
          <w:lang w:val="es-ES" w:eastAsia="nl-NL"/>
        </w:rPr>
        <w:t>360 (Rev.CMR-15</w:t>
      </w:r>
      <w:r w:rsidRPr="006A01BA">
        <w:rPr>
          <w:lang w:val="es-ES" w:eastAsia="nl-NL"/>
        </w:rPr>
        <w:t>);</w:t>
      </w:r>
    </w:p>
    <w:p w14:paraId="2B466600" w14:textId="77777777" w:rsidR="007B7DBC" w:rsidRPr="006A01BA" w:rsidRDefault="00E37EEF" w:rsidP="007B7DBC">
      <w:pPr>
        <w:rPr>
          <w:lang w:val="es-ES"/>
        </w:rPr>
      </w:pPr>
      <w:r w:rsidRPr="006A01BA">
        <w:rPr>
          <w:lang w:val="es-ES"/>
        </w:rPr>
        <w:t>1.10</w:t>
      </w:r>
      <w:r w:rsidRPr="006A01BA">
        <w:rPr>
          <w:lang w:val="es-ES"/>
        </w:rPr>
        <w:tab/>
        <w:t>las necesidades de espectro y la posibilidad de adoptar disposiciones reglamentarias para la introducción y utilización del Sistema Mundial de Socorro y Seguridad Aeronáuticos (GADSS) de conformidad con la Resolución </w:t>
      </w:r>
      <w:r w:rsidRPr="006A01BA">
        <w:rPr>
          <w:b/>
          <w:bCs/>
          <w:lang w:val="es-ES"/>
        </w:rPr>
        <w:t>426</w:t>
      </w:r>
      <w:r w:rsidRPr="006A01BA">
        <w:rPr>
          <w:b/>
          <w:lang w:val="es-ES"/>
        </w:rPr>
        <w:t xml:space="preserve"> (CMR-15)</w:t>
      </w:r>
      <w:r w:rsidRPr="006A01BA">
        <w:rPr>
          <w:lang w:val="es-ES"/>
        </w:rPr>
        <w:t>;</w:t>
      </w:r>
    </w:p>
    <w:p w14:paraId="46C3CC91" w14:textId="77777777" w:rsidR="007B7DBC" w:rsidRPr="006A01BA" w:rsidRDefault="00E37EEF" w:rsidP="007B7DBC">
      <w:pPr>
        <w:rPr>
          <w:lang w:val="es-ES"/>
        </w:rPr>
      </w:pPr>
      <w:r w:rsidRPr="006A01BA">
        <w:rPr>
          <w:lang w:val="es-ES"/>
        </w:rPr>
        <w:t>1.11</w:t>
      </w:r>
      <w:r w:rsidRPr="006A01BA">
        <w:rPr>
          <w:lang w:val="es-ES"/>
        </w:rPr>
        <w:tab/>
        <w:t xml:space="preserve">adoptar las medidas necesarias, según proceda, para facilitar las bandas de frecuencias armonizadas a escala mundial o regional para dar soporte a los </w:t>
      </w:r>
      <w:r w:rsidRPr="006A01BA">
        <w:rPr>
          <w:rFonts w:eastAsia="SimSun"/>
          <w:lang w:val="es-ES" w:eastAsia="zh-CN"/>
        </w:rPr>
        <w:t>sistemas de radiocomunicaciones entre el tren y las vías</w:t>
      </w:r>
      <w:r w:rsidRPr="006A01BA">
        <w:rPr>
          <w:lang w:val="es-ES"/>
        </w:rPr>
        <w:t xml:space="preserve"> </w:t>
      </w:r>
      <w:r w:rsidRPr="006A01BA">
        <w:rPr>
          <w:rFonts w:eastAsia="SimSun"/>
          <w:lang w:val="es-ES" w:eastAsia="zh-CN"/>
        </w:rPr>
        <w:t>dentro de las atribuciones existentes al servicio móvil, de conformidad con la Resolución </w:t>
      </w:r>
      <w:r w:rsidRPr="006A01BA">
        <w:rPr>
          <w:rFonts w:eastAsia="SimSun"/>
          <w:b/>
          <w:bCs/>
          <w:lang w:val="es-ES" w:eastAsia="zh-CN"/>
        </w:rPr>
        <w:t>236 (CMR</w:t>
      </w:r>
      <w:r w:rsidRPr="006A01BA">
        <w:rPr>
          <w:rFonts w:eastAsia="SimSun"/>
          <w:b/>
          <w:bCs/>
          <w:lang w:val="es-ES" w:eastAsia="zh-CN"/>
        </w:rPr>
        <w:noBreakHyphen/>
        <w:t>15)</w:t>
      </w:r>
      <w:r w:rsidRPr="006A01BA">
        <w:rPr>
          <w:rFonts w:eastAsia="SimSun"/>
          <w:lang w:val="es-ES" w:eastAsia="zh-CN"/>
        </w:rPr>
        <w:t>;</w:t>
      </w:r>
    </w:p>
    <w:p w14:paraId="608BA3DA" w14:textId="77777777" w:rsidR="007B7DBC" w:rsidRPr="006A01BA" w:rsidRDefault="00E37EEF" w:rsidP="007B7DBC">
      <w:pPr>
        <w:rPr>
          <w:lang w:val="es-ES"/>
        </w:rPr>
      </w:pPr>
      <w:r w:rsidRPr="006A01BA">
        <w:rPr>
          <w:lang w:val="es-ES"/>
        </w:rPr>
        <w:lastRenderedPageBreak/>
        <w:t>1.12</w:t>
      </w:r>
      <w:r w:rsidRPr="006A01BA">
        <w:rPr>
          <w:lang w:val="es-ES"/>
        </w:rPr>
        <w:tab/>
      </w:r>
      <w:r w:rsidRPr="006A01BA">
        <w:rPr>
          <w:rFonts w:eastAsiaTheme="minorEastAsia"/>
          <w:bCs/>
          <w:lang w:val="es-ES" w:eastAsia="zh-CN"/>
        </w:rPr>
        <w:t>considerar las posibles bandas de frecuencias armonizadas a nivel mundial o regional, en la mayor medida posible, para la implantación de sistemas de transporte inteligentes (ITS) en evolución en atribuciones existentes al servicio móvil de conformidad con la Resolución </w:t>
      </w:r>
      <w:r w:rsidRPr="006A01BA">
        <w:rPr>
          <w:rFonts w:eastAsia="SimSun"/>
          <w:b/>
          <w:bCs/>
          <w:lang w:val="es-ES" w:eastAsia="zh-CN"/>
        </w:rPr>
        <w:t>237 </w:t>
      </w:r>
      <w:r w:rsidRPr="006A01BA">
        <w:rPr>
          <w:rFonts w:eastAsiaTheme="minorEastAsia"/>
          <w:b/>
          <w:bCs/>
          <w:lang w:val="es-ES" w:eastAsia="zh-CN"/>
        </w:rPr>
        <w:t>(CMR</w:t>
      </w:r>
      <w:r w:rsidRPr="006A01BA">
        <w:rPr>
          <w:rFonts w:eastAsiaTheme="minorEastAsia"/>
          <w:b/>
          <w:bCs/>
          <w:lang w:val="es-ES" w:eastAsia="zh-CN"/>
        </w:rPr>
        <w:noBreakHyphen/>
        <w:t>15)</w:t>
      </w:r>
      <w:r w:rsidRPr="006A01BA">
        <w:rPr>
          <w:rFonts w:eastAsiaTheme="minorEastAsia"/>
          <w:lang w:val="es-ES" w:eastAsia="zh-CN"/>
        </w:rPr>
        <w:t>;</w:t>
      </w:r>
    </w:p>
    <w:p w14:paraId="6819BF7B" w14:textId="77777777" w:rsidR="007B7DBC" w:rsidRPr="006A01BA" w:rsidRDefault="00E37EEF" w:rsidP="007B7DBC">
      <w:pPr>
        <w:rPr>
          <w:lang w:val="es-ES"/>
        </w:rPr>
      </w:pPr>
      <w:r w:rsidRPr="006A01BA">
        <w:rPr>
          <w:lang w:val="es-ES"/>
        </w:rPr>
        <w:t>1.13</w:t>
      </w:r>
      <w:r w:rsidRPr="006A01BA">
        <w:rPr>
          <w:lang w:val="es-ES"/>
        </w:rPr>
        <w:tab/>
        <w:t xml:space="preserve">considerar la identificación de bandas de frecuencias para el futuro despliegue de las Telecomunicaciones Móviles Internacionales </w:t>
      </w:r>
      <w:r w:rsidRPr="006A01BA">
        <w:rPr>
          <w:lang w:val="es-ES" w:eastAsia="ja-JP"/>
        </w:rPr>
        <w:t>(</w:t>
      </w:r>
      <w:r w:rsidRPr="006A01BA">
        <w:rPr>
          <w:lang w:val="es-ES"/>
        </w:rPr>
        <w:t>IMT</w:t>
      </w:r>
      <w:r w:rsidRPr="006A01BA">
        <w:rPr>
          <w:lang w:val="es-ES" w:eastAsia="ko-KR"/>
        </w:rPr>
        <w:t>)</w:t>
      </w:r>
      <w:r w:rsidRPr="006A01BA">
        <w:rPr>
          <w:lang w:val="es-ES"/>
        </w:rPr>
        <w:t>, incluidas posibles atribuciones adicionales al servicio móvil a título primario, de conformidad con la Resolución </w:t>
      </w:r>
      <w:r w:rsidRPr="006A01BA">
        <w:rPr>
          <w:rFonts w:eastAsia="SimSun"/>
          <w:b/>
          <w:szCs w:val="24"/>
          <w:lang w:val="es-ES" w:eastAsia="zh-CN"/>
        </w:rPr>
        <w:t>238 (CMR-15)</w:t>
      </w:r>
      <w:r w:rsidRPr="006A01BA">
        <w:rPr>
          <w:rFonts w:eastAsia="SimSun"/>
          <w:szCs w:val="24"/>
          <w:lang w:val="es-ES" w:eastAsia="zh-CN"/>
        </w:rPr>
        <w:t>;</w:t>
      </w:r>
    </w:p>
    <w:p w14:paraId="3ED3B0FE" w14:textId="77777777" w:rsidR="007B7DBC" w:rsidRPr="006A01BA" w:rsidRDefault="00E37EEF" w:rsidP="007B7DBC">
      <w:pPr>
        <w:rPr>
          <w:lang w:val="es-ES"/>
        </w:rPr>
      </w:pPr>
      <w:r w:rsidRPr="006A01BA">
        <w:rPr>
          <w:lang w:val="es-ES"/>
        </w:rPr>
        <w:t>1.14</w:t>
      </w:r>
      <w:r w:rsidRPr="006A01BA">
        <w:rPr>
          <w:lang w:val="es-ES"/>
        </w:rPr>
        <w:tab/>
        <w:t>considerar, basándose en los estudios del UIT</w:t>
      </w:r>
      <w:r w:rsidRPr="006A01BA">
        <w:rPr>
          <w:lang w:val="es-ES"/>
        </w:rPr>
        <w:noBreakHyphen/>
        <w:t>R, de conformidad con la Resolución </w:t>
      </w:r>
      <w:r w:rsidRPr="006A01BA">
        <w:rPr>
          <w:b/>
          <w:bCs/>
          <w:lang w:val="es-ES"/>
        </w:rPr>
        <w:t>160 (CMR-15),</w:t>
      </w:r>
      <w:r w:rsidRPr="006A01BA">
        <w:rPr>
          <w:lang w:val="es-ES"/>
        </w:rPr>
        <w:t xml:space="preserve"> medidas reglamentarias apropiadas para las estaciones en plataformas a gran altitud (HAPS), dentro de las atribuciones del servicio fijo existentes;</w:t>
      </w:r>
    </w:p>
    <w:p w14:paraId="5A39DBE9" w14:textId="77777777" w:rsidR="007B7DBC" w:rsidRPr="006A01BA" w:rsidRDefault="00E37EEF" w:rsidP="007B7DBC">
      <w:pPr>
        <w:rPr>
          <w:lang w:val="es-ES"/>
        </w:rPr>
      </w:pPr>
      <w:r w:rsidRPr="006A01BA">
        <w:rPr>
          <w:lang w:val="es-ES"/>
        </w:rPr>
        <w:t>1.15</w:t>
      </w:r>
      <w:r w:rsidRPr="006A01BA">
        <w:rPr>
          <w:lang w:val="es-ES"/>
        </w:rPr>
        <w:tab/>
      </w:r>
      <w:r w:rsidRPr="006A01BA">
        <w:rPr>
          <w:rStyle w:val="BRNormal"/>
          <w:lang w:val="es-ES"/>
        </w:rPr>
        <w:t>considerar la identificación de bandas de frecuencias para su utilización por las administraciones para las aplicaciones de los servicios móvil terrestre y fijo que funcionan en la gama de frecuencias 275-450 GHz, de conformidad con la Resolución</w:t>
      </w:r>
      <w:r w:rsidRPr="006A01BA">
        <w:rPr>
          <w:lang w:val="es-ES"/>
        </w:rPr>
        <w:t> </w:t>
      </w:r>
      <w:r w:rsidRPr="006A01BA">
        <w:rPr>
          <w:rStyle w:val="Artdef"/>
          <w:lang w:val="es-ES"/>
        </w:rPr>
        <w:t>767 (CMR-15)</w:t>
      </w:r>
      <w:r w:rsidRPr="006A01BA">
        <w:rPr>
          <w:rStyle w:val="BRNormal"/>
          <w:lang w:val="es-ES"/>
        </w:rPr>
        <w:t>;</w:t>
      </w:r>
    </w:p>
    <w:p w14:paraId="78B6591A" w14:textId="0DC87B1E" w:rsidR="007B7DBC" w:rsidRPr="006A01BA" w:rsidRDefault="00E37EEF" w:rsidP="00636B7A">
      <w:pPr>
        <w:rPr>
          <w:lang w:val="es-ES"/>
        </w:rPr>
      </w:pPr>
      <w:r w:rsidRPr="006A01BA">
        <w:rPr>
          <w:lang w:val="es-ES"/>
        </w:rPr>
        <w:t>1.16</w:t>
      </w:r>
      <w:r w:rsidRPr="006A01BA">
        <w:rPr>
          <w:lang w:val="es-ES"/>
        </w:rPr>
        <w:tab/>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Resolución </w:t>
      </w:r>
      <w:r w:rsidRPr="006A01BA">
        <w:rPr>
          <w:b/>
          <w:bCs/>
          <w:lang w:val="es-ES"/>
        </w:rPr>
        <w:t>239 (CMR</w:t>
      </w:r>
      <w:r w:rsidRPr="006A01BA">
        <w:rPr>
          <w:b/>
          <w:bCs/>
          <w:lang w:val="es-ES"/>
        </w:rPr>
        <w:noBreakHyphen/>
        <w:t>15)</w:t>
      </w:r>
      <w:r w:rsidRPr="006A01BA">
        <w:rPr>
          <w:lang w:val="es-ES"/>
        </w:rPr>
        <w:t>;</w:t>
      </w:r>
    </w:p>
    <w:p w14:paraId="06852406" w14:textId="77777777" w:rsidR="007B7DBC" w:rsidRPr="006A01BA" w:rsidRDefault="00E37EEF" w:rsidP="007B7DBC">
      <w:pPr>
        <w:rPr>
          <w:lang w:val="es-ES"/>
        </w:rPr>
      </w:pPr>
      <w:r w:rsidRPr="006A01BA">
        <w:rPr>
          <w:lang w:val="es-ES"/>
        </w:rPr>
        <w:t>2</w:t>
      </w:r>
      <w:r w:rsidRPr="006A01BA">
        <w:rPr>
          <w:lang w:val="es-ES"/>
        </w:rPr>
        <w:tab/>
        <w:t>examinar las Recomendaciones UIT</w:t>
      </w:r>
      <w:r w:rsidRPr="006A01BA">
        <w:rPr>
          <w:lang w:val="es-ES"/>
        </w:rPr>
        <w:noBreakHyphen/>
        <w:t xml:space="preserve">R revisadas e incorporadas por referencia en el Reglamento de Radiocomunicaciones, comunicadas por la Asamblea de Radiocomunicaciones de acuerdo con la Resolución </w:t>
      </w:r>
      <w:r w:rsidRPr="006A01BA">
        <w:rPr>
          <w:b/>
          <w:bCs/>
          <w:lang w:val="es-ES"/>
        </w:rPr>
        <w:t>28 (Rev.CMR-15)</w:t>
      </w:r>
      <w:r w:rsidRPr="006A01BA">
        <w:rPr>
          <w:lang w:val="es-ES"/>
        </w:rPr>
        <w:t>, y decidir si se actualizan o no las referencias correspondientes en el Reglamento de Radiocomunicaciones, con arreglo a los principios contenidos en el Anexo 1 a la Resolución </w:t>
      </w:r>
      <w:r w:rsidRPr="006A01BA">
        <w:rPr>
          <w:b/>
          <w:bCs/>
          <w:lang w:val="es-ES"/>
        </w:rPr>
        <w:t>27 (Rev.CMR-12)</w:t>
      </w:r>
      <w:r w:rsidRPr="006A01BA">
        <w:rPr>
          <w:lang w:val="es-ES"/>
        </w:rPr>
        <w:t xml:space="preserve">; </w:t>
      </w:r>
    </w:p>
    <w:p w14:paraId="3CC3AB1C" w14:textId="77777777" w:rsidR="007B7DBC" w:rsidRPr="006A01BA" w:rsidRDefault="00E37EEF" w:rsidP="007B7DBC">
      <w:pPr>
        <w:rPr>
          <w:lang w:val="es-ES"/>
        </w:rPr>
      </w:pPr>
      <w:r w:rsidRPr="006A01BA">
        <w:rPr>
          <w:lang w:val="es-ES"/>
        </w:rPr>
        <w:t>3</w:t>
      </w:r>
      <w:r w:rsidRPr="006A01BA">
        <w:rPr>
          <w:lang w:val="es-ES"/>
        </w:rPr>
        <w:tab/>
        <w:t>examinar los cambios y las modificaciones consiguientes en el Reglamento de Radiocomunicaciones que requieran las decisiones de la Conferencia;</w:t>
      </w:r>
    </w:p>
    <w:p w14:paraId="39881C1A" w14:textId="77777777" w:rsidR="007B7DBC" w:rsidRPr="006A01BA" w:rsidRDefault="00E37EEF" w:rsidP="007B7DBC">
      <w:pPr>
        <w:rPr>
          <w:rStyle w:val="BRNormal"/>
          <w:lang w:val="es-ES"/>
        </w:rPr>
      </w:pPr>
      <w:r w:rsidRPr="006A01BA">
        <w:rPr>
          <w:lang w:val="es-ES"/>
        </w:rPr>
        <w:t>4</w:t>
      </w:r>
      <w:r w:rsidRPr="006A01BA">
        <w:rPr>
          <w:rStyle w:val="BRNormal"/>
          <w:lang w:val="es-ES"/>
        </w:rPr>
        <w:tab/>
        <w:t>de conformidad con la Resolución </w:t>
      </w:r>
      <w:r w:rsidRPr="006A01BA">
        <w:rPr>
          <w:rStyle w:val="BRNormal"/>
          <w:b/>
          <w:bCs/>
          <w:lang w:val="es-ES"/>
        </w:rPr>
        <w:t>95 (Rev.CMR-07</w:t>
      </w:r>
      <w:r w:rsidRPr="006A01BA">
        <w:rPr>
          <w:rStyle w:val="BRNormal"/>
          <w:lang w:val="es-ES"/>
        </w:rPr>
        <w:t>), considerar las Resoluciones y Recomendaciones de las conferencias anteriores para su posible revisión, sustitución o supresión;</w:t>
      </w:r>
    </w:p>
    <w:p w14:paraId="35AADD80" w14:textId="77777777" w:rsidR="007B7DBC" w:rsidRPr="006A01BA" w:rsidRDefault="00E37EEF" w:rsidP="007B7DBC">
      <w:pPr>
        <w:rPr>
          <w:rStyle w:val="BRNormal"/>
          <w:lang w:val="es-ES"/>
        </w:rPr>
      </w:pPr>
      <w:r w:rsidRPr="006A01BA">
        <w:rPr>
          <w:rStyle w:val="BRNormal"/>
          <w:lang w:val="es-ES"/>
        </w:rPr>
        <w:t>5</w:t>
      </w:r>
      <w:r w:rsidRPr="006A01BA">
        <w:rPr>
          <w:rStyle w:val="BRNormal"/>
          <w:lang w:val="es-ES"/>
        </w:rPr>
        <w:tab/>
        <w:t>examinar el Informe de la Asamblea de Radiocomunicaciones presentado de acuerdo con los números 135 y 136 del Convenio, y tomar las medidas adecuadas al respecto;</w:t>
      </w:r>
    </w:p>
    <w:p w14:paraId="770038FC" w14:textId="77777777" w:rsidR="007B7DBC" w:rsidRPr="006A01BA" w:rsidRDefault="00E37EEF" w:rsidP="007B7DBC">
      <w:pPr>
        <w:rPr>
          <w:rStyle w:val="BRNormal"/>
          <w:lang w:val="es-ES"/>
        </w:rPr>
      </w:pPr>
      <w:r w:rsidRPr="006A01BA">
        <w:rPr>
          <w:rStyle w:val="BRNormal"/>
          <w:lang w:val="es-ES"/>
        </w:rPr>
        <w:t>6</w:t>
      </w:r>
      <w:r w:rsidRPr="006A01BA">
        <w:rPr>
          <w:rStyle w:val="BRNormal"/>
          <w:lang w:val="es-ES"/>
        </w:rPr>
        <w:tab/>
        <w:t>identificar los temas que exigen medidas urgentes de las Comisiones de Estudio de Radiocomunicaciones para la preparación de la próxima Conferencia Mundial de Radiocomunicaciones;</w:t>
      </w:r>
    </w:p>
    <w:p w14:paraId="5E97124F" w14:textId="77777777" w:rsidR="007B7DBC" w:rsidRPr="006A01BA" w:rsidRDefault="00E37EEF" w:rsidP="007B23F0">
      <w:pPr>
        <w:rPr>
          <w:lang w:val="es-ES"/>
        </w:rPr>
      </w:pPr>
      <w:r w:rsidRPr="006A01BA">
        <w:rPr>
          <w:rStyle w:val="BRNormal"/>
          <w:lang w:val="es-ES"/>
        </w:rPr>
        <w:t>7</w:t>
      </w:r>
      <w:r w:rsidRPr="006A01BA">
        <w:rPr>
          <w:rStyle w:val="BRNormal"/>
          <w:lang w:val="es-ES"/>
        </w:rPr>
        <w:tab/>
      </w:r>
      <w:r w:rsidRPr="006A01BA">
        <w:rPr>
          <w:lang w:val="es-ES"/>
        </w:rPr>
        <w:t>considerar posibles modificaciones y otras opciones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w:t>
      </w:r>
      <w:r w:rsidRPr="006A01BA">
        <w:rPr>
          <w:rStyle w:val="BRNormal"/>
          <w:lang w:val="es-ES"/>
        </w:rPr>
        <w:t xml:space="preserve"> </w:t>
      </w:r>
      <w:r w:rsidRPr="006A01BA">
        <w:rPr>
          <w:b/>
          <w:bCs/>
          <w:lang w:val="es-ES"/>
        </w:rPr>
        <w:t>86 (Rev.CMR-07)</w:t>
      </w:r>
      <w:r w:rsidRPr="006A01BA">
        <w:rPr>
          <w:lang w:val="es-ES"/>
        </w:rPr>
        <w:t xml:space="preserve"> para facilitar el uso racional, eficiente y económico de las radiofrecuencias y órbitas asociadas, incluida la órbita de los satélites geoestacionarios;</w:t>
      </w:r>
    </w:p>
    <w:p w14:paraId="64A636CA" w14:textId="77777777" w:rsidR="007B7DBC" w:rsidRPr="006A01BA" w:rsidRDefault="00E37EEF" w:rsidP="007B7DBC">
      <w:pPr>
        <w:rPr>
          <w:lang w:val="es-ES"/>
        </w:rPr>
      </w:pPr>
      <w:r w:rsidRPr="006A01BA">
        <w:rPr>
          <w:lang w:val="es-ES"/>
        </w:rPr>
        <w:t>8</w:t>
      </w:r>
      <w:r w:rsidRPr="006A01BA">
        <w:rPr>
          <w:lang w:val="es-ES"/>
        </w:rPr>
        <w:tab/>
        <w:t xml:space="preserve">examinar las peticiones de las administraciones de suprimir las notas de sus países o de que se suprima el nombre de sus países de las notas, cuando ya no sea necesario, teniendo en cuenta la Resolución </w:t>
      </w:r>
      <w:r w:rsidRPr="006A01BA">
        <w:rPr>
          <w:b/>
          <w:bCs/>
          <w:lang w:val="es-ES"/>
        </w:rPr>
        <w:t>26 (Rev.CMR-07</w:t>
      </w:r>
      <w:r w:rsidRPr="006A01BA">
        <w:rPr>
          <w:lang w:val="es-ES"/>
        </w:rPr>
        <w:t>), y adoptar las medidas oportunas al respecto;</w:t>
      </w:r>
    </w:p>
    <w:p w14:paraId="5790D845" w14:textId="77777777" w:rsidR="007B7DBC" w:rsidRPr="006A01BA" w:rsidRDefault="00E37EEF" w:rsidP="007B7DBC">
      <w:pPr>
        <w:rPr>
          <w:lang w:val="es-ES"/>
        </w:rPr>
      </w:pPr>
      <w:r w:rsidRPr="006A01BA">
        <w:rPr>
          <w:lang w:val="es-ES"/>
        </w:rPr>
        <w:t>9</w:t>
      </w:r>
      <w:r w:rsidRPr="006A01BA">
        <w:rPr>
          <w:lang w:val="es-ES"/>
        </w:rPr>
        <w:tab/>
        <w:t>examinar y aprobar el Informe del Director de la Oficina de Radiocomunicaciones, de conformidad con el Artículo 7 del Convenio:</w:t>
      </w:r>
    </w:p>
    <w:p w14:paraId="6AC5B6B1" w14:textId="77777777" w:rsidR="007B7DBC" w:rsidRPr="006A01BA" w:rsidRDefault="00E37EEF" w:rsidP="007B7DBC">
      <w:pPr>
        <w:rPr>
          <w:lang w:val="es-ES"/>
        </w:rPr>
      </w:pPr>
      <w:r w:rsidRPr="006A01BA">
        <w:rPr>
          <w:lang w:val="es-ES"/>
        </w:rPr>
        <w:t>9.1</w:t>
      </w:r>
      <w:r w:rsidRPr="006A01BA">
        <w:rPr>
          <w:lang w:val="es-ES"/>
        </w:rPr>
        <w:tab/>
        <w:t>sobre las actividades del Sector de Radiocomunicaciones desde la CMR</w:t>
      </w:r>
      <w:r w:rsidRPr="006A01BA">
        <w:rPr>
          <w:lang w:val="es-ES"/>
        </w:rPr>
        <w:noBreakHyphen/>
        <w:t>15;</w:t>
      </w:r>
    </w:p>
    <w:p w14:paraId="3DFE8628" w14:textId="77777777" w:rsidR="007B7DBC" w:rsidRPr="006A01BA" w:rsidRDefault="00E37EEF" w:rsidP="007B7DBC">
      <w:pPr>
        <w:rPr>
          <w:lang w:val="es-ES"/>
        </w:rPr>
      </w:pPr>
      <w:r w:rsidRPr="006A01BA">
        <w:rPr>
          <w:lang w:val="es-ES"/>
        </w:rPr>
        <w:lastRenderedPageBreak/>
        <w:t>9.2</w:t>
      </w:r>
      <w:r w:rsidRPr="006A01BA">
        <w:rPr>
          <w:lang w:val="es-ES"/>
        </w:rPr>
        <w:tab/>
        <w:t>sobre las dificultades o incoherencias observadas en la aplicación del Reglamento de Radiocomunicaciones</w:t>
      </w:r>
      <w:r w:rsidRPr="006A01BA">
        <w:rPr>
          <w:rStyle w:val="FootnoteReference"/>
          <w:lang w:val="es-ES"/>
        </w:rPr>
        <w:footnoteReference w:customMarkFollows="1" w:id="2"/>
        <w:t>*</w:t>
      </w:r>
      <w:r w:rsidRPr="006A01BA">
        <w:rPr>
          <w:lang w:val="es-ES"/>
        </w:rPr>
        <w:t>; y</w:t>
      </w:r>
    </w:p>
    <w:p w14:paraId="686D8F0F" w14:textId="77777777" w:rsidR="007B7DBC" w:rsidRPr="006A01BA" w:rsidRDefault="00E37EEF" w:rsidP="007B7DBC">
      <w:pPr>
        <w:rPr>
          <w:rStyle w:val="BRNormal"/>
          <w:lang w:val="es-ES"/>
        </w:rPr>
      </w:pPr>
      <w:r w:rsidRPr="006A01BA">
        <w:rPr>
          <w:lang w:val="es-ES"/>
        </w:rPr>
        <w:t>9.3</w:t>
      </w:r>
      <w:r w:rsidRPr="006A01BA">
        <w:rPr>
          <w:lang w:val="es-ES"/>
        </w:rPr>
        <w:tab/>
        <w:t xml:space="preserve">sobre acciones en respuesta a la Resolución </w:t>
      </w:r>
      <w:r w:rsidRPr="006A01BA">
        <w:rPr>
          <w:b/>
          <w:bCs/>
          <w:lang w:val="es-ES"/>
        </w:rPr>
        <w:t>80 (Rev.CMR-07</w:t>
      </w:r>
      <w:r w:rsidRPr="006A01BA">
        <w:rPr>
          <w:lang w:val="es-ES"/>
        </w:rPr>
        <w:t>);</w:t>
      </w:r>
    </w:p>
    <w:p w14:paraId="4E162D2E" w14:textId="77777777" w:rsidR="007B7DBC" w:rsidRPr="006A01BA" w:rsidRDefault="00E37EEF" w:rsidP="007B7DBC">
      <w:pPr>
        <w:rPr>
          <w:lang w:val="es-ES"/>
        </w:rPr>
      </w:pPr>
      <w:r w:rsidRPr="006A01BA">
        <w:rPr>
          <w:lang w:val="es-ES"/>
        </w:rPr>
        <w:t>10</w:t>
      </w:r>
      <w:r w:rsidRPr="006A01BA">
        <w:rPr>
          <w:lang w:val="es-ES"/>
        </w:rPr>
        <w:tab/>
        <w:t>recomendar al Consejo los puntos que han de incluirse en el orden del día de la próxima CMR, y formular opiniones sobre el orden del día preliminar de la conferencia subsiguiente y sobre los posibles órdenes del día de futuras conferencias,</w:t>
      </w:r>
    </w:p>
    <w:p w14:paraId="43D02BC8" w14:textId="1252774E" w:rsidR="003A3A98" w:rsidRPr="006A01BA" w:rsidRDefault="00E37EEF">
      <w:pPr>
        <w:pStyle w:val="Reasons"/>
        <w:rPr>
          <w:lang w:val="es-ES"/>
        </w:rPr>
      </w:pPr>
      <w:r w:rsidRPr="006A01BA">
        <w:rPr>
          <w:b/>
          <w:lang w:val="es-ES"/>
        </w:rPr>
        <w:t>Motivos:</w:t>
      </w:r>
      <w:r w:rsidRPr="006A01BA">
        <w:rPr>
          <w:lang w:val="es-ES"/>
        </w:rPr>
        <w:tab/>
      </w:r>
      <w:r w:rsidR="00380507" w:rsidRPr="006A01BA">
        <w:rPr>
          <w:lang w:val="es-ES"/>
        </w:rPr>
        <w:t>Únicamente en chino</w:t>
      </w:r>
      <w:r w:rsidR="001C5723" w:rsidRPr="006A01BA">
        <w:rPr>
          <w:lang w:val="es-ES"/>
        </w:rPr>
        <w:t>.</w:t>
      </w:r>
    </w:p>
    <w:p w14:paraId="242C6AFB" w14:textId="77777777" w:rsidR="007B7DBC" w:rsidRPr="006A01BA" w:rsidRDefault="00E37EEF" w:rsidP="001C5723">
      <w:pPr>
        <w:pStyle w:val="ResNo"/>
        <w:rPr>
          <w:lang w:val="es-ES"/>
        </w:rPr>
      </w:pPr>
      <w:r w:rsidRPr="006A01BA">
        <w:rPr>
          <w:lang w:val="es-ES"/>
        </w:rPr>
        <w:t xml:space="preserve">RESOLUCIÓN </w:t>
      </w:r>
      <w:r w:rsidRPr="006A01BA">
        <w:rPr>
          <w:rStyle w:val="href"/>
          <w:lang w:val="es-ES"/>
        </w:rPr>
        <w:t>958</w:t>
      </w:r>
      <w:r w:rsidRPr="006A01BA">
        <w:rPr>
          <w:lang w:val="es-ES"/>
        </w:rPr>
        <w:t xml:space="preserve"> (cmr-15)</w:t>
      </w:r>
    </w:p>
    <w:p w14:paraId="5710D20F" w14:textId="77777777" w:rsidR="007B7DBC" w:rsidRPr="006A01BA" w:rsidRDefault="00E37EEF" w:rsidP="007B7DBC">
      <w:pPr>
        <w:pStyle w:val="Restitle"/>
        <w:rPr>
          <w:lang w:val="es-ES"/>
        </w:rPr>
      </w:pPr>
      <w:r w:rsidRPr="006A01BA">
        <w:rPr>
          <w:lang w:val="es-ES"/>
        </w:rPr>
        <w:t xml:space="preserve">Estudios urgentes necesarios para la preparación de la </w:t>
      </w:r>
      <w:r w:rsidRPr="006A01BA">
        <w:rPr>
          <w:lang w:val="es-ES"/>
        </w:rPr>
        <w:br/>
        <w:t>Conferencia Mundial de Radiocomunicaciones de 2019</w:t>
      </w:r>
    </w:p>
    <w:p w14:paraId="3B57701A" w14:textId="77777777" w:rsidR="003A3A98" w:rsidRPr="006A01BA" w:rsidRDefault="00E37EEF">
      <w:pPr>
        <w:pStyle w:val="Proposal"/>
        <w:rPr>
          <w:lang w:val="es-ES"/>
        </w:rPr>
      </w:pPr>
      <w:r w:rsidRPr="006A01BA">
        <w:rPr>
          <w:lang w:val="es-ES"/>
        </w:rPr>
        <w:t>(MOD)</w:t>
      </w:r>
      <w:r w:rsidRPr="006A01BA">
        <w:rPr>
          <w:lang w:val="es-ES"/>
        </w:rPr>
        <w:tab/>
        <w:t>CHN/209/10</w:t>
      </w:r>
    </w:p>
    <w:p w14:paraId="24746971" w14:textId="77777777" w:rsidR="007B7DBC" w:rsidRPr="006A01BA" w:rsidRDefault="00E37EEF" w:rsidP="007B7DBC">
      <w:pPr>
        <w:pStyle w:val="AnnexNo"/>
        <w:rPr>
          <w:lang w:val="es-ES"/>
        </w:rPr>
      </w:pPr>
      <w:r w:rsidRPr="006A01BA">
        <w:rPr>
          <w:lang w:val="es-ES"/>
        </w:rPr>
        <w:t>ANEXo a la resolución 958 (CMR-15)</w:t>
      </w:r>
    </w:p>
    <w:p w14:paraId="20FDDF48" w14:textId="77777777" w:rsidR="007B7DBC" w:rsidRPr="006A01BA" w:rsidRDefault="00E37EEF" w:rsidP="007B7DBC">
      <w:pPr>
        <w:pStyle w:val="Annextitle"/>
        <w:rPr>
          <w:lang w:val="es-ES"/>
        </w:rPr>
      </w:pPr>
      <w:r w:rsidRPr="006A01BA">
        <w:rPr>
          <w:lang w:val="es-ES"/>
        </w:rPr>
        <w:t>Estudios urgentes necesarios para la preparación de la</w:t>
      </w:r>
      <w:r w:rsidRPr="006A01BA">
        <w:rPr>
          <w:lang w:val="es-ES"/>
        </w:rPr>
        <w:br/>
        <w:t>Conferencia Mundial de Radiocomunicaciones de 2019</w:t>
      </w:r>
    </w:p>
    <w:p w14:paraId="466B8EB8" w14:textId="77777777" w:rsidR="007B7DBC" w:rsidRPr="006A01BA" w:rsidRDefault="00E37EEF" w:rsidP="007B7DBC">
      <w:pPr>
        <w:rPr>
          <w:lang w:val="es-ES"/>
        </w:rPr>
      </w:pPr>
      <w:r w:rsidRPr="006A01BA">
        <w:rPr>
          <w:lang w:val="es-ES"/>
        </w:rPr>
        <w:t>1)</w:t>
      </w:r>
      <w:r w:rsidRPr="006A01BA">
        <w:rPr>
          <w:lang w:val="es-ES"/>
        </w:rPr>
        <w:tab/>
        <w:t>Estudios relativos a la transmisión inalámbrica de potencia (TIP) para vehículos eléctricos encaminados a:</w:t>
      </w:r>
    </w:p>
    <w:p w14:paraId="274F0036" w14:textId="77777777" w:rsidR="007B7DBC" w:rsidRPr="006A01BA" w:rsidRDefault="00E37EEF" w:rsidP="007B7DBC">
      <w:pPr>
        <w:pStyle w:val="enumlev1"/>
        <w:rPr>
          <w:lang w:val="es-ES"/>
        </w:rPr>
      </w:pPr>
      <w:r w:rsidRPr="006A01BA">
        <w:rPr>
          <w:lang w:val="es-ES"/>
        </w:rPr>
        <w:t>a)</w:t>
      </w:r>
      <w:r w:rsidRPr="006A01BA">
        <w:rPr>
          <w:lang w:val="es-ES"/>
        </w:rPr>
        <w:tab/>
      </w:r>
      <w:r w:rsidRPr="006A01BA">
        <w:rPr>
          <w:rFonts w:eastAsia="MS Mincho"/>
          <w:lang w:val="es-ES" w:eastAsia="ja-JP"/>
        </w:rPr>
        <w:t>evaluar el efecto de la TIP en los vehículos eléctricos en los servicios de radiocomunicaciones;</w:t>
      </w:r>
    </w:p>
    <w:p w14:paraId="1CC7E984" w14:textId="77777777" w:rsidR="007B7DBC" w:rsidRPr="006A01BA" w:rsidRDefault="00E37EEF" w:rsidP="007B7DBC">
      <w:pPr>
        <w:pStyle w:val="enumlev1"/>
        <w:rPr>
          <w:rFonts w:eastAsia="MS Mincho"/>
          <w:lang w:val="es-ES" w:eastAsia="ja-JP"/>
        </w:rPr>
      </w:pPr>
      <w:r w:rsidRPr="006A01BA">
        <w:rPr>
          <w:lang w:val="es-ES"/>
        </w:rPr>
        <w:t>b)</w:t>
      </w:r>
      <w:r w:rsidRPr="006A01BA">
        <w:rPr>
          <w:lang w:val="es-ES"/>
        </w:rPr>
        <w:tab/>
      </w:r>
      <w:r w:rsidRPr="006A01BA">
        <w:rPr>
          <w:rFonts w:eastAsia="MS Mincho"/>
          <w:lang w:val="es-ES" w:eastAsia="ja-JP"/>
        </w:rPr>
        <w:t>estudiar las gamas de frecuencias armonizadas adecuadas que permitirían reducir al mínimo el efecto de la TIP en los vehículos eléctricos en los servicios de radiocomunicaciones;</w:t>
      </w:r>
    </w:p>
    <w:p w14:paraId="3C5634E3" w14:textId="77777777" w:rsidR="007B7DBC" w:rsidRPr="006A01BA" w:rsidRDefault="00E37EEF" w:rsidP="007B7DBC">
      <w:pPr>
        <w:rPr>
          <w:lang w:val="es-ES"/>
        </w:rPr>
      </w:pPr>
      <w:r w:rsidRPr="006A01BA">
        <w:rPr>
          <w:lang w:val="es-ES"/>
        </w:rPr>
        <w:t>esos estudios deberían tener en cuenta que la Comisión Electrotécnica Internacional (CEI), la Organización Internacional de Normalización (ISO) y la Sociedad de Ingenieros Automotrices (SAE) están aprobando normas destinadas a la armonización mundial y regional de tecnologías TIP para vehículos eléctricos.</w:t>
      </w:r>
    </w:p>
    <w:p w14:paraId="5237AA53" w14:textId="77777777" w:rsidR="007B7DBC" w:rsidRPr="006A01BA" w:rsidRDefault="00E37EEF" w:rsidP="007B7DBC">
      <w:pPr>
        <w:rPr>
          <w:lang w:val="es-ES" w:eastAsia="ko-KR"/>
        </w:rPr>
      </w:pPr>
      <w:r w:rsidRPr="006A01BA">
        <w:rPr>
          <w:lang w:val="es-ES"/>
        </w:rPr>
        <w:t>2)</w:t>
      </w:r>
      <w:r w:rsidRPr="006A01BA">
        <w:rPr>
          <w:lang w:val="es-ES"/>
        </w:rPr>
        <w:tab/>
      </w:r>
      <w:r w:rsidRPr="006A01BA">
        <w:rPr>
          <w:lang w:val="es-ES" w:eastAsia="ko-KR"/>
        </w:rPr>
        <w:t>Estudios para examinar:</w:t>
      </w:r>
    </w:p>
    <w:p w14:paraId="3C8E2565" w14:textId="77777777" w:rsidR="007B7DBC" w:rsidRPr="006A01BA" w:rsidRDefault="00E37EEF" w:rsidP="007B7DBC">
      <w:pPr>
        <w:pStyle w:val="enumlev1"/>
        <w:rPr>
          <w:lang w:val="es-ES" w:eastAsia="ko-KR"/>
        </w:rPr>
      </w:pPr>
      <w:r w:rsidRPr="006A01BA">
        <w:rPr>
          <w:lang w:val="es-ES" w:eastAsia="ko-KR"/>
        </w:rPr>
        <w:t>a)</w:t>
      </w:r>
      <w:r w:rsidRPr="006A01BA">
        <w:rPr>
          <w:lang w:val="es-ES" w:eastAsia="ko-KR"/>
        </w:rPr>
        <w:tab/>
      </w:r>
      <w:r w:rsidRPr="006A01BA">
        <w:rPr>
          <w:lang w:val="es-ES" w:eastAsia="zh-CN"/>
        </w:rPr>
        <w:t xml:space="preserve">si se necesitan medidas adicionales para limitar las transmisiones de enlace ascendente de los terminales a los terminales autorizados, de conformidad con el número </w:t>
      </w:r>
      <w:r w:rsidRPr="006A01BA">
        <w:rPr>
          <w:b/>
          <w:bCs/>
          <w:lang w:val="es-ES" w:eastAsia="zh-CN"/>
        </w:rPr>
        <w:t>18.1</w:t>
      </w:r>
      <w:r w:rsidRPr="006A01BA">
        <w:rPr>
          <w:lang w:val="es-ES" w:eastAsia="zh-CN"/>
        </w:rPr>
        <w:t>;</w:t>
      </w:r>
    </w:p>
    <w:p w14:paraId="343D551B" w14:textId="77777777" w:rsidR="007B7DBC" w:rsidRPr="006A01BA" w:rsidRDefault="00E37EEF" w:rsidP="007B7DBC">
      <w:pPr>
        <w:pStyle w:val="enumlev1"/>
        <w:rPr>
          <w:lang w:val="es-ES"/>
        </w:rPr>
      </w:pPr>
      <w:r w:rsidRPr="006A01BA">
        <w:rPr>
          <w:lang w:val="es-ES" w:eastAsia="ko-KR"/>
        </w:rPr>
        <w:t>b)</w:t>
      </w:r>
      <w:r w:rsidRPr="006A01BA">
        <w:rPr>
          <w:lang w:val="es-ES" w:eastAsia="ko-KR"/>
        </w:rPr>
        <w:tab/>
        <w:t>posibles métodos que ayuden a las administraciones a gestionar el funcionamiento no autorizado de terminales de estaciones terrenas implantados en su territorio, como herramienta de orientación para su programa nacional de gestión del espectro, de conformidad con la Resolución UIT</w:t>
      </w:r>
      <w:r w:rsidRPr="006A01BA">
        <w:rPr>
          <w:lang w:val="es-ES" w:eastAsia="ko-KR"/>
        </w:rPr>
        <w:noBreakHyphen/>
        <w:t>R 64 (AR-15)</w:t>
      </w:r>
      <w:r w:rsidRPr="006A01BA">
        <w:rPr>
          <w:lang w:val="es-ES"/>
        </w:rPr>
        <w:t>.</w:t>
      </w:r>
    </w:p>
    <w:p w14:paraId="2FF6B63D" w14:textId="77777777" w:rsidR="007B7DBC" w:rsidRPr="006A01BA" w:rsidRDefault="00E37EEF" w:rsidP="008A72B4">
      <w:pPr>
        <w:rPr>
          <w:lang w:val="es-ES"/>
        </w:rPr>
      </w:pPr>
      <w:r w:rsidRPr="006A01BA">
        <w:rPr>
          <w:lang w:val="es-ES"/>
        </w:rPr>
        <w:lastRenderedPageBreak/>
        <w:t>3)</w:t>
      </w:r>
      <w:r w:rsidRPr="006A01BA">
        <w:rPr>
          <w:lang w:val="es-ES"/>
        </w:rPr>
        <w:tab/>
        <w:t>Estudios sobre los aspectos técnicos y de funcionamiento de las redes y sistemas radioeléctricos así como las necesidades de espectro, incluyendo el posible uso armonizado del espectro para apoyar la implantación de infraestructuras de comunicación de banda estrecha y banda ancha de tipo máquina, para elaborar Recomendaciones, Informes y/o Manuales, según el caso, y para adoptar las medidas apropiadas dentro del ámbito de los trabajos del Sector de Radiocomunicaciones de la UIT.</w:t>
      </w:r>
    </w:p>
    <w:p w14:paraId="26BA1C4D" w14:textId="0F74B81C" w:rsidR="003A3A98" w:rsidRPr="006A01BA" w:rsidRDefault="00E37EEF">
      <w:pPr>
        <w:pStyle w:val="Reasons"/>
        <w:rPr>
          <w:lang w:val="es-ES"/>
        </w:rPr>
      </w:pPr>
      <w:r w:rsidRPr="006A01BA">
        <w:rPr>
          <w:b/>
          <w:lang w:val="es-ES"/>
        </w:rPr>
        <w:t>Motivos:</w:t>
      </w:r>
      <w:r w:rsidRPr="006A01BA">
        <w:rPr>
          <w:lang w:val="es-ES"/>
        </w:rPr>
        <w:tab/>
      </w:r>
      <w:r w:rsidR="00380507" w:rsidRPr="006A01BA">
        <w:rPr>
          <w:lang w:val="es-ES"/>
        </w:rPr>
        <w:t>Únicamente en chino</w:t>
      </w:r>
      <w:r w:rsidR="001C5723" w:rsidRPr="006A01BA">
        <w:rPr>
          <w:lang w:val="es-ES"/>
        </w:rPr>
        <w:t>.</w:t>
      </w:r>
    </w:p>
    <w:p w14:paraId="14369650" w14:textId="77777777" w:rsidR="001C5723" w:rsidRPr="006A01BA" w:rsidRDefault="001C5723" w:rsidP="001C5723">
      <w:pPr>
        <w:rPr>
          <w:lang w:val="es-ES"/>
        </w:rPr>
      </w:pPr>
    </w:p>
    <w:p w14:paraId="0D3133F0" w14:textId="77777777" w:rsidR="001C5723" w:rsidRPr="006A01BA" w:rsidRDefault="001C5723">
      <w:pPr>
        <w:jc w:val="center"/>
        <w:rPr>
          <w:lang w:val="es-ES"/>
        </w:rPr>
      </w:pPr>
      <w:r w:rsidRPr="006A01BA">
        <w:rPr>
          <w:lang w:val="es-ES"/>
        </w:rPr>
        <w:t>______________</w:t>
      </w:r>
    </w:p>
    <w:sectPr w:rsidR="001C5723" w:rsidRPr="006A01BA">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9F79D" w14:textId="77777777" w:rsidR="003C0613" w:rsidRDefault="003C0613">
      <w:r>
        <w:separator/>
      </w:r>
    </w:p>
  </w:endnote>
  <w:endnote w:type="continuationSeparator" w:id="0">
    <w:p w14:paraId="245A2B03"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CB5BB"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54C2C9" w14:textId="637A4281" w:rsidR="0077084A" w:rsidRPr="00F91198" w:rsidRDefault="0077084A">
    <w:pPr>
      <w:ind w:right="360"/>
    </w:pPr>
    <w:r>
      <w:fldChar w:fldCharType="begin"/>
    </w:r>
    <w:r w:rsidRPr="00F91198">
      <w:instrText xml:space="preserve"> FILENAME \p  \* MERGEFORMAT </w:instrText>
    </w:r>
    <w:r>
      <w:fldChar w:fldCharType="separate"/>
    </w:r>
    <w:r w:rsidR="00F91198">
      <w:rPr>
        <w:noProof/>
      </w:rPr>
      <w:t>P:\ESP\ITU-R\CONF-R\CMR19\200\209S.docx</w:t>
    </w:r>
    <w:r>
      <w:fldChar w:fldCharType="end"/>
    </w:r>
    <w:r w:rsidRPr="00F91198">
      <w:tab/>
    </w:r>
    <w:r>
      <w:fldChar w:fldCharType="begin"/>
    </w:r>
    <w:r>
      <w:instrText xml:space="preserve"> SAVEDATE \@ DD.MM.YY </w:instrText>
    </w:r>
    <w:r>
      <w:fldChar w:fldCharType="separate"/>
    </w:r>
    <w:r w:rsidR="00630AF3">
      <w:rPr>
        <w:noProof/>
      </w:rPr>
      <w:t>07.11.19</w:t>
    </w:r>
    <w:r>
      <w:fldChar w:fldCharType="end"/>
    </w:r>
    <w:r w:rsidRPr="00F91198">
      <w:tab/>
    </w:r>
    <w:r>
      <w:fldChar w:fldCharType="begin"/>
    </w:r>
    <w:r>
      <w:instrText xml:space="preserve"> PRINTDATE \@ DD.MM.YY </w:instrText>
    </w:r>
    <w:r>
      <w:fldChar w:fldCharType="separate"/>
    </w:r>
    <w:r w:rsidR="00F91198">
      <w:rPr>
        <w:noProof/>
      </w:rPr>
      <w:t>07.11.19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A0A5" w14:textId="04491616" w:rsidR="0077084A" w:rsidRPr="0036641B" w:rsidRDefault="0036641B" w:rsidP="0036641B">
    <w:pPr>
      <w:pStyle w:val="Footer"/>
    </w:pPr>
    <w:fldSimple w:instr=" FILENAME \p  \* MERGEFORMAT ">
      <w:r w:rsidR="00F91198">
        <w:t>P:\ESP\ITU-R\CONF-R\CMR19\200\209S.docx</w:t>
      </w:r>
    </w:fldSimple>
    <w:r>
      <w:t xml:space="preserve"> (463862)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EC5D6" w14:textId="0DF8444B" w:rsidR="0077084A" w:rsidRPr="001C5723" w:rsidRDefault="007B6802" w:rsidP="0036641B">
    <w:pPr>
      <w:pStyle w:val="Footer"/>
      <w:rPr>
        <w:lang w:val="en-US"/>
      </w:rPr>
    </w:pPr>
    <w:r>
      <w:fldChar w:fldCharType="begin"/>
    </w:r>
    <w:r>
      <w:instrText xml:space="preserve"> FILENAME \p  \* MERGEFORMAT </w:instrText>
    </w:r>
    <w:r>
      <w:fldChar w:fldCharType="separate"/>
    </w:r>
    <w:r w:rsidR="00F91198">
      <w:t>P:\ESP\ITU-R\CONF-R\CMR19\200\209S.docx</w:t>
    </w:r>
    <w:r>
      <w:fldChar w:fldCharType="end"/>
    </w:r>
    <w:r w:rsidR="0036641B">
      <w:t xml:space="preserve"> (463862)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882D" w14:textId="77777777" w:rsidR="003C0613" w:rsidRDefault="003C0613">
      <w:r>
        <w:rPr>
          <w:b/>
        </w:rPr>
        <w:t>_______________</w:t>
      </w:r>
    </w:p>
  </w:footnote>
  <w:footnote w:type="continuationSeparator" w:id="0">
    <w:p w14:paraId="2312C4DE" w14:textId="77777777" w:rsidR="003C0613" w:rsidRDefault="003C0613">
      <w:r>
        <w:continuationSeparator/>
      </w:r>
    </w:p>
  </w:footnote>
  <w:footnote w:id="1">
    <w:p w14:paraId="1666FD2B" w14:textId="77777777" w:rsidR="0051418C" w:rsidRDefault="00E37EEF" w:rsidP="0051418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 w:id="2">
    <w:p w14:paraId="080B2926" w14:textId="77777777" w:rsidR="00F67154" w:rsidRDefault="00E37EEF" w:rsidP="007B7DBC">
      <w:pPr>
        <w:pStyle w:val="FootnoteText"/>
      </w:pPr>
      <w:r>
        <w:rPr>
          <w:rStyle w:val="FootnoteReference"/>
        </w:rPr>
        <w:t>*</w:t>
      </w:r>
      <w:r>
        <w:tab/>
      </w:r>
      <w:r w:rsidRPr="00C84966">
        <w:t>Este punto del orden del día se limita estrictamente al Informe del Director, en relación con las dificultades o incoherencias observadas en la aplicación del Reglamento de Radiocomunicaciones y las observaciones de las administraciones.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58833"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0736B9CA" w14:textId="77777777" w:rsidR="0077084A" w:rsidRDefault="008750A8" w:rsidP="00C44E9E">
    <w:pPr>
      <w:pStyle w:val="Header"/>
      <w:rPr>
        <w:lang w:val="en-US"/>
      </w:rPr>
    </w:pPr>
    <w:r>
      <w:rPr>
        <w:lang w:val="en-US"/>
      </w:rPr>
      <w:t>CMR1</w:t>
    </w:r>
    <w:r w:rsidR="00C44E9E">
      <w:rPr>
        <w:lang w:val="en-US"/>
      </w:rPr>
      <w:t>9</w:t>
    </w:r>
    <w:r>
      <w:rPr>
        <w:lang w:val="en-US"/>
      </w:rPr>
      <w:t>/</w:t>
    </w:r>
    <w:r w:rsidR="00702F3D">
      <w:t>209-</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430FE"/>
    <w:rsid w:val="00047280"/>
    <w:rsid w:val="000616CA"/>
    <w:rsid w:val="00070346"/>
    <w:rsid w:val="00087AE8"/>
    <w:rsid w:val="000A5B9A"/>
    <w:rsid w:val="000D4322"/>
    <w:rsid w:val="000E5BF9"/>
    <w:rsid w:val="000F0E6D"/>
    <w:rsid w:val="00121170"/>
    <w:rsid w:val="00123CC5"/>
    <w:rsid w:val="0015142D"/>
    <w:rsid w:val="001616DC"/>
    <w:rsid w:val="00163962"/>
    <w:rsid w:val="00191A97"/>
    <w:rsid w:val="0019729C"/>
    <w:rsid w:val="001A083F"/>
    <w:rsid w:val="001C41FA"/>
    <w:rsid w:val="001C5723"/>
    <w:rsid w:val="001E2B52"/>
    <w:rsid w:val="001E3F27"/>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6641B"/>
    <w:rsid w:val="00380507"/>
    <w:rsid w:val="003A3A98"/>
    <w:rsid w:val="003B1E8C"/>
    <w:rsid w:val="003C0613"/>
    <w:rsid w:val="003C2508"/>
    <w:rsid w:val="003D0AA3"/>
    <w:rsid w:val="003E2086"/>
    <w:rsid w:val="003F7F66"/>
    <w:rsid w:val="00440B3A"/>
    <w:rsid w:val="0044375A"/>
    <w:rsid w:val="0045384C"/>
    <w:rsid w:val="00454553"/>
    <w:rsid w:val="00472A86"/>
    <w:rsid w:val="004B124A"/>
    <w:rsid w:val="004B3095"/>
    <w:rsid w:val="004D2C7C"/>
    <w:rsid w:val="005133B5"/>
    <w:rsid w:val="00524392"/>
    <w:rsid w:val="00532097"/>
    <w:rsid w:val="0056123A"/>
    <w:rsid w:val="0058350F"/>
    <w:rsid w:val="00583C7E"/>
    <w:rsid w:val="0059098E"/>
    <w:rsid w:val="005D46FB"/>
    <w:rsid w:val="005F2605"/>
    <w:rsid w:val="005F3B0E"/>
    <w:rsid w:val="005F3DB8"/>
    <w:rsid w:val="005F559C"/>
    <w:rsid w:val="00602857"/>
    <w:rsid w:val="006124AD"/>
    <w:rsid w:val="00624009"/>
    <w:rsid w:val="00630AF3"/>
    <w:rsid w:val="00636B7A"/>
    <w:rsid w:val="00654EE1"/>
    <w:rsid w:val="00662BA0"/>
    <w:rsid w:val="0067344B"/>
    <w:rsid w:val="00684A94"/>
    <w:rsid w:val="00692AAE"/>
    <w:rsid w:val="006A01BA"/>
    <w:rsid w:val="006A63A4"/>
    <w:rsid w:val="006C0E38"/>
    <w:rsid w:val="006D6E67"/>
    <w:rsid w:val="006E1A13"/>
    <w:rsid w:val="00700CCB"/>
    <w:rsid w:val="00701C20"/>
    <w:rsid w:val="00702F3D"/>
    <w:rsid w:val="0070518E"/>
    <w:rsid w:val="007354E9"/>
    <w:rsid w:val="007424E8"/>
    <w:rsid w:val="0074579D"/>
    <w:rsid w:val="00765578"/>
    <w:rsid w:val="00766333"/>
    <w:rsid w:val="0077084A"/>
    <w:rsid w:val="007952C7"/>
    <w:rsid w:val="007B23F0"/>
    <w:rsid w:val="007B6802"/>
    <w:rsid w:val="007C0B95"/>
    <w:rsid w:val="007C2317"/>
    <w:rsid w:val="007D330A"/>
    <w:rsid w:val="007E18FE"/>
    <w:rsid w:val="00866AE6"/>
    <w:rsid w:val="008750A8"/>
    <w:rsid w:val="008D3316"/>
    <w:rsid w:val="008E5AF2"/>
    <w:rsid w:val="0090121B"/>
    <w:rsid w:val="009144C9"/>
    <w:rsid w:val="0094091F"/>
    <w:rsid w:val="00962171"/>
    <w:rsid w:val="00973754"/>
    <w:rsid w:val="009B184E"/>
    <w:rsid w:val="009C0BED"/>
    <w:rsid w:val="009E11EC"/>
    <w:rsid w:val="00A021CC"/>
    <w:rsid w:val="00A11879"/>
    <w:rsid w:val="00A118DB"/>
    <w:rsid w:val="00A4450C"/>
    <w:rsid w:val="00A93A69"/>
    <w:rsid w:val="00AA5E6C"/>
    <w:rsid w:val="00AE5677"/>
    <w:rsid w:val="00AE658F"/>
    <w:rsid w:val="00AF2CE6"/>
    <w:rsid w:val="00AF2F78"/>
    <w:rsid w:val="00B239FA"/>
    <w:rsid w:val="00B372AB"/>
    <w:rsid w:val="00B47331"/>
    <w:rsid w:val="00B52D55"/>
    <w:rsid w:val="00B8288C"/>
    <w:rsid w:val="00B86034"/>
    <w:rsid w:val="00BC5699"/>
    <w:rsid w:val="00BE2E80"/>
    <w:rsid w:val="00BE5EDD"/>
    <w:rsid w:val="00BE6A1F"/>
    <w:rsid w:val="00BE7EC3"/>
    <w:rsid w:val="00BF6112"/>
    <w:rsid w:val="00C126C4"/>
    <w:rsid w:val="00C44E9E"/>
    <w:rsid w:val="00C47B8D"/>
    <w:rsid w:val="00C57931"/>
    <w:rsid w:val="00C63EB5"/>
    <w:rsid w:val="00C87DA7"/>
    <w:rsid w:val="00C93478"/>
    <w:rsid w:val="00CA26D2"/>
    <w:rsid w:val="00CC01E0"/>
    <w:rsid w:val="00CD5FEE"/>
    <w:rsid w:val="00CE60D2"/>
    <w:rsid w:val="00CE7431"/>
    <w:rsid w:val="00D00CA8"/>
    <w:rsid w:val="00D0288A"/>
    <w:rsid w:val="00D11F81"/>
    <w:rsid w:val="00D72A5D"/>
    <w:rsid w:val="00DA71A3"/>
    <w:rsid w:val="00DC629B"/>
    <w:rsid w:val="00DD20AA"/>
    <w:rsid w:val="00DE1C31"/>
    <w:rsid w:val="00E05BFF"/>
    <w:rsid w:val="00E262F1"/>
    <w:rsid w:val="00E3176A"/>
    <w:rsid w:val="00E36CE4"/>
    <w:rsid w:val="00E37EEF"/>
    <w:rsid w:val="00E54754"/>
    <w:rsid w:val="00E56BD3"/>
    <w:rsid w:val="00E71D14"/>
    <w:rsid w:val="00EA28D3"/>
    <w:rsid w:val="00EA77F0"/>
    <w:rsid w:val="00EB5C56"/>
    <w:rsid w:val="00ED6B18"/>
    <w:rsid w:val="00EF449D"/>
    <w:rsid w:val="00F32316"/>
    <w:rsid w:val="00F66597"/>
    <w:rsid w:val="00F675D0"/>
    <w:rsid w:val="00F8150C"/>
    <w:rsid w:val="00F91198"/>
    <w:rsid w:val="00FB7387"/>
    <w:rsid w:val="00FC6796"/>
    <w:rsid w:val="00FD03C4"/>
    <w:rsid w:val="00FE4574"/>
    <w:rsid w:val="00FF0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2A0234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Artref10pt">
    <w:name w:val="Art_ref + 10 pt"/>
    <w:basedOn w:val="Artref"/>
    <w:rsid w:val="006537F1"/>
    <w:rPr>
      <w:color w:val="000000"/>
      <w:sz w:val="20"/>
    </w:rPr>
  </w:style>
  <w:style w:type="character" w:customStyle="1" w:styleId="BRNormal">
    <w:name w:val="BR_Normal"/>
    <w:basedOn w:val="DefaultParagraphFont"/>
    <w:uiPriority w:val="1"/>
    <w:qFormat/>
    <w:rsid w:val="007209B8"/>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F9119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119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R16-WRC19-C-0209!!MSW-S</DPM_x0020_File_x0020_name>
    <DPM_x0020_Author xmlns="32a1a8c5-2265-4ebc-b7a0-2071e2c5c9bb" xsi:nil="false">DPM</DPM_x0020_Author>
    <DPM_x0020_Version xmlns="32a1a8c5-2265-4ebc-b7a0-2071e2c5c9bb" xsi:nil="false">DPM_2019.11.06.03</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30207BA1-6AF2-415C-A7BD-4AB4345B9535}">
  <ds:schemaRefs>
    <ds:schemaRef ds:uri="996b2e75-67fd-4955-a3b0-5ab9934cb50b"/>
    <ds:schemaRef ds:uri="http://www.w3.org/XML/1998/namespace"/>
    <ds:schemaRef ds:uri="http://purl.org/dc/elements/1.1/"/>
    <ds:schemaRef ds:uri="http://purl.org/dc/terms/"/>
    <ds:schemaRef ds:uri="32a1a8c5-2265-4ebc-b7a0-2071e2c5c9bb"/>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58948191-0F43-4D57-A4FB-C17AD8D1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4324</Words>
  <Characters>23769</Characters>
  <Application>Microsoft Office Word</Application>
  <DocSecurity>0</DocSecurity>
  <Lines>766</Lines>
  <Paragraphs>419</Paragraphs>
  <ScaleCrop>false</ScaleCrop>
  <HeadingPairs>
    <vt:vector size="2" baseType="variant">
      <vt:variant>
        <vt:lpstr>Title</vt:lpstr>
      </vt:variant>
      <vt:variant>
        <vt:i4>1</vt:i4>
      </vt:variant>
    </vt:vector>
  </HeadingPairs>
  <TitlesOfParts>
    <vt:vector size="1" baseType="lpstr">
      <vt:lpstr>R16-WRC19-C-0209!!MSW-S</vt:lpstr>
    </vt:vector>
  </TitlesOfParts>
  <Manager>Secretaría General - Pool</Manager>
  <Company>Unión Internacional de Telecomunicaciones (UIT)</Company>
  <LinksUpToDate>false</LinksUpToDate>
  <CharactersWithSpaces>27674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R16-WRC19-C-0209!!MSW-S</dc:title>
  <dc:subject>Conferencia Mundial de Radiocomunicaciones - 2019</dc:subject>
  <dc:creator>Documents Proposals Manager (DPM)</dc:creator>
  <cp:keywords>DPM_v2019.11.6.2_prod</cp:keywords>
  <dc:description/>
  <cp:lastModifiedBy>Spanish</cp:lastModifiedBy>
  <cp:revision>29</cp:revision>
  <cp:lastPrinted>2019-11-07T12:03:00Z</cp:lastPrinted>
  <dcterms:created xsi:type="dcterms:W3CDTF">2019-11-07T11:44:00Z</dcterms:created>
  <dcterms:modified xsi:type="dcterms:W3CDTF">2019-11-07T12:24:00Z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