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1885D27" w14:textId="77777777">
        <w:trPr>
          <w:cantSplit/>
        </w:trPr>
        <w:tc>
          <w:tcPr>
            <w:tcW w:w="6911" w:type="dxa"/>
          </w:tcPr>
          <w:p w14:paraId="61885D2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1885D26" w14:textId="77777777" w:rsidR="00A066F1" w:rsidRDefault="005F04D8" w:rsidP="003B2284">
            <w:pPr>
              <w:spacing w:before="0" w:line="240" w:lineRule="atLeast"/>
              <w:jc w:val="right"/>
            </w:pPr>
            <w:bookmarkStart w:id="0" w:name="ditulogo"/>
            <w:bookmarkEnd w:id="0"/>
            <w:r>
              <w:rPr>
                <w:noProof/>
                <w:lang w:eastAsia="zh-CN"/>
              </w:rPr>
              <w:drawing>
                <wp:inline distT="0" distB="0" distL="0" distR="0" wp14:anchorId="61885F32" wp14:editId="61885F3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1885D2A" w14:textId="77777777">
        <w:trPr>
          <w:cantSplit/>
        </w:trPr>
        <w:tc>
          <w:tcPr>
            <w:tcW w:w="6911" w:type="dxa"/>
            <w:tcBorders>
              <w:bottom w:val="single" w:sz="12" w:space="0" w:color="auto"/>
            </w:tcBorders>
          </w:tcPr>
          <w:p w14:paraId="61885D28"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1885D29" w14:textId="77777777" w:rsidR="00A066F1" w:rsidRPr="00617BE4" w:rsidRDefault="00A066F1" w:rsidP="00A066F1">
            <w:pPr>
              <w:spacing w:before="0" w:line="240" w:lineRule="atLeast"/>
              <w:rPr>
                <w:rFonts w:ascii="Verdana" w:hAnsi="Verdana"/>
                <w:szCs w:val="24"/>
              </w:rPr>
            </w:pPr>
          </w:p>
        </w:tc>
      </w:tr>
      <w:tr w:rsidR="00A066F1" w:rsidRPr="00C324A8" w14:paraId="61885D2D" w14:textId="77777777">
        <w:trPr>
          <w:cantSplit/>
        </w:trPr>
        <w:tc>
          <w:tcPr>
            <w:tcW w:w="6911" w:type="dxa"/>
            <w:tcBorders>
              <w:top w:val="single" w:sz="12" w:space="0" w:color="auto"/>
            </w:tcBorders>
          </w:tcPr>
          <w:p w14:paraId="61885D2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1885D2C" w14:textId="77777777" w:rsidR="00A066F1" w:rsidRPr="00C324A8" w:rsidRDefault="00A066F1" w:rsidP="00A066F1">
            <w:pPr>
              <w:spacing w:before="0" w:line="240" w:lineRule="atLeast"/>
              <w:rPr>
                <w:rFonts w:ascii="Verdana" w:hAnsi="Verdana"/>
                <w:sz w:val="20"/>
              </w:rPr>
            </w:pPr>
          </w:p>
        </w:tc>
      </w:tr>
      <w:tr w:rsidR="00A066F1" w:rsidRPr="00C324A8" w14:paraId="61885D30" w14:textId="77777777">
        <w:trPr>
          <w:cantSplit/>
          <w:trHeight w:val="23"/>
        </w:trPr>
        <w:tc>
          <w:tcPr>
            <w:tcW w:w="6911" w:type="dxa"/>
            <w:shd w:val="clear" w:color="auto" w:fill="auto"/>
          </w:tcPr>
          <w:p w14:paraId="61885D2E"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1885D2F" w14:textId="77777777" w:rsidR="00A066F1" w:rsidRPr="00841216" w:rsidRDefault="00E55816" w:rsidP="007A4E5D">
            <w:pPr>
              <w:tabs>
                <w:tab w:val="left" w:pos="851"/>
              </w:tabs>
              <w:spacing w:before="0" w:line="240" w:lineRule="atLeast"/>
              <w:rPr>
                <w:rFonts w:ascii="Verdana" w:hAnsi="Verdana"/>
                <w:sz w:val="20"/>
              </w:rPr>
            </w:pPr>
            <w:r>
              <w:rPr>
                <w:rFonts w:ascii="Verdana" w:hAnsi="Verdana"/>
                <w:b/>
                <w:sz w:val="20"/>
              </w:rPr>
              <w:t xml:space="preserve">Document </w:t>
            </w:r>
            <w:r w:rsidR="008B68CD">
              <w:rPr>
                <w:rFonts w:ascii="Verdana" w:hAnsi="Verdana"/>
                <w:b/>
                <w:sz w:val="20"/>
              </w:rPr>
              <w:t>57</w:t>
            </w:r>
            <w:r w:rsidR="007A4E5D">
              <w:rPr>
                <w:rFonts w:ascii="Verdana" w:hAnsi="Verdana"/>
                <w:b/>
                <w:sz w:val="20"/>
              </w:rPr>
              <w:t>1</w:t>
            </w:r>
            <w:r w:rsidR="00A066F1" w:rsidRPr="00841216">
              <w:rPr>
                <w:rFonts w:ascii="Verdana" w:hAnsi="Verdana"/>
                <w:b/>
                <w:sz w:val="20"/>
              </w:rPr>
              <w:t>-</w:t>
            </w:r>
            <w:r w:rsidR="005E10C9" w:rsidRPr="00841216">
              <w:rPr>
                <w:rFonts w:ascii="Verdana" w:hAnsi="Verdana"/>
                <w:b/>
                <w:sz w:val="20"/>
              </w:rPr>
              <w:t>E</w:t>
            </w:r>
          </w:p>
        </w:tc>
      </w:tr>
      <w:tr w:rsidR="00A066F1" w:rsidRPr="00C324A8" w14:paraId="61885D33" w14:textId="77777777">
        <w:trPr>
          <w:cantSplit/>
          <w:trHeight w:val="23"/>
        </w:trPr>
        <w:tc>
          <w:tcPr>
            <w:tcW w:w="6911" w:type="dxa"/>
            <w:shd w:val="clear" w:color="auto" w:fill="auto"/>
          </w:tcPr>
          <w:p w14:paraId="61885D3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1885D32" w14:textId="77777777" w:rsidR="00A066F1" w:rsidRPr="00841216" w:rsidRDefault="008B68CD" w:rsidP="008B68CD">
            <w:pPr>
              <w:tabs>
                <w:tab w:val="left" w:pos="993"/>
              </w:tabs>
              <w:spacing w:before="0"/>
              <w:rPr>
                <w:rFonts w:ascii="Verdana" w:hAnsi="Verdana"/>
                <w:sz w:val="20"/>
              </w:rPr>
            </w:pPr>
            <w:r>
              <w:rPr>
                <w:rFonts w:ascii="Verdana" w:hAnsi="Verdana"/>
                <w:b/>
                <w:sz w:val="20"/>
              </w:rPr>
              <w:t>16</w:t>
            </w:r>
            <w:r w:rsidR="00420873" w:rsidRPr="00841216">
              <w:rPr>
                <w:rFonts w:ascii="Verdana" w:hAnsi="Verdana"/>
                <w:b/>
                <w:sz w:val="20"/>
              </w:rPr>
              <w:t xml:space="preserve"> </w:t>
            </w:r>
            <w:r>
              <w:rPr>
                <w:rFonts w:ascii="Verdana" w:hAnsi="Verdana"/>
                <w:b/>
                <w:sz w:val="20"/>
              </w:rPr>
              <w:t>Dec</w:t>
            </w:r>
            <w:r w:rsidR="00420873" w:rsidRPr="00841216">
              <w:rPr>
                <w:rFonts w:ascii="Verdana" w:hAnsi="Verdana"/>
                <w:b/>
                <w:sz w:val="20"/>
              </w:rPr>
              <w:t>ember 2019</w:t>
            </w:r>
          </w:p>
        </w:tc>
      </w:tr>
      <w:tr w:rsidR="00A066F1" w:rsidRPr="00C324A8" w14:paraId="61885D36" w14:textId="77777777">
        <w:trPr>
          <w:cantSplit/>
          <w:trHeight w:val="23"/>
        </w:trPr>
        <w:tc>
          <w:tcPr>
            <w:tcW w:w="6911" w:type="dxa"/>
            <w:shd w:val="clear" w:color="auto" w:fill="auto"/>
          </w:tcPr>
          <w:p w14:paraId="61885D3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1885D3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1885D38" w14:textId="77777777" w:rsidTr="003D6F21">
        <w:trPr>
          <w:cantSplit/>
          <w:trHeight w:val="23"/>
        </w:trPr>
        <w:tc>
          <w:tcPr>
            <w:tcW w:w="10031" w:type="dxa"/>
            <w:gridSpan w:val="2"/>
            <w:shd w:val="clear" w:color="auto" w:fill="auto"/>
          </w:tcPr>
          <w:p w14:paraId="61885D37" w14:textId="77777777" w:rsidR="00A066F1" w:rsidRPr="00C324A8" w:rsidRDefault="00A066F1" w:rsidP="00A066F1">
            <w:pPr>
              <w:tabs>
                <w:tab w:val="left" w:pos="993"/>
              </w:tabs>
              <w:spacing w:before="0"/>
              <w:rPr>
                <w:rFonts w:ascii="Verdana" w:hAnsi="Verdana"/>
                <w:b/>
                <w:sz w:val="20"/>
              </w:rPr>
            </w:pPr>
          </w:p>
        </w:tc>
      </w:tr>
    </w:tbl>
    <w:tbl>
      <w:tblPr>
        <w:tblW w:w="4889" w:type="pct"/>
        <w:tblLook w:val="0000" w:firstRow="0" w:lastRow="0" w:firstColumn="0" w:lastColumn="0" w:noHBand="0" w:noVBand="0"/>
      </w:tblPr>
      <w:tblGrid>
        <w:gridCol w:w="9425"/>
      </w:tblGrid>
      <w:tr w:rsidR="008B68CD" w:rsidRPr="005916CB" w14:paraId="61885D3C" w14:textId="77777777" w:rsidTr="008B68CD">
        <w:trPr>
          <w:cantSplit/>
        </w:trPr>
        <w:tc>
          <w:tcPr>
            <w:tcW w:w="5000" w:type="pct"/>
          </w:tcPr>
          <w:p w14:paraId="61885D39" w14:textId="77777777" w:rsidR="008B68CD" w:rsidRPr="005916CB" w:rsidRDefault="008B68CD" w:rsidP="008B68CD">
            <w:pPr>
              <w:pStyle w:val="Title1"/>
              <w:spacing w:before="600"/>
              <w:rPr>
                <w:rFonts w:asciiTheme="majorBidi" w:hAnsiTheme="majorBidi" w:cstheme="majorBidi"/>
                <w:sz w:val="24"/>
                <w:szCs w:val="24"/>
              </w:rPr>
            </w:pPr>
            <w:bookmarkStart w:id="8" w:name="dtitle1" w:colFirst="0" w:colLast="0"/>
            <w:bookmarkEnd w:id="6"/>
            <w:bookmarkEnd w:id="7"/>
            <w:r w:rsidRPr="005916CB">
              <w:rPr>
                <w:rFonts w:asciiTheme="majorBidi" w:hAnsiTheme="majorBidi" w:cstheme="majorBidi"/>
                <w:sz w:val="24"/>
                <w:szCs w:val="24"/>
              </w:rPr>
              <w:t>MINUTES</w:t>
            </w:r>
          </w:p>
          <w:p w14:paraId="61885D3A" w14:textId="77777777" w:rsidR="008B68CD" w:rsidRPr="005916CB" w:rsidRDefault="008B68CD" w:rsidP="003D6F21">
            <w:pPr>
              <w:pStyle w:val="Title1"/>
              <w:rPr>
                <w:rFonts w:asciiTheme="majorBidi" w:hAnsiTheme="majorBidi" w:cstheme="majorBidi"/>
                <w:sz w:val="24"/>
                <w:szCs w:val="24"/>
              </w:rPr>
            </w:pPr>
            <w:r w:rsidRPr="005916CB">
              <w:rPr>
                <w:rFonts w:asciiTheme="majorBidi" w:hAnsiTheme="majorBidi" w:cstheme="majorBidi"/>
                <w:sz w:val="24"/>
                <w:szCs w:val="24"/>
              </w:rPr>
              <w:t>OF THE</w:t>
            </w:r>
          </w:p>
          <w:p w14:paraId="61885D3B" w14:textId="77777777" w:rsidR="008B68CD" w:rsidRPr="005916CB" w:rsidRDefault="007A4E5D" w:rsidP="003D6F21">
            <w:pPr>
              <w:pStyle w:val="Title1"/>
              <w:rPr>
                <w:rFonts w:asciiTheme="majorBidi" w:hAnsiTheme="majorBidi" w:cstheme="majorBidi"/>
                <w:sz w:val="24"/>
                <w:szCs w:val="24"/>
              </w:rPr>
            </w:pPr>
            <w:r>
              <w:rPr>
                <w:rFonts w:asciiTheme="majorBidi" w:hAnsiTheme="majorBidi" w:cstheme="majorBidi"/>
                <w:sz w:val="24"/>
                <w:szCs w:val="24"/>
              </w:rPr>
              <w:t>ten</w:t>
            </w:r>
            <w:r w:rsidR="008B68CD" w:rsidRPr="005916CB">
              <w:rPr>
                <w:rFonts w:asciiTheme="majorBidi" w:hAnsiTheme="majorBidi" w:cstheme="majorBidi"/>
                <w:sz w:val="24"/>
                <w:szCs w:val="24"/>
              </w:rPr>
              <w:t>th plenary meeting</w:t>
            </w:r>
          </w:p>
        </w:tc>
      </w:tr>
      <w:bookmarkEnd w:id="8"/>
      <w:tr w:rsidR="008B68CD" w:rsidRPr="005916CB" w14:paraId="61885D3E" w14:textId="77777777" w:rsidTr="008B68CD">
        <w:trPr>
          <w:cantSplit/>
        </w:trPr>
        <w:tc>
          <w:tcPr>
            <w:tcW w:w="5000" w:type="pct"/>
          </w:tcPr>
          <w:p w14:paraId="61885D3D" w14:textId="77777777" w:rsidR="008B68CD" w:rsidRPr="005916CB" w:rsidRDefault="007A4E5D" w:rsidP="003D6F21">
            <w:pPr>
              <w:pStyle w:val="Normalaftertitle"/>
              <w:jc w:val="center"/>
              <w:rPr>
                <w:rFonts w:asciiTheme="majorBidi" w:hAnsiTheme="majorBidi" w:cstheme="majorBidi"/>
                <w:szCs w:val="24"/>
              </w:rPr>
            </w:pPr>
            <w:r>
              <w:rPr>
                <w:rFonts w:asciiTheme="majorBidi" w:hAnsiTheme="majorBidi" w:cstheme="majorBidi"/>
                <w:szCs w:val="24"/>
              </w:rPr>
              <w:t>Wednesday</w:t>
            </w:r>
            <w:r w:rsidRPr="009271F2">
              <w:rPr>
                <w:rFonts w:asciiTheme="majorBidi" w:hAnsiTheme="majorBidi" w:cstheme="majorBidi"/>
                <w:szCs w:val="24"/>
              </w:rPr>
              <w:t xml:space="preserve">, </w:t>
            </w:r>
            <w:r>
              <w:rPr>
                <w:rFonts w:asciiTheme="majorBidi" w:hAnsiTheme="majorBidi" w:cstheme="majorBidi"/>
                <w:szCs w:val="24"/>
              </w:rPr>
              <w:t>20</w:t>
            </w:r>
            <w:r w:rsidRPr="009271F2">
              <w:rPr>
                <w:rFonts w:asciiTheme="majorBidi" w:hAnsiTheme="majorBidi" w:cstheme="majorBidi"/>
                <w:szCs w:val="24"/>
              </w:rPr>
              <w:t xml:space="preserve"> </w:t>
            </w:r>
            <w:r>
              <w:rPr>
                <w:rFonts w:asciiTheme="majorBidi" w:hAnsiTheme="majorBidi" w:cstheme="majorBidi"/>
                <w:szCs w:val="24"/>
              </w:rPr>
              <w:t>November 2019</w:t>
            </w:r>
            <w:r w:rsidRPr="009271F2">
              <w:rPr>
                <w:rFonts w:asciiTheme="majorBidi" w:hAnsiTheme="majorBidi" w:cstheme="majorBidi"/>
                <w:szCs w:val="24"/>
              </w:rPr>
              <w:t xml:space="preserve">, at </w:t>
            </w:r>
            <w:r>
              <w:rPr>
                <w:rFonts w:asciiTheme="majorBidi" w:hAnsiTheme="majorBidi" w:cstheme="majorBidi"/>
                <w:szCs w:val="24"/>
              </w:rPr>
              <w:t xml:space="preserve">0905 </w:t>
            </w:r>
            <w:r w:rsidRPr="009271F2">
              <w:rPr>
                <w:rFonts w:asciiTheme="majorBidi" w:hAnsiTheme="majorBidi" w:cstheme="majorBidi"/>
                <w:szCs w:val="24"/>
              </w:rPr>
              <w:t>hours</w:t>
            </w:r>
          </w:p>
        </w:tc>
      </w:tr>
      <w:tr w:rsidR="008B68CD" w:rsidRPr="005916CB" w14:paraId="61885D40" w14:textId="77777777" w:rsidTr="008B68CD">
        <w:trPr>
          <w:cantSplit/>
        </w:trPr>
        <w:tc>
          <w:tcPr>
            <w:tcW w:w="5000" w:type="pct"/>
          </w:tcPr>
          <w:p w14:paraId="61885D3F" w14:textId="77777777" w:rsidR="008B68CD" w:rsidRPr="005916CB" w:rsidRDefault="008B68CD" w:rsidP="003D6F21">
            <w:pPr>
              <w:jc w:val="center"/>
              <w:rPr>
                <w:rFonts w:asciiTheme="majorBidi" w:hAnsiTheme="majorBidi" w:cstheme="majorBidi"/>
                <w:szCs w:val="24"/>
              </w:rPr>
            </w:pPr>
            <w:r w:rsidRPr="005916CB">
              <w:rPr>
                <w:rFonts w:asciiTheme="majorBidi" w:hAnsiTheme="majorBidi" w:cstheme="majorBidi"/>
                <w:b/>
                <w:bCs/>
                <w:szCs w:val="24"/>
              </w:rPr>
              <w:t>Chairman:</w:t>
            </w:r>
            <w:r w:rsidRPr="005916CB">
              <w:rPr>
                <w:rFonts w:asciiTheme="majorBidi" w:hAnsiTheme="majorBidi" w:cstheme="majorBidi"/>
                <w:szCs w:val="24"/>
              </w:rPr>
              <w:t xml:space="preserve">  </w:t>
            </w:r>
            <w:bookmarkStart w:id="9" w:name="_Hlk24723908"/>
            <w:r w:rsidRPr="005916CB">
              <w:rPr>
                <w:rFonts w:asciiTheme="majorBidi" w:hAnsiTheme="majorBidi" w:cstheme="majorBidi"/>
                <w:szCs w:val="24"/>
              </w:rPr>
              <w:t xml:space="preserve">Mr A. BADAWI </w:t>
            </w:r>
            <w:bookmarkEnd w:id="9"/>
            <w:r w:rsidRPr="005916CB">
              <w:rPr>
                <w:rFonts w:asciiTheme="majorBidi" w:hAnsiTheme="majorBidi" w:cstheme="majorBidi"/>
                <w:szCs w:val="24"/>
              </w:rPr>
              <w:t>(Egypt)</w:t>
            </w:r>
          </w:p>
        </w:tc>
      </w:tr>
    </w:tbl>
    <w:p w14:paraId="61885D41" w14:textId="77777777" w:rsidR="008B68CD" w:rsidRDefault="008B68CD" w:rsidP="008B68CD">
      <w:pPr>
        <w:rPr>
          <w:rFonts w:asciiTheme="majorBidi" w:hAnsiTheme="majorBidi" w:cstheme="majorBidi"/>
          <w:szCs w:val="24"/>
        </w:rPr>
      </w:pPr>
    </w:p>
    <w:tbl>
      <w:tblPr>
        <w:tblW w:w="10031" w:type="dxa"/>
        <w:tblLook w:val="0000" w:firstRow="0" w:lastRow="0" w:firstColumn="0" w:lastColumn="0" w:noHBand="0" w:noVBand="0"/>
      </w:tblPr>
      <w:tblGrid>
        <w:gridCol w:w="534"/>
        <w:gridCol w:w="7159"/>
        <w:gridCol w:w="2338"/>
      </w:tblGrid>
      <w:tr w:rsidR="007A4E5D" w:rsidRPr="009271F2" w14:paraId="61885D45" w14:textId="77777777" w:rsidTr="003D6F21">
        <w:tc>
          <w:tcPr>
            <w:tcW w:w="534" w:type="dxa"/>
          </w:tcPr>
          <w:p w14:paraId="61885D42" w14:textId="77777777" w:rsidR="007A4E5D" w:rsidRPr="009271F2" w:rsidRDefault="007A4E5D" w:rsidP="003D6F21">
            <w:pPr>
              <w:pStyle w:val="toc0"/>
              <w:rPr>
                <w:rFonts w:asciiTheme="majorBidi" w:hAnsiTheme="majorBidi" w:cstheme="majorBidi"/>
                <w:szCs w:val="24"/>
              </w:rPr>
            </w:pPr>
          </w:p>
        </w:tc>
        <w:tc>
          <w:tcPr>
            <w:tcW w:w="7159" w:type="dxa"/>
          </w:tcPr>
          <w:p w14:paraId="61885D43" w14:textId="77777777" w:rsidR="007A4E5D" w:rsidRPr="009271F2" w:rsidRDefault="007A4E5D" w:rsidP="003D6F21">
            <w:pPr>
              <w:pStyle w:val="toc0"/>
              <w:rPr>
                <w:rFonts w:asciiTheme="majorBidi" w:hAnsiTheme="majorBidi" w:cstheme="majorBidi"/>
                <w:szCs w:val="24"/>
              </w:rPr>
            </w:pPr>
            <w:r w:rsidRPr="009271F2">
              <w:rPr>
                <w:rFonts w:asciiTheme="majorBidi" w:hAnsiTheme="majorBidi" w:cstheme="majorBidi"/>
                <w:szCs w:val="24"/>
              </w:rPr>
              <w:t>Subjects discussed</w:t>
            </w:r>
          </w:p>
        </w:tc>
        <w:tc>
          <w:tcPr>
            <w:tcW w:w="2338" w:type="dxa"/>
          </w:tcPr>
          <w:p w14:paraId="61885D44" w14:textId="77777777" w:rsidR="007A4E5D" w:rsidRPr="009271F2" w:rsidRDefault="007A4E5D" w:rsidP="003D6F21">
            <w:pPr>
              <w:pStyle w:val="toc0"/>
              <w:jc w:val="center"/>
              <w:rPr>
                <w:rFonts w:asciiTheme="majorBidi" w:hAnsiTheme="majorBidi" w:cstheme="majorBidi"/>
                <w:szCs w:val="24"/>
              </w:rPr>
            </w:pPr>
            <w:r w:rsidRPr="009271F2">
              <w:rPr>
                <w:rFonts w:asciiTheme="majorBidi" w:hAnsiTheme="majorBidi" w:cstheme="majorBidi"/>
                <w:szCs w:val="24"/>
              </w:rPr>
              <w:t>Documents</w:t>
            </w:r>
          </w:p>
        </w:tc>
      </w:tr>
      <w:tr w:rsidR="007A4E5D" w:rsidRPr="00484A97" w14:paraId="61885D49" w14:textId="77777777" w:rsidTr="003D6F21">
        <w:tc>
          <w:tcPr>
            <w:tcW w:w="534" w:type="dxa"/>
          </w:tcPr>
          <w:p w14:paraId="61885D46"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w:t>
            </w:r>
          </w:p>
        </w:tc>
        <w:tc>
          <w:tcPr>
            <w:tcW w:w="7159" w:type="dxa"/>
          </w:tcPr>
          <w:p w14:paraId="61885D47" w14:textId="77777777" w:rsidR="007A4E5D" w:rsidRPr="00484A97" w:rsidRDefault="007A4E5D" w:rsidP="003D6F21">
            <w:pPr>
              <w:rPr>
                <w:rFonts w:asciiTheme="majorBidi" w:hAnsiTheme="majorBidi" w:cstheme="majorBidi"/>
                <w:bCs/>
                <w:szCs w:val="24"/>
              </w:rPr>
            </w:pPr>
            <w:r>
              <w:rPr>
                <w:rFonts w:asciiTheme="majorBidi" w:hAnsiTheme="majorBidi" w:cstheme="majorBidi"/>
                <w:bCs/>
                <w:szCs w:val="24"/>
              </w:rPr>
              <w:t>Oral r</w:t>
            </w:r>
            <w:r w:rsidRPr="00484A97">
              <w:rPr>
                <w:rFonts w:asciiTheme="majorBidi" w:hAnsiTheme="majorBidi" w:cstheme="majorBidi"/>
                <w:bCs/>
                <w:szCs w:val="24"/>
              </w:rPr>
              <w:t xml:space="preserve">eports </w:t>
            </w:r>
            <w:r>
              <w:rPr>
                <w:rFonts w:asciiTheme="majorBidi" w:hAnsiTheme="majorBidi" w:cstheme="majorBidi"/>
                <w:bCs/>
                <w:szCs w:val="24"/>
              </w:rPr>
              <w:t>by</w:t>
            </w:r>
            <w:r w:rsidRPr="00484A97">
              <w:rPr>
                <w:rFonts w:asciiTheme="majorBidi" w:hAnsiTheme="majorBidi" w:cstheme="majorBidi"/>
                <w:bCs/>
                <w:szCs w:val="24"/>
              </w:rPr>
              <w:t xml:space="preserve"> the </w:t>
            </w:r>
            <w:r>
              <w:rPr>
                <w:rFonts w:asciiTheme="majorBidi" w:hAnsiTheme="majorBidi" w:cstheme="majorBidi"/>
                <w:bCs/>
                <w:szCs w:val="24"/>
              </w:rPr>
              <w:t>c</w:t>
            </w:r>
            <w:r w:rsidRPr="00484A97">
              <w:rPr>
                <w:rFonts w:asciiTheme="majorBidi" w:hAnsiTheme="majorBidi" w:cstheme="majorBidi"/>
                <w:bCs/>
                <w:szCs w:val="24"/>
              </w:rPr>
              <w:t>ommittee</w:t>
            </w:r>
            <w:r>
              <w:rPr>
                <w:rFonts w:asciiTheme="majorBidi" w:hAnsiTheme="majorBidi" w:cstheme="majorBidi"/>
                <w:bCs/>
                <w:szCs w:val="24"/>
              </w:rPr>
              <w:t xml:space="preserve"> chairmen and the chairmen of the</w:t>
            </w:r>
            <w:r w:rsidRPr="00484A97">
              <w:rPr>
                <w:rFonts w:asciiTheme="majorBidi" w:hAnsiTheme="majorBidi" w:cstheme="majorBidi"/>
                <w:bCs/>
                <w:szCs w:val="24"/>
              </w:rPr>
              <w:t xml:space="preserve"> </w:t>
            </w:r>
            <w:r>
              <w:rPr>
                <w:rFonts w:asciiTheme="majorBidi" w:hAnsiTheme="majorBidi" w:cstheme="majorBidi"/>
                <w:bCs/>
                <w:szCs w:val="24"/>
              </w:rPr>
              <w:t>a</w:t>
            </w:r>
            <w:r w:rsidRPr="00484A97">
              <w:rPr>
                <w:rFonts w:asciiTheme="majorBidi" w:hAnsiTheme="majorBidi" w:cstheme="majorBidi"/>
                <w:bCs/>
                <w:szCs w:val="24"/>
              </w:rPr>
              <w:t xml:space="preserve">d hoc </w:t>
            </w:r>
            <w:r>
              <w:rPr>
                <w:rFonts w:asciiTheme="majorBidi" w:hAnsiTheme="majorBidi" w:cstheme="majorBidi"/>
                <w:bCs/>
                <w:szCs w:val="24"/>
              </w:rPr>
              <w:t>g</w:t>
            </w:r>
            <w:r w:rsidRPr="00484A97">
              <w:rPr>
                <w:rFonts w:asciiTheme="majorBidi" w:hAnsiTheme="majorBidi" w:cstheme="majorBidi"/>
                <w:bCs/>
                <w:szCs w:val="24"/>
              </w:rPr>
              <w:t>roups of the Plenary</w:t>
            </w:r>
          </w:p>
        </w:tc>
        <w:tc>
          <w:tcPr>
            <w:tcW w:w="2338" w:type="dxa"/>
          </w:tcPr>
          <w:p w14:paraId="61885D48" w14:textId="77777777" w:rsidR="007A4E5D" w:rsidRPr="00484A97" w:rsidRDefault="007A4E5D" w:rsidP="003D6F21">
            <w:pPr>
              <w:pStyle w:val="toc0"/>
              <w:jc w:val="center"/>
              <w:rPr>
                <w:rFonts w:asciiTheme="majorBidi" w:hAnsiTheme="majorBidi" w:cstheme="majorBidi"/>
                <w:b w:val="0"/>
                <w:bCs/>
                <w:szCs w:val="24"/>
              </w:rPr>
            </w:pPr>
            <w:r>
              <w:rPr>
                <w:rFonts w:asciiTheme="majorBidi" w:hAnsiTheme="majorBidi" w:cstheme="majorBidi"/>
                <w:b w:val="0"/>
                <w:bCs/>
                <w:szCs w:val="24"/>
              </w:rPr>
              <w:t>-</w:t>
            </w:r>
          </w:p>
        </w:tc>
      </w:tr>
      <w:tr w:rsidR="007A4E5D" w:rsidRPr="00484A97" w14:paraId="61885D4E" w14:textId="77777777" w:rsidTr="003D6F21">
        <w:tc>
          <w:tcPr>
            <w:tcW w:w="534" w:type="dxa"/>
          </w:tcPr>
          <w:p w14:paraId="61885D4A"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2</w:t>
            </w:r>
          </w:p>
        </w:tc>
        <w:tc>
          <w:tcPr>
            <w:tcW w:w="7159" w:type="dxa"/>
          </w:tcPr>
          <w:p w14:paraId="61885D4B" w14:textId="77777777" w:rsidR="007A4E5D" w:rsidRPr="00484A97" w:rsidRDefault="007A4E5D" w:rsidP="003D6F21">
            <w:pPr>
              <w:rPr>
                <w:rFonts w:asciiTheme="majorBidi" w:hAnsiTheme="majorBidi" w:cstheme="majorBidi"/>
                <w:bCs/>
                <w:szCs w:val="24"/>
              </w:rPr>
            </w:pPr>
            <w:r w:rsidRPr="00484A97">
              <w:rPr>
                <w:rFonts w:asciiTheme="majorBidi" w:hAnsiTheme="majorBidi" w:cstheme="majorBidi"/>
                <w:bCs/>
                <w:szCs w:val="24"/>
              </w:rPr>
              <w:t>Documents for approval</w:t>
            </w:r>
          </w:p>
        </w:tc>
        <w:tc>
          <w:tcPr>
            <w:tcW w:w="2338" w:type="dxa"/>
          </w:tcPr>
          <w:p w14:paraId="61885D4C" w14:textId="77777777" w:rsidR="007A4E5D"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499,</w:t>
            </w:r>
            <w:r>
              <w:rPr>
                <w:rFonts w:asciiTheme="majorBidi" w:hAnsiTheme="majorBidi" w:cstheme="majorBidi"/>
                <w:b w:val="0"/>
                <w:bCs/>
                <w:szCs w:val="24"/>
              </w:rPr>
              <w:t xml:space="preserve"> </w:t>
            </w:r>
            <w:r w:rsidRPr="00484A97">
              <w:rPr>
                <w:rFonts w:asciiTheme="majorBidi" w:hAnsiTheme="majorBidi" w:cstheme="majorBidi"/>
                <w:b w:val="0"/>
                <w:bCs/>
                <w:szCs w:val="24"/>
              </w:rPr>
              <w:t>500,</w:t>
            </w:r>
            <w:r>
              <w:rPr>
                <w:rFonts w:asciiTheme="majorBidi" w:hAnsiTheme="majorBidi" w:cstheme="majorBidi"/>
                <w:b w:val="0"/>
                <w:bCs/>
                <w:szCs w:val="24"/>
              </w:rPr>
              <w:t xml:space="preserve"> </w:t>
            </w:r>
          </w:p>
          <w:p w14:paraId="61885D4D"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509,</w:t>
            </w:r>
            <w:r>
              <w:rPr>
                <w:rFonts w:asciiTheme="majorBidi" w:hAnsiTheme="majorBidi" w:cstheme="majorBidi"/>
                <w:b w:val="0"/>
                <w:bCs/>
                <w:szCs w:val="24"/>
              </w:rPr>
              <w:t xml:space="preserve"> </w:t>
            </w:r>
            <w:r w:rsidRPr="00484A97">
              <w:rPr>
                <w:rFonts w:asciiTheme="majorBidi" w:hAnsiTheme="majorBidi" w:cstheme="majorBidi"/>
                <w:b w:val="0"/>
                <w:bCs/>
                <w:szCs w:val="24"/>
              </w:rPr>
              <w:t>510</w:t>
            </w:r>
            <w:r>
              <w:rPr>
                <w:rFonts w:asciiTheme="majorBidi" w:hAnsiTheme="majorBidi" w:cstheme="majorBidi"/>
                <w:b w:val="0"/>
                <w:bCs/>
                <w:szCs w:val="24"/>
              </w:rPr>
              <w:t>,</w:t>
            </w:r>
            <w:r w:rsidRPr="00484A97">
              <w:rPr>
                <w:rFonts w:asciiTheme="majorBidi" w:hAnsiTheme="majorBidi" w:cstheme="majorBidi"/>
                <w:b w:val="0"/>
                <w:bCs/>
                <w:szCs w:val="24"/>
              </w:rPr>
              <w:t xml:space="preserve"> 518</w:t>
            </w:r>
          </w:p>
        </w:tc>
      </w:tr>
      <w:tr w:rsidR="007A4E5D" w:rsidRPr="00484A97" w14:paraId="61885D52" w14:textId="77777777" w:rsidTr="003D6F21">
        <w:tc>
          <w:tcPr>
            <w:tcW w:w="534" w:type="dxa"/>
          </w:tcPr>
          <w:p w14:paraId="61885D4F"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3</w:t>
            </w:r>
          </w:p>
        </w:tc>
        <w:tc>
          <w:tcPr>
            <w:tcW w:w="7159" w:type="dxa"/>
          </w:tcPr>
          <w:p w14:paraId="61885D50" w14:textId="77777777" w:rsidR="007A4E5D" w:rsidRPr="00484A97" w:rsidRDefault="007A4E5D" w:rsidP="003D6F21">
            <w:pPr>
              <w:pStyle w:val="toc0"/>
              <w:rPr>
                <w:rFonts w:asciiTheme="majorBidi" w:hAnsiTheme="majorBidi" w:cstheme="majorBidi"/>
                <w:b w:val="0"/>
                <w:bCs/>
                <w:szCs w:val="24"/>
              </w:rPr>
            </w:pPr>
            <w:r w:rsidRPr="00484A97">
              <w:rPr>
                <w:b w:val="0"/>
                <w:bCs/>
              </w:rPr>
              <w:t>Thirty-seventh series of texts submitted by the Editorial Committee for first reading (B37)</w:t>
            </w:r>
          </w:p>
        </w:tc>
        <w:tc>
          <w:tcPr>
            <w:tcW w:w="2338" w:type="dxa"/>
          </w:tcPr>
          <w:p w14:paraId="61885D51"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496</w:t>
            </w:r>
          </w:p>
        </w:tc>
      </w:tr>
      <w:tr w:rsidR="007A4E5D" w:rsidRPr="00484A97" w14:paraId="61885D56" w14:textId="77777777" w:rsidTr="003D6F21">
        <w:tc>
          <w:tcPr>
            <w:tcW w:w="534" w:type="dxa"/>
          </w:tcPr>
          <w:p w14:paraId="61885D53"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4</w:t>
            </w:r>
          </w:p>
        </w:tc>
        <w:tc>
          <w:tcPr>
            <w:tcW w:w="7159" w:type="dxa"/>
          </w:tcPr>
          <w:p w14:paraId="61885D54" w14:textId="77777777" w:rsidR="007A4E5D" w:rsidRPr="00484A97" w:rsidRDefault="007A4E5D" w:rsidP="003D6F21">
            <w:pPr>
              <w:rPr>
                <w:rFonts w:asciiTheme="majorBidi" w:hAnsiTheme="majorBidi" w:cstheme="majorBidi"/>
                <w:bCs/>
                <w:szCs w:val="24"/>
              </w:rPr>
            </w:pPr>
            <w:r w:rsidRPr="00484A97">
              <w:rPr>
                <w:rFonts w:asciiTheme="majorBidi" w:hAnsiTheme="majorBidi" w:cstheme="majorBidi"/>
                <w:bCs/>
                <w:szCs w:val="24"/>
              </w:rPr>
              <w:t>Thirty-seventh series of texts submitted by the Editorial Committee (B37) – second reading</w:t>
            </w:r>
          </w:p>
        </w:tc>
        <w:tc>
          <w:tcPr>
            <w:tcW w:w="2338" w:type="dxa"/>
          </w:tcPr>
          <w:p w14:paraId="61885D55"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496</w:t>
            </w:r>
          </w:p>
        </w:tc>
      </w:tr>
      <w:tr w:rsidR="007A4E5D" w:rsidRPr="00484A97" w14:paraId="61885D5A" w14:textId="77777777" w:rsidTr="003D6F21">
        <w:tc>
          <w:tcPr>
            <w:tcW w:w="534" w:type="dxa"/>
          </w:tcPr>
          <w:p w14:paraId="61885D57"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5</w:t>
            </w:r>
          </w:p>
        </w:tc>
        <w:tc>
          <w:tcPr>
            <w:tcW w:w="7159" w:type="dxa"/>
            <w:shd w:val="clear" w:color="auto" w:fill="auto"/>
          </w:tcPr>
          <w:p w14:paraId="61885D58" w14:textId="77777777" w:rsidR="007A4E5D" w:rsidRPr="00484A97" w:rsidRDefault="007A4E5D" w:rsidP="003D6F21">
            <w:pPr>
              <w:rPr>
                <w:rFonts w:asciiTheme="majorBidi" w:hAnsiTheme="majorBidi" w:cstheme="majorBidi"/>
                <w:bCs/>
                <w:szCs w:val="24"/>
              </w:rPr>
            </w:pPr>
            <w:r w:rsidRPr="00484A97">
              <w:rPr>
                <w:bCs/>
              </w:rPr>
              <w:t>Thirty-eighth series of texts submitted by the Editorial Committee for first reading (B38)</w:t>
            </w:r>
          </w:p>
        </w:tc>
        <w:tc>
          <w:tcPr>
            <w:tcW w:w="2338" w:type="dxa"/>
          </w:tcPr>
          <w:p w14:paraId="61885D59" w14:textId="77777777" w:rsidR="007A4E5D" w:rsidRPr="00484A97" w:rsidRDefault="007A4E5D" w:rsidP="003D6F21">
            <w:pPr>
              <w:jc w:val="center"/>
              <w:rPr>
                <w:rFonts w:asciiTheme="majorBidi" w:hAnsiTheme="majorBidi" w:cstheme="majorBidi"/>
                <w:bCs/>
                <w:szCs w:val="24"/>
              </w:rPr>
            </w:pPr>
            <w:r w:rsidRPr="00484A97">
              <w:rPr>
                <w:rFonts w:asciiTheme="majorBidi" w:hAnsiTheme="majorBidi" w:cstheme="majorBidi"/>
                <w:bCs/>
                <w:szCs w:val="24"/>
              </w:rPr>
              <w:t>497</w:t>
            </w:r>
          </w:p>
        </w:tc>
      </w:tr>
      <w:tr w:rsidR="007A4E5D" w:rsidRPr="00484A97" w14:paraId="61885D5E" w14:textId="77777777" w:rsidTr="003D6F21">
        <w:tc>
          <w:tcPr>
            <w:tcW w:w="534" w:type="dxa"/>
          </w:tcPr>
          <w:p w14:paraId="61885D5B"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6</w:t>
            </w:r>
          </w:p>
        </w:tc>
        <w:tc>
          <w:tcPr>
            <w:tcW w:w="7159" w:type="dxa"/>
            <w:shd w:val="clear" w:color="auto" w:fill="auto"/>
          </w:tcPr>
          <w:p w14:paraId="61885D5C" w14:textId="77777777" w:rsidR="007A4E5D" w:rsidRPr="00484A97" w:rsidRDefault="007A4E5D" w:rsidP="003D6F21">
            <w:pPr>
              <w:rPr>
                <w:rFonts w:asciiTheme="majorBidi" w:hAnsiTheme="majorBidi" w:cstheme="majorBidi"/>
                <w:bCs/>
                <w:szCs w:val="24"/>
              </w:rPr>
            </w:pPr>
            <w:r w:rsidRPr="00484A97">
              <w:rPr>
                <w:rFonts w:asciiTheme="majorBidi" w:hAnsiTheme="majorBidi" w:cstheme="majorBidi"/>
                <w:bCs/>
                <w:szCs w:val="24"/>
              </w:rPr>
              <w:t>Thirty-eighth series of texts submitted by the Editorial Committee (B38) – second reading</w:t>
            </w:r>
          </w:p>
        </w:tc>
        <w:tc>
          <w:tcPr>
            <w:tcW w:w="2338" w:type="dxa"/>
          </w:tcPr>
          <w:p w14:paraId="61885D5D"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497</w:t>
            </w:r>
          </w:p>
        </w:tc>
      </w:tr>
      <w:tr w:rsidR="007A4E5D" w:rsidRPr="00484A97" w14:paraId="61885D62" w14:textId="77777777" w:rsidTr="003D6F21">
        <w:tc>
          <w:tcPr>
            <w:tcW w:w="534" w:type="dxa"/>
          </w:tcPr>
          <w:p w14:paraId="61885D5F"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7</w:t>
            </w:r>
          </w:p>
        </w:tc>
        <w:tc>
          <w:tcPr>
            <w:tcW w:w="7159" w:type="dxa"/>
          </w:tcPr>
          <w:p w14:paraId="61885D60" w14:textId="77777777" w:rsidR="007A4E5D" w:rsidRPr="00484A97" w:rsidRDefault="007A4E5D" w:rsidP="003D6F21">
            <w:pPr>
              <w:pStyle w:val="toc0"/>
              <w:rPr>
                <w:rFonts w:asciiTheme="majorBidi" w:hAnsiTheme="majorBidi" w:cstheme="majorBidi"/>
                <w:b w:val="0"/>
                <w:bCs/>
                <w:szCs w:val="24"/>
              </w:rPr>
            </w:pPr>
            <w:r w:rsidRPr="00484A97">
              <w:rPr>
                <w:b w:val="0"/>
                <w:bCs/>
              </w:rPr>
              <w:t>Thirty-ninth series of texts submitted by the Editorial Committee for first reading (B39)</w:t>
            </w:r>
          </w:p>
        </w:tc>
        <w:tc>
          <w:tcPr>
            <w:tcW w:w="2338" w:type="dxa"/>
          </w:tcPr>
          <w:p w14:paraId="61885D61"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501</w:t>
            </w:r>
          </w:p>
        </w:tc>
      </w:tr>
      <w:tr w:rsidR="007A4E5D" w:rsidRPr="00484A97" w14:paraId="61885D66" w14:textId="77777777" w:rsidTr="003D6F21">
        <w:tc>
          <w:tcPr>
            <w:tcW w:w="534" w:type="dxa"/>
          </w:tcPr>
          <w:p w14:paraId="61885D63"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8</w:t>
            </w:r>
          </w:p>
        </w:tc>
        <w:tc>
          <w:tcPr>
            <w:tcW w:w="7159" w:type="dxa"/>
          </w:tcPr>
          <w:p w14:paraId="61885D64" w14:textId="77777777" w:rsidR="007A4E5D" w:rsidRPr="00484A97" w:rsidRDefault="007A4E5D" w:rsidP="003D6F21">
            <w:pPr>
              <w:pStyle w:val="toc0"/>
              <w:rPr>
                <w:rFonts w:asciiTheme="majorBidi" w:hAnsiTheme="majorBidi" w:cstheme="majorBidi"/>
                <w:b w:val="0"/>
                <w:bCs/>
                <w:szCs w:val="24"/>
              </w:rPr>
            </w:pPr>
            <w:r w:rsidRPr="00484A97">
              <w:rPr>
                <w:rFonts w:asciiTheme="majorBidi" w:hAnsiTheme="majorBidi" w:cstheme="majorBidi"/>
                <w:b w:val="0"/>
                <w:bCs/>
                <w:szCs w:val="24"/>
              </w:rPr>
              <w:t>Thirty-ninth series of texts submitted by the Editorial Committee (B39) – second reading</w:t>
            </w:r>
          </w:p>
        </w:tc>
        <w:tc>
          <w:tcPr>
            <w:tcW w:w="2338" w:type="dxa"/>
          </w:tcPr>
          <w:p w14:paraId="61885D65"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501</w:t>
            </w:r>
          </w:p>
        </w:tc>
      </w:tr>
      <w:tr w:rsidR="007A4E5D" w:rsidRPr="00484A97" w14:paraId="61885D6A" w14:textId="77777777" w:rsidTr="003D6F21">
        <w:tc>
          <w:tcPr>
            <w:tcW w:w="534" w:type="dxa"/>
          </w:tcPr>
          <w:p w14:paraId="61885D67"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9</w:t>
            </w:r>
          </w:p>
        </w:tc>
        <w:tc>
          <w:tcPr>
            <w:tcW w:w="7159" w:type="dxa"/>
          </w:tcPr>
          <w:p w14:paraId="61885D68" w14:textId="77777777" w:rsidR="007A4E5D" w:rsidRPr="00484A97" w:rsidRDefault="007A4E5D" w:rsidP="003D6F21">
            <w:pPr>
              <w:pStyle w:val="toc0"/>
              <w:rPr>
                <w:rFonts w:asciiTheme="majorBidi" w:hAnsiTheme="majorBidi" w:cstheme="majorBidi"/>
                <w:b w:val="0"/>
                <w:bCs/>
                <w:szCs w:val="24"/>
              </w:rPr>
            </w:pPr>
            <w:r w:rsidRPr="00484A97">
              <w:rPr>
                <w:b w:val="0"/>
                <w:bCs/>
              </w:rPr>
              <w:t>Fortieth series of texts submitted by the Editorial Committee for first reading (B40)</w:t>
            </w:r>
          </w:p>
        </w:tc>
        <w:tc>
          <w:tcPr>
            <w:tcW w:w="2338" w:type="dxa"/>
          </w:tcPr>
          <w:p w14:paraId="61885D69"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502</w:t>
            </w:r>
          </w:p>
        </w:tc>
      </w:tr>
      <w:tr w:rsidR="007A4E5D" w:rsidRPr="00484A97" w14:paraId="61885D6E" w14:textId="77777777" w:rsidTr="003D6F21">
        <w:tc>
          <w:tcPr>
            <w:tcW w:w="534" w:type="dxa"/>
          </w:tcPr>
          <w:p w14:paraId="61885D6B"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10</w:t>
            </w:r>
          </w:p>
        </w:tc>
        <w:tc>
          <w:tcPr>
            <w:tcW w:w="7159" w:type="dxa"/>
          </w:tcPr>
          <w:p w14:paraId="61885D6C" w14:textId="77777777" w:rsidR="007A4E5D" w:rsidRPr="00484A97" w:rsidRDefault="007A4E5D" w:rsidP="003D6F21">
            <w:pPr>
              <w:pStyle w:val="toc0"/>
              <w:rPr>
                <w:rFonts w:asciiTheme="majorBidi" w:hAnsiTheme="majorBidi" w:cstheme="majorBidi"/>
                <w:b w:val="0"/>
                <w:bCs/>
                <w:szCs w:val="24"/>
              </w:rPr>
            </w:pPr>
            <w:r w:rsidRPr="00484A97">
              <w:rPr>
                <w:rFonts w:asciiTheme="majorBidi" w:hAnsiTheme="majorBidi" w:cstheme="majorBidi"/>
                <w:b w:val="0"/>
                <w:bCs/>
                <w:szCs w:val="24"/>
              </w:rPr>
              <w:t>Fortieth series of texts submitted by the Editorial Committee (B40) – second reading</w:t>
            </w:r>
          </w:p>
        </w:tc>
        <w:tc>
          <w:tcPr>
            <w:tcW w:w="2338" w:type="dxa"/>
          </w:tcPr>
          <w:p w14:paraId="61885D6D"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499,</w:t>
            </w:r>
            <w:r>
              <w:rPr>
                <w:rFonts w:asciiTheme="majorBidi" w:hAnsiTheme="majorBidi" w:cstheme="majorBidi"/>
                <w:b w:val="0"/>
                <w:bCs/>
                <w:szCs w:val="24"/>
              </w:rPr>
              <w:t xml:space="preserve"> </w:t>
            </w:r>
            <w:r w:rsidRPr="00484A97">
              <w:rPr>
                <w:rFonts w:asciiTheme="majorBidi" w:hAnsiTheme="majorBidi" w:cstheme="majorBidi"/>
                <w:b w:val="0"/>
                <w:bCs/>
                <w:szCs w:val="24"/>
              </w:rPr>
              <w:t>500</w:t>
            </w:r>
            <w:r>
              <w:rPr>
                <w:rFonts w:asciiTheme="majorBidi" w:hAnsiTheme="majorBidi" w:cstheme="majorBidi"/>
                <w:b w:val="0"/>
                <w:bCs/>
                <w:szCs w:val="24"/>
              </w:rPr>
              <w:t>,</w:t>
            </w:r>
            <w:r w:rsidRPr="00484A97">
              <w:rPr>
                <w:rFonts w:asciiTheme="majorBidi" w:hAnsiTheme="majorBidi" w:cstheme="majorBidi"/>
                <w:b w:val="0"/>
                <w:bCs/>
                <w:szCs w:val="24"/>
              </w:rPr>
              <w:t xml:space="preserve"> 502</w:t>
            </w:r>
          </w:p>
        </w:tc>
      </w:tr>
      <w:tr w:rsidR="007A4E5D" w:rsidRPr="00484A97" w14:paraId="61885D72" w14:textId="77777777" w:rsidTr="003D6F21">
        <w:tc>
          <w:tcPr>
            <w:tcW w:w="534" w:type="dxa"/>
          </w:tcPr>
          <w:p w14:paraId="61885D6F"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11</w:t>
            </w:r>
          </w:p>
        </w:tc>
        <w:tc>
          <w:tcPr>
            <w:tcW w:w="7159" w:type="dxa"/>
          </w:tcPr>
          <w:p w14:paraId="61885D70" w14:textId="77777777" w:rsidR="007A4E5D" w:rsidRPr="00484A97" w:rsidRDefault="007A4E5D" w:rsidP="003D6F21">
            <w:pPr>
              <w:pStyle w:val="toc0"/>
              <w:rPr>
                <w:rFonts w:asciiTheme="majorBidi" w:hAnsiTheme="majorBidi" w:cstheme="majorBidi"/>
                <w:b w:val="0"/>
                <w:bCs/>
                <w:szCs w:val="24"/>
                <w:highlight w:val="yellow"/>
              </w:rPr>
            </w:pPr>
            <w:r w:rsidRPr="00484A97">
              <w:rPr>
                <w:b w:val="0"/>
                <w:bCs/>
              </w:rPr>
              <w:t>Forty-fifth series of texts submitted by the Editorial Committee for first reading (B45)</w:t>
            </w:r>
          </w:p>
        </w:tc>
        <w:tc>
          <w:tcPr>
            <w:tcW w:w="2338" w:type="dxa"/>
          </w:tcPr>
          <w:p w14:paraId="61885D71"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507</w:t>
            </w:r>
          </w:p>
        </w:tc>
      </w:tr>
      <w:tr w:rsidR="007A4E5D" w:rsidRPr="00484A97" w14:paraId="61885D76" w14:textId="77777777" w:rsidTr="003D6F21">
        <w:tc>
          <w:tcPr>
            <w:tcW w:w="534" w:type="dxa"/>
          </w:tcPr>
          <w:p w14:paraId="61885D73"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12</w:t>
            </w:r>
          </w:p>
        </w:tc>
        <w:tc>
          <w:tcPr>
            <w:tcW w:w="7159" w:type="dxa"/>
          </w:tcPr>
          <w:p w14:paraId="61885D74" w14:textId="77777777" w:rsidR="007A4E5D" w:rsidRPr="00484A97" w:rsidRDefault="007A4E5D" w:rsidP="003D6F21">
            <w:pPr>
              <w:pStyle w:val="toc0"/>
              <w:rPr>
                <w:rFonts w:asciiTheme="majorBidi" w:hAnsiTheme="majorBidi" w:cstheme="majorBidi"/>
                <w:b w:val="0"/>
                <w:bCs/>
                <w:szCs w:val="24"/>
              </w:rPr>
            </w:pPr>
            <w:r w:rsidRPr="00484A97">
              <w:rPr>
                <w:rFonts w:asciiTheme="majorBidi" w:hAnsiTheme="majorBidi" w:cstheme="majorBidi"/>
                <w:b w:val="0"/>
                <w:bCs/>
                <w:szCs w:val="24"/>
              </w:rPr>
              <w:t>Forty-fifth series of texts submitted by the Editorial Committee (B45) – second reading</w:t>
            </w:r>
          </w:p>
        </w:tc>
        <w:tc>
          <w:tcPr>
            <w:tcW w:w="2338" w:type="dxa"/>
          </w:tcPr>
          <w:p w14:paraId="61885D75" w14:textId="77777777" w:rsidR="007A4E5D" w:rsidRPr="00484A97" w:rsidRDefault="007A4E5D" w:rsidP="003D6F21">
            <w:pPr>
              <w:pStyle w:val="toc0"/>
              <w:jc w:val="center"/>
              <w:rPr>
                <w:rFonts w:asciiTheme="majorBidi" w:hAnsiTheme="majorBidi" w:cstheme="majorBidi"/>
                <w:b w:val="0"/>
                <w:bCs/>
                <w:szCs w:val="24"/>
              </w:rPr>
            </w:pPr>
            <w:r>
              <w:rPr>
                <w:rFonts w:asciiTheme="majorBidi" w:hAnsiTheme="majorBidi" w:cstheme="majorBidi"/>
                <w:b w:val="0"/>
                <w:bCs/>
                <w:szCs w:val="24"/>
              </w:rPr>
              <w:t>507, 509</w:t>
            </w:r>
          </w:p>
        </w:tc>
      </w:tr>
      <w:tr w:rsidR="007A4E5D" w:rsidRPr="00484A97" w14:paraId="61885D7A" w14:textId="77777777" w:rsidTr="003D6F21">
        <w:tc>
          <w:tcPr>
            <w:tcW w:w="534" w:type="dxa"/>
          </w:tcPr>
          <w:p w14:paraId="61885D77"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lastRenderedPageBreak/>
              <w:t>13</w:t>
            </w:r>
          </w:p>
        </w:tc>
        <w:tc>
          <w:tcPr>
            <w:tcW w:w="7159" w:type="dxa"/>
          </w:tcPr>
          <w:p w14:paraId="61885D78" w14:textId="77777777" w:rsidR="007A4E5D" w:rsidRPr="00484A97" w:rsidRDefault="007A4E5D" w:rsidP="003D6F21">
            <w:pPr>
              <w:pStyle w:val="toc0"/>
              <w:rPr>
                <w:rFonts w:asciiTheme="majorBidi" w:hAnsiTheme="majorBidi" w:cstheme="majorBidi"/>
                <w:b w:val="0"/>
                <w:bCs/>
                <w:szCs w:val="24"/>
              </w:rPr>
            </w:pPr>
            <w:r w:rsidRPr="00484A97">
              <w:rPr>
                <w:b w:val="0"/>
                <w:bCs/>
              </w:rPr>
              <w:t>Forty-sixth series of texts submitted by the Ed</w:t>
            </w:r>
            <w:bookmarkStart w:id="10" w:name="_GoBack"/>
            <w:bookmarkEnd w:id="10"/>
            <w:r w:rsidRPr="00484A97">
              <w:rPr>
                <w:b w:val="0"/>
                <w:bCs/>
              </w:rPr>
              <w:t xml:space="preserve">itorial Committee </w:t>
            </w:r>
            <w:r>
              <w:rPr>
                <w:b w:val="0"/>
                <w:bCs/>
              </w:rPr>
              <w:t xml:space="preserve">for first reading </w:t>
            </w:r>
            <w:r w:rsidRPr="00484A97">
              <w:rPr>
                <w:b w:val="0"/>
                <w:bCs/>
              </w:rPr>
              <w:t>(B46)</w:t>
            </w:r>
          </w:p>
        </w:tc>
        <w:tc>
          <w:tcPr>
            <w:tcW w:w="2338" w:type="dxa"/>
          </w:tcPr>
          <w:p w14:paraId="61885D79"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508</w:t>
            </w:r>
            <w:r>
              <w:rPr>
                <w:rFonts w:asciiTheme="majorBidi" w:hAnsiTheme="majorBidi" w:cstheme="majorBidi"/>
                <w:b w:val="0"/>
                <w:bCs/>
                <w:szCs w:val="24"/>
              </w:rPr>
              <w:t>,</w:t>
            </w:r>
            <w:r w:rsidRPr="00484A97">
              <w:rPr>
                <w:rFonts w:asciiTheme="majorBidi" w:hAnsiTheme="majorBidi" w:cstheme="majorBidi"/>
                <w:b w:val="0"/>
                <w:bCs/>
                <w:szCs w:val="24"/>
              </w:rPr>
              <w:t xml:space="preserve"> 510</w:t>
            </w:r>
          </w:p>
        </w:tc>
      </w:tr>
      <w:tr w:rsidR="007A4E5D" w:rsidRPr="00484A97" w14:paraId="61885D7E" w14:textId="77777777" w:rsidTr="003D6F21">
        <w:tc>
          <w:tcPr>
            <w:tcW w:w="534" w:type="dxa"/>
          </w:tcPr>
          <w:p w14:paraId="61885D7B"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14</w:t>
            </w:r>
          </w:p>
        </w:tc>
        <w:tc>
          <w:tcPr>
            <w:tcW w:w="7159" w:type="dxa"/>
          </w:tcPr>
          <w:p w14:paraId="61885D7C" w14:textId="77777777" w:rsidR="007A4E5D" w:rsidRPr="00484A97" w:rsidRDefault="007A4E5D" w:rsidP="003D6F21">
            <w:pPr>
              <w:pStyle w:val="toc0"/>
              <w:rPr>
                <w:rFonts w:asciiTheme="majorBidi" w:hAnsiTheme="majorBidi" w:cstheme="majorBidi"/>
                <w:b w:val="0"/>
                <w:bCs/>
                <w:szCs w:val="24"/>
              </w:rPr>
            </w:pPr>
            <w:r w:rsidRPr="00484A97">
              <w:rPr>
                <w:b w:val="0"/>
                <w:bCs/>
                <w:color w:val="000000"/>
                <w:szCs w:val="24"/>
                <w:shd w:val="clear" w:color="auto" w:fill="FFFFFF"/>
              </w:rPr>
              <w:t xml:space="preserve">Third series of texts submitted by </w:t>
            </w:r>
            <w:r>
              <w:rPr>
                <w:b w:val="0"/>
                <w:bCs/>
                <w:color w:val="000000"/>
                <w:szCs w:val="24"/>
                <w:shd w:val="clear" w:color="auto" w:fill="FFFFFF"/>
              </w:rPr>
              <w:t xml:space="preserve">the </w:t>
            </w:r>
            <w:r w:rsidRPr="00484A97">
              <w:rPr>
                <w:b w:val="0"/>
                <w:bCs/>
                <w:color w:val="000000"/>
                <w:szCs w:val="24"/>
                <w:shd w:val="clear" w:color="auto" w:fill="FFFFFF"/>
              </w:rPr>
              <w:t xml:space="preserve">Editorial Committee </w:t>
            </w:r>
            <w:r>
              <w:rPr>
                <w:b w:val="0"/>
                <w:bCs/>
                <w:color w:val="000000"/>
                <w:szCs w:val="24"/>
                <w:shd w:val="clear" w:color="auto" w:fill="FFFFFF"/>
              </w:rPr>
              <w:t xml:space="preserve">for second reading </w:t>
            </w:r>
            <w:r w:rsidRPr="00484A97">
              <w:rPr>
                <w:b w:val="0"/>
                <w:bCs/>
                <w:color w:val="000000"/>
                <w:szCs w:val="24"/>
                <w:shd w:val="clear" w:color="auto" w:fill="FFFFFF"/>
              </w:rPr>
              <w:t>(R3)</w:t>
            </w:r>
          </w:p>
        </w:tc>
        <w:tc>
          <w:tcPr>
            <w:tcW w:w="2338" w:type="dxa"/>
          </w:tcPr>
          <w:p w14:paraId="61885D7D" w14:textId="77777777" w:rsidR="007A4E5D" w:rsidRPr="00484A97" w:rsidRDefault="007A4E5D" w:rsidP="003D6F21">
            <w:pPr>
              <w:pStyle w:val="toc0"/>
              <w:jc w:val="center"/>
              <w:rPr>
                <w:rFonts w:asciiTheme="majorBidi" w:hAnsiTheme="majorBidi" w:cstheme="majorBidi"/>
                <w:b w:val="0"/>
                <w:bCs/>
                <w:szCs w:val="24"/>
              </w:rPr>
            </w:pPr>
            <w:r w:rsidRPr="00484A97">
              <w:rPr>
                <w:rFonts w:asciiTheme="majorBidi" w:hAnsiTheme="majorBidi" w:cstheme="majorBidi"/>
                <w:b w:val="0"/>
                <w:bCs/>
                <w:szCs w:val="24"/>
              </w:rPr>
              <w:t>498</w:t>
            </w:r>
          </w:p>
        </w:tc>
      </w:tr>
      <w:tr w:rsidR="007A4E5D" w:rsidRPr="00484A97" w14:paraId="61885D82" w14:textId="77777777" w:rsidTr="003D6F21">
        <w:tc>
          <w:tcPr>
            <w:tcW w:w="534" w:type="dxa"/>
          </w:tcPr>
          <w:p w14:paraId="61885D7F" w14:textId="77777777" w:rsidR="007A4E5D" w:rsidRPr="00484A97" w:rsidRDefault="007A4E5D" w:rsidP="003D6F21">
            <w:pPr>
              <w:pStyle w:val="toc0"/>
              <w:rPr>
                <w:rFonts w:asciiTheme="majorBidi" w:hAnsiTheme="majorBidi" w:cstheme="majorBidi"/>
                <w:b w:val="0"/>
                <w:bCs/>
                <w:szCs w:val="24"/>
              </w:rPr>
            </w:pPr>
            <w:r>
              <w:rPr>
                <w:rFonts w:asciiTheme="majorBidi" w:hAnsiTheme="majorBidi" w:cstheme="majorBidi"/>
                <w:b w:val="0"/>
                <w:bCs/>
                <w:szCs w:val="24"/>
              </w:rPr>
              <w:t>15</w:t>
            </w:r>
          </w:p>
        </w:tc>
        <w:tc>
          <w:tcPr>
            <w:tcW w:w="7159" w:type="dxa"/>
          </w:tcPr>
          <w:p w14:paraId="61885D80" w14:textId="77777777" w:rsidR="007A4E5D" w:rsidRPr="00484A97" w:rsidRDefault="007A4E5D" w:rsidP="003D6F21">
            <w:pPr>
              <w:pStyle w:val="toc0"/>
              <w:rPr>
                <w:b w:val="0"/>
                <w:bCs/>
                <w:color w:val="000000"/>
                <w:szCs w:val="24"/>
                <w:shd w:val="clear" w:color="auto" w:fill="FFFFFF"/>
              </w:rPr>
            </w:pPr>
            <w:r>
              <w:rPr>
                <w:b w:val="0"/>
                <w:bCs/>
                <w:color w:val="000000"/>
                <w:szCs w:val="24"/>
                <w:shd w:val="clear" w:color="auto" w:fill="FFFFFF"/>
              </w:rPr>
              <w:t>General comments and o</w:t>
            </w:r>
            <w:r w:rsidRPr="00484A97">
              <w:rPr>
                <w:b w:val="0"/>
                <w:bCs/>
                <w:color w:val="000000"/>
                <w:szCs w:val="24"/>
                <w:shd w:val="clear" w:color="auto" w:fill="FFFFFF"/>
              </w:rPr>
              <w:t>rganization of work</w:t>
            </w:r>
          </w:p>
        </w:tc>
        <w:tc>
          <w:tcPr>
            <w:tcW w:w="2338" w:type="dxa"/>
          </w:tcPr>
          <w:p w14:paraId="61885D81" w14:textId="77777777" w:rsidR="007A4E5D" w:rsidRPr="00484A97" w:rsidRDefault="007A4E5D" w:rsidP="003D6F21">
            <w:pPr>
              <w:pStyle w:val="toc0"/>
              <w:jc w:val="center"/>
              <w:rPr>
                <w:rFonts w:asciiTheme="majorBidi" w:hAnsiTheme="majorBidi" w:cstheme="majorBidi"/>
                <w:b w:val="0"/>
                <w:bCs/>
                <w:szCs w:val="24"/>
              </w:rPr>
            </w:pPr>
            <w:r>
              <w:rPr>
                <w:rFonts w:asciiTheme="majorBidi" w:hAnsiTheme="majorBidi" w:cstheme="majorBidi"/>
                <w:b w:val="0"/>
                <w:bCs/>
                <w:szCs w:val="24"/>
              </w:rPr>
              <w:t>-</w:t>
            </w:r>
          </w:p>
        </w:tc>
      </w:tr>
    </w:tbl>
    <w:p w14:paraId="61885D83" w14:textId="77777777" w:rsidR="007A4E5D" w:rsidRPr="00484A97" w:rsidRDefault="007A4E5D" w:rsidP="007A4E5D">
      <w:pPr>
        <w:spacing w:before="600" w:line="480" w:lineRule="auto"/>
        <w:rPr>
          <w:bCs/>
        </w:rPr>
      </w:pPr>
    </w:p>
    <w:p w14:paraId="61885D84" w14:textId="77777777" w:rsidR="007A4E5D" w:rsidRPr="00B92683" w:rsidRDefault="007A4E5D" w:rsidP="007A4E5D">
      <w:pPr>
        <w:tabs>
          <w:tab w:val="clear" w:pos="1134"/>
          <w:tab w:val="clear" w:pos="1871"/>
          <w:tab w:val="clear" w:pos="2268"/>
        </w:tabs>
        <w:overflowPunct/>
        <w:autoSpaceDE/>
        <w:autoSpaceDN/>
        <w:adjustRightInd/>
        <w:spacing w:before="0" w:line="480" w:lineRule="auto"/>
        <w:textAlignment w:val="auto"/>
        <w:rPr>
          <w:bCs/>
        </w:rPr>
      </w:pPr>
      <w:r w:rsidRPr="00484A97">
        <w:rPr>
          <w:bCs/>
        </w:rPr>
        <w:br w:type="page"/>
      </w:r>
    </w:p>
    <w:p w14:paraId="61885D85" w14:textId="77777777" w:rsidR="007A4E5D" w:rsidRPr="00F8016E" w:rsidRDefault="007A4E5D" w:rsidP="007A4E5D">
      <w:pPr>
        <w:pStyle w:val="Heading1"/>
        <w:rPr>
          <w:lang w:val="en-US"/>
        </w:rPr>
      </w:pPr>
      <w:r>
        <w:rPr>
          <w:lang w:val="en-US"/>
        </w:rPr>
        <w:lastRenderedPageBreak/>
        <w:t>1</w:t>
      </w:r>
      <w:r>
        <w:rPr>
          <w:lang w:val="en-US"/>
        </w:rPr>
        <w:tab/>
        <w:t>Oral r</w:t>
      </w:r>
      <w:r w:rsidRPr="00F8016E">
        <w:rPr>
          <w:lang w:val="en-US"/>
        </w:rPr>
        <w:t xml:space="preserve">eports </w:t>
      </w:r>
      <w:r>
        <w:rPr>
          <w:lang w:val="en-US"/>
        </w:rPr>
        <w:t>by the committee chairmen and the</w:t>
      </w:r>
      <w:r w:rsidRPr="00F8016E">
        <w:rPr>
          <w:lang w:val="en-US"/>
        </w:rPr>
        <w:t xml:space="preserve"> </w:t>
      </w:r>
      <w:r>
        <w:rPr>
          <w:lang w:val="en-US"/>
        </w:rPr>
        <w:t>chairmen of the a</w:t>
      </w:r>
      <w:r w:rsidRPr="00F8016E">
        <w:rPr>
          <w:lang w:val="en-US"/>
        </w:rPr>
        <w:t xml:space="preserve">d hoc </w:t>
      </w:r>
      <w:r>
        <w:rPr>
          <w:lang w:val="en-US"/>
        </w:rPr>
        <w:t>g</w:t>
      </w:r>
      <w:r w:rsidRPr="00F8016E">
        <w:rPr>
          <w:lang w:val="en-US"/>
        </w:rPr>
        <w:t>roups</w:t>
      </w:r>
      <w:r>
        <w:rPr>
          <w:lang w:val="en-US"/>
        </w:rPr>
        <w:t xml:space="preserve"> of the Plenary</w:t>
      </w:r>
    </w:p>
    <w:p w14:paraId="61885D86" w14:textId="77777777" w:rsidR="007A4E5D" w:rsidRPr="00DA5C1F" w:rsidRDefault="007A4E5D" w:rsidP="007A4E5D">
      <w:pPr>
        <w:rPr>
          <w:lang w:val="en-US"/>
        </w:rPr>
      </w:pPr>
      <w:r>
        <w:rPr>
          <w:lang w:val="en-US"/>
        </w:rPr>
        <w:t>1.1</w:t>
      </w:r>
      <w:r>
        <w:rPr>
          <w:lang w:val="en-US"/>
        </w:rPr>
        <w:tab/>
      </w:r>
      <w:r w:rsidRPr="00DA5C1F">
        <w:rPr>
          <w:lang w:val="en-US"/>
        </w:rPr>
        <w:t xml:space="preserve">The </w:t>
      </w:r>
      <w:r w:rsidRPr="00DA5C1F">
        <w:rPr>
          <w:b/>
          <w:bCs/>
          <w:lang w:val="en-US"/>
        </w:rPr>
        <w:t xml:space="preserve">Chairman of Committee 2 </w:t>
      </w:r>
      <w:r w:rsidRPr="00DA5C1F">
        <w:rPr>
          <w:lang w:val="en-US"/>
        </w:rPr>
        <w:t xml:space="preserve">reported that his committee had received and approved two new credentials </w:t>
      </w:r>
      <w:r>
        <w:rPr>
          <w:lang w:val="en-US"/>
        </w:rPr>
        <w:t xml:space="preserve">since the previous plenary meeting </w:t>
      </w:r>
      <w:r w:rsidRPr="00DA5C1F">
        <w:rPr>
          <w:lang w:val="en-US"/>
        </w:rPr>
        <w:t xml:space="preserve">and </w:t>
      </w:r>
      <w:r w:rsidRPr="00760E73">
        <w:rPr>
          <w:lang w:val="en-US"/>
        </w:rPr>
        <w:t xml:space="preserve">had updated its report accordingly. To </w:t>
      </w:r>
      <w:r w:rsidRPr="00DA5C1F">
        <w:rPr>
          <w:lang w:val="en-US"/>
        </w:rPr>
        <w:t>date, the committee had received 139 credentials</w:t>
      </w:r>
      <w:r>
        <w:rPr>
          <w:lang w:val="en-US"/>
        </w:rPr>
        <w:t xml:space="preserve"> from the 163 Member States participating in the conference. It had also received</w:t>
      </w:r>
      <w:r w:rsidRPr="00DA5C1F">
        <w:rPr>
          <w:lang w:val="en-US"/>
        </w:rPr>
        <w:t xml:space="preserve"> one proxy and one transfer of powers.</w:t>
      </w:r>
    </w:p>
    <w:p w14:paraId="61885D87" w14:textId="77777777" w:rsidR="007A4E5D" w:rsidRPr="00C90982" w:rsidRDefault="007A4E5D" w:rsidP="007A4E5D">
      <w:pPr>
        <w:rPr>
          <w:b/>
          <w:bCs/>
          <w:lang w:val="en-US"/>
        </w:rPr>
      </w:pPr>
      <w:r>
        <w:rPr>
          <w:lang w:val="en-US"/>
        </w:rPr>
        <w:t>1.2</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Committee 2</w:t>
      </w:r>
      <w:r w:rsidRPr="00C90982">
        <w:rPr>
          <w:lang w:val="en-US"/>
        </w:rPr>
        <w:t xml:space="preserve"> was </w:t>
      </w:r>
      <w:r w:rsidRPr="00C90982">
        <w:rPr>
          <w:b/>
          <w:bCs/>
          <w:lang w:val="en-US"/>
        </w:rPr>
        <w:t>noted</w:t>
      </w:r>
      <w:r w:rsidRPr="007A4E5D">
        <w:rPr>
          <w:lang w:val="en-US"/>
        </w:rPr>
        <w:t>.</w:t>
      </w:r>
    </w:p>
    <w:p w14:paraId="61885D88" w14:textId="77777777" w:rsidR="007A4E5D" w:rsidRDefault="007A4E5D" w:rsidP="007A4E5D">
      <w:pPr>
        <w:ind w:right="-142"/>
        <w:rPr>
          <w:lang w:val="en-US"/>
        </w:rPr>
      </w:pPr>
      <w:r>
        <w:rPr>
          <w:lang w:val="en-US"/>
        </w:rPr>
        <w:t>1.3</w:t>
      </w:r>
      <w:r>
        <w:rPr>
          <w:lang w:val="en-US"/>
        </w:rPr>
        <w:tab/>
      </w:r>
      <w:r w:rsidRPr="00DA5C1F">
        <w:rPr>
          <w:lang w:val="en-US"/>
        </w:rPr>
        <w:t xml:space="preserve">The </w:t>
      </w:r>
      <w:r w:rsidRPr="00DA5C1F">
        <w:rPr>
          <w:b/>
          <w:bCs/>
          <w:lang w:val="en-US"/>
        </w:rPr>
        <w:t>Chairman of Committee 3</w:t>
      </w:r>
      <w:r w:rsidRPr="00DA5C1F">
        <w:rPr>
          <w:lang w:val="en-US"/>
        </w:rPr>
        <w:t xml:space="preserve"> reported that his committee had received and considered two </w:t>
      </w:r>
      <w:r>
        <w:rPr>
          <w:lang w:val="en-US"/>
        </w:rPr>
        <w:t xml:space="preserve">draft </w:t>
      </w:r>
      <w:r w:rsidRPr="00DA5C1F">
        <w:rPr>
          <w:lang w:val="en-US"/>
        </w:rPr>
        <w:t>new resolutions</w:t>
      </w:r>
      <w:r>
        <w:rPr>
          <w:lang w:val="en-US"/>
        </w:rPr>
        <w:t xml:space="preserve"> and </w:t>
      </w:r>
      <w:r w:rsidRPr="00041A4F">
        <w:rPr>
          <w:lang w:val="en-US"/>
        </w:rPr>
        <w:t xml:space="preserve">modifications to Nos. </w:t>
      </w:r>
      <w:r w:rsidRPr="003D6F21">
        <w:rPr>
          <w:b/>
          <w:bCs/>
          <w:lang w:val="en-US"/>
        </w:rPr>
        <w:t>9.36</w:t>
      </w:r>
      <w:r w:rsidRPr="00041A4F">
        <w:rPr>
          <w:lang w:val="en-US"/>
        </w:rPr>
        <w:t xml:space="preserve"> and </w:t>
      </w:r>
      <w:r w:rsidRPr="003D6F21">
        <w:rPr>
          <w:b/>
          <w:bCs/>
          <w:lang w:val="en-US"/>
        </w:rPr>
        <w:t>9.53A</w:t>
      </w:r>
      <w:r w:rsidRPr="00041A4F">
        <w:rPr>
          <w:lang w:val="en-US"/>
        </w:rPr>
        <w:t xml:space="preserve"> of the Radio Regulations, as well as </w:t>
      </w:r>
      <w:r>
        <w:rPr>
          <w:lang w:val="en-US"/>
        </w:rPr>
        <w:t>to A</w:t>
      </w:r>
      <w:r w:rsidRPr="00041A4F">
        <w:rPr>
          <w:lang w:val="en-US"/>
        </w:rPr>
        <w:t xml:space="preserve">ppendices </w:t>
      </w:r>
      <w:r w:rsidRPr="003D6F21">
        <w:rPr>
          <w:b/>
          <w:bCs/>
          <w:lang w:val="en-US"/>
        </w:rPr>
        <w:t>30</w:t>
      </w:r>
      <w:r w:rsidRPr="00041A4F">
        <w:rPr>
          <w:lang w:val="en-US"/>
        </w:rPr>
        <w:t xml:space="preserve">, </w:t>
      </w:r>
      <w:r w:rsidRPr="003D6F21">
        <w:rPr>
          <w:b/>
          <w:bCs/>
          <w:lang w:val="en-US"/>
        </w:rPr>
        <w:t>30A</w:t>
      </w:r>
      <w:r w:rsidRPr="00041A4F">
        <w:rPr>
          <w:lang w:val="en-US"/>
        </w:rPr>
        <w:t xml:space="preserve"> and </w:t>
      </w:r>
      <w:r w:rsidRPr="003D6F21">
        <w:rPr>
          <w:b/>
          <w:bCs/>
          <w:lang w:val="en-US"/>
        </w:rPr>
        <w:t>30B</w:t>
      </w:r>
      <w:r w:rsidRPr="00041A4F">
        <w:rPr>
          <w:lang w:val="en-US"/>
        </w:rPr>
        <w:t>.</w:t>
      </w:r>
      <w:r w:rsidRPr="00DA5C1F">
        <w:rPr>
          <w:lang w:val="en-US"/>
        </w:rPr>
        <w:t xml:space="preserve"> </w:t>
      </w:r>
      <w:r>
        <w:rPr>
          <w:lang w:val="en-US"/>
        </w:rPr>
        <w:t>The committee had evaluated the</w:t>
      </w:r>
      <w:r w:rsidRPr="00DA5C1F">
        <w:rPr>
          <w:lang w:val="en-US"/>
        </w:rPr>
        <w:t xml:space="preserve"> financial implications</w:t>
      </w:r>
      <w:r>
        <w:rPr>
          <w:lang w:val="en-US"/>
        </w:rPr>
        <w:t xml:space="preserve"> of those changes</w:t>
      </w:r>
      <w:r w:rsidRPr="00DA5C1F">
        <w:rPr>
          <w:lang w:val="en-US"/>
        </w:rPr>
        <w:t xml:space="preserve"> and </w:t>
      </w:r>
      <w:r>
        <w:rPr>
          <w:lang w:val="en-US"/>
        </w:rPr>
        <w:t xml:space="preserve">would </w:t>
      </w:r>
      <w:r w:rsidRPr="00DA5C1F">
        <w:rPr>
          <w:lang w:val="en-US"/>
        </w:rPr>
        <w:t xml:space="preserve">present </w:t>
      </w:r>
      <w:r>
        <w:rPr>
          <w:lang w:val="en-US"/>
        </w:rPr>
        <w:t xml:space="preserve">its </w:t>
      </w:r>
      <w:r w:rsidRPr="00DA5C1F">
        <w:rPr>
          <w:lang w:val="en-US"/>
        </w:rPr>
        <w:t>findings</w:t>
      </w:r>
      <w:r>
        <w:rPr>
          <w:lang w:val="en-US"/>
        </w:rPr>
        <w:t xml:space="preserve"> to the Plenary</w:t>
      </w:r>
      <w:r w:rsidRPr="00DB069C">
        <w:t xml:space="preserve"> </w:t>
      </w:r>
      <w:r w:rsidRPr="00DB069C">
        <w:rPr>
          <w:lang w:val="en-US"/>
        </w:rPr>
        <w:t>in Document 337</w:t>
      </w:r>
      <w:r>
        <w:rPr>
          <w:lang w:val="en-US"/>
        </w:rPr>
        <w:t> (Rev.</w:t>
      </w:r>
      <w:r w:rsidRPr="00DB069C">
        <w:rPr>
          <w:lang w:val="en-US"/>
        </w:rPr>
        <w:t>1</w:t>
      </w:r>
      <w:r>
        <w:rPr>
          <w:lang w:val="en-US"/>
        </w:rPr>
        <w:t>)</w:t>
      </w:r>
      <w:r w:rsidRPr="00DA5C1F">
        <w:rPr>
          <w:lang w:val="en-US"/>
        </w:rPr>
        <w:t xml:space="preserve">. </w:t>
      </w:r>
    </w:p>
    <w:p w14:paraId="61885D89" w14:textId="77777777" w:rsidR="007A4E5D" w:rsidRPr="00C90982" w:rsidRDefault="007A4E5D" w:rsidP="007A4E5D">
      <w:pPr>
        <w:rPr>
          <w:b/>
          <w:bCs/>
          <w:lang w:val="en-US"/>
        </w:rPr>
      </w:pPr>
      <w:r>
        <w:rPr>
          <w:lang w:val="en-US"/>
        </w:rPr>
        <w:t>1.4</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Committee 3</w:t>
      </w:r>
      <w:r w:rsidRPr="00C90982">
        <w:rPr>
          <w:lang w:val="en-US"/>
        </w:rPr>
        <w:t xml:space="preserve"> was </w:t>
      </w:r>
      <w:r w:rsidRPr="00C90982">
        <w:rPr>
          <w:b/>
          <w:bCs/>
          <w:lang w:val="en-US"/>
        </w:rPr>
        <w:t>noted</w:t>
      </w:r>
      <w:r w:rsidRPr="007A4E5D">
        <w:rPr>
          <w:lang w:val="en-US"/>
        </w:rPr>
        <w:t>.</w:t>
      </w:r>
    </w:p>
    <w:p w14:paraId="61885D8A" w14:textId="77777777" w:rsidR="007A4E5D" w:rsidRDefault="007A4E5D" w:rsidP="007A4E5D">
      <w:pPr>
        <w:rPr>
          <w:lang w:val="en-US"/>
        </w:rPr>
      </w:pPr>
      <w:r>
        <w:rPr>
          <w:lang w:val="en-US"/>
        </w:rPr>
        <w:t>1.5</w:t>
      </w:r>
      <w:r>
        <w:rPr>
          <w:lang w:val="en-US"/>
        </w:rPr>
        <w:tab/>
      </w:r>
      <w:r w:rsidRPr="00DA5C1F">
        <w:rPr>
          <w:lang w:val="en-US"/>
        </w:rPr>
        <w:t xml:space="preserve">The </w:t>
      </w:r>
      <w:bookmarkStart w:id="11" w:name="_Hlk25593778"/>
      <w:r w:rsidRPr="00DA5C1F">
        <w:rPr>
          <w:b/>
          <w:bCs/>
          <w:lang w:val="en-US"/>
        </w:rPr>
        <w:t>Chairman of the Ad hoc Group of the Plenary</w:t>
      </w:r>
      <w:r>
        <w:rPr>
          <w:b/>
          <w:bCs/>
          <w:lang w:val="en-US"/>
        </w:rPr>
        <w:t xml:space="preserve"> </w:t>
      </w:r>
      <w:r w:rsidRPr="00DA5C1F">
        <w:rPr>
          <w:b/>
          <w:bCs/>
          <w:lang w:val="en-US"/>
        </w:rPr>
        <w:t>4A</w:t>
      </w:r>
      <w:r w:rsidRPr="00DA5C1F">
        <w:rPr>
          <w:lang w:val="en-US"/>
        </w:rPr>
        <w:t xml:space="preserve"> </w:t>
      </w:r>
      <w:bookmarkEnd w:id="11"/>
      <w:r w:rsidRPr="00DA5C1F">
        <w:rPr>
          <w:lang w:val="en-US"/>
        </w:rPr>
        <w:t xml:space="preserve">reported that </w:t>
      </w:r>
      <w:r>
        <w:rPr>
          <w:lang w:val="en-US"/>
        </w:rPr>
        <w:t>his</w:t>
      </w:r>
      <w:r w:rsidRPr="00DA5C1F">
        <w:rPr>
          <w:lang w:val="en-US"/>
        </w:rPr>
        <w:t xml:space="preserve"> group had </w:t>
      </w:r>
      <w:r>
        <w:rPr>
          <w:lang w:val="en-US"/>
        </w:rPr>
        <w:t>yet to hold a</w:t>
      </w:r>
      <w:r w:rsidRPr="00DA5C1F">
        <w:rPr>
          <w:lang w:val="en-US"/>
        </w:rPr>
        <w:t xml:space="preserve"> formal meeting</w:t>
      </w:r>
      <w:r>
        <w:rPr>
          <w:lang w:val="en-US"/>
        </w:rPr>
        <w:t xml:space="preserve">, and had focused on advancing interregional coordination and </w:t>
      </w:r>
      <w:r w:rsidRPr="00DA5C1F">
        <w:rPr>
          <w:lang w:val="en-US"/>
        </w:rPr>
        <w:t>informal disc</w:t>
      </w:r>
      <w:r>
        <w:rPr>
          <w:lang w:val="en-US"/>
        </w:rPr>
        <w:t>ussions</w:t>
      </w:r>
      <w:r w:rsidRPr="00DA5C1F">
        <w:rPr>
          <w:lang w:val="en-US"/>
        </w:rPr>
        <w:t xml:space="preserve"> </w:t>
      </w:r>
      <w:r>
        <w:rPr>
          <w:lang w:val="en-US"/>
        </w:rPr>
        <w:t>to resolve open</w:t>
      </w:r>
      <w:r w:rsidRPr="00DA5C1F">
        <w:rPr>
          <w:lang w:val="en-US"/>
        </w:rPr>
        <w:t xml:space="preserve"> issues</w:t>
      </w:r>
      <w:r w:rsidRPr="00637207">
        <w:rPr>
          <w:lang w:val="en-US"/>
        </w:rPr>
        <w:t>. A full meeting</w:t>
      </w:r>
      <w:r w:rsidRPr="00DA5C1F">
        <w:rPr>
          <w:lang w:val="en-US"/>
        </w:rPr>
        <w:t xml:space="preserve"> </w:t>
      </w:r>
      <w:r>
        <w:rPr>
          <w:lang w:val="en-US"/>
        </w:rPr>
        <w:t xml:space="preserve">was scheduled </w:t>
      </w:r>
      <w:r w:rsidRPr="00DA5C1F">
        <w:rPr>
          <w:lang w:val="en-US"/>
        </w:rPr>
        <w:t xml:space="preserve">for </w:t>
      </w:r>
      <w:r>
        <w:rPr>
          <w:lang w:val="en-US"/>
        </w:rPr>
        <w:t>later that</w:t>
      </w:r>
      <w:r w:rsidRPr="00DA5C1F">
        <w:rPr>
          <w:lang w:val="en-US"/>
        </w:rPr>
        <w:t xml:space="preserve"> day to </w:t>
      </w:r>
      <w:r>
        <w:rPr>
          <w:lang w:val="en-US"/>
        </w:rPr>
        <w:t>examine</w:t>
      </w:r>
      <w:r w:rsidRPr="00DA5C1F">
        <w:rPr>
          <w:lang w:val="en-US"/>
        </w:rPr>
        <w:t xml:space="preserve"> outputs and </w:t>
      </w:r>
      <w:r>
        <w:rPr>
          <w:lang w:val="en-US"/>
        </w:rPr>
        <w:t xml:space="preserve">progress made during the </w:t>
      </w:r>
      <w:r w:rsidRPr="00DA5C1F">
        <w:rPr>
          <w:lang w:val="en-US"/>
        </w:rPr>
        <w:t>informal consultations.</w:t>
      </w:r>
    </w:p>
    <w:p w14:paraId="61885D8B" w14:textId="77777777" w:rsidR="007A4E5D" w:rsidRPr="00C90982" w:rsidRDefault="007A4E5D" w:rsidP="007A4E5D">
      <w:pPr>
        <w:rPr>
          <w:b/>
          <w:bCs/>
          <w:lang w:val="en-US"/>
        </w:rPr>
      </w:pPr>
      <w:r>
        <w:rPr>
          <w:lang w:val="en-US"/>
        </w:rPr>
        <w:t>1.6</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4A</w:t>
      </w:r>
      <w:r w:rsidRPr="00DA5C1F">
        <w:rPr>
          <w:lang w:val="en-US"/>
        </w:rPr>
        <w:t xml:space="preserve"> </w:t>
      </w:r>
      <w:r w:rsidRPr="00C90982">
        <w:rPr>
          <w:lang w:val="en-US"/>
        </w:rPr>
        <w:t xml:space="preserve">was </w:t>
      </w:r>
      <w:r w:rsidRPr="00C90982">
        <w:rPr>
          <w:b/>
          <w:bCs/>
          <w:lang w:val="en-US"/>
        </w:rPr>
        <w:t>noted</w:t>
      </w:r>
      <w:r w:rsidRPr="007A4E5D">
        <w:rPr>
          <w:lang w:val="en-US"/>
        </w:rPr>
        <w:t>.</w:t>
      </w:r>
    </w:p>
    <w:p w14:paraId="61885D8C" w14:textId="60E6381F" w:rsidR="007A4E5D" w:rsidRPr="007C04A1" w:rsidRDefault="007A4E5D" w:rsidP="007A4E5D">
      <w:pPr>
        <w:rPr>
          <w:lang w:val="en-US"/>
        </w:rPr>
      </w:pPr>
      <w:r>
        <w:rPr>
          <w:lang w:val="en-US"/>
        </w:rPr>
        <w:t>1.7</w:t>
      </w:r>
      <w:r>
        <w:rPr>
          <w:lang w:val="en-US"/>
        </w:rPr>
        <w:tab/>
      </w:r>
      <w:r w:rsidRPr="00DA5C1F">
        <w:rPr>
          <w:lang w:val="en-US"/>
        </w:rPr>
        <w:t xml:space="preserve">The </w:t>
      </w:r>
      <w:r w:rsidRPr="00DA5C1F">
        <w:rPr>
          <w:b/>
          <w:bCs/>
          <w:lang w:val="en-US"/>
        </w:rPr>
        <w:t>Chairman of the Ad hoc Group of the Plenary 4B1</w:t>
      </w:r>
      <w:r w:rsidRPr="00DA5C1F">
        <w:rPr>
          <w:lang w:val="en-US"/>
        </w:rPr>
        <w:t xml:space="preserve"> </w:t>
      </w:r>
      <w:r w:rsidRPr="005E61F6">
        <w:rPr>
          <w:lang w:val="en-US"/>
        </w:rPr>
        <w:t xml:space="preserve">reported that </w:t>
      </w:r>
      <w:r>
        <w:rPr>
          <w:lang w:val="en-US"/>
        </w:rPr>
        <w:t>work on a</w:t>
      </w:r>
      <w:r w:rsidRPr="005E61F6">
        <w:rPr>
          <w:lang w:val="en-US"/>
        </w:rPr>
        <w:t xml:space="preserve">genda item 1.14 </w:t>
      </w:r>
      <w:r>
        <w:rPr>
          <w:lang w:val="en-US"/>
        </w:rPr>
        <w:t xml:space="preserve">had been </w:t>
      </w:r>
      <w:r w:rsidRPr="008B169C">
        <w:rPr>
          <w:lang w:val="en-US"/>
        </w:rPr>
        <w:t xml:space="preserve">completed with the </w:t>
      </w:r>
      <w:r w:rsidRPr="007C04A1">
        <w:rPr>
          <w:lang w:val="en-US"/>
        </w:rPr>
        <w:t>adoption of a number of documents, including</w:t>
      </w:r>
      <w:r w:rsidR="00120EC1">
        <w:rPr>
          <w:lang w:val="en-US"/>
        </w:rPr>
        <w:t xml:space="preserve"> agreement on</w:t>
      </w:r>
      <w:r w:rsidRPr="007C04A1">
        <w:rPr>
          <w:lang w:val="en-US"/>
        </w:rPr>
        <w:t xml:space="preserve"> a package that included no change</w:t>
      </w:r>
      <w:r w:rsidR="00120EC1">
        <w:rPr>
          <w:lang w:val="en-US"/>
        </w:rPr>
        <w:t>s</w:t>
      </w:r>
      <w:r>
        <w:rPr>
          <w:lang w:val="en-US"/>
        </w:rPr>
        <w:t xml:space="preserve"> </w:t>
      </w:r>
      <w:r w:rsidRPr="007C04A1">
        <w:rPr>
          <w:lang w:val="en-US"/>
        </w:rPr>
        <w:t xml:space="preserve">to </w:t>
      </w:r>
      <w:r>
        <w:rPr>
          <w:lang w:val="en-US"/>
        </w:rPr>
        <w:t xml:space="preserve">the 6 and 28 GHz </w:t>
      </w:r>
      <w:r w:rsidRPr="00977F89">
        <w:rPr>
          <w:lang w:val="en-US"/>
        </w:rPr>
        <w:t xml:space="preserve"> bands</w:t>
      </w:r>
      <w:r>
        <w:rPr>
          <w:lang w:val="en-US"/>
        </w:rPr>
        <w:t>,</w:t>
      </w:r>
      <w:r w:rsidRPr="00977F89">
        <w:rPr>
          <w:lang w:val="en-US"/>
        </w:rPr>
        <w:t xml:space="preserve"> </w:t>
      </w:r>
      <w:r>
        <w:rPr>
          <w:lang w:val="en-US"/>
        </w:rPr>
        <w:t xml:space="preserve">new identifications </w:t>
      </w:r>
      <w:r w:rsidRPr="00977F89">
        <w:rPr>
          <w:lang w:val="en-US"/>
        </w:rPr>
        <w:t xml:space="preserve">and modifications to </w:t>
      </w:r>
      <w:r>
        <w:rPr>
          <w:lang w:val="en-US"/>
        </w:rPr>
        <w:t xml:space="preserve">existing identifications </w:t>
      </w:r>
      <w:r w:rsidRPr="00120EC1">
        <w:rPr>
          <w:lang w:val="en-US"/>
        </w:rPr>
        <w:t>in the 21</w:t>
      </w:r>
      <w:r w:rsidR="00120EC1" w:rsidRPr="00120EC1">
        <w:rPr>
          <w:lang w:val="en-US"/>
        </w:rPr>
        <w:t xml:space="preserve"> GHz, </w:t>
      </w:r>
      <w:r w:rsidRPr="00120EC1">
        <w:rPr>
          <w:lang w:val="en-US"/>
        </w:rPr>
        <w:t>47 GHz,</w:t>
      </w:r>
      <w:r>
        <w:rPr>
          <w:lang w:val="en-US"/>
        </w:rPr>
        <w:t xml:space="preserve"> 31 GHz, </w:t>
      </w:r>
      <w:r w:rsidR="00120EC1">
        <w:rPr>
          <w:lang w:val="en-US"/>
        </w:rPr>
        <w:t xml:space="preserve">and </w:t>
      </w:r>
      <w:r>
        <w:rPr>
          <w:lang w:val="en-US"/>
        </w:rPr>
        <w:t xml:space="preserve">26 GHz </w:t>
      </w:r>
      <w:r w:rsidR="00120EC1">
        <w:rPr>
          <w:lang w:val="en-US"/>
        </w:rPr>
        <w:t xml:space="preserve">bands </w:t>
      </w:r>
      <w:r>
        <w:rPr>
          <w:lang w:val="en-US"/>
        </w:rPr>
        <w:t xml:space="preserve">and </w:t>
      </w:r>
      <w:r w:rsidR="00120EC1">
        <w:rPr>
          <w:lang w:val="en-US"/>
        </w:rPr>
        <w:t xml:space="preserve">in the </w:t>
      </w:r>
      <w:r>
        <w:rPr>
          <w:lang w:val="en-US"/>
        </w:rPr>
        <w:t>38 GHz band in both directions.</w:t>
      </w:r>
      <w:r w:rsidRPr="00977F89">
        <w:rPr>
          <w:lang w:val="en-US"/>
        </w:rPr>
        <w:t xml:space="preserve"> Article 11, Appendix 7 and Appendix 4 had been modified accordingly. </w:t>
      </w:r>
      <w:r w:rsidRPr="00524F3D">
        <w:rPr>
          <w:lang w:val="en-US"/>
        </w:rPr>
        <w:t xml:space="preserve">Documents </w:t>
      </w:r>
      <w:r w:rsidRPr="00A13842">
        <w:rPr>
          <w:lang w:val="en-US"/>
        </w:rPr>
        <w:t>404 and 407 would be withdrawn, and revisions to Documents 369, 403, 405, 406, 408 and 410 had been</w:t>
      </w:r>
      <w:r>
        <w:rPr>
          <w:lang w:val="en-US"/>
        </w:rPr>
        <w:t xml:space="preserve"> prepared</w:t>
      </w:r>
      <w:r w:rsidRPr="008A5BA1">
        <w:rPr>
          <w:lang w:val="en-US"/>
        </w:rPr>
        <w:t xml:space="preserve">. Minor editorial changes had been </w:t>
      </w:r>
      <w:r>
        <w:rPr>
          <w:lang w:val="en-US"/>
        </w:rPr>
        <w:t>made to the resolution concerning</w:t>
      </w:r>
      <w:r w:rsidRPr="008A5BA1">
        <w:rPr>
          <w:lang w:val="en-US"/>
        </w:rPr>
        <w:t xml:space="preserve"> the 6</w:t>
      </w:r>
      <w:r>
        <w:rPr>
          <w:lang w:val="en-US"/>
        </w:rPr>
        <w:t xml:space="preserve"> </w:t>
      </w:r>
      <w:r w:rsidRPr="008A5BA1">
        <w:rPr>
          <w:lang w:val="en-US"/>
        </w:rPr>
        <w:t xml:space="preserve">GHz band to delete text </w:t>
      </w:r>
      <w:r>
        <w:rPr>
          <w:lang w:val="en-US"/>
        </w:rPr>
        <w:t xml:space="preserve">relating to </w:t>
      </w:r>
      <w:r w:rsidRPr="008A5BA1">
        <w:rPr>
          <w:lang w:val="en-US"/>
        </w:rPr>
        <w:t>actions proposed at</w:t>
      </w:r>
      <w:r w:rsidRPr="007C04A1">
        <w:rPr>
          <w:lang w:val="en-US"/>
        </w:rPr>
        <w:t xml:space="preserve"> </w:t>
      </w:r>
      <w:r>
        <w:rPr>
          <w:lang w:val="en-US"/>
        </w:rPr>
        <w:t>WRC-15</w:t>
      </w:r>
      <w:r w:rsidRPr="007C04A1">
        <w:rPr>
          <w:lang w:val="en-US"/>
        </w:rPr>
        <w:t>.</w:t>
      </w:r>
    </w:p>
    <w:p w14:paraId="61885D8D" w14:textId="77777777" w:rsidR="007A4E5D" w:rsidRPr="00C90982" w:rsidRDefault="007A4E5D" w:rsidP="007A4E5D">
      <w:pPr>
        <w:rPr>
          <w:b/>
          <w:bCs/>
          <w:lang w:val="en-US"/>
        </w:rPr>
      </w:pPr>
      <w:r>
        <w:rPr>
          <w:lang w:val="en-US"/>
        </w:rPr>
        <w:t>1.8</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4B1 was</w:t>
      </w:r>
      <w:r w:rsidRPr="00C90982">
        <w:rPr>
          <w:lang w:val="en-US"/>
        </w:rPr>
        <w:t xml:space="preserve"> </w:t>
      </w:r>
      <w:r w:rsidRPr="00C90982">
        <w:rPr>
          <w:b/>
          <w:bCs/>
          <w:lang w:val="en-US"/>
        </w:rPr>
        <w:t>noted</w:t>
      </w:r>
      <w:r w:rsidRPr="007A4E5D">
        <w:rPr>
          <w:lang w:val="en-US"/>
        </w:rPr>
        <w:t>.</w:t>
      </w:r>
    </w:p>
    <w:p w14:paraId="61885D8E" w14:textId="77777777" w:rsidR="007A4E5D" w:rsidRDefault="007A4E5D" w:rsidP="007A4E5D">
      <w:pPr>
        <w:rPr>
          <w:lang w:val="en-US"/>
        </w:rPr>
      </w:pPr>
      <w:r>
        <w:rPr>
          <w:lang w:val="en-US"/>
        </w:rPr>
        <w:t>1.9</w:t>
      </w:r>
      <w:r>
        <w:rPr>
          <w:lang w:val="en-US"/>
        </w:rPr>
        <w:tab/>
      </w:r>
      <w:r w:rsidRPr="007C04A1">
        <w:rPr>
          <w:lang w:val="en-US"/>
        </w:rPr>
        <w:t xml:space="preserve">The </w:t>
      </w:r>
      <w:r w:rsidRPr="007C04A1">
        <w:rPr>
          <w:b/>
          <w:bCs/>
          <w:lang w:val="en-US"/>
        </w:rPr>
        <w:t>Chairman of the Ad hoc Group of the Plenary 4B2</w:t>
      </w:r>
      <w:r w:rsidRPr="007C04A1">
        <w:rPr>
          <w:lang w:val="en-US"/>
        </w:rPr>
        <w:t xml:space="preserve"> reported that </w:t>
      </w:r>
      <w:r>
        <w:rPr>
          <w:lang w:val="en-US"/>
        </w:rPr>
        <w:t xml:space="preserve">his </w:t>
      </w:r>
      <w:r w:rsidRPr="007C04A1">
        <w:rPr>
          <w:lang w:val="en-US"/>
        </w:rPr>
        <w:t>group had met</w:t>
      </w:r>
      <w:r>
        <w:rPr>
          <w:lang w:val="en-US"/>
        </w:rPr>
        <w:t xml:space="preserve"> the previous day and had drawn some conclusions with regard to </w:t>
      </w:r>
      <w:r w:rsidRPr="008A5BA1">
        <w:rPr>
          <w:lang w:val="en-US"/>
        </w:rPr>
        <w:t>the 5.8 G</w:t>
      </w:r>
      <w:r>
        <w:rPr>
          <w:lang w:val="en-US"/>
        </w:rPr>
        <w:t>H</w:t>
      </w:r>
      <w:r w:rsidRPr="008A5BA1">
        <w:rPr>
          <w:lang w:val="en-US"/>
        </w:rPr>
        <w:t>z band</w:t>
      </w:r>
      <w:r>
        <w:rPr>
          <w:lang w:val="en-US"/>
        </w:rPr>
        <w:t>, which he hoped</w:t>
      </w:r>
      <w:r w:rsidRPr="00DA5C1F">
        <w:rPr>
          <w:lang w:val="en-US"/>
        </w:rPr>
        <w:t xml:space="preserve"> </w:t>
      </w:r>
      <w:r>
        <w:rPr>
          <w:lang w:val="en-US"/>
        </w:rPr>
        <w:t xml:space="preserve">would be presented at the </w:t>
      </w:r>
      <w:r w:rsidRPr="008A5BA1">
        <w:rPr>
          <w:lang w:val="en-US"/>
        </w:rPr>
        <w:t>next plenary meeting. Robust discussions had been held on the issue of the 51.50-52.50 G</w:t>
      </w:r>
      <w:r>
        <w:rPr>
          <w:lang w:val="en-US"/>
        </w:rPr>
        <w:t>H</w:t>
      </w:r>
      <w:r w:rsidRPr="008A5BA1">
        <w:rPr>
          <w:lang w:val="en-US"/>
        </w:rPr>
        <w:t>z</w:t>
      </w:r>
      <w:r>
        <w:rPr>
          <w:lang w:val="en-US"/>
        </w:rPr>
        <w:t xml:space="preserve"> </w:t>
      </w:r>
      <w:r w:rsidRPr="008A5BA1">
        <w:rPr>
          <w:lang w:val="en-US"/>
        </w:rPr>
        <w:t>band</w:t>
      </w:r>
      <w:r>
        <w:rPr>
          <w:lang w:val="en-US"/>
        </w:rPr>
        <w:t xml:space="preserve">, which would </w:t>
      </w:r>
      <w:r w:rsidRPr="008A5BA1">
        <w:rPr>
          <w:lang w:val="en-US"/>
        </w:rPr>
        <w:t>continue at an informal level after the current plenary meeting</w:t>
      </w:r>
      <w:r>
        <w:rPr>
          <w:lang w:val="en-US"/>
        </w:rPr>
        <w:t xml:space="preserve">. Although he hoped that the discussions would yield constructive results, diverging views persisted. </w:t>
      </w:r>
    </w:p>
    <w:p w14:paraId="61885D8F" w14:textId="77777777" w:rsidR="007A4E5D" w:rsidRPr="00C90982" w:rsidRDefault="007A4E5D" w:rsidP="007A4E5D">
      <w:pPr>
        <w:rPr>
          <w:b/>
          <w:bCs/>
          <w:lang w:val="en-US"/>
        </w:rPr>
      </w:pPr>
      <w:r>
        <w:rPr>
          <w:lang w:val="en-US"/>
        </w:rPr>
        <w:t>1.10</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4B2</w:t>
      </w:r>
      <w:r>
        <w:rPr>
          <w:b/>
          <w:bCs/>
          <w:lang w:val="en-US"/>
        </w:rPr>
        <w:t xml:space="preserve"> </w:t>
      </w:r>
      <w:r w:rsidRPr="00C90982">
        <w:rPr>
          <w:lang w:val="en-US"/>
        </w:rPr>
        <w:t xml:space="preserve">was </w:t>
      </w:r>
      <w:r w:rsidRPr="00C90982">
        <w:rPr>
          <w:b/>
          <w:bCs/>
          <w:lang w:val="en-US"/>
        </w:rPr>
        <w:t>noted</w:t>
      </w:r>
      <w:r w:rsidRPr="007A4E5D">
        <w:rPr>
          <w:lang w:val="en-US"/>
        </w:rPr>
        <w:t>.</w:t>
      </w:r>
    </w:p>
    <w:p w14:paraId="61885D90" w14:textId="77777777" w:rsidR="007A4E5D" w:rsidRPr="00DA5C1F" w:rsidRDefault="007A4E5D" w:rsidP="007A4E5D">
      <w:pPr>
        <w:rPr>
          <w:lang w:val="en-US"/>
        </w:rPr>
      </w:pPr>
      <w:r>
        <w:rPr>
          <w:lang w:val="en-US"/>
        </w:rPr>
        <w:t>1.11</w:t>
      </w:r>
      <w:r>
        <w:rPr>
          <w:lang w:val="en-US"/>
        </w:rPr>
        <w:tab/>
      </w:r>
      <w:r w:rsidRPr="00DA5C1F">
        <w:rPr>
          <w:lang w:val="en-US"/>
        </w:rPr>
        <w:t xml:space="preserve">The </w:t>
      </w:r>
      <w:r w:rsidRPr="00DA5C1F">
        <w:rPr>
          <w:b/>
          <w:bCs/>
          <w:lang w:val="en-US"/>
        </w:rPr>
        <w:t>Chairman of the Ad hoc Group of the Plenary 4C</w:t>
      </w:r>
      <w:r w:rsidRPr="00DA5C1F">
        <w:rPr>
          <w:lang w:val="en-US"/>
        </w:rPr>
        <w:t xml:space="preserve"> reported that his group </w:t>
      </w:r>
      <w:r>
        <w:rPr>
          <w:lang w:val="en-US"/>
        </w:rPr>
        <w:t>had met three times</w:t>
      </w:r>
      <w:r w:rsidRPr="00DA5C1F">
        <w:rPr>
          <w:lang w:val="en-US"/>
        </w:rPr>
        <w:t xml:space="preserve"> </w:t>
      </w:r>
      <w:r>
        <w:rPr>
          <w:lang w:val="en-US"/>
        </w:rPr>
        <w:t>the previous day and had also held an interregional c</w:t>
      </w:r>
      <w:r w:rsidRPr="00DA5C1F">
        <w:rPr>
          <w:lang w:val="en-US"/>
        </w:rPr>
        <w:t>oord</w:t>
      </w:r>
      <w:r>
        <w:rPr>
          <w:lang w:val="en-US"/>
        </w:rPr>
        <w:t>ination meeting before the present plenary meeting</w:t>
      </w:r>
      <w:r w:rsidRPr="00977F89">
        <w:rPr>
          <w:lang w:val="en-US"/>
        </w:rPr>
        <w:t xml:space="preserve"> in order to agree on an approach to outstanding issues. The regional groups would consider the outcomes of th</w:t>
      </w:r>
      <w:r>
        <w:rPr>
          <w:lang w:val="en-US"/>
        </w:rPr>
        <w:t>os</w:t>
      </w:r>
      <w:r w:rsidRPr="00977F89">
        <w:rPr>
          <w:lang w:val="en-US"/>
        </w:rPr>
        <w:t>e deliberations and continue informal discussions</w:t>
      </w:r>
      <w:r w:rsidRPr="00DA5C1F">
        <w:rPr>
          <w:lang w:val="en-US"/>
        </w:rPr>
        <w:t xml:space="preserve">. </w:t>
      </w:r>
      <w:r>
        <w:rPr>
          <w:lang w:val="en-US"/>
        </w:rPr>
        <w:t xml:space="preserve">The ad hoc group was scheduled </w:t>
      </w:r>
      <w:r w:rsidRPr="00DA5C1F">
        <w:rPr>
          <w:lang w:val="en-US"/>
        </w:rPr>
        <w:t xml:space="preserve">to meet </w:t>
      </w:r>
      <w:r>
        <w:rPr>
          <w:lang w:val="en-US"/>
        </w:rPr>
        <w:t>later that</w:t>
      </w:r>
      <w:r w:rsidRPr="00DA5C1F">
        <w:rPr>
          <w:lang w:val="en-US"/>
        </w:rPr>
        <w:t xml:space="preserve"> day to examine </w:t>
      </w:r>
      <w:r>
        <w:rPr>
          <w:lang w:val="en-US"/>
        </w:rPr>
        <w:t xml:space="preserve">the </w:t>
      </w:r>
      <w:r w:rsidRPr="00DA5C1F">
        <w:rPr>
          <w:lang w:val="en-US"/>
        </w:rPr>
        <w:t>concl</w:t>
      </w:r>
      <w:r>
        <w:rPr>
          <w:lang w:val="en-US"/>
        </w:rPr>
        <w:t xml:space="preserve">usions </w:t>
      </w:r>
      <w:r w:rsidRPr="00DA5C1F">
        <w:rPr>
          <w:lang w:val="en-US"/>
        </w:rPr>
        <w:t xml:space="preserve">of </w:t>
      </w:r>
      <w:r>
        <w:rPr>
          <w:lang w:val="en-US"/>
        </w:rPr>
        <w:t xml:space="preserve">those </w:t>
      </w:r>
      <w:r w:rsidRPr="00DA5C1F">
        <w:rPr>
          <w:lang w:val="en-US"/>
        </w:rPr>
        <w:t xml:space="preserve">informal exchanges. </w:t>
      </w:r>
      <w:r>
        <w:rPr>
          <w:lang w:val="en-US"/>
        </w:rPr>
        <w:t>He was confident that a</w:t>
      </w:r>
      <w:r w:rsidRPr="00DA5C1F">
        <w:rPr>
          <w:lang w:val="en-US"/>
        </w:rPr>
        <w:t xml:space="preserve"> positive outcome </w:t>
      </w:r>
      <w:r>
        <w:rPr>
          <w:lang w:val="en-US"/>
        </w:rPr>
        <w:t>would be achieved.</w:t>
      </w:r>
    </w:p>
    <w:p w14:paraId="61885D91" w14:textId="77777777" w:rsidR="007A4E5D" w:rsidRPr="00C90982" w:rsidRDefault="007A4E5D" w:rsidP="007A4E5D">
      <w:pPr>
        <w:rPr>
          <w:b/>
          <w:bCs/>
          <w:lang w:val="en-US"/>
        </w:rPr>
      </w:pPr>
      <w:r>
        <w:rPr>
          <w:lang w:val="en-US"/>
        </w:rPr>
        <w:t>1.12</w:t>
      </w:r>
      <w:r>
        <w:rPr>
          <w:lang w:val="en-US"/>
        </w:rPr>
        <w:tab/>
      </w:r>
      <w:r w:rsidRPr="00C90982">
        <w:rPr>
          <w:lang w:val="en-US"/>
        </w:rPr>
        <w:t xml:space="preserve">The oral report </w:t>
      </w:r>
      <w:r>
        <w:rPr>
          <w:lang w:val="en-US"/>
        </w:rPr>
        <w:t xml:space="preserve">by </w:t>
      </w:r>
      <w:r w:rsidRPr="00C90982">
        <w:rPr>
          <w:lang w:val="en-US"/>
        </w:rPr>
        <w:t xml:space="preserve">the </w:t>
      </w:r>
      <w:r w:rsidRPr="003A5398">
        <w:rPr>
          <w:lang w:val="en-US"/>
        </w:rPr>
        <w:t>Chairman of the Ad hoc Group of the Plenary 4C</w:t>
      </w:r>
      <w:r w:rsidRPr="00DA5C1F">
        <w:rPr>
          <w:lang w:val="en-US"/>
        </w:rPr>
        <w:t xml:space="preserve"> </w:t>
      </w:r>
      <w:r w:rsidRPr="00C90982">
        <w:rPr>
          <w:lang w:val="en-US"/>
        </w:rPr>
        <w:t xml:space="preserve">was </w:t>
      </w:r>
      <w:r w:rsidRPr="00C90982">
        <w:rPr>
          <w:b/>
          <w:bCs/>
          <w:lang w:val="en-US"/>
        </w:rPr>
        <w:t>noted</w:t>
      </w:r>
      <w:r w:rsidRPr="007A4E5D">
        <w:rPr>
          <w:lang w:val="en-US"/>
        </w:rPr>
        <w:t>.</w:t>
      </w:r>
    </w:p>
    <w:p w14:paraId="61885D92" w14:textId="7227AD85" w:rsidR="007A4E5D" w:rsidRPr="00DA5C1F" w:rsidRDefault="007A4E5D" w:rsidP="007A4E5D">
      <w:pPr>
        <w:ind w:right="-142"/>
        <w:rPr>
          <w:lang w:val="en-US"/>
        </w:rPr>
      </w:pPr>
      <w:r>
        <w:rPr>
          <w:lang w:val="en-US"/>
        </w:rPr>
        <w:t>1.13</w:t>
      </w:r>
      <w:r>
        <w:rPr>
          <w:lang w:val="en-US"/>
        </w:rPr>
        <w:tab/>
      </w:r>
      <w:r w:rsidRPr="00DA5C1F">
        <w:rPr>
          <w:lang w:val="en-US"/>
        </w:rPr>
        <w:t xml:space="preserve">The </w:t>
      </w:r>
      <w:r w:rsidRPr="00DA5C1F">
        <w:rPr>
          <w:b/>
          <w:bCs/>
          <w:lang w:val="en-US"/>
        </w:rPr>
        <w:t>Chairman of the Ad hoc Group of the Plenary 5A</w:t>
      </w:r>
      <w:r w:rsidRPr="00DA5C1F">
        <w:rPr>
          <w:lang w:val="en-US"/>
        </w:rPr>
        <w:t xml:space="preserve"> reported</w:t>
      </w:r>
      <w:r w:rsidRPr="005E61F6">
        <w:rPr>
          <w:lang w:val="en-US"/>
        </w:rPr>
        <w:t xml:space="preserve"> that </w:t>
      </w:r>
      <w:r>
        <w:rPr>
          <w:lang w:val="en-US"/>
        </w:rPr>
        <w:t xml:space="preserve">his group had met until late the previous evening to discuss agenda </w:t>
      </w:r>
      <w:r w:rsidRPr="00C972E7">
        <w:rPr>
          <w:lang w:val="en-US"/>
        </w:rPr>
        <w:t>items 1.6 and 9.1</w:t>
      </w:r>
      <w:r w:rsidR="00DD3DB8">
        <w:rPr>
          <w:lang w:val="en-US"/>
        </w:rPr>
        <w:t xml:space="preserve"> (Issue 9.1</w:t>
      </w:r>
      <w:r w:rsidRPr="00C972E7">
        <w:rPr>
          <w:lang w:val="en-US"/>
        </w:rPr>
        <w:t>.3</w:t>
      </w:r>
      <w:r w:rsidR="00DD3DB8">
        <w:rPr>
          <w:lang w:val="en-US"/>
        </w:rPr>
        <w:t>)</w:t>
      </w:r>
      <w:r>
        <w:rPr>
          <w:lang w:val="en-US"/>
        </w:rPr>
        <w:t>. Two of the three outstanding issues on item 1.6 had been resolved. The issue</w:t>
      </w:r>
      <w:r w:rsidRPr="00807498">
        <w:rPr>
          <w:lang w:val="en-US"/>
        </w:rPr>
        <w:t xml:space="preserve"> relat</w:t>
      </w:r>
      <w:r>
        <w:rPr>
          <w:lang w:val="en-US"/>
        </w:rPr>
        <w:t xml:space="preserve">ing </w:t>
      </w:r>
      <w:r w:rsidRPr="00807498">
        <w:rPr>
          <w:lang w:val="en-US"/>
        </w:rPr>
        <w:t xml:space="preserve">to Resolution </w:t>
      </w:r>
      <w:r w:rsidRPr="00C02055">
        <w:rPr>
          <w:b/>
          <w:bCs/>
          <w:lang w:val="en-US"/>
        </w:rPr>
        <w:t>750 (Rev.WRC-15)</w:t>
      </w:r>
      <w:r w:rsidRPr="00807498">
        <w:rPr>
          <w:lang w:val="en-US"/>
        </w:rPr>
        <w:t xml:space="preserve"> concerning applicable limits had been resolved</w:t>
      </w:r>
      <w:r>
        <w:rPr>
          <w:lang w:val="en-US"/>
        </w:rPr>
        <w:t xml:space="preserve"> by agreeing to </w:t>
      </w:r>
      <w:r w:rsidRPr="00091C2E">
        <w:rPr>
          <w:lang w:val="en-US"/>
        </w:rPr>
        <w:t xml:space="preserve">a limit </w:t>
      </w:r>
      <w:r w:rsidR="00091C2E" w:rsidRPr="00BA089F">
        <w:rPr>
          <w:lang w:val="en-US"/>
        </w:rPr>
        <w:t xml:space="preserve">in Table 1.1 </w:t>
      </w:r>
      <w:r w:rsidRPr="00091C2E">
        <w:rPr>
          <w:lang w:val="en-US"/>
        </w:rPr>
        <w:t>of –30 dBW</w:t>
      </w:r>
      <w:r w:rsidRPr="00807498">
        <w:rPr>
          <w:lang w:val="en-US"/>
        </w:rPr>
        <w:t xml:space="preserve">. </w:t>
      </w:r>
      <w:r>
        <w:rPr>
          <w:lang w:val="en-US"/>
        </w:rPr>
        <w:lastRenderedPageBreak/>
        <w:t>On the</w:t>
      </w:r>
      <w:r w:rsidRPr="00807498">
        <w:rPr>
          <w:lang w:val="en-US"/>
        </w:rPr>
        <w:t xml:space="preserve"> </w:t>
      </w:r>
      <w:r>
        <w:rPr>
          <w:lang w:val="en-US"/>
        </w:rPr>
        <w:t>i</w:t>
      </w:r>
      <w:r w:rsidRPr="00807498">
        <w:rPr>
          <w:lang w:val="en-US"/>
        </w:rPr>
        <w:t>ssue</w:t>
      </w:r>
      <w:r>
        <w:rPr>
          <w:lang w:val="en-US"/>
        </w:rPr>
        <w:t xml:space="preserve"> of</w:t>
      </w:r>
      <w:r w:rsidRPr="00807498">
        <w:rPr>
          <w:lang w:val="en-US"/>
        </w:rPr>
        <w:t xml:space="preserve"> transitional measures</w:t>
      </w:r>
      <w:r>
        <w:rPr>
          <w:lang w:val="en-US"/>
        </w:rPr>
        <w:t xml:space="preserve">, </w:t>
      </w:r>
      <w:r w:rsidRPr="00C35956">
        <w:rPr>
          <w:lang w:val="en-US"/>
        </w:rPr>
        <w:t>consensus had been reached on one of the options, and a note had been drafted requesting clarification from the Radiocommunication Bureau</w:t>
      </w:r>
      <w:r>
        <w:rPr>
          <w:lang w:val="en-US"/>
        </w:rPr>
        <w:t xml:space="preserve"> </w:t>
      </w:r>
      <w:r w:rsidRPr="00C35956">
        <w:rPr>
          <w:lang w:val="en-US"/>
        </w:rPr>
        <w:t>on how to implement the proposed option</w:t>
      </w:r>
      <w:r>
        <w:rPr>
          <w:lang w:val="en-US"/>
        </w:rPr>
        <w:t>, if requested</w:t>
      </w:r>
      <w:r w:rsidRPr="00C35956">
        <w:rPr>
          <w:lang w:val="en-US"/>
        </w:rPr>
        <w:t>.</w:t>
      </w:r>
      <w:r w:rsidRPr="005E61F6">
        <w:rPr>
          <w:lang w:val="en-US"/>
        </w:rPr>
        <w:t xml:space="preserve"> No progress had been made </w:t>
      </w:r>
      <w:r w:rsidRPr="00C972E7">
        <w:rPr>
          <w:lang w:val="en-US"/>
        </w:rPr>
        <w:t>on</w:t>
      </w:r>
      <w:r>
        <w:rPr>
          <w:lang w:val="en-US"/>
        </w:rPr>
        <w:t xml:space="preserve"> agenda</w:t>
      </w:r>
      <w:r w:rsidRPr="00C972E7">
        <w:rPr>
          <w:lang w:val="en-US"/>
        </w:rPr>
        <w:t xml:space="preserve"> </w:t>
      </w:r>
      <w:r>
        <w:rPr>
          <w:lang w:val="en-US"/>
        </w:rPr>
        <w:t>item</w:t>
      </w:r>
      <w:r w:rsidRPr="00C972E7">
        <w:rPr>
          <w:lang w:val="en-US"/>
        </w:rPr>
        <w:t xml:space="preserve"> 9.1</w:t>
      </w:r>
      <w:r w:rsidR="00DD3DB8">
        <w:rPr>
          <w:lang w:val="en-US"/>
        </w:rPr>
        <w:t xml:space="preserve"> (Issue 9.1</w:t>
      </w:r>
      <w:r w:rsidRPr="00C972E7">
        <w:rPr>
          <w:lang w:val="en-US"/>
        </w:rPr>
        <w:t>.3</w:t>
      </w:r>
      <w:r w:rsidR="00DD3DB8">
        <w:rPr>
          <w:lang w:val="en-US"/>
        </w:rPr>
        <w:t>)</w:t>
      </w:r>
      <w:r>
        <w:rPr>
          <w:lang w:val="en-US"/>
        </w:rPr>
        <w:t>. S</w:t>
      </w:r>
      <w:r w:rsidRPr="005E61F6">
        <w:rPr>
          <w:lang w:val="en-US"/>
        </w:rPr>
        <w:t xml:space="preserve">ome administrations </w:t>
      </w:r>
      <w:r>
        <w:rPr>
          <w:lang w:val="en-US"/>
        </w:rPr>
        <w:t xml:space="preserve">had requested </w:t>
      </w:r>
      <w:r w:rsidRPr="005E61F6">
        <w:rPr>
          <w:lang w:val="en-US"/>
        </w:rPr>
        <w:t xml:space="preserve">more </w:t>
      </w:r>
      <w:r w:rsidRPr="00C35956">
        <w:rPr>
          <w:lang w:val="en-US"/>
        </w:rPr>
        <w:t xml:space="preserve">time to consider the </w:t>
      </w:r>
      <w:r>
        <w:rPr>
          <w:lang w:val="en-US"/>
        </w:rPr>
        <w:t xml:space="preserve">options and considered </w:t>
      </w:r>
      <w:r w:rsidRPr="00C35956">
        <w:rPr>
          <w:lang w:val="en-US"/>
        </w:rPr>
        <w:t xml:space="preserve">that decisions </w:t>
      </w:r>
      <w:r>
        <w:rPr>
          <w:lang w:val="en-US"/>
        </w:rPr>
        <w:t xml:space="preserve">should </w:t>
      </w:r>
      <w:r w:rsidRPr="00C35956">
        <w:rPr>
          <w:lang w:val="en-US"/>
        </w:rPr>
        <w:t>be taken at the level of the regional groups</w:t>
      </w:r>
      <w:r>
        <w:rPr>
          <w:lang w:val="en-US"/>
        </w:rPr>
        <w:t xml:space="preserve">. They had also considered </w:t>
      </w:r>
      <w:r w:rsidRPr="00C35956">
        <w:rPr>
          <w:lang w:val="en-US"/>
        </w:rPr>
        <w:t xml:space="preserve">that the decision on the pending issue relating to </w:t>
      </w:r>
      <w:r w:rsidR="00DD3DB8">
        <w:rPr>
          <w:lang w:val="en-US"/>
        </w:rPr>
        <w:t xml:space="preserve">agenda </w:t>
      </w:r>
      <w:r w:rsidRPr="00C35956">
        <w:rPr>
          <w:lang w:val="en-US"/>
        </w:rPr>
        <w:t>item 1.6 should also be taken at a higher level.</w:t>
      </w:r>
    </w:p>
    <w:p w14:paraId="61885D93" w14:textId="77777777" w:rsidR="007A4E5D" w:rsidRPr="00C90982" w:rsidRDefault="007A4E5D" w:rsidP="007A4E5D">
      <w:pPr>
        <w:rPr>
          <w:b/>
          <w:bCs/>
          <w:lang w:val="en-US"/>
        </w:rPr>
      </w:pPr>
      <w:r>
        <w:rPr>
          <w:lang w:val="en-US"/>
        </w:rPr>
        <w:t>1.14</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5A</w:t>
      </w:r>
      <w:r w:rsidRPr="00DA5C1F">
        <w:rPr>
          <w:lang w:val="en-US"/>
        </w:rPr>
        <w:t xml:space="preserve"> </w:t>
      </w:r>
      <w:r w:rsidRPr="00C90982">
        <w:rPr>
          <w:lang w:val="en-US"/>
        </w:rPr>
        <w:t xml:space="preserve">was </w:t>
      </w:r>
      <w:r w:rsidRPr="00C90982">
        <w:rPr>
          <w:b/>
          <w:bCs/>
          <w:lang w:val="en-US"/>
        </w:rPr>
        <w:t>noted</w:t>
      </w:r>
      <w:r w:rsidRPr="007A4E5D">
        <w:rPr>
          <w:lang w:val="en-US"/>
        </w:rPr>
        <w:t>.</w:t>
      </w:r>
    </w:p>
    <w:p w14:paraId="61885D94" w14:textId="6001486B" w:rsidR="007A4E5D" w:rsidRDefault="007A4E5D" w:rsidP="007A4E5D">
      <w:pPr>
        <w:rPr>
          <w:lang w:val="en-US"/>
        </w:rPr>
      </w:pPr>
      <w:r>
        <w:rPr>
          <w:lang w:val="en-US"/>
        </w:rPr>
        <w:t>1.15</w:t>
      </w:r>
      <w:r>
        <w:rPr>
          <w:lang w:val="en-US"/>
        </w:rPr>
        <w:tab/>
      </w:r>
      <w:r w:rsidRPr="00DA5C1F">
        <w:rPr>
          <w:lang w:val="en-US"/>
        </w:rPr>
        <w:t xml:space="preserve">The </w:t>
      </w:r>
      <w:r w:rsidRPr="00DA5C1F">
        <w:rPr>
          <w:b/>
          <w:bCs/>
          <w:lang w:val="en-US"/>
        </w:rPr>
        <w:t>Chairman of the Ad hoc Group of the Plenary 5C</w:t>
      </w:r>
      <w:r w:rsidRPr="00DA5C1F">
        <w:rPr>
          <w:lang w:val="en-US"/>
        </w:rPr>
        <w:t xml:space="preserve"> reported that </w:t>
      </w:r>
      <w:r>
        <w:rPr>
          <w:lang w:val="en-US"/>
        </w:rPr>
        <w:t xml:space="preserve">his group had </w:t>
      </w:r>
      <w:r w:rsidRPr="00DA5C1F">
        <w:rPr>
          <w:lang w:val="en-US"/>
        </w:rPr>
        <w:t xml:space="preserve">met </w:t>
      </w:r>
      <w:r>
        <w:rPr>
          <w:lang w:val="en-US"/>
        </w:rPr>
        <w:t xml:space="preserve">the previous day and had </w:t>
      </w:r>
      <w:r w:rsidRPr="008B169C">
        <w:rPr>
          <w:lang w:val="en-US"/>
        </w:rPr>
        <w:t xml:space="preserve">concluded its work on </w:t>
      </w:r>
      <w:r>
        <w:rPr>
          <w:lang w:val="en-US"/>
        </w:rPr>
        <w:t xml:space="preserve">agenda </w:t>
      </w:r>
      <w:r w:rsidRPr="008B169C">
        <w:rPr>
          <w:lang w:val="en-US"/>
        </w:rPr>
        <w:t xml:space="preserve">items 1.3 and 1.7. </w:t>
      </w:r>
      <w:r w:rsidRPr="00DB4075">
        <w:rPr>
          <w:lang w:val="en-US"/>
        </w:rPr>
        <w:t xml:space="preserve">Unfortunately, with regard to agenda item 1.3, </w:t>
      </w:r>
      <w:r w:rsidRPr="002C2F09">
        <w:rPr>
          <w:lang w:val="en-US"/>
        </w:rPr>
        <w:t>the only agreement</w:t>
      </w:r>
      <w:r>
        <w:rPr>
          <w:lang w:val="en-US"/>
        </w:rPr>
        <w:t xml:space="preserve"> </w:t>
      </w:r>
      <w:r w:rsidR="00DD3DB8">
        <w:rPr>
          <w:lang w:val="en-US"/>
        </w:rPr>
        <w:t xml:space="preserve">that could be reached </w:t>
      </w:r>
      <w:r>
        <w:rPr>
          <w:lang w:val="en-US"/>
        </w:rPr>
        <w:t xml:space="preserve">had been for </w:t>
      </w:r>
      <w:r w:rsidRPr="009E39A9">
        <w:rPr>
          <w:lang w:val="en-US"/>
        </w:rPr>
        <w:t xml:space="preserve">no change. Work on </w:t>
      </w:r>
      <w:r>
        <w:rPr>
          <w:lang w:val="en-US"/>
        </w:rPr>
        <w:t xml:space="preserve">agenda </w:t>
      </w:r>
      <w:r w:rsidRPr="009E39A9">
        <w:rPr>
          <w:lang w:val="en-US"/>
        </w:rPr>
        <w:t>item 1.7 had yielded more positive results: three documents had been prepared</w:t>
      </w:r>
      <w:r>
        <w:rPr>
          <w:lang w:val="en-US"/>
        </w:rPr>
        <w:t xml:space="preserve"> for approval at a subsequent plenary meeting</w:t>
      </w:r>
      <w:r w:rsidRPr="00DA5C1F">
        <w:rPr>
          <w:lang w:val="en-US"/>
        </w:rPr>
        <w:t xml:space="preserve">. </w:t>
      </w:r>
    </w:p>
    <w:p w14:paraId="61885D95" w14:textId="77777777" w:rsidR="007A4E5D" w:rsidRPr="00C90982" w:rsidRDefault="007A4E5D" w:rsidP="007A4E5D">
      <w:pPr>
        <w:rPr>
          <w:b/>
          <w:bCs/>
          <w:lang w:val="en-US"/>
        </w:rPr>
      </w:pPr>
      <w:r>
        <w:rPr>
          <w:lang w:val="en-US"/>
        </w:rPr>
        <w:t>1.16</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5C</w:t>
      </w:r>
      <w:r w:rsidRPr="00DA5C1F">
        <w:rPr>
          <w:lang w:val="en-US"/>
        </w:rPr>
        <w:t xml:space="preserve"> </w:t>
      </w:r>
      <w:r w:rsidRPr="00C90982">
        <w:rPr>
          <w:lang w:val="en-US"/>
        </w:rPr>
        <w:t xml:space="preserve">was </w:t>
      </w:r>
      <w:r w:rsidRPr="00C90982">
        <w:rPr>
          <w:b/>
          <w:bCs/>
          <w:lang w:val="en-US"/>
        </w:rPr>
        <w:t>noted</w:t>
      </w:r>
      <w:r w:rsidRPr="007A4E5D">
        <w:rPr>
          <w:lang w:val="en-US"/>
        </w:rPr>
        <w:t>.</w:t>
      </w:r>
    </w:p>
    <w:p w14:paraId="61885D96" w14:textId="77777777" w:rsidR="007A4E5D" w:rsidRPr="00807498" w:rsidRDefault="007A4E5D" w:rsidP="007A4E5D">
      <w:pPr>
        <w:rPr>
          <w:lang w:val="en-US"/>
        </w:rPr>
      </w:pPr>
      <w:r>
        <w:rPr>
          <w:lang w:val="en-US"/>
        </w:rPr>
        <w:t>1.17</w:t>
      </w:r>
      <w:r>
        <w:rPr>
          <w:lang w:val="en-US"/>
        </w:rPr>
        <w:tab/>
      </w:r>
      <w:r w:rsidRPr="00DA5C1F">
        <w:rPr>
          <w:lang w:val="en-US"/>
        </w:rPr>
        <w:t xml:space="preserve">The </w:t>
      </w:r>
      <w:r w:rsidRPr="00DA5C1F">
        <w:rPr>
          <w:b/>
          <w:bCs/>
          <w:lang w:val="en-US"/>
        </w:rPr>
        <w:t>Chairman of the Ad hoc Group of the Plenary 6</w:t>
      </w:r>
      <w:r w:rsidRPr="00DA5C1F">
        <w:rPr>
          <w:lang w:val="en-US"/>
        </w:rPr>
        <w:t xml:space="preserve"> </w:t>
      </w:r>
      <w:r w:rsidRPr="00FB4844">
        <w:rPr>
          <w:lang w:val="en-US"/>
        </w:rPr>
        <w:t xml:space="preserve">reported that </w:t>
      </w:r>
      <w:r>
        <w:rPr>
          <w:lang w:val="en-US"/>
        </w:rPr>
        <w:t xml:space="preserve">his group had closed its meeting </w:t>
      </w:r>
      <w:r w:rsidRPr="000333DD">
        <w:rPr>
          <w:lang w:val="en-US"/>
        </w:rPr>
        <w:t>in the early hours of that morning</w:t>
      </w:r>
      <w:r>
        <w:rPr>
          <w:lang w:val="en-US"/>
        </w:rPr>
        <w:t xml:space="preserve">. It had </w:t>
      </w:r>
      <w:r w:rsidRPr="000333DD">
        <w:rPr>
          <w:lang w:val="en-US"/>
        </w:rPr>
        <w:t xml:space="preserve">reached </w:t>
      </w:r>
      <w:r>
        <w:rPr>
          <w:lang w:val="en-US"/>
        </w:rPr>
        <w:t>overall agreement</w:t>
      </w:r>
      <w:r w:rsidRPr="000333DD">
        <w:rPr>
          <w:lang w:val="en-US"/>
        </w:rPr>
        <w:t xml:space="preserve"> on the proposed </w:t>
      </w:r>
      <w:r w:rsidRPr="00637207">
        <w:rPr>
          <w:lang w:val="en-US"/>
        </w:rPr>
        <w:t>agenda for WRC-</w:t>
      </w:r>
      <w:r w:rsidRPr="00C35956">
        <w:rPr>
          <w:lang w:val="en-US"/>
        </w:rPr>
        <w:t xml:space="preserve">23. Regarding the preliminary agenda for WRC-27, although there was </w:t>
      </w:r>
      <w:r>
        <w:rPr>
          <w:lang w:val="en-US"/>
        </w:rPr>
        <w:t>agreement on</w:t>
      </w:r>
      <w:r w:rsidRPr="00C35956">
        <w:rPr>
          <w:lang w:val="en-US"/>
        </w:rPr>
        <w:t xml:space="preserve"> the items </w:t>
      </w:r>
      <w:r>
        <w:rPr>
          <w:lang w:val="en-US"/>
        </w:rPr>
        <w:t>listed</w:t>
      </w:r>
      <w:r w:rsidRPr="00C35956">
        <w:rPr>
          <w:lang w:val="en-US"/>
        </w:rPr>
        <w:t xml:space="preserve">, </w:t>
      </w:r>
      <w:r>
        <w:rPr>
          <w:lang w:val="en-US"/>
        </w:rPr>
        <w:t xml:space="preserve">there were </w:t>
      </w:r>
      <w:r w:rsidRPr="002618A3">
        <w:rPr>
          <w:lang w:val="en-US"/>
        </w:rPr>
        <w:t xml:space="preserve">several square brackets around frequency bands and there had been no opportunity to consider </w:t>
      </w:r>
      <w:r w:rsidRPr="00DB4075">
        <w:rPr>
          <w:lang w:val="en-US"/>
        </w:rPr>
        <w:t xml:space="preserve">the </w:t>
      </w:r>
      <w:r w:rsidRPr="009E6071">
        <w:rPr>
          <w:lang w:val="en-US"/>
        </w:rPr>
        <w:t xml:space="preserve">associated </w:t>
      </w:r>
      <w:r w:rsidRPr="00DB4075">
        <w:rPr>
          <w:lang w:val="en-US"/>
        </w:rPr>
        <w:t>resolution</w:t>
      </w:r>
      <w:r>
        <w:rPr>
          <w:lang w:val="en-US"/>
        </w:rPr>
        <w:t xml:space="preserve">. </w:t>
      </w:r>
      <w:r w:rsidRPr="002618A3">
        <w:rPr>
          <w:lang w:val="en-US"/>
        </w:rPr>
        <w:t>The group was preparing output documents to present</w:t>
      </w:r>
      <w:r w:rsidRPr="00C35956">
        <w:rPr>
          <w:lang w:val="en-US"/>
        </w:rPr>
        <w:t xml:space="preserve"> in plenary </w:t>
      </w:r>
      <w:r>
        <w:rPr>
          <w:lang w:val="en-US"/>
        </w:rPr>
        <w:t>with a view to</w:t>
      </w:r>
      <w:r w:rsidRPr="00C35956">
        <w:rPr>
          <w:lang w:val="en-US"/>
        </w:rPr>
        <w:t xml:space="preserve"> resolving outstanding issues.</w:t>
      </w:r>
    </w:p>
    <w:p w14:paraId="61885D97" w14:textId="77777777" w:rsidR="007A4E5D" w:rsidRPr="00C90982" w:rsidRDefault="007A4E5D" w:rsidP="007A4E5D">
      <w:pPr>
        <w:rPr>
          <w:b/>
          <w:bCs/>
          <w:lang w:val="en-US"/>
        </w:rPr>
      </w:pPr>
      <w:r>
        <w:rPr>
          <w:lang w:val="en-US"/>
        </w:rPr>
        <w:t>1.18</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Chairman of the Ad hoc Group of the Plenary 6</w:t>
      </w:r>
      <w:r w:rsidRPr="00DA5C1F">
        <w:rPr>
          <w:lang w:val="en-US"/>
        </w:rPr>
        <w:t xml:space="preserve"> </w:t>
      </w:r>
      <w:r w:rsidRPr="00C90982">
        <w:rPr>
          <w:lang w:val="en-US"/>
        </w:rPr>
        <w:t xml:space="preserve">was </w:t>
      </w:r>
      <w:r w:rsidRPr="00C90982">
        <w:rPr>
          <w:b/>
          <w:bCs/>
          <w:lang w:val="en-US"/>
        </w:rPr>
        <w:t>noted</w:t>
      </w:r>
      <w:r w:rsidRPr="007A4E5D">
        <w:rPr>
          <w:lang w:val="en-US"/>
        </w:rPr>
        <w:t>.</w:t>
      </w:r>
    </w:p>
    <w:p w14:paraId="61885D98" w14:textId="77777777" w:rsidR="007A4E5D" w:rsidRDefault="007A4E5D" w:rsidP="007A4E5D">
      <w:pPr>
        <w:rPr>
          <w:lang w:val="en-US"/>
        </w:rPr>
      </w:pPr>
      <w:r>
        <w:rPr>
          <w:lang w:val="en-US"/>
        </w:rPr>
        <w:t>1.19</w:t>
      </w:r>
      <w:r>
        <w:rPr>
          <w:lang w:val="en-US"/>
        </w:rPr>
        <w:tab/>
      </w:r>
      <w:r w:rsidRPr="00DA5C1F">
        <w:rPr>
          <w:lang w:val="en-US"/>
        </w:rPr>
        <w:t xml:space="preserve">The </w:t>
      </w:r>
      <w:r w:rsidRPr="00DA5C1F">
        <w:rPr>
          <w:b/>
          <w:bCs/>
          <w:lang w:val="en-US"/>
        </w:rPr>
        <w:t>Chairman of Committee</w:t>
      </w:r>
      <w:r w:rsidRPr="009E6071">
        <w:rPr>
          <w:b/>
          <w:bCs/>
          <w:lang w:val="en-US"/>
        </w:rPr>
        <w:t xml:space="preserve"> 7</w:t>
      </w:r>
      <w:r>
        <w:rPr>
          <w:lang w:val="en-US"/>
        </w:rPr>
        <w:t xml:space="preserve"> </w:t>
      </w:r>
      <w:r w:rsidRPr="00DA5C1F">
        <w:rPr>
          <w:lang w:val="en-US"/>
        </w:rPr>
        <w:t xml:space="preserve">reported that his committee had met throughout </w:t>
      </w:r>
      <w:r>
        <w:rPr>
          <w:lang w:val="en-US"/>
        </w:rPr>
        <w:t>the previous day and had prepared</w:t>
      </w:r>
      <w:r w:rsidRPr="00DA5C1F">
        <w:rPr>
          <w:lang w:val="en-US"/>
        </w:rPr>
        <w:t xml:space="preserve"> documents </w:t>
      </w:r>
      <w:r>
        <w:rPr>
          <w:lang w:val="en-US"/>
        </w:rPr>
        <w:t>for consideration at</w:t>
      </w:r>
      <w:r w:rsidRPr="00DA5C1F">
        <w:rPr>
          <w:lang w:val="en-US"/>
        </w:rPr>
        <w:t xml:space="preserve"> </w:t>
      </w:r>
      <w:r>
        <w:rPr>
          <w:lang w:val="en-US"/>
        </w:rPr>
        <w:t xml:space="preserve">the current </w:t>
      </w:r>
      <w:r w:rsidRPr="00BB4773">
        <w:rPr>
          <w:lang w:val="en-US"/>
        </w:rPr>
        <w:t xml:space="preserve">meeting. He raised concerns regarding </w:t>
      </w:r>
      <w:r>
        <w:rPr>
          <w:lang w:val="en-US"/>
        </w:rPr>
        <w:t>the fact</w:t>
      </w:r>
      <w:r w:rsidRPr="00BB4773">
        <w:rPr>
          <w:lang w:val="en-US"/>
        </w:rPr>
        <w:t xml:space="preserve"> that the committee had yet to receive and</w:t>
      </w:r>
      <w:r>
        <w:rPr>
          <w:lang w:val="en-US"/>
        </w:rPr>
        <w:t xml:space="preserve"> </w:t>
      </w:r>
      <w:r w:rsidRPr="00BB4773">
        <w:rPr>
          <w:lang w:val="en-US"/>
        </w:rPr>
        <w:t>process</w:t>
      </w:r>
      <w:r>
        <w:rPr>
          <w:lang w:val="en-US"/>
        </w:rPr>
        <w:t xml:space="preserve"> a considerable volume of documents</w:t>
      </w:r>
      <w:r w:rsidRPr="00BB4773">
        <w:rPr>
          <w:lang w:val="en-US"/>
        </w:rPr>
        <w:t>.</w:t>
      </w:r>
    </w:p>
    <w:p w14:paraId="61885D99" w14:textId="77777777" w:rsidR="007A4E5D" w:rsidRPr="00C90982" w:rsidRDefault="007A4E5D" w:rsidP="007A4E5D">
      <w:pPr>
        <w:rPr>
          <w:b/>
          <w:bCs/>
          <w:lang w:val="en-US"/>
        </w:rPr>
      </w:pPr>
      <w:r>
        <w:rPr>
          <w:lang w:val="en-US"/>
        </w:rPr>
        <w:t>1.20</w:t>
      </w:r>
      <w:r>
        <w:rPr>
          <w:lang w:val="en-US"/>
        </w:rPr>
        <w:tab/>
      </w:r>
      <w:r w:rsidRPr="00C90982">
        <w:rPr>
          <w:lang w:val="en-US"/>
        </w:rPr>
        <w:t xml:space="preserve">The oral report </w:t>
      </w:r>
      <w:r>
        <w:rPr>
          <w:lang w:val="en-US"/>
        </w:rPr>
        <w:t xml:space="preserve">by </w:t>
      </w:r>
      <w:r w:rsidRPr="00C90982">
        <w:rPr>
          <w:lang w:val="en-US"/>
        </w:rPr>
        <w:t xml:space="preserve">the </w:t>
      </w:r>
      <w:r w:rsidRPr="00A13842">
        <w:rPr>
          <w:lang w:val="en-US"/>
        </w:rPr>
        <w:t xml:space="preserve">Chairman of </w:t>
      </w:r>
      <w:r>
        <w:rPr>
          <w:lang w:val="en-US"/>
        </w:rPr>
        <w:t xml:space="preserve">Committee 7 </w:t>
      </w:r>
      <w:r w:rsidRPr="00A13842">
        <w:rPr>
          <w:lang w:val="en-US"/>
        </w:rPr>
        <w:t>was</w:t>
      </w:r>
      <w:r w:rsidRPr="00C90982">
        <w:rPr>
          <w:lang w:val="en-US"/>
        </w:rPr>
        <w:t xml:space="preserve"> </w:t>
      </w:r>
      <w:r w:rsidRPr="00C90982">
        <w:rPr>
          <w:b/>
          <w:bCs/>
          <w:lang w:val="en-US"/>
        </w:rPr>
        <w:t>noted</w:t>
      </w:r>
      <w:r w:rsidRPr="007A4E5D">
        <w:rPr>
          <w:lang w:val="en-US"/>
        </w:rPr>
        <w:t>.</w:t>
      </w:r>
    </w:p>
    <w:p w14:paraId="61885D9A" w14:textId="77777777" w:rsidR="007A4E5D" w:rsidRPr="00DA5C1F" w:rsidRDefault="007A4E5D" w:rsidP="007A4E5D">
      <w:r>
        <w:t>1.21</w:t>
      </w:r>
      <w:r>
        <w:tab/>
      </w:r>
      <w:r w:rsidRPr="00DA5C1F">
        <w:t xml:space="preserve">The </w:t>
      </w:r>
      <w:r w:rsidRPr="00DA5C1F">
        <w:rPr>
          <w:b/>
          <w:bCs/>
        </w:rPr>
        <w:t>Chairman</w:t>
      </w:r>
      <w:r w:rsidRPr="00DA5C1F">
        <w:t xml:space="preserve"> </w:t>
      </w:r>
      <w:r>
        <w:t>urged all the</w:t>
      </w:r>
      <w:r w:rsidRPr="000E54EA">
        <w:t xml:space="preserve"> ad hoc groups to </w:t>
      </w:r>
      <w:r>
        <w:t xml:space="preserve">complete </w:t>
      </w:r>
      <w:r w:rsidRPr="000E54EA">
        <w:t>their work</w:t>
      </w:r>
      <w:r>
        <w:t xml:space="preserve"> as soon as possible</w:t>
      </w:r>
      <w:r w:rsidRPr="000E54EA">
        <w:t>.</w:t>
      </w:r>
    </w:p>
    <w:p w14:paraId="61885D9B" w14:textId="77777777" w:rsidR="007A4E5D" w:rsidRPr="00F8016E" w:rsidRDefault="007A4E5D" w:rsidP="007A4E5D">
      <w:pPr>
        <w:pStyle w:val="Heading1"/>
        <w:rPr>
          <w:lang w:val="en-US"/>
        </w:rPr>
      </w:pPr>
      <w:r>
        <w:t>2</w:t>
      </w:r>
      <w:r>
        <w:tab/>
      </w:r>
      <w:r w:rsidRPr="00F8016E">
        <w:t xml:space="preserve">Documents for </w:t>
      </w:r>
      <w:r>
        <w:t>a</w:t>
      </w:r>
      <w:r w:rsidRPr="00F8016E">
        <w:t>pproval (Documents 499, 500, 509, 510 and 518)</w:t>
      </w:r>
    </w:p>
    <w:p w14:paraId="61885D9C" w14:textId="77777777" w:rsidR="007A4E5D" w:rsidRPr="00DA5C1F" w:rsidRDefault="007A4E5D" w:rsidP="007A4E5D">
      <w:pPr>
        <w:rPr>
          <w:lang w:val="en-US"/>
        </w:rPr>
      </w:pPr>
      <w:r>
        <w:rPr>
          <w:lang w:val="en-US"/>
        </w:rPr>
        <w:t>2.1</w:t>
      </w:r>
      <w:r>
        <w:rPr>
          <w:lang w:val="en-US"/>
        </w:rPr>
        <w:tab/>
      </w:r>
      <w:r w:rsidRPr="00DA5C1F">
        <w:rPr>
          <w:lang w:val="en-US"/>
        </w:rPr>
        <w:t xml:space="preserve">The </w:t>
      </w:r>
      <w:r w:rsidRPr="006D0065">
        <w:rPr>
          <w:b/>
          <w:bCs/>
          <w:lang w:val="en-US"/>
        </w:rPr>
        <w:t xml:space="preserve">Chairman of Committee 5 </w:t>
      </w:r>
      <w:r>
        <w:rPr>
          <w:lang w:val="en-US"/>
        </w:rPr>
        <w:t>introduc</w:t>
      </w:r>
      <w:r w:rsidRPr="00F8016E">
        <w:rPr>
          <w:lang w:val="en-US"/>
        </w:rPr>
        <w:t xml:space="preserve">ed Documents 499 and 500, containing the tenth and eleventh reports of </w:t>
      </w:r>
      <w:r w:rsidRPr="00E428A4">
        <w:rPr>
          <w:lang w:val="en-US"/>
        </w:rPr>
        <w:t xml:space="preserve">Committee 5 to the Plenary, relating to the committee’s conclusions </w:t>
      </w:r>
      <w:r>
        <w:rPr>
          <w:lang w:val="en-US"/>
        </w:rPr>
        <w:t>concerning</w:t>
      </w:r>
      <w:r w:rsidRPr="00E428A4">
        <w:rPr>
          <w:lang w:val="en-US"/>
        </w:rPr>
        <w:t xml:space="preserve"> agenda item 7 (Issue A)</w:t>
      </w:r>
      <w:r>
        <w:rPr>
          <w:lang w:val="en-US"/>
        </w:rPr>
        <w:t>,</w:t>
      </w:r>
      <w:r w:rsidRPr="00DA5C1F">
        <w:rPr>
          <w:lang w:val="en-US"/>
        </w:rPr>
        <w:t xml:space="preserve"> Document 509, </w:t>
      </w:r>
      <w:r>
        <w:rPr>
          <w:lang w:val="en-US"/>
        </w:rPr>
        <w:t xml:space="preserve">containing the </w:t>
      </w:r>
      <w:r w:rsidRPr="00DA5C1F">
        <w:rPr>
          <w:lang w:val="en-US"/>
        </w:rPr>
        <w:t>twelfth report</w:t>
      </w:r>
      <w:r>
        <w:rPr>
          <w:lang w:val="en-US"/>
        </w:rPr>
        <w:t xml:space="preserve"> of Committee 5</w:t>
      </w:r>
      <w:r w:rsidRPr="00DA5C1F">
        <w:rPr>
          <w:lang w:val="en-US"/>
        </w:rPr>
        <w:t xml:space="preserve"> to</w:t>
      </w:r>
      <w:r>
        <w:rPr>
          <w:lang w:val="en-US"/>
        </w:rPr>
        <w:t xml:space="preserve"> the</w:t>
      </w:r>
      <w:r w:rsidRPr="00DA5C1F">
        <w:rPr>
          <w:lang w:val="en-US"/>
        </w:rPr>
        <w:t xml:space="preserve"> Plenary, </w:t>
      </w:r>
      <w:r w:rsidRPr="008B169C">
        <w:rPr>
          <w:lang w:val="en-US"/>
        </w:rPr>
        <w:t>relating to agenda item 7</w:t>
      </w:r>
      <w:r>
        <w:rPr>
          <w:lang w:val="en-US"/>
        </w:rPr>
        <w:t xml:space="preserve"> </w:t>
      </w:r>
      <w:r w:rsidRPr="008B169C">
        <w:rPr>
          <w:lang w:val="en-US"/>
        </w:rPr>
        <w:t>(</w:t>
      </w:r>
      <w:r>
        <w:rPr>
          <w:lang w:val="en-US"/>
        </w:rPr>
        <w:t xml:space="preserve">Issue </w:t>
      </w:r>
      <w:r w:rsidRPr="008B169C">
        <w:rPr>
          <w:lang w:val="en-US"/>
        </w:rPr>
        <w:t>E)</w:t>
      </w:r>
      <w:r>
        <w:rPr>
          <w:lang w:val="en-US"/>
        </w:rPr>
        <w:t xml:space="preserve">,  and </w:t>
      </w:r>
      <w:r w:rsidRPr="00DA5C1F">
        <w:rPr>
          <w:lang w:val="en-US"/>
        </w:rPr>
        <w:t xml:space="preserve">Document 510, </w:t>
      </w:r>
      <w:r>
        <w:rPr>
          <w:lang w:val="en-US"/>
        </w:rPr>
        <w:t>containing the</w:t>
      </w:r>
      <w:r w:rsidRPr="00DA5C1F">
        <w:rPr>
          <w:lang w:val="en-US"/>
        </w:rPr>
        <w:t xml:space="preserve"> thirteenth report </w:t>
      </w:r>
      <w:r>
        <w:rPr>
          <w:lang w:val="en-US"/>
        </w:rPr>
        <w:t xml:space="preserve">of Committee 5 </w:t>
      </w:r>
      <w:r w:rsidRPr="00DA5C1F">
        <w:rPr>
          <w:lang w:val="en-US"/>
        </w:rPr>
        <w:t xml:space="preserve">to </w:t>
      </w:r>
      <w:r>
        <w:rPr>
          <w:lang w:val="en-US"/>
        </w:rPr>
        <w:t xml:space="preserve">the </w:t>
      </w:r>
      <w:r w:rsidRPr="00DA5C1F">
        <w:rPr>
          <w:lang w:val="en-US"/>
        </w:rPr>
        <w:t xml:space="preserve">Plenary, relating to </w:t>
      </w:r>
      <w:r>
        <w:rPr>
          <w:lang w:val="en-US"/>
        </w:rPr>
        <w:t>agenda item 7 (Issues E, F and K).</w:t>
      </w:r>
      <w:r w:rsidRPr="00DA5C1F">
        <w:rPr>
          <w:lang w:val="en-US"/>
        </w:rPr>
        <w:t xml:space="preserve"> </w:t>
      </w:r>
    </w:p>
    <w:p w14:paraId="61885D9D" w14:textId="77777777" w:rsidR="007A4E5D" w:rsidRPr="00D06055" w:rsidRDefault="007A4E5D" w:rsidP="007A4E5D">
      <w:pPr>
        <w:rPr>
          <w:lang w:val="en-US"/>
        </w:rPr>
      </w:pPr>
      <w:r>
        <w:rPr>
          <w:lang w:val="en-US"/>
        </w:rPr>
        <w:t>2.2</w:t>
      </w:r>
      <w:r>
        <w:rPr>
          <w:lang w:val="en-US"/>
        </w:rPr>
        <w:tab/>
      </w:r>
      <w:r w:rsidRPr="000333DD">
        <w:rPr>
          <w:lang w:val="en-US"/>
        </w:rPr>
        <w:t xml:space="preserve">The </w:t>
      </w:r>
      <w:r w:rsidRPr="000333DD">
        <w:rPr>
          <w:b/>
          <w:bCs/>
          <w:lang w:val="en-US"/>
        </w:rPr>
        <w:t>Chairman</w:t>
      </w:r>
      <w:r w:rsidRPr="000333DD">
        <w:rPr>
          <w:lang w:val="en-US"/>
        </w:rPr>
        <w:t xml:space="preserve"> </w:t>
      </w:r>
      <w:r>
        <w:rPr>
          <w:lang w:val="en-US"/>
        </w:rPr>
        <w:t xml:space="preserve">said </w:t>
      </w:r>
      <w:r w:rsidRPr="000333DD">
        <w:rPr>
          <w:lang w:val="en-US"/>
        </w:rPr>
        <w:t xml:space="preserve">that approval of </w:t>
      </w:r>
      <w:r>
        <w:rPr>
          <w:lang w:val="en-US"/>
        </w:rPr>
        <w:t xml:space="preserve">Documents 499, 500, 509 and 510 </w:t>
      </w:r>
      <w:r w:rsidRPr="000333DD">
        <w:rPr>
          <w:lang w:val="en-US"/>
        </w:rPr>
        <w:t>w</w:t>
      </w:r>
      <w:r>
        <w:rPr>
          <w:lang w:val="en-US"/>
        </w:rPr>
        <w:t>ould</w:t>
      </w:r>
      <w:r w:rsidRPr="000333DD">
        <w:rPr>
          <w:lang w:val="en-US"/>
        </w:rPr>
        <w:t xml:space="preserve"> be deferred until after the approval of the related regulatory text</w:t>
      </w:r>
      <w:r>
        <w:rPr>
          <w:lang w:val="en-US"/>
        </w:rPr>
        <w:t>s</w:t>
      </w:r>
      <w:r w:rsidRPr="000333DD">
        <w:rPr>
          <w:lang w:val="en-US"/>
        </w:rPr>
        <w:t xml:space="preserve"> to be submitted by the Editorial Committee</w:t>
      </w:r>
      <w:r>
        <w:rPr>
          <w:lang w:val="en-US"/>
        </w:rPr>
        <w:t>.</w:t>
      </w:r>
    </w:p>
    <w:p w14:paraId="61885D9E" w14:textId="77777777" w:rsidR="007A4E5D" w:rsidRPr="00D06055" w:rsidRDefault="007A4E5D" w:rsidP="007A4E5D">
      <w:pPr>
        <w:rPr>
          <w:lang w:val="en-US"/>
        </w:rPr>
      </w:pPr>
      <w:r>
        <w:rPr>
          <w:lang w:val="en-US"/>
        </w:rPr>
        <w:t>2.3</w:t>
      </w:r>
      <w:r>
        <w:rPr>
          <w:lang w:val="en-US"/>
        </w:rPr>
        <w:tab/>
      </w:r>
      <w:r w:rsidRPr="00D06055">
        <w:rPr>
          <w:lang w:val="en-US"/>
        </w:rPr>
        <w:t xml:space="preserve">It was so </w:t>
      </w:r>
      <w:r w:rsidRPr="00D06055">
        <w:rPr>
          <w:b/>
          <w:bCs/>
          <w:lang w:val="en-US"/>
        </w:rPr>
        <w:t>agreed</w:t>
      </w:r>
      <w:r w:rsidRPr="00D06055">
        <w:rPr>
          <w:lang w:val="en-US"/>
        </w:rPr>
        <w:t>.</w:t>
      </w:r>
    </w:p>
    <w:p w14:paraId="61885D9F" w14:textId="77777777" w:rsidR="007A4E5D" w:rsidRPr="009E6071" w:rsidRDefault="007A4E5D" w:rsidP="007A4E5D">
      <w:pPr>
        <w:rPr>
          <w:lang w:val="en-US"/>
        </w:rPr>
      </w:pPr>
      <w:r>
        <w:rPr>
          <w:lang w:val="en-US"/>
        </w:rPr>
        <w:t>2.4</w:t>
      </w:r>
      <w:r>
        <w:rPr>
          <w:lang w:val="en-US"/>
        </w:rPr>
        <w:tab/>
      </w:r>
      <w:r w:rsidRPr="00DA5C1F">
        <w:rPr>
          <w:lang w:val="en-US"/>
        </w:rPr>
        <w:t xml:space="preserve">The </w:t>
      </w:r>
      <w:r w:rsidRPr="00DA5C1F">
        <w:rPr>
          <w:b/>
          <w:bCs/>
          <w:lang w:val="en-US"/>
        </w:rPr>
        <w:t>Chairman of Committee 5</w:t>
      </w:r>
      <w:r w:rsidRPr="00DA5C1F">
        <w:rPr>
          <w:lang w:val="en-US"/>
        </w:rPr>
        <w:t xml:space="preserve"> introduced Document 518, containing </w:t>
      </w:r>
      <w:r>
        <w:rPr>
          <w:lang w:val="en-US"/>
        </w:rPr>
        <w:t>the</w:t>
      </w:r>
      <w:r w:rsidRPr="00DA5C1F">
        <w:rPr>
          <w:lang w:val="en-US"/>
        </w:rPr>
        <w:t xml:space="preserve"> fourteenth report </w:t>
      </w:r>
      <w:r>
        <w:rPr>
          <w:lang w:val="en-US"/>
        </w:rPr>
        <w:t xml:space="preserve">of Committee 5 </w:t>
      </w:r>
      <w:r w:rsidRPr="00DA5C1F">
        <w:rPr>
          <w:lang w:val="en-US"/>
        </w:rPr>
        <w:t xml:space="preserve">to </w:t>
      </w:r>
      <w:r>
        <w:rPr>
          <w:lang w:val="en-US"/>
        </w:rPr>
        <w:t xml:space="preserve">the </w:t>
      </w:r>
      <w:r w:rsidRPr="00DA5C1F">
        <w:rPr>
          <w:lang w:val="en-US"/>
        </w:rPr>
        <w:t>Plenary</w:t>
      </w:r>
      <w:r>
        <w:rPr>
          <w:lang w:val="en-US"/>
        </w:rPr>
        <w:t xml:space="preserve">, relating to WRC-19’s consideration of requests from notifying administrations regarding regulatory treatment for specific satellite networks. </w:t>
      </w:r>
      <w:r w:rsidRPr="00C024EE">
        <w:rPr>
          <w:lang w:val="en-US"/>
        </w:rPr>
        <w:t>It was proposed that the following text</w:t>
      </w:r>
      <w:r w:rsidRPr="00947FAB">
        <w:rPr>
          <w:lang w:val="en-US"/>
        </w:rPr>
        <w:t xml:space="preserve"> be included in the minutes of the </w:t>
      </w:r>
      <w:r>
        <w:rPr>
          <w:lang w:val="en-US"/>
        </w:rPr>
        <w:t xml:space="preserve">plenary </w:t>
      </w:r>
      <w:r w:rsidRPr="00947FAB">
        <w:rPr>
          <w:lang w:val="en-US"/>
        </w:rPr>
        <w:t>meeting</w:t>
      </w:r>
      <w:r w:rsidRPr="009E6071">
        <w:rPr>
          <w:lang w:val="en-US"/>
        </w:rPr>
        <w:t xml:space="preserve"> as a decision of the conference</w:t>
      </w:r>
      <w:r>
        <w:rPr>
          <w:lang w:val="en-US"/>
        </w:rPr>
        <w:t>:</w:t>
      </w:r>
    </w:p>
    <w:p w14:paraId="61885DA0" w14:textId="77777777" w:rsidR="007A4E5D" w:rsidRPr="005C675A" w:rsidRDefault="007A4E5D" w:rsidP="007A4E5D">
      <w:pPr>
        <w:rPr>
          <w:lang w:val="en-US"/>
        </w:rPr>
      </w:pPr>
      <w:r w:rsidRPr="009E6071">
        <w:rPr>
          <w:szCs w:val="24"/>
          <w:lang w:val="en-US"/>
        </w:rPr>
        <w:lastRenderedPageBreak/>
        <w:t>“</w:t>
      </w:r>
      <w:r w:rsidRPr="005C675A">
        <w:rPr>
          <w:lang w:val="en-US"/>
        </w:rPr>
        <w:t>WRC</w:t>
      </w:r>
      <w:r w:rsidRPr="005C675A">
        <w:rPr>
          <w:lang w:val="en-US"/>
        </w:rPr>
        <w:noBreakHyphen/>
        <w:t>19 received several documents containing requests from notifying administrations regarding regulatory treatment for specific satellite networks. The results of WRC</w:t>
      </w:r>
      <w:r w:rsidRPr="005C675A">
        <w:rPr>
          <w:lang w:val="en-US"/>
        </w:rPr>
        <w:noBreakHyphen/>
        <w:t>19 consideration of those requests is shown below.</w:t>
      </w:r>
    </w:p>
    <w:p w14:paraId="61885DA1" w14:textId="4171DD08" w:rsidR="007A4E5D" w:rsidRPr="009D79B1" w:rsidRDefault="007A4E5D" w:rsidP="007A4E5D">
      <w:pPr>
        <w:pStyle w:val="Headingb"/>
        <w:rPr>
          <w:lang w:val="en-GB"/>
        </w:rPr>
      </w:pPr>
      <w:r w:rsidRPr="009D79B1">
        <w:rPr>
          <w:lang w:val="en-GB"/>
        </w:rPr>
        <w:t>Requests for WRC decision</w:t>
      </w:r>
      <w:r w:rsidR="00DD3DB8" w:rsidRPr="009D79B1">
        <w:rPr>
          <w:lang w:val="en-GB"/>
        </w:rPr>
        <w:t>s</w:t>
      </w:r>
      <w:r w:rsidRPr="009D79B1">
        <w:rPr>
          <w:lang w:val="en-GB"/>
        </w:rPr>
        <w:t xml:space="preserve"> on specific satellite network filings</w:t>
      </w:r>
    </w:p>
    <w:p w14:paraId="61885DA2" w14:textId="77777777" w:rsidR="007A4E5D" w:rsidRPr="007A4E5D" w:rsidRDefault="007A4E5D" w:rsidP="007A4E5D">
      <w:pPr>
        <w:pStyle w:val="Headingi"/>
      </w:pPr>
      <w:r w:rsidRPr="007A4E5D">
        <w:t>Request for ASIASAT-AK, ASIASAT-AK1 and ASIASAT-AKX satellite networks</w:t>
      </w:r>
    </w:p>
    <w:p w14:paraId="61885DA3" w14:textId="77777777" w:rsidR="007A4E5D" w:rsidRDefault="007A4E5D" w:rsidP="007A4E5D">
      <w:pPr>
        <w:rPr>
          <w:lang w:val="en-US"/>
        </w:rPr>
      </w:pPr>
      <w:r w:rsidRPr="005C675A">
        <w:rPr>
          <w:lang w:val="en-US"/>
        </w:rPr>
        <w:t>WRC</w:t>
      </w:r>
      <w:r w:rsidRPr="005C675A">
        <w:rPr>
          <w:lang w:val="en-US"/>
        </w:rPr>
        <w:noBreakHyphen/>
        <w:t xml:space="preserve">19 considered the specific request made by China in Document </w:t>
      </w:r>
      <w:r w:rsidRPr="00A13842">
        <w:rPr>
          <w:lang w:val="en-US"/>
        </w:rPr>
        <w:t>28(Add.22)</w:t>
      </w:r>
      <w:r w:rsidRPr="005C675A">
        <w:rPr>
          <w:lang w:val="en-US"/>
        </w:rPr>
        <w:t xml:space="preserve"> regarding the validity of certain C- and Ku-band assignments to the Chinese satellite networks ASIASAT-AK, ASIASAT-AK1 and ASIASAT-AKX. After considering the content of Document </w:t>
      </w:r>
      <w:r w:rsidRPr="00A13842">
        <w:rPr>
          <w:lang w:val="en-US"/>
        </w:rPr>
        <w:t>28(Add.22)</w:t>
      </w:r>
      <w:r w:rsidRPr="005C675A">
        <w:rPr>
          <w:lang w:val="en-US"/>
        </w:rPr>
        <w:t xml:space="preserve"> and the particular issues raised therein, WRC</w:t>
      </w:r>
      <w:r w:rsidRPr="005C675A">
        <w:rPr>
          <w:lang w:val="en-US"/>
        </w:rPr>
        <w:noBreakHyphen/>
        <w:t>19 decided to accede to the request contained in Document </w:t>
      </w:r>
      <w:r w:rsidRPr="00A13842">
        <w:rPr>
          <w:lang w:val="en-US"/>
        </w:rPr>
        <w:t>28(Add.22)</w:t>
      </w:r>
      <w:r w:rsidRPr="005C675A">
        <w:rPr>
          <w:lang w:val="en-US"/>
        </w:rPr>
        <w:t xml:space="preserve"> and consequently instructed the Radiocommunication Bureau to maintain in the Master International Frequency Register the frequency assignments to the ASIASAT-AK, ASIASAT-AK1 and ASIASAT-AKX satellite networks listed in the table below.</w:t>
      </w:r>
    </w:p>
    <w:p w14:paraId="61885DA4" w14:textId="77777777" w:rsidR="007A4E5D" w:rsidRPr="005C675A" w:rsidRDefault="007A4E5D" w:rsidP="007A4E5D">
      <w:pPr>
        <w:rPr>
          <w:lang w:val="en-US"/>
        </w:rPr>
      </w:pP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004"/>
        <w:gridCol w:w="1753"/>
        <w:gridCol w:w="1791"/>
      </w:tblGrid>
      <w:tr w:rsidR="007A4E5D" w:rsidRPr="00C02055" w14:paraId="61885DA9" w14:textId="77777777" w:rsidTr="003D6F21">
        <w:trPr>
          <w:cantSplit/>
          <w:trHeight w:val="300"/>
          <w:tblHeader/>
          <w:jc w:val="center"/>
        </w:trPr>
        <w:tc>
          <w:tcPr>
            <w:tcW w:w="1922" w:type="dxa"/>
            <w:shd w:val="clear" w:color="auto" w:fill="D9D9D9"/>
            <w:noWrap/>
            <w:vAlign w:val="center"/>
            <w:hideMark/>
          </w:tcPr>
          <w:p w14:paraId="61885DA5" w14:textId="77777777" w:rsidR="007A4E5D" w:rsidRPr="00C02055" w:rsidRDefault="007A4E5D" w:rsidP="00C02055">
            <w:pPr>
              <w:pStyle w:val="Tablehead"/>
            </w:pPr>
            <w:r w:rsidRPr="00C02055">
              <w:t>Satellite Network</w:t>
            </w:r>
          </w:p>
        </w:tc>
        <w:tc>
          <w:tcPr>
            <w:tcW w:w="1004" w:type="dxa"/>
            <w:shd w:val="clear" w:color="auto" w:fill="D9D9D9"/>
            <w:noWrap/>
            <w:vAlign w:val="center"/>
            <w:hideMark/>
          </w:tcPr>
          <w:p w14:paraId="61885DA6" w14:textId="77777777" w:rsidR="007A4E5D" w:rsidRPr="00C02055" w:rsidRDefault="007A4E5D" w:rsidP="00C02055">
            <w:pPr>
              <w:pStyle w:val="Tablehead"/>
            </w:pPr>
            <w:r w:rsidRPr="00C02055">
              <w:t>Long</w:t>
            </w:r>
          </w:p>
        </w:tc>
        <w:tc>
          <w:tcPr>
            <w:tcW w:w="1753" w:type="dxa"/>
            <w:shd w:val="clear" w:color="auto" w:fill="D9D9D9"/>
            <w:noWrap/>
            <w:vAlign w:val="center"/>
            <w:hideMark/>
          </w:tcPr>
          <w:p w14:paraId="61885DA7" w14:textId="77777777" w:rsidR="007A4E5D" w:rsidRPr="00C02055" w:rsidRDefault="007A4E5D" w:rsidP="00C02055">
            <w:pPr>
              <w:pStyle w:val="Tablehead"/>
            </w:pPr>
            <w:r w:rsidRPr="00C02055">
              <w:t>Min Freq (MHz)</w:t>
            </w:r>
          </w:p>
        </w:tc>
        <w:tc>
          <w:tcPr>
            <w:tcW w:w="1791" w:type="dxa"/>
            <w:shd w:val="clear" w:color="auto" w:fill="D9D9D9"/>
            <w:noWrap/>
            <w:vAlign w:val="center"/>
            <w:hideMark/>
          </w:tcPr>
          <w:p w14:paraId="61885DA8" w14:textId="77777777" w:rsidR="007A4E5D" w:rsidRPr="00C02055" w:rsidRDefault="007A4E5D" w:rsidP="00C02055">
            <w:pPr>
              <w:pStyle w:val="Tablehead"/>
            </w:pPr>
            <w:r w:rsidRPr="00C02055">
              <w:t>Max Freq (MHz)</w:t>
            </w:r>
          </w:p>
        </w:tc>
      </w:tr>
      <w:tr w:rsidR="007A4E5D" w:rsidRPr="00C02055" w14:paraId="61885DAE" w14:textId="77777777" w:rsidTr="003D6F21">
        <w:trPr>
          <w:trHeight w:val="300"/>
          <w:jc w:val="center"/>
        </w:trPr>
        <w:tc>
          <w:tcPr>
            <w:tcW w:w="1922" w:type="dxa"/>
            <w:noWrap/>
            <w:vAlign w:val="center"/>
          </w:tcPr>
          <w:p w14:paraId="61885DAA" w14:textId="77777777" w:rsidR="007A4E5D" w:rsidRPr="00C02055" w:rsidRDefault="007A4E5D" w:rsidP="00C02055">
            <w:pPr>
              <w:pStyle w:val="Tabletext"/>
              <w:jc w:val="center"/>
            </w:pPr>
            <w:r w:rsidRPr="00C02055">
              <w:t>ASIASAT-AK</w:t>
            </w:r>
          </w:p>
        </w:tc>
        <w:tc>
          <w:tcPr>
            <w:tcW w:w="1004" w:type="dxa"/>
            <w:noWrap/>
          </w:tcPr>
          <w:p w14:paraId="61885DAB" w14:textId="77777777" w:rsidR="007A4E5D" w:rsidRPr="00C02055" w:rsidRDefault="007A4E5D" w:rsidP="00C02055">
            <w:pPr>
              <w:pStyle w:val="Tabletext"/>
              <w:jc w:val="center"/>
            </w:pPr>
            <w:r w:rsidRPr="00C02055">
              <w:t>122°E</w:t>
            </w:r>
          </w:p>
        </w:tc>
        <w:tc>
          <w:tcPr>
            <w:tcW w:w="1753" w:type="dxa"/>
            <w:noWrap/>
            <w:vAlign w:val="center"/>
          </w:tcPr>
          <w:p w14:paraId="61885DAC" w14:textId="77777777" w:rsidR="007A4E5D" w:rsidRPr="00C02055" w:rsidRDefault="007A4E5D" w:rsidP="00C02055">
            <w:pPr>
              <w:pStyle w:val="Tabletext"/>
              <w:jc w:val="center"/>
            </w:pPr>
            <w:r w:rsidRPr="00C02055">
              <w:t>6 425</w:t>
            </w:r>
          </w:p>
        </w:tc>
        <w:tc>
          <w:tcPr>
            <w:tcW w:w="1791" w:type="dxa"/>
            <w:noWrap/>
            <w:vAlign w:val="center"/>
          </w:tcPr>
          <w:p w14:paraId="61885DAD" w14:textId="77777777" w:rsidR="007A4E5D" w:rsidRPr="00C02055" w:rsidRDefault="007A4E5D" w:rsidP="00C02055">
            <w:pPr>
              <w:pStyle w:val="Tabletext"/>
              <w:jc w:val="center"/>
            </w:pPr>
            <w:r w:rsidRPr="00C02055">
              <w:t>6 723</w:t>
            </w:r>
          </w:p>
        </w:tc>
      </w:tr>
      <w:tr w:rsidR="007A4E5D" w:rsidRPr="00C02055" w14:paraId="61885DB3" w14:textId="77777777" w:rsidTr="003D6F21">
        <w:trPr>
          <w:trHeight w:val="300"/>
          <w:jc w:val="center"/>
        </w:trPr>
        <w:tc>
          <w:tcPr>
            <w:tcW w:w="1922" w:type="dxa"/>
            <w:noWrap/>
            <w:vAlign w:val="center"/>
          </w:tcPr>
          <w:p w14:paraId="61885DAF" w14:textId="77777777" w:rsidR="007A4E5D" w:rsidRPr="00C02055" w:rsidRDefault="007A4E5D" w:rsidP="00C02055">
            <w:pPr>
              <w:pStyle w:val="Tabletext"/>
              <w:jc w:val="center"/>
            </w:pPr>
            <w:r w:rsidRPr="00C02055">
              <w:t>ASIASAT-AK</w:t>
            </w:r>
          </w:p>
        </w:tc>
        <w:tc>
          <w:tcPr>
            <w:tcW w:w="1004" w:type="dxa"/>
            <w:noWrap/>
          </w:tcPr>
          <w:p w14:paraId="61885DB0" w14:textId="77777777" w:rsidR="007A4E5D" w:rsidRPr="00C02055" w:rsidRDefault="007A4E5D" w:rsidP="00C02055">
            <w:pPr>
              <w:pStyle w:val="Tabletext"/>
              <w:jc w:val="center"/>
            </w:pPr>
            <w:r w:rsidRPr="00C02055">
              <w:t>122°E</w:t>
            </w:r>
          </w:p>
        </w:tc>
        <w:tc>
          <w:tcPr>
            <w:tcW w:w="1753" w:type="dxa"/>
            <w:noWrap/>
            <w:vAlign w:val="center"/>
          </w:tcPr>
          <w:p w14:paraId="61885DB1" w14:textId="77777777" w:rsidR="007A4E5D" w:rsidRPr="00C02055" w:rsidRDefault="007A4E5D" w:rsidP="00C02055">
            <w:pPr>
              <w:pStyle w:val="Tabletext"/>
              <w:jc w:val="center"/>
            </w:pPr>
            <w:r w:rsidRPr="00C02055">
              <w:t>10 950</w:t>
            </w:r>
          </w:p>
        </w:tc>
        <w:tc>
          <w:tcPr>
            <w:tcW w:w="1791" w:type="dxa"/>
            <w:noWrap/>
            <w:vAlign w:val="center"/>
          </w:tcPr>
          <w:p w14:paraId="61885DB2" w14:textId="77777777" w:rsidR="007A4E5D" w:rsidRPr="00C02055" w:rsidRDefault="007A4E5D" w:rsidP="00C02055">
            <w:pPr>
              <w:pStyle w:val="Tabletext"/>
              <w:jc w:val="center"/>
            </w:pPr>
            <w:r w:rsidRPr="00C02055">
              <w:t>11 197</w:t>
            </w:r>
          </w:p>
        </w:tc>
      </w:tr>
      <w:tr w:rsidR="007A4E5D" w:rsidRPr="00C02055" w14:paraId="61885DB8" w14:textId="77777777" w:rsidTr="003D6F21">
        <w:trPr>
          <w:trHeight w:val="300"/>
          <w:jc w:val="center"/>
        </w:trPr>
        <w:tc>
          <w:tcPr>
            <w:tcW w:w="1922" w:type="dxa"/>
            <w:noWrap/>
            <w:vAlign w:val="center"/>
          </w:tcPr>
          <w:p w14:paraId="61885DB4" w14:textId="77777777" w:rsidR="007A4E5D" w:rsidRPr="00C02055" w:rsidRDefault="007A4E5D" w:rsidP="00C02055">
            <w:pPr>
              <w:pStyle w:val="Tabletext"/>
              <w:jc w:val="center"/>
            </w:pPr>
            <w:r w:rsidRPr="00C02055">
              <w:t>ASIASAT-AK</w:t>
            </w:r>
          </w:p>
        </w:tc>
        <w:tc>
          <w:tcPr>
            <w:tcW w:w="1004" w:type="dxa"/>
            <w:noWrap/>
          </w:tcPr>
          <w:p w14:paraId="61885DB5" w14:textId="77777777" w:rsidR="007A4E5D" w:rsidRPr="00C02055" w:rsidRDefault="007A4E5D" w:rsidP="00C02055">
            <w:pPr>
              <w:pStyle w:val="Tabletext"/>
              <w:jc w:val="center"/>
            </w:pPr>
            <w:r w:rsidRPr="00C02055">
              <w:t>122°E</w:t>
            </w:r>
          </w:p>
        </w:tc>
        <w:tc>
          <w:tcPr>
            <w:tcW w:w="1753" w:type="dxa"/>
            <w:noWrap/>
            <w:vAlign w:val="center"/>
          </w:tcPr>
          <w:p w14:paraId="61885DB6" w14:textId="77777777" w:rsidR="007A4E5D" w:rsidRPr="00C02055" w:rsidRDefault="007A4E5D" w:rsidP="00C02055">
            <w:pPr>
              <w:pStyle w:val="Tabletext"/>
              <w:jc w:val="center"/>
            </w:pPr>
            <w:r w:rsidRPr="00C02055">
              <w:t>11 453</w:t>
            </w:r>
          </w:p>
        </w:tc>
        <w:tc>
          <w:tcPr>
            <w:tcW w:w="1791" w:type="dxa"/>
            <w:noWrap/>
            <w:vAlign w:val="center"/>
          </w:tcPr>
          <w:p w14:paraId="61885DB7" w14:textId="77777777" w:rsidR="007A4E5D" w:rsidRPr="00C02055" w:rsidRDefault="007A4E5D" w:rsidP="00C02055">
            <w:pPr>
              <w:pStyle w:val="Tabletext"/>
              <w:jc w:val="center"/>
            </w:pPr>
            <w:r w:rsidRPr="00C02055">
              <w:t>11 700</w:t>
            </w:r>
          </w:p>
        </w:tc>
      </w:tr>
      <w:tr w:rsidR="007A4E5D" w:rsidRPr="00C02055" w14:paraId="61885DBD" w14:textId="77777777" w:rsidTr="003D6F21">
        <w:trPr>
          <w:trHeight w:val="300"/>
          <w:jc w:val="center"/>
        </w:trPr>
        <w:tc>
          <w:tcPr>
            <w:tcW w:w="1922" w:type="dxa"/>
            <w:noWrap/>
            <w:vAlign w:val="center"/>
          </w:tcPr>
          <w:p w14:paraId="61885DB9" w14:textId="77777777" w:rsidR="007A4E5D" w:rsidRPr="00C02055" w:rsidRDefault="007A4E5D" w:rsidP="00C02055">
            <w:pPr>
              <w:pStyle w:val="Tabletext"/>
              <w:jc w:val="center"/>
            </w:pPr>
            <w:r w:rsidRPr="00C02055">
              <w:t>ASIASAT-AK1</w:t>
            </w:r>
          </w:p>
        </w:tc>
        <w:tc>
          <w:tcPr>
            <w:tcW w:w="1004" w:type="dxa"/>
            <w:noWrap/>
          </w:tcPr>
          <w:p w14:paraId="61885DBA" w14:textId="77777777" w:rsidR="007A4E5D" w:rsidRPr="00C02055" w:rsidRDefault="007A4E5D" w:rsidP="00C02055">
            <w:pPr>
              <w:pStyle w:val="Tabletext"/>
              <w:jc w:val="center"/>
            </w:pPr>
            <w:r w:rsidRPr="00C02055">
              <w:t>122°E</w:t>
            </w:r>
          </w:p>
        </w:tc>
        <w:tc>
          <w:tcPr>
            <w:tcW w:w="1753" w:type="dxa"/>
            <w:noWrap/>
            <w:vAlign w:val="center"/>
          </w:tcPr>
          <w:p w14:paraId="61885DBB" w14:textId="77777777" w:rsidR="007A4E5D" w:rsidRPr="00C02055" w:rsidRDefault="007A4E5D" w:rsidP="00C02055">
            <w:pPr>
              <w:pStyle w:val="Tabletext"/>
              <w:jc w:val="center"/>
            </w:pPr>
            <w:r w:rsidRPr="00C02055">
              <w:t>12 200</w:t>
            </w:r>
          </w:p>
        </w:tc>
        <w:tc>
          <w:tcPr>
            <w:tcW w:w="1791" w:type="dxa"/>
            <w:noWrap/>
            <w:vAlign w:val="center"/>
          </w:tcPr>
          <w:p w14:paraId="61885DBC" w14:textId="77777777" w:rsidR="007A4E5D" w:rsidRPr="00C02055" w:rsidRDefault="007A4E5D" w:rsidP="00C02055">
            <w:pPr>
              <w:pStyle w:val="Tabletext"/>
              <w:jc w:val="center"/>
            </w:pPr>
            <w:r w:rsidRPr="00C02055">
              <w:t>12 250</w:t>
            </w:r>
          </w:p>
        </w:tc>
      </w:tr>
      <w:tr w:rsidR="007A4E5D" w:rsidRPr="00C02055" w14:paraId="61885DC2" w14:textId="77777777" w:rsidTr="003D6F21">
        <w:trPr>
          <w:trHeight w:val="300"/>
          <w:jc w:val="center"/>
        </w:trPr>
        <w:tc>
          <w:tcPr>
            <w:tcW w:w="1922" w:type="dxa"/>
            <w:noWrap/>
            <w:vAlign w:val="center"/>
          </w:tcPr>
          <w:p w14:paraId="61885DBE" w14:textId="77777777" w:rsidR="007A4E5D" w:rsidRPr="00C02055" w:rsidRDefault="007A4E5D" w:rsidP="00C02055">
            <w:pPr>
              <w:pStyle w:val="Tabletext"/>
              <w:jc w:val="center"/>
            </w:pPr>
            <w:r w:rsidRPr="00C02055">
              <w:t>ASIASAT-AKX</w:t>
            </w:r>
          </w:p>
        </w:tc>
        <w:tc>
          <w:tcPr>
            <w:tcW w:w="1004" w:type="dxa"/>
            <w:noWrap/>
          </w:tcPr>
          <w:p w14:paraId="61885DBF" w14:textId="77777777" w:rsidR="007A4E5D" w:rsidRPr="00C02055" w:rsidRDefault="007A4E5D" w:rsidP="00C02055">
            <w:pPr>
              <w:pStyle w:val="Tabletext"/>
              <w:jc w:val="center"/>
            </w:pPr>
            <w:r w:rsidRPr="00C02055">
              <w:t>122°E</w:t>
            </w:r>
          </w:p>
        </w:tc>
        <w:tc>
          <w:tcPr>
            <w:tcW w:w="1753" w:type="dxa"/>
            <w:noWrap/>
            <w:vAlign w:val="center"/>
          </w:tcPr>
          <w:p w14:paraId="61885DC0" w14:textId="77777777" w:rsidR="007A4E5D" w:rsidRPr="00C02055" w:rsidRDefault="007A4E5D" w:rsidP="00C02055">
            <w:pPr>
              <w:pStyle w:val="Tabletext"/>
              <w:jc w:val="center"/>
            </w:pPr>
            <w:r w:rsidRPr="00C02055">
              <w:t>6 425</w:t>
            </w:r>
          </w:p>
        </w:tc>
        <w:tc>
          <w:tcPr>
            <w:tcW w:w="1791" w:type="dxa"/>
            <w:noWrap/>
            <w:vAlign w:val="center"/>
          </w:tcPr>
          <w:p w14:paraId="61885DC1" w14:textId="77777777" w:rsidR="007A4E5D" w:rsidRPr="00C02055" w:rsidRDefault="007A4E5D" w:rsidP="00C02055">
            <w:pPr>
              <w:pStyle w:val="Tabletext"/>
              <w:jc w:val="center"/>
            </w:pPr>
            <w:r w:rsidRPr="00C02055">
              <w:t>6 725</w:t>
            </w:r>
          </w:p>
        </w:tc>
      </w:tr>
      <w:tr w:rsidR="007A4E5D" w:rsidRPr="00C02055" w14:paraId="61885DC7" w14:textId="77777777" w:rsidTr="003D6F21">
        <w:trPr>
          <w:trHeight w:val="300"/>
          <w:jc w:val="center"/>
        </w:trPr>
        <w:tc>
          <w:tcPr>
            <w:tcW w:w="1922" w:type="dxa"/>
            <w:noWrap/>
            <w:vAlign w:val="center"/>
          </w:tcPr>
          <w:p w14:paraId="61885DC3" w14:textId="77777777" w:rsidR="007A4E5D" w:rsidRPr="00C02055" w:rsidRDefault="007A4E5D" w:rsidP="00C02055">
            <w:pPr>
              <w:pStyle w:val="Tabletext"/>
              <w:jc w:val="center"/>
            </w:pPr>
            <w:r w:rsidRPr="00C02055">
              <w:t>ASIASAT-AKX</w:t>
            </w:r>
          </w:p>
        </w:tc>
        <w:tc>
          <w:tcPr>
            <w:tcW w:w="1004" w:type="dxa"/>
            <w:noWrap/>
          </w:tcPr>
          <w:p w14:paraId="61885DC4" w14:textId="77777777" w:rsidR="007A4E5D" w:rsidRPr="00C02055" w:rsidRDefault="007A4E5D" w:rsidP="00C02055">
            <w:pPr>
              <w:pStyle w:val="Tabletext"/>
              <w:jc w:val="center"/>
            </w:pPr>
            <w:r w:rsidRPr="00C02055">
              <w:t>122°E</w:t>
            </w:r>
          </w:p>
        </w:tc>
        <w:tc>
          <w:tcPr>
            <w:tcW w:w="1753" w:type="dxa"/>
            <w:noWrap/>
            <w:vAlign w:val="center"/>
          </w:tcPr>
          <w:p w14:paraId="61885DC5" w14:textId="77777777" w:rsidR="007A4E5D" w:rsidRPr="00C02055" w:rsidRDefault="007A4E5D" w:rsidP="00C02055">
            <w:pPr>
              <w:pStyle w:val="Tabletext"/>
              <w:jc w:val="center"/>
            </w:pPr>
            <w:r w:rsidRPr="00C02055">
              <w:t>10 953</w:t>
            </w:r>
          </w:p>
        </w:tc>
        <w:tc>
          <w:tcPr>
            <w:tcW w:w="1791" w:type="dxa"/>
            <w:noWrap/>
            <w:vAlign w:val="center"/>
          </w:tcPr>
          <w:p w14:paraId="61885DC6" w14:textId="77777777" w:rsidR="007A4E5D" w:rsidRPr="00C02055" w:rsidRDefault="007A4E5D" w:rsidP="00C02055">
            <w:pPr>
              <w:pStyle w:val="Tabletext"/>
              <w:jc w:val="center"/>
            </w:pPr>
            <w:r w:rsidRPr="00C02055">
              <w:t>11 200</w:t>
            </w:r>
          </w:p>
        </w:tc>
      </w:tr>
      <w:tr w:rsidR="007A4E5D" w:rsidRPr="00C02055" w14:paraId="61885DCC" w14:textId="77777777" w:rsidTr="003D6F21">
        <w:trPr>
          <w:trHeight w:val="300"/>
          <w:jc w:val="center"/>
        </w:trPr>
        <w:tc>
          <w:tcPr>
            <w:tcW w:w="1922" w:type="dxa"/>
            <w:noWrap/>
            <w:vAlign w:val="center"/>
          </w:tcPr>
          <w:p w14:paraId="61885DC8" w14:textId="77777777" w:rsidR="007A4E5D" w:rsidRPr="00C02055" w:rsidRDefault="007A4E5D" w:rsidP="00C02055">
            <w:pPr>
              <w:pStyle w:val="Tabletext"/>
              <w:jc w:val="center"/>
            </w:pPr>
            <w:r w:rsidRPr="00C02055">
              <w:t>ASIASAT-AKX</w:t>
            </w:r>
          </w:p>
        </w:tc>
        <w:tc>
          <w:tcPr>
            <w:tcW w:w="1004" w:type="dxa"/>
            <w:noWrap/>
          </w:tcPr>
          <w:p w14:paraId="61885DC9" w14:textId="77777777" w:rsidR="007A4E5D" w:rsidRPr="00C02055" w:rsidRDefault="007A4E5D" w:rsidP="00C02055">
            <w:pPr>
              <w:pStyle w:val="Tabletext"/>
              <w:jc w:val="center"/>
            </w:pPr>
            <w:r w:rsidRPr="00C02055">
              <w:t>122°E</w:t>
            </w:r>
          </w:p>
        </w:tc>
        <w:tc>
          <w:tcPr>
            <w:tcW w:w="1753" w:type="dxa"/>
            <w:noWrap/>
            <w:vAlign w:val="center"/>
          </w:tcPr>
          <w:p w14:paraId="61885DCA" w14:textId="77777777" w:rsidR="007A4E5D" w:rsidRPr="00C02055" w:rsidRDefault="007A4E5D" w:rsidP="00C02055">
            <w:pPr>
              <w:pStyle w:val="Tabletext"/>
              <w:jc w:val="center"/>
            </w:pPr>
            <w:r w:rsidRPr="00C02055">
              <w:t>11 450</w:t>
            </w:r>
          </w:p>
        </w:tc>
        <w:tc>
          <w:tcPr>
            <w:tcW w:w="1791" w:type="dxa"/>
            <w:noWrap/>
            <w:vAlign w:val="center"/>
          </w:tcPr>
          <w:p w14:paraId="61885DCB" w14:textId="77777777" w:rsidR="007A4E5D" w:rsidRPr="00C02055" w:rsidRDefault="007A4E5D" w:rsidP="00C02055">
            <w:pPr>
              <w:pStyle w:val="Tabletext"/>
              <w:jc w:val="center"/>
            </w:pPr>
            <w:r w:rsidRPr="00C02055">
              <w:t>11 699</w:t>
            </w:r>
          </w:p>
        </w:tc>
      </w:tr>
      <w:tr w:rsidR="007A4E5D" w:rsidRPr="00C02055" w14:paraId="61885DD1" w14:textId="77777777" w:rsidTr="003D6F21">
        <w:trPr>
          <w:trHeight w:val="300"/>
          <w:jc w:val="center"/>
        </w:trPr>
        <w:tc>
          <w:tcPr>
            <w:tcW w:w="1922" w:type="dxa"/>
            <w:noWrap/>
            <w:vAlign w:val="center"/>
          </w:tcPr>
          <w:p w14:paraId="61885DCD" w14:textId="77777777" w:rsidR="007A4E5D" w:rsidRPr="00C02055" w:rsidRDefault="007A4E5D" w:rsidP="00C02055">
            <w:pPr>
              <w:pStyle w:val="Tabletext"/>
              <w:jc w:val="center"/>
            </w:pPr>
            <w:r w:rsidRPr="00C02055">
              <w:t>ASIASAT-AKX</w:t>
            </w:r>
          </w:p>
        </w:tc>
        <w:tc>
          <w:tcPr>
            <w:tcW w:w="1004" w:type="dxa"/>
            <w:noWrap/>
          </w:tcPr>
          <w:p w14:paraId="61885DCE" w14:textId="77777777" w:rsidR="007A4E5D" w:rsidRPr="00C02055" w:rsidRDefault="007A4E5D" w:rsidP="00C02055">
            <w:pPr>
              <w:pStyle w:val="Tabletext"/>
              <w:jc w:val="center"/>
            </w:pPr>
            <w:r w:rsidRPr="00C02055">
              <w:t>122°E</w:t>
            </w:r>
          </w:p>
        </w:tc>
        <w:tc>
          <w:tcPr>
            <w:tcW w:w="1753" w:type="dxa"/>
            <w:noWrap/>
            <w:vAlign w:val="center"/>
          </w:tcPr>
          <w:p w14:paraId="61885DCF" w14:textId="77777777" w:rsidR="007A4E5D" w:rsidRPr="00C02055" w:rsidRDefault="007A4E5D" w:rsidP="00C02055">
            <w:pPr>
              <w:pStyle w:val="Tabletext"/>
              <w:jc w:val="center"/>
            </w:pPr>
            <w:r w:rsidRPr="00C02055">
              <w:t>13 753</w:t>
            </w:r>
          </w:p>
        </w:tc>
        <w:tc>
          <w:tcPr>
            <w:tcW w:w="1791" w:type="dxa"/>
            <w:noWrap/>
            <w:vAlign w:val="center"/>
          </w:tcPr>
          <w:p w14:paraId="61885DD0" w14:textId="77777777" w:rsidR="007A4E5D" w:rsidRPr="00C02055" w:rsidRDefault="007A4E5D" w:rsidP="00C02055">
            <w:pPr>
              <w:pStyle w:val="Tabletext"/>
              <w:jc w:val="center"/>
            </w:pPr>
            <w:r w:rsidRPr="00C02055">
              <w:t>14 000</w:t>
            </w:r>
          </w:p>
        </w:tc>
      </w:tr>
    </w:tbl>
    <w:p w14:paraId="61885DD2" w14:textId="77777777" w:rsidR="007A4E5D" w:rsidRPr="007A4E5D" w:rsidRDefault="007A4E5D" w:rsidP="007A4E5D">
      <w:pPr>
        <w:pStyle w:val="Headingi"/>
      </w:pPr>
      <w:r w:rsidRPr="007A4E5D">
        <w:t>Request for INTELSAT8 328.5E and INTELSAT9 328.5E satellite networks</w:t>
      </w:r>
    </w:p>
    <w:p w14:paraId="61885DD3" w14:textId="77777777" w:rsidR="007A4E5D" w:rsidRPr="005C675A" w:rsidRDefault="007A4E5D" w:rsidP="007A4E5D">
      <w:pPr>
        <w:rPr>
          <w:lang w:val="en-US"/>
        </w:rPr>
      </w:pPr>
      <w:r w:rsidRPr="005C675A">
        <w:rPr>
          <w:lang w:val="en-US"/>
        </w:rPr>
        <w:t>WRC</w:t>
      </w:r>
      <w:r w:rsidRPr="005C675A">
        <w:rPr>
          <w:lang w:val="en-US"/>
        </w:rPr>
        <w:noBreakHyphen/>
        <w:t xml:space="preserve">19 considered the specific request in Document </w:t>
      </w:r>
      <w:r w:rsidRPr="00A13842">
        <w:rPr>
          <w:lang w:val="en-US"/>
        </w:rPr>
        <w:t>46(Add.22)</w:t>
      </w:r>
      <w:r w:rsidRPr="005C675A">
        <w:rPr>
          <w:lang w:val="en-US"/>
        </w:rPr>
        <w:t xml:space="preserve"> regarding the retention of frequency assignments to the INTELSAT8 328.5E and INTELSAT9 328.5E satellite networks in the frequency bands 10 950</w:t>
      </w:r>
      <w:r w:rsidRPr="005C675A">
        <w:rPr>
          <w:lang w:val="en-US"/>
        </w:rPr>
        <w:noBreakHyphen/>
        <w:t>11 195 MHz and 11 197.98</w:t>
      </w:r>
      <w:r w:rsidRPr="005C675A">
        <w:rPr>
          <w:lang w:val="en-US"/>
        </w:rPr>
        <w:noBreakHyphen/>
        <w:t>11 198.03 MHz. WRC</w:t>
      </w:r>
      <w:r w:rsidRPr="005C675A">
        <w:rPr>
          <w:lang w:val="en-US"/>
        </w:rPr>
        <w:noBreakHyphen/>
        <w:t>19 decided to accede to the specific request made in that document given the particular issues raised in the document. WRC</w:t>
      </w:r>
      <w:r w:rsidRPr="005C675A">
        <w:rPr>
          <w:lang w:val="en-US"/>
        </w:rPr>
        <w:noBreakHyphen/>
        <w:t xml:space="preserve">19 consequently instructed the Radiocommunication Bureau to maintain the above-mentioned frequency assignments in the Master International Frequency Register. </w:t>
      </w:r>
    </w:p>
    <w:p w14:paraId="61885DD4" w14:textId="77777777" w:rsidR="007A4E5D" w:rsidRPr="009D79B1" w:rsidRDefault="007A4E5D" w:rsidP="007A4E5D">
      <w:pPr>
        <w:pStyle w:val="Headingb"/>
        <w:rPr>
          <w:lang w:val="en-US"/>
        </w:rPr>
      </w:pPr>
      <w:r w:rsidRPr="009D79B1">
        <w:rPr>
          <w:lang w:val="en-US"/>
        </w:rPr>
        <w:t>Request for inclusion in the RR Appendix 30 and 30A Plans of 10 assignments at orbital position 1.9</w:t>
      </w:r>
      <w:r w:rsidRPr="009D79B1">
        <w:rPr>
          <w:lang w:val="en-US"/>
        </w:rPr>
        <w:sym w:font="Symbol" w:char="F0B0"/>
      </w:r>
      <w:r w:rsidRPr="009D79B1">
        <w:rPr>
          <w:lang w:val="en-US"/>
        </w:rPr>
        <w:t xml:space="preserve"> E, in replacement of Bulgaria’s assignments appearing in the current Plans at 1.2</w:t>
      </w:r>
      <w:r w:rsidRPr="009D79B1">
        <w:rPr>
          <w:lang w:val="en-US"/>
        </w:rPr>
        <w:sym w:font="Symbol" w:char="F0B0"/>
      </w:r>
      <w:r w:rsidRPr="009D79B1">
        <w:rPr>
          <w:lang w:val="en-US"/>
        </w:rPr>
        <w:t> W</w:t>
      </w:r>
    </w:p>
    <w:p w14:paraId="61885DD5" w14:textId="77777777" w:rsidR="007A4E5D" w:rsidRPr="005C675A" w:rsidRDefault="007A4E5D" w:rsidP="007A4E5D">
      <w:pPr>
        <w:rPr>
          <w:lang w:val="en-US"/>
        </w:rPr>
      </w:pPr>
      <w:r w:rsidRPr="005C675A">
        <w:rPr>
          <w:lang w:val="en-US"/>
        </w:rPr>
        <w:t>WRC</w:t>
      </w:r>
      <w:r w:rsidRPr="005C675A">
        <w:rPr>
          <w:lang w:val="en-US"/>
        </w:rPr>
        <w:noBreakHyphen/>
        <w:t xml:space="preserve">19 considered the specific request in Document </w:t>
      </w:r>
      <w:r w:rsidRPr="00A13842">
        <w:rPr>
          <w:lang w:val="en-US"/>
        </w:rPr>
        <w:t>43(Add.2)</w:t>
      </w:r>
      <w:r w:rsidRPr="005C675A">
        <w:rPr>
          <w:lang w:val="en-US"/>
        </w:rPr>
        <w:t xml:space="preserve"> to consider the inclusion in the </w:t>
      </w:r>
      <w:r w:rsidRPr="005C675A">
        <w:rPr>
          <w:rFonts w:ascii="Roboto" w:hAnsi="Roboto"/>
          <w:szCs w:val="24"/>
          <w:lang w:val="en-US"/>
        </w:rPr>
        <w:t xml:space="preserve">RR </w:t>
      </w:r>
      <w:r w:rsidRPr="005C675A">
        <w:rPr>
          <w:lang w:val="en-US"/>
        </w:rPr>
        <w:t>Appendix </w:t>
      </w:r>
      <w:r w:rsidRPr="005C675A">
        <w:rPr>
          <w:b/>
          <w:bCs/>
          <w:lang w:val="en-US"/>
        </w:rPr>
        <w:t>30</w:t>
      </w:r>
      <w:r w:rsidRPr="005C675A">
        <w:rPr>
          <w:lang w:val="en-US"/>
        </w:rPr>
        <w:t xml:space="preserve"> and </w:t>
      </w:r>
      <w:r w:rsidRPr="005C675A">
        <w:rPr>
          <w:b/>
          <w:bCs/>
          <w:lang w:val="en-US"/>
        </w:rPr>
        <w:t>30A</w:t>
      </w:r>
      <w:r w:rsidRPr="005C675A">
        <w:rPr>
          <w:lang w:val="en-US"/>
        </w:rPr>
        <w:t xml:space="preserve"> Plans of 10 assignments at orbital position 1.9</w:t>
      </w:r>
      <w:r w:rsidRPr="005C675A">
        <w:rPr>
          <w:szCs w:val="24"/>
          <w:lang w:val="en-US"/>
        </w:rPr>
        <w:sym w:font="Symbol" w:char="F0B0"/>
      </w:r>
      <w:r w:rsidRPr="005C675A">
        <w:rPr>
          <w:szCs w:val="24"/>
          <w:lang w:val="en-US"/>
        </w:rPr>
        <w:t> </w:t>
      </w:r>
      <w:r w:rsidRPr="005C675A">
        <w:rPr>
          <w:lang w:val="en-US"/>
        </w:rPr>
        <w:t>E, in replacement of Bulgaria’s assignments appearing in the current Plans at 1.2</w:t>
      </w:r>
      <w:r w:rsidRPr="005C675A">
        <w:rPr>
          <w:szCs w:val="24"/>
          <w:lang w:val="en-US"/>
        </w:rPr>
        <w:sym w:font="Symbol" w:char="F0B0"/>
      </w:r>
      <w:r w:rsidRPr="005C675A">
        <w:rPr>
          <w:szCs w:val="24"/>
          <w:lang w:val="en-US"/>
        </w:rPr>
        <w:t> </w:t>
      </w:r>
      <w:r w:rsidRPr="005C675A">
        <w:rPr>
          <w:lang w:val="en-US"/>
        </w:rPr>
        <w:t xml:space="preserve">W, pursuant to paragraph 4.1.27 of Article 4 of </w:t>
      </w:r>
      <w:r w:rsidRPr="005C675A">
        <w:rPr>
          <w:rFonts w:ascii="Roboto" w:hAnsi="Roboto"/>
          <w:szCs w:val="24"/>
          <w:lang w:val="en-US"/>
        </w:rPr>
        <w:t xml:space="preserve">RR </w:t>
      </w:r>
      <w:r w:rsidRPr="005C675A">
        <w:rPr>
          <w:lang w:val="en-US"/>
        </w:rPr>
        <w:t>Appendices </w:t>
      </w:r>
      <w:r w:rsidRPr="005C675A">
        <w:rPr>
          <w:b/>
          <w:bCs/>
          <w:lang w:val="en-US"/>
        </w:rPr>
        <w:t>30</w:t>
      </w:r>
      <w:r w:rsidRPr="005C675A">
        <w:rPr>
          <w:lang w:val="en-US"/>
        </w:rPr>
        <w:t xml:space="preserve"> and </w:t>
      </w:r>
      <w:r w:rsidRPr="005C675A">
        <w:rPr>
          <w:b/>
          <w:bCs/>
          <w:lang w:val="en-US"/>
        </w:rPr>
        <w:t>30A</w:t>
      </w:r>
      <w:r w:rsidRPr="005C675A">
        <w:rPr>
          <w:bCs/>
          <w:lang w:val="en-US"/>
        </w:rPr>
        <w:t>. Recognizing that this request was associated with a decision of WRC</w:t>
      </w:r>
      <w:r w:rsidRPr="005C675A">
        <w:rPr>
          <w:lang w:val="en-US"/>
        </w:rPr>
        <w:noBreakHyphen/>
      </w:r>
      <w:r w:rsidRPr="005C675A">
        <w:rPr>
          <w:bCs/>
          <w:lang w:val="en-US"/>
        </w:rPr>
        <w:t xml:space="preserve">12 on this same issue, and considering </w:t>
      </w:r>
      <w:r w:rsidRPr="005C675A">
        <w:rPr>
          <w:lang w:val="en-US"/>
        </w:rPr>
        <w:t>the results of the activities conducted after WRC</w:t>
      </w:r>
      <w:r w:rsidRPr="005C675A">
        <w:rPr>
          <w:lang w:val="en-US"/>
        </w:rPr>
        <w:noBreakHyphen/>
        <w:t xml:space="preserve">12 and the successful completion of the procedure of Article 4 of RR Appendix </w:t>
      </w:r>
      <w:r w:rsidRPr="005C675A">
        <w:rPr>
          <w:b/>
          <w:bCs/>
          <w:lang w:val="en-US"/>
        </w:rPr>
        <w:t>30</w:t>
      </w:r>
      <w:r w:rsidRPr="005C675A">
        <w:rPr>
          <w:lang w:val="en-US"/>
        </w:rPr>
        <w:t xml:space="preserve"> and notification of the RR Appendix </w:t>
      </w:r>
      <w:r w:rsidRPr="005C675A">
        <w:rPr>
          <w:b/>
          <w:bCs/>
          <w:lang w:val="en-US"/>
        </w:rPr>
        <w:t>30</w:t>
      </w:r>
      <w:r w:rsidRPr="005C675A">
        <w:rPr>
          <w:lang w:val="en-US"/>
        </w:rPr>
        <w:t xml:space="preserve"> Article 4 filing for BSS channels in the band 11.7-12.2 GHz at the orbital position 1.9</w:t>
      </w:r>
      <w:r w:rsidRPr="005C675A">
        <w:rPr>
          <w:szCs w:val="24"/>
          <w:lang w:val="en-US"/>
        </w:rPr>
        <w:sym w:font="Symbol" w:char="F0B0"/>
      </w:r>
      <w:r w:rsidRPr="005C675A">
        <w:rPr>
          <w:lang w:val="en-US"/>
        </w:rPr>
        <w:t xml:space="preserve"> E, WRC-19 decided to accede to the request. </w:t>
      </w:r>
    </w:p>
    <w:p w14:paraId="61885DD6" w14:textId="77777777" w:rsidR="007A4E5D" w:rsidRPr="005C675A" w:rsidRDefault="007A4E5D" w:rsidP="007A4E5D">
      <w:pPr>
        <w:rPr>
          <w:lang w:val="en-US"/>
        </w:rPr>
      </w:pPr>
      <w:r w:rsidRPr="005C675A">
        <w:rPr>
          <w:lang w:val="en-US"/>
        </w:rPr>
        <w:t>WRC</w:t>
      </w:r>
      <w:r w:rsidRPr="005C675A">
        <w:rPr>
          <w:lang w:val="en-US"/>
        </w:rPr>
        <w:noBreakHyphen/>
        <w:t>19 instructs the Radiocommunication Bureau to include in the RR Appendix </w:t>
      </w:r>
      <w:r w:rsidRPr="005C675A">
        <w:rPr>
          <w:b/>
          <w:bCs/>
          <w:lang w:val="en-US"/>
        </w:rPr>
        <w:t>30</w:t>
      </w:r>
      <w:r w:rsidRPr="005C675A">
        <w:rPr>
          <w:lang w:val="en-US"/>
        </w:rPr>
        <w:t xml:space="preserve"> and </w:t>
      </w:r>
      <w:r w:rsidRPr="005C675A">
        <w:rPr>
          <w:b/>
          <w:bCs/>
          <w:lang w:val="en-US"/>
        </w:rPr>
        <w:t>30A</w:t>
      </w:r>
      <w:r w:rsidRPr="005C675A">
        <w:rPr>
          <w:lang w:val="en-US"/>
        </w:rPr>
        <w:t xml:space="preserve"> Plans ten 33 MHz BSS and BSS feeder</w:t>
      </w:r>
      <w:r>
        <w:rPr>
          <w:lang w:val="en-US"/>
        </w:rPr>
        <w:t>-</w:t>
      </w:r>
      <w:r w:rsidRPr="005C675A">
        <w:rPr>
          <w:lang w:val="en-US"/>
        </w:rPr>
        <w:t xml:space="preserve">link </w:t>
      </w:r>
      <w:r w:rsidRPr="005C675A">
        <w:rPr>
          <w:rFonts w:eastAsia="Times New Roman+FPEF"/>
          <w:szCs w:val="24"/>
          <w:lang w:val="en-US"/>
        </w:rPr>
        <w:t xml:space="preserve">channels 1, 2, 3, 4, 5, 6, 7, 8, 17 and 18 with the characteristics listed in Table 1 below for the Administration of Bulgaria. </w:t>
      </w:r>
      <w:r w:rsidRPr="005C675A">
        <w:rPr>
          <w:lang w:val="en-US"/>
        </w:rPr>
        <w:t xml:space="preserve">Once the inclusion has been finished, the Radiocommunication Bureau shall remove the current Plan assignments </w:t>
      </w:r>
      <w:r w:rsidRPr="005C675A">
        <w:rPr>
          <w:lang w:val="en-US"/>
        </w:rPr>
        <w:lastRenderedPageBreak/>
        <w:t>at 1.2</w:t>
      </w:r>
      <w:r w:rsidRPr="005C675A">
        <w:rPr>
          <w:szCs w:val="24"/>
          <w:lang w:val="en-US"/>
        </w:rPr>
        <w:sym w:font="Symbol" w:char="F0B0"/>
      </w:r>
      <w:r w:rsidRPr="005C675A">
        <w:rPr>
          <w:szCs w:val="24"/>
          <w:lang w:val="en-US"/>
        </w:rPr>
        <w:t> </w:t>
      </w:r>
      <w:r w:rsidRPr="005C675A">
        <w:rPr>
          <w:lang w:val="en-US"/>
        </w:rPr>
        <w:t xml:space="preserve">W of the Administration of Bulgaria in the Appendices </w:t>
      </w:r>
      <w:r w:rsidRPr="005C675A">
        <w:rPr>
          <w:b/>
          <w:bCs/>
          <w:lang w:val="en-US"/>
        </w:rPr>
        <w:t>30</w:t>
      </w:r>
      <w:r w:rsidRPr="005C675A">
        <w:rPr>
          <w:lang w:val="en-US"/>
        </w:rPr>
        <w:t xml:space="preserve"> and </w:t>
      </w:r>
      <w:r w:rsidRPr="005C675A">
        <w:rPr>
          <w:b/>
          <w:bCs/>
          <w:lang w:val="en-US"/>
        </w:rPr>
        <w:t>30</w:t>
      </w:r>
      <w:r w:rsidRPr="005C675A">
        <w:rPr>
          <w:lang w:val="en-US"/>
        </w:rPr>
        <w:t xml:space="preserve"> Plans and cancel the frequency assignments corresponding to the above-mentioned 10 channels in the List of additional use and the Master Register of the BULSAT-BSS-1.2W-W satellite network identified in the Table 2 below.</w:t>
      </w:r>
    </w:p>
    <w:p w14:paraId="61885DD7" w14:textId="77777777" w:rsidR="007A4E5D" w:rsidRPr="005C675A" w:rsidRDefault="007A4E5D" w:rsidP="00C02055">
      <w:pPr>
        <w:pStyle w:val="TableNo"/>
        <w:rPr>
          <w:lang w:val="en-US"/>
        </w:rPr>
      </w:pPr>
      <w:r w:rsidRPr="005C675A">
        <w:rPr>
          <w:lang w:val="en-US"/>
        </w:rPr>
        <w:t>Table 1</w:t>
      </w:r>
    </w:p>
    <w:p w14:paraId="61885DD8" w14:textId="77777777" w:rsidR="007A4E5D" w:rsidRPr="00C02055" w:rsidRDefault="007A4E5D" w:rsidP="00C02055">
      <w:pPr>
        <w:pStyle w:val="Tabletitle"/>
      </w:pPr>
      <w:r w:rsidRPr="00C02055">
        <w:t>List of characteristics of the new RR Appendix 30 and 30A Plan assignments for the Administration of Bulgaria</w:t>
      </w:r>
    </w:p>
    <w:tbl>
      <w:tblPr>
        <w:tblStyle w:val="TableGrid"/>
        <w:tblW w:w="8642" w:type="dxa"/>
        <w:jc w:val="center"/>
        <w:tblLook w:val="04A0" w:firstRow="1" w:lastRow="0" w:firstColumn="1" w:lastColumn="0" w:noHBand="0" w:noVBand="1"/>
      </w:tblPr>
      <w:tblGrid>
        <w:gridCol w:w="3384"/>
        <w:gridCol w:w="2565"/>
        <w:gridCol w:w="2693"/>
      </w:tblGrid>
      <w:tr w:rsidR="007A4E5D" w:rsidRPr="00C02055" w14:paraId="61885DDC" w14:textId="77777777" w:rsidTr="003D6F21">
        <w:trPr>
          <w:tblHeader/>
          <w:jc w:val="center"/>
        </w:trPr>
        <w:tc>
          <w:tcPr>
            <w:tcW w:w="3384" w:type="dxa"/>
          </w:tcPr>
          <w:p w14:paraId="61885DD9" w14:textId="77777777" w:rsidR="007A4E5D" w:rsidRPr="00C02055" w:rsidRDefault="007A4E5D" w:rsidP="00C02055">
            <w:pPr>
              <w:pStyle w:val="Tablehead"/>
            </w:pPr>
            <w:r w:rsidRPr="00C02055">
              <w:t>Parameter</w:t>
            </w:r>
          </w:p>
        </w:tc>
        <w:tc>
          <w:tcPr>
            <w:tcW w:w="2565" w:type="dxa"/>
          </w:tcPr>
          <w:p w14:paraId="61885DDA" w14:textId="77777777" w:rsidR="007A4E5D" w:rsidRPr="00C02055" w:rsidRDefault="007A4E5D" w:rsidP="00C02055">
            <w:pPr>
              <w:pStyle w:val="Tablehead"/>
            </w:pPr>
            <w:r w:rsidRPr="00C02055">
              <w:t>Downlink</w:t>
            </w:r>
          </w:p>
        </w:tc>
        <w:tc>
          <w:tcPr>
            <w:tcW w:w="2693" w:type="dxa"/>
          </w:tcPr>
          <w:p w14:paraId="61885DDB" w14:textId="77777777" w:rsidR="007A4E5D" w:rsidRPr="00C02055" w:rsidRDefault="007A4E5D" w:rsidP="00C02055">
            <w:pPr>
              <w:pStyle w:val="Tablehead"/>
            </w:pPr>
            <w:r w:rsidRPr="00C02055">
              <w:t>Feeder-link</w:t>
            </w:r>
          </w:p>
        </w:tc>
      </w:tr>
      <w:tr w:rsidR="007A4E5D" w:rsidRPr="005C675A" w14:paraId="61885DDF" w14:textId="77777777" w:rsidTr="003D6F21">
        <w:trPr>
          <w:jc w:val="center"/>
        </w:trPr>
        <w:tc>
          <w:tcPr>
            <w:tcW w:w="3384" w:type="dxa"/>
          </w:tcPr>
          <w:p w14:paraId="61885DDD" w14:textId="77777777" w:rsidR="007A4E5D" w:rsidRPr="00C02055" w:rsidRDefault="007A4E5D" w:rsidP="00C02055">
            <w:pPr>
              <w:pStyle w:val="Tabletext"/>
            </w:pPr>
            <w:r w:rsidRPr="00C02055">
              <w:t>Orbital position</w:t>
            </w:r>
          </w:p>
        </w:tc>
        <w:tc>
          <w:tcPr>
            <w:tcW w:w="5258" w:type="dxa"/>
            <w:gridSpan w:val="2"/>
          </w:tcPr>
          <w:p w14:paraId="61885DDE" w14:textId="77777777" w:rsidR="007A4E5D" w:rsidRPr="00C02055" w:rsidRDefault="007A4E5D" w:rsidP="00C02055">
            <w:pPr>
              <w:pStyle w:val="Tabletext"/>
              <w:jc w:val="center"/>
            </w:pPr>
            <w:r w:rsidRPr="00C02055">
              <w:t>1.9°E</w:t>
            </w:r>
          </w:p>
        </w:tc>
      </w:tr>
      <w:tr w:rsidR="007A4E5D" w:rsidRPr="005C675A" w14:paraId="61885DE2" w14:textId="77777777" w:rsidTr="003D6F21">
        <w:trPr>
          <w:jc w:val="center"/>
        </w:trPr>
        <w:tc>
          <w:tcPr>
            <w:tcW w:w="3384" w:type="dxa"/>
          </w:tcPr>
          <w:p w14:paraId="61885DE0" w14:textId="77777777" w:rsidR="007A4E5D" w:rsidRPr="00C02055" w:rsidRDefault="007A4E5D" w:rsidP="00C02055">
            <w:pPr>
              <w:pStyle w:val="Tabletext"/>
            </w:pPr>
            <w:r w:rsidRPr="00C02055">
              <w:t>Station keeping (East-West)</w:t>
            </w:r>
          </w:p>
        </w:tc>
        <w:tc>
          <w:tcPr>
            <w:tcW w:w="5258" w:type="dxa"/>
            <w:gridSpan w:val="2"/>
          </w:tcPr>
          <w:p w14:paraId="61885DE1" w14:textId="77777777" w:rsidR="007A4E5D" w:rsidRPr="00C02055" w:rsidRDefault="007A4E5D" w:rsidP="00C02055">
            <w:pPr>
              <w:pStyle w:val="Tabletext"/>
              <w:jc w:val="center"/>
            </w:pPr>
            <w:r w:rsidRPr="00C02055">
              <w:t>0.05°</w:t>
            </w:r>
          </w:p>
        </w:tc>
      </w:tr>
      <w:tr w:rsidR="007A4E5D" w:rsidRPr="005C675A" w14:paraId="61885DE5" w14:textId="77777777" w:rsidTr="003D6F21">
        <w:trPr>
          <w:jc w:val="center"/>
        </w:trPr>
        <w:tc>
          <w:tcPr>
            <w:tcW w:w="3384" w:type="dxa"/>
          </w:tcPr>
          <w:p w14:paraId="61885DE3" w14:textId="77777777" w:rsidR="007A4E5D" w:rsidRPr="00C02055" w:rsidRDefault="007A4E5D" w:rsidP="00C02055">
            <w:pPr>
              <w:pStyle w:val="Tabletext"/>
            </w:pPr>
            <w:r w:rsidRPr="00C02055">
              <w:t>Beam identification</w:t>
            </w:r>
          </w:p>
        </w:tc>
        <w:tc>
          <w:tcPr>
            <w:tcW w:w="5258" w:type="dxa"/>
            <w:gridSpan w:val="2"/>
          </w:tcPr>
          <w:p w14:paraId="61885DE4" w14:textId="77777777" w:rsidR="007A4E5D" w:rsidRPr="00C02055" w:rsidRDefault="007A4E5D" w:rsidP="00C02055">
            <w:pPr>
              <w:pStyle w:val="Tabletext"/>
              <w:jc w:val="center"/>
            </w:pPr>
            <w:r w:rsidRPr="00C02055">
              <w:t>BUL02000</w:t>
            </w:r>
          </w:p>
        </w:tc>
      </w:tr>
      <w:tr w:rsidR="007A4E5D" w:rsidRPr="005C675A" w14:paraId="61885DE8" w14:textId="77777777" w:rsidTr="003D6F21">
        <w:trPr>
          <w:jc w:val="center"/>
        </w:trPr>
        <w:tc>
          <w:tcPr>
            <w:tcW w:w="3384" w:type="dxa"/>
          </w:tcPr>
          <w:p w14:paraId="61885DE6" w14:textId="77777777" w:rsidR="007A4E5D" w:rsidRPr="00C02055" w:rsidRDefault="007A4E5D" w:rsidP="00C02055">
            <w:pPr>
              <w:pStyle w:val="Tabletext"/>
            </w:pPr>
            <w:r w:rsidRPr="00C02055">
              <w:t>Date of receipt</w:t>
            </w:r>
          </w:p>
        </w:tc>
        <w:tc>
          <w:tcPr>
            <w:tcW w:w="5258" w:type="dxa"/>
            <w:gridSpan w:val="2"/>
          </w:tcPr>
          <w:p w14:paraId="61885DE7" w14:textId="77777777" w:rsidR="007A4E5D" w:rsidRPr="00C02055" w:rsidRDefault="007A4E5D" w:rsidP="00C02055">
            <w:pPr>
              <w:pStyle w:val="Tabletext"/>
              <w:jc w:val="center"/>
            </w:pPr>
            <w:r w:rsidRPr="00C02055">
              <w:t>23.11.2019</w:t>
            </w:r>
          </w:p>
        </w:tc>
      </w:tr>
      <w:tr w:rsidR="007A4E5D" w:rsidRPr="005C675A" w14:paraId="61885DEC" w14:textId="77777777" w:rsidTr="003D6F21">
        <w:trPr>
          <w:jc w:val="center"/>
        </w:trPr>
        <w:tc>
          <w:tcPr>
            <w:tcW w:w="3384" w:type="dxa"/>
          </w:tcPr>
          <w:p w14:paraId="61885DE9" w14:textId="77777777" w:rsidR="007A4E5D" w:rsidRPr="00C02055" w:rsidRDefault="007A4E5D" w:rsidP="00C02055">
            <w:pPr>
              <w:pStyle w:val="Tabletext"/>
            </w:pPr>
            <w:r w:rsidRPr="00C02055">
              <w:t>Date of protection</w:t>
            </w:r>
          </w:p>
        </w:tc>
        <w:tc>
          <w:tcPr>
            <w:tcW w:w="2565" w:type="dxa"/>
          </w:tcPr>
          <w:p w14:paraId="61885DEA" w14:textId="77777777" w:rsidR="007A4E5D" w:rsidRPr="00C02055" w:rsidRDefault="007A4E5D" w:rsidP="00C02055">
            <w:pPr>
              <w:pStyle w:val="Tabletext"/>
              <w:jc w:val="center"/>
            </w:pPr>
            <w:r w:rsidRPr="00C02055">
              <w:t>19.03.2012</w:t>
            </w:r>
          </w:p>
        </w:tc>
        <w:tc>
          <w:tcPr>
            <w:tcW w:w="2693" w:type="dxa"/>
          </w:tcPr>
          <w:p w14:paraId="61885DEB" w14:textId="77777777" w:rsidR="007A4E5D" w:rsidRPr="00C02055" w:rsidRDefault="007A4E5D" w:rsidP="00C02055">
            <w:pPr>
              <w:pStyle w:val="Tabletext"/>
              <w:jc w:val="center"/>
            </w:pPr>
            <w:r w:rsidRPr="00C02055">
              <w:t>04.11.2010</w:t>
            </w:r>
          </w:p>
        </w:tc>
      </w:tr>
      <w:tr w:rsidR="007A4E5D" w:rsidRPr="005C675A" w14:paraId="61885DEF" w14:textId="77777777" w:rsidTr="003D6F21">
        <w:trPr>
          <w:jc w:val="center"/>
        </w:trPr>
        <w:tc>
          <w:tcPr>
            <w:tcW w:w="3384" w:type="dxa"/>
          </w:tcPr>
          <w:p w14:paraId="61885DED" w14:textId="77777777" w:rsidR="007A4E5D" w:rsidRPr="00C02055" w:rsidRDefault="007A4E5D" w:rsidP="00C02055">
            <w:pPr>
              <w:pStyle w:val="Tabletext"/>
            </w:pPr>
            <w:r w:rsidRPr="00C02055">
              <w:t>Satellite beam name</w:t>
            </w:r>
          </w:p>
        </w:tc>
        <w:tc>
          <w:tcPr>
            <w:tcW w:w="5258" w:type="dxa"/>
            <w:gridSpan w:val="2"/>
          </w:tcPr>
          <w:p w14:paraId="61885DEE" w14:textId="77777777" w:rsidR="007A4E5D" w:rsidRPr="00C02055" w:rsidRDefault="007A4E5D" w:rsidP="00C02055">
            <w:pPr>
              <w:pStyle w:val="Tabletext"/>
              <w:jc w:val="center"/>
            </w:pPr>
            <w:r w:rsidRPr="00C02055">
              <w:t>E001</w:t>
            </w:r>
          </w:p>
        </w:tc>
      </w:tr>
      <w:tr w:rsidR="007A4E5D" w:rsidRPr="005C675A" w14:paraId="61885DF2" w14:textId="77777777" w:rsidTr="003D6F21">
        <w:trPr>
          <w:jc w:val="center"/>
        </w:trPr>
        <w:tc>
          <w:tcPr>
            <w:tcW w:w="3384" w:type="dxa"/>
          </w:tcPr>
          <w:p w14:paraId="61885DF0" w14:textId="77777777" w:rsidR="007A4E5D" w:rsidRPr="00C02055" w:rsidRDefault="007A4E5D" w:rsidP="00C02055">
            <w:pPr>
              <w:pStyle w:val="Tabletext"/>
            </w:pPr>
            <w:r w:rsidRPr="00C02055">
              <w:t>Beam Type</w:t>
            </w:r>
          </w:p>
        </w:tc>
        <w:tc>
          <w:tcPr>
            <w:tcW w:w="5258" w:type="dxa"/>
            <w:gridSpan w:val="2"/>
          </w:tcPr>
          <w:p w14:paraId="61885DF1" w14:textId="77777777" w:rsidR="007A4E5D" w:rsidRPr="00C02055" w:rsidRDefault="007A4E5D" w:rsidP="00C02055">
            <w:pPr>
              <w:pStyle w:val="Tabletext"/>
              <w:jc w:val="center"/>
            </w:pPr>
            <w:r w:rsidRPr="00C02055">
              <w:t>Shaped</w:t>
            </w:r>
          </w:p>
        </w:tc>
      </w:tr>
      <w:tr w:rsidR="007A4E5D" w:rsidRPr="005C675A" w14:paraId="61885DF6" w14:textId="77777777" w:rsidTr="003D6F21">
        <w:trPr>
          <w:jc w:val="center"/>
        </w:trPr>
        <w:tc>
          <w:tcPr>
            <w:tcW w:w="3384" w:type="dxa"/>
          </w:tcPr>
          <w:p w14:paraId="61885DF3" w14:textId="77777777" w:rsidR="007A4E5D" w:rsidRPr="00C02055" w:rsidRDefault="007A4E5D" w:rsidP="00C02055">
            <w:pPr>
              <w:pStyle w:val="Tabletext"/>
            </w:pPr>
            <w:r w:rsidRPr="00C02055">
              <w:t>Maximum co-polar antenna gain</w:t>
            </w:r>
          </w:p>
        </w:tc>
        <w:tc>
          <w:tcPr>
            <w:tcW w:w="2565" w:type="dxa"/>
          </w:tcPr>
          <w:p w14:paraId="61885DF4" w14:textId="77777777" w:rsidR="007A4E5D" w:rsidRPr="00C02055" w:rsidRDefault="007A4E5D" w:rsidP="00C02055">
            <w:pPr>
              <w:pStyle w:val="Tabletext"/>
              <w:jc w:val="center"/>
            </w:pPr>
            <w:r w:rsidRPr="00C02055">
              <w:t>33.8 dBi</w:t>
            </w:r>
          </w:p>
        </w:tc>
        <w:tc>
          <w:tcPr>
            <w:tcW w:w="2693" w:type="dxa"/>
          </w:tcPr>
          <w:p w14:paraId="61885DF5" w14:textId="77777777" w:rsidR="007A4E5D" w:rsidRPr="00C02055" w:rsidRDefault="007A4E5D" w:rsidP="00C02055">
            <w:pPr>
              <w:pStyle w:val="Tabletext"/>
              <w:jc w:val="center"/>
            </w:pPr>
            <w:r w:rsidRPr="00C02055">
              <w:t>36.5 dBi</w:t>
            </w:r>
          </w:p>
        </w:tc>
      </w:tr>
      <w:tr w:rsidR="007A4E5D" w:rsidRPr="005C675A" w14:paraId="61885DFA" w14:textId="77777777" w:rsidTr="003D6F21">
        <w:trPr>
          <w:jc w:val="center"/>
        </w:trPr>
        <w:tc>
          <w:tcPr>
            <w:tcW w:w="3384" w:type="dxa"/>
          </w:tcPr>
          <w:p w14:paraId="61885DF7" w14:textId="77777777" w:rsidR="007A4E5D" w:rsidRPr="00C02055" w:rsidRDefault="007A4E5D" w:rsidP="00C02055">
            <w:pPr>
              <w:pStyle w:val="Tabletext"/>
            </w:pPr>
            <w:r w:rsidRPr="00C02055">
              <w:t>Maximum cross-polar antenna gain</w:t>
            </w:r>
          </w:p>
        </w:tc>
        <w:tc>
          <w:tcPr>
            <w:tcW w:w="2565" w:type="dxa"/>
          </w:tcPr>
          <w:p w14:paraId="61885DF8" w14:textId="77777777" w:rsidR="007A4E5D" w:rsidRPr="00C02055" w:rsidRDefault="007A4E5D" w:rsidP="00C02055">
            <w:pPr>
              <w:pStyle w:val="Tabletext"/>
              <w:jc w:val="center"/>
            </w:pPr>
            <w:r w:rsidRPr="00C02055">
              <w:t>–2 dBi</w:t>
            </w:r>
          </w:p>
        </w:tc>
        <w:tc>
          <w:tcPr>
            <w:tcW w:w="2693" w:type="dxa"/>
          </w:tcPr>
          <w:p w14:paraId="61885DF9" w14:textId="77777777" w:rsidR="007A4E5D" w:rsidRPr="00C02055" w:rsidRDefault="007A4E5D" w:rsidP="00C02055">
            <w:pPr>
              <w:pStyle w:val="Tabletext"/>
              <w:jc w:val="center"/>
            </w:pPr>
            <w:r w:rsidRPr="00C02055">
              <w:t>0 dBi</w:t>
            </w:r>
          </w:p>
        </w:tc>
      </w:tr>
      <w:tr w:rsidR="007A4E5D" w:rsidRPr="005C675A" w14:paraId="61885DFD" w14:textId="77777777" w:rsidTr="003D6F21">
        <w:trPr>
          <w:jc w:val="center"/>
        </w:trPr>
        <w:tc>
          <w:tcPr>
            <w:tcW w:w="3384" w:type="dxa"/>
          </w:tcPr>
          <w:p w14:paraId="61885DFB" w14:textId="77777777" w:rsidR="007A4E5D" w:rsidRPr="00C02055" w:rsidRDefault="007A4E5D" w:rsidP="00C02055">
            <w:pPr>
              <w:pStyle w:val="Tabletext"/>
            </w:pPr>
            <w:r w:rsidRPr="00C02055">
              <w:t>Co-polar and cross-polar antenna gain contours</w:t>
            </w:r>
          </w:p>
        </w:tc>
        <w:tc>
          <w:tcPr>
            <w:tcW w:w="5258" w:type="dxa"/>
            <w:gridSpan w:val="2"/>
          </w:tcPr>
          <w:p w14:paraId="61885DFC" w14:textId="77777777" w:rsidR="007A4E5D" w:rsidRPr="00C02055" w:rsidRDefault="007A4E5D" w:rsidP="00C02055">
            <w:pPr>
              <w:pStyle w:val="Tabletext"/>
            </w:pPr>
            <w:r w:rsidRPr="00C02055">
              <w:t>Corresponding to the CEED downlink beam and the CER feeder-link beam of the BULSAT-BSS-1.2W-W satellite network in Table 2 below</w:t>
            </w:r>
          </w:p>
        </w:tc>
      </w:tr>
      <w:tr w:rsidR="007A4E5D" w:rsidRPr="005C675A" w14:paraId="61885E00" w14:textId="77777777" w:rsidTr="003D6F21">
        <w:trPr>
          <w:jc w:val="center"/>
        </w:trPr>
        <w:tc>
          <w:tcPr>
            <w:tcW w:w="3384" w:type="dxa"/>
          </w:tcPr>
          <w:p w14:paraId="61885DFE" w14:textId="77777777" w:rsidR="007A4E5D" w:rsidRPr="00C02055" w:rsidRDefault="007A4E5D" w:rsidP="00C02055">
            <w:pPr>
              <w:pStyle w:val="Tabletext"/>
            </w:pPr>
            <w:r w:rsidRPr="00C02055">
              <w:t>Boresight</w:t>
            </w:r>
          </w:p>
        </w:tc>
        <w:tc>
          <w:tcPr>
            <w:tcW w:w="5258" w:type="dxa"/>
            <w:gridSpan w:val="2"/>
          </w:tcPr>
          <w:p w14:paraId="61885DFF" w14:textId="77777777" w:rsidR="007A4E5D" w:rsidRPr="00C02055" w:rsidRDefault="007A4E5D" w:rsidP="00C02055">
            <w:pPr>
              <w:pStyle w:val="Tabletext"/>
            </w:pPr>
            <w:r w:rsidRPr="00C02055">
              <w:t>Same as in the GIMS data</w:t>
            </w:r>
          </w:p>
        </w:tc>
      </w:tr>
      <w:tr w:rsidR="007A4E5D" w:rsidRPr="005C675A" w14:paraId="61885E03" w14:textId="77777777" w:rsidTr="003D6F21">
        <w:trPr>
          <w:jc w:val="center"/>
        </w:trPr>
        <w:tc>
          <w:tcPr>
            <w:tcW w:w="3384" w:type="dxa"/>
          </w:tcPr>
          <w:p w14:paraId="61885E01" w14:textId="77777777" w:rsidR="007A4E5D" w:rsidRPr="00C02055" w:rsidRDefault="007A4E5D" w:rsidP="00C02055">
            <w:pPr>
              <w:pStyle w:val="Tabletext"/>
            </w:pPr>
            <w:r w:rsidRPr="00C02055">
              <w:t>Service area</w:t>
            </w:r>
          </w:p>
        </w:tc>
        <w:tc>
          <w:tcPr>
            <w:tcW w:w="5258" w:type="dxa"/>
            <w:gridSpan w:val="2"/>
          </w:tcPr>
          <w:p w14:paraId="61885E02" w14:textId="77777777" w:rsidR="007A4E5D" w:rsidRPr="00C02055" w:rsidRDefault="007A4E5D" w:rsidP="00C02055">
            <w:pPr>
              <w:pStyle w:val="Tabletext"/>
            </w:pPr>
            <w:r w:rsidRPr="00C02055">
              <w:t>National territory defined as “BUL” in the GIMS software application</w:t>
            </w:r>
          </w:p>
        </w:tc>
      </w:tr>
      <w:tr w:rsidR="007A4E5D" w:rsidRPr="005C675A" w14:paraId="61885E1E" w14:textId="77777777" w:rsidTr="003D6F21">
        <w:trPr>
          <w:jc w:val="center"/>
        </w:trPr>
        <w:tc>
          <w:tcPr>
            <w:tcW w:w="3384" w:type="dxa"/>
          </w:tcPr>
          <w:p w14:paraId="61885E04" w14:textId="77777777" w:rsidR="007A4E5D" w:rsidRPr="00C02055" w:rsidRDefault="007A4E5D" w:rsidP="00C02055">
            <w:pPr>
              <w:pStyle w:val="Tabletext"/>
            </w:pPr>
            <w:r w:rsidRPr="00C02055">
              <w:t>Test-points</w:t>
            </w:r>
          </w:p>
        </w:tc>
        <w:tc>
          <w:tcPr>
            <w:tcW w:w="5258" w:type="dxa"/>
            <w:gridSpan w:val="2"/>
          </w:tcPr>
          <w:tbl>
            <w:tblPr>
              <w:tblW w:w="2600" w:type="dxa"/>
              <w:jc w:val="center"/>
              <w:tblLook w:val="04A0" w:firstRow="1" w:lastRow="0" w:firstColumn="1" w:lastColumn="0" w:noHBand="0" w:noVBand="1"/>
            </w:tblPr>
            <w:tblGrid>
              <w:gridCol w:w="1300"/>
              <w:gridCol w:w="1300"/>
            </w:tblGrid>
            <w:tr w:rsidR="007A4E5D" w:rsidRPr="00C02055" w14:paraId="61885E07"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05" w14:textId="77777777" w:rsidR="007A4E5D" w:rsidRPr="00C02055" w:rsidRDefault="007A4E5D" w:rsidP="00C02055">
                  <w:pPr>
                    <w:pStyle w:val="Tabletext"/>
                  </w:pPr>
                  <w:r w:rsidRPr="00C02055">
                    <w:t>Longitude (deg. E)</w:t>
                  </w:r>
                </w:p>
              </w:tc>
              <w:tc>
                <w:tcPr>
                  <w:tcW w:w="1300" w:type="dxa"/>
                  <w:tcBorders>
                    <w:top w:val="nil"/>
                    <w:left w:val="nil"/>
                    <w:bottom w:val="nil"/>
                    <w:right w:val="nil"/>
                  </w:tcBorders>
                  <w:shd w:val="clear" w:color="auto" w:fill="auto"/>
                  <w:noWrap/>
                  <w:vAlign w:val="bottom"/>
                  <w:hideMark/>
                </w:tcPr>
                <w:p w14:paraId="61885E06" w14:textId="77777777" w:rsidR="007A4E5D" w:rsidRPr="00C02055" w:rsidRDefault="007A4E5D" w:rsidP="00C02055">
                  <w:pPr>
                    <w:pStyle w:val="Tabletext"/>
                  </w:pPr>
                  <w:r w:rsidRPr="00C02055">
                    <w:t>Latitude (deg. N)</w:t>
                  </w:r>
                </w:p>
              </w:tc>
            </w:tr>
            <w:tr w:rsidR="007A4E5D" w:rsidRPr="00C02055" w14:paraId="61885E0A"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08" w14:textId="77777777" w:rsidR="007A4E5D" w:rsidRPr="00C02055" w:rsidRDefault="007A4E5D" w:rsidP="00C02055">
                  <w:pPr>
                    <w:pStyle w:val="Tabletext"/>
                  </w:pPr>
                  <w:r w:rsidRPr="00C02055">
                    <w:t>27.91</w:t>
                  </w:r>
                </w:p>
              </w:tc>
              <w:tc>
                <w:tcPr>
                  <w:tcW w:w="1300" w:type="dxa"/>
                  <w:tcBorders>
                    <w:top w:val="nil"/>
                    <w:left w:val="nil"/>
                    <w:bottom w:val="nil"/>
                    <w:right w:val="nil"/>
                  </w:tcBorders>
                  <w:shd w:val="clear" w:color="auto" w:fill="auto"/>
                  <w:noWrap/>
                  <w:vAlign w:val="bottom"/>
                  <w:hideMark/>
                </w:tcPr>
                <w:p w14:paraId="61885E09" w14:textId="77777777" w:rsidR="007A4E5D" w:rsidRPr="00C02055" w:rsidRDefault="007A4E5D" w:rsidP="00C02055">
                  <w:pPr>
                    <w:pStyle w:val="Tabletext"/>
                  </w:pPr>
                  <w:r w:rsidRPr="00C02055">
                    <w:t>42.06</w:t>
                  </w:r>
                </w:p>
              </w:tc>
            </w:tr>
            <w:tr w:rsidR="007A4E5D" w:rsidRPr="00C02055" w14:paraId="61885E0D"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0B" w14:textId="77777777" w:rsidR="007A4E5D" w:rsidRPr="00C02055" w:rsidRDefault="007A4E5D" w:rsidP="00C02055">
                  <w:pPr>
                    <w:pStyle w:val="Tabletext"/>
                  </w:pPr>
                  <w:r w:rsidRPr="00C02055">
                    <w:t>28.47</w:t>
                  </w:r>
                </w:p>
              </w:tc>
              <w:tc>
                <w:tcPr>
                  <w:tcW w:w="1300" w:type="dxa"/>
                  <w:tcBorders>
                    <w:top w:val="nil"/>
                    <w:left w:val="nil"/>
                    <w:bottom w:val="nil"/>
                    <w:right w:val="nil"/>
                  </w:tcBorders>
                  <w:shd w:val="clear" w:color="auto" w:fill="auto"/>
                  <w:noWrap/>
                  <w:vAlign w:val="bottom"/>
                  <w:hideMark/>
                </w:tcPr>
                <w:p w14:paraId="61885E0C" w14:textId="77777777" w:rsidR="007A4E5D" w:rsidRPr="00C02055" w:rsidRDefault="007A4E5D" w:rsidP="00C02055">
                  <w:pPr>
                    <w:pStyle w:val="Tabletext"/>
                  </w:pPr>
                  <w:r w:rsidRPr="00C02055">
                    <w:t>43.70</w:t>
                  </w:r>
                </w:p>
              </w:tc>
            </w:tr>
            <w:tr w:rsidR="007A4E5D" w:rsidRPr="00C02055" w14:paraId="61885E10"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0E" w14:textId="77777777" w:rsidR="007A4E5D" w:rsidRPr="00C02055" w:rsidRDefault="007A4E5D" w:rsidP="00C02055">
                  <w:pPr>
                    <w:pStyle w:val="Tabletext"/>
                  </w:pPr>
                  <w:r w:rsidRPr="00C02055">
                    <w:t>25.28</w:t>
                  </w:r>
                </w:p>
              </w:tc>
              <w:tc>
                <w:tcPr>
                  <w:tcW w:w="1300" w:type="dxa"/>
                  <w:tcBorders>
                    <w:top w:val="nil"/>
                    <w:left w:val="nil"/>
                    <w:bottom w:val="nil"/>
                    <w:right w:val="nil"/>
                  </w:tcBorders>
                  <w:shd w:val="clear" w:color="auto" w:fill="auto"/>
                  <w:noWrap/>
                  <w:vAlign w:val="bottom"/>
                  <w:hideMark/>
                </w:tcPr>
                <w:p w14:paraId="61885E0F" w14:textId="77777777" w:rsidR="007A4E5D" w:rsidRPr="00C02055" w:rsidRDefault="007A4E5D" w:rsidP="00C02055">
                  <w:pPr>
                    <w:pStyle w:val="Tabletext"/>
                  </w:pPr>
                  <w:r w:rsidRPr="00C02055">
                    <w:t>41.35</w:t>
                  </w:r>
                </w:p>
              </w:tc>
            </w:tr>
            <w:tr w:rsidR="007A4E5D" w:rsidRPr="00C02055" w14:paraId="61885E13"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11" w14:textId="77777777" w:rsidR="007A4E5D" w:rsidRPr="00C02055" w:rsidRDefault="007A4E5D" w:rsidP="00C02055">
                  <w:pPr>
                    <w:pStyle w:val="Tabletext"/>
                  </w:pPr>
                  <w:r w:rsidRPr="00C02055">
                    <w:t>22.40</w:t>
                  </w:r>
                </w:p>
              </w:tc>
              <w:tc>
                <w:tcPr>
                  <w:tcW w:w="1300" w:type="dxa"/>
                  <w:tcBorders>
                    <w:top w:val="nil"/>
                    <w:left w:val="nil"/>
                    <w:bottom w:val="nil"/>
                    <w:right w:val="nil"/>
                  </w:tcBorders>
                  <w:shd w:val="clear" w:color="auto" w:fill="auto"/>
                  <w:noWrap/>
                  <w:vAlign w:val="bottom"/>
                  <w:hideMark/>
                </w:tcPr>
                <w:p w14:paraId="61885E12" w14:textId="77777777" w:rsidR="007A4E5D" w:rsidRPr="00C02055" w:rsidRDefault="007A4E5D" w:rsidP="00C02055">
                  <w:pPr>
                    <w:pStyle w:val="Tabletext"/>
                  </w:pPr>
                  <w:r w:rsidRPr="00C02055">
                    <w:t>42.30</w:t>
                  </w:r>
                </w:p>
              </w:tc>
            </w:tr>
            <w:tr w:rsidR="007A4E5D" w:rsidRPr="00C02055" w14:paraId="61885E16"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14" w14:textId="77777777" w:rsidR="007A4E5D" w:rsidRPr="00C02055" w:rsidRDefault="007A4E5D" w:rsidP="00C02055">
                  <w:pPr>
                    <w:pStyle w:val="Tabletext"/>
                  </w:pPr>
                  <w:r w:rsidRPr="00C02055">
                    <w:t>23.01</w:t>
                  </w:r>
                </w:p>
              </w:tc>
              <w:tc>
                <w:tcPr>
                  <w:tcW w:w="1300" w:type="dxa"/>
                  <w:tcBorders>
                    <w:top w:val="nil"/>
                    <w:left w:val="nil"/>
                    <w:bottom w:val="nil"/>
                    <w:right w:val="nil"/>
                  </w:tcBorders>
                  <w:shd w:val="clear" w:color="auto" w:fill="auto"/>
                  <w:noWrap/>
                  <w:vAlign w:val="bottom"/>
                  <w:hideMark/>
                </w:tcPr>
                <w:p w14:paraId="61885E15" w14:textId="77777777" w:rsidR="007A4E5D" w:rsidRPr="00C02055" w:rsidRDefault="007A4E5D" w:rsidP="00C02055">
                  <w:pPr>
                    <w:pStyle w:val="Tabletext"/>
                  </w:pPr>
                  <w:r w:rsidRPr="00C02055">
                    <w:t>41.44</w:t>
                  </w:r>
                </w:p>
              </w:tc>
            </w:tr>
            <w:tr w:rsidR="007A4E5D" w:rsidRPr="00C02055" w14:paraId="61885E19"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17" w14:textId="77777777" w:rsidR="007A4E5D" w:rsidRPr="00C02055" w:rsidRDefault="007A4E5D" w:rsidP="00C02055">
                  <w:pPr>
                    <w:pStyle w:val="Tabletext"/>
                  </w:pPr>
                  <w:r w:rsidRPr="00C02055">
                    <w:t>22.69</w:t>
                  </w:r>
                </w:p>
              </w:tc>
              <w:tc>
                <w:tcPr>
                  <w:tcW w:w="1300" w:type="dxa"/>
                  <w:tcBorders>
                    <w:top w:val="nil"/>
                    <w:left w:val="nil"/>
                    <w:bottom w:val="nil"/>
                    <w:right w:val="nil"/>
                  </w:tcBorders>
                  <w:shd w:val="clear" w:color="auto" w:fill="auto"/>
                  <w:noWrap/>
                  <w:vAlign w:val="bottom"/>
                  <w:hideMark/>
                </w:tcPr>
                <w:p w14:paraId="61885E18" w14:textId="77777777" w:rsidR="007A4E5D" w:rsidRPr="00C02055" w:rsidRDefault="007A4E5D" w:rsidP="00C02055">
                  <w:pPr>
                    <w:pStyle w:val="Tabletext"/>
                  </w:pPr>
                  <w:r w:rsidRPr="00C02055">
                    <w:t>44.17</w:t>
                  </w:r>
                </w:p>
              </w:tc>
            </w:tr>
            <w:tr w:rsidR="007A4E5D" w:rsidRPr="00C02055" w14:paraId="61885E1C" w14:textId="77777777" w:rsidTr="003D6F21">
              <w:trPr>
                <w:trHeight w:val="300"/>
                <w:jc w:val="center"/>
              </w:trPr>
              <w:tc>
                <w:tcPr>
                  <w:tcW w:w="1300" w:type="dxa"/>
                  <w:tcBorders>
                    <w:top w:val="nil"/>
                    <w:left w:val="nil"/>
                    <w:bottom w:val="nil"/>
                    <w:right w:val="nil"/>
                  </w:tcBorders>
                  <w:shd w:val="clear" w:color="auto" w:fill="auto"/>
                  <w:noWrap/>
                  <w:vAlign w:val="bottom"/>
                  <w:hideMark/>
                </w:tcPr>
                <w:p w14:paraId="61885E1A" w14:textId="77777777" w:rsidR="007A4E5D" w:rsidRPr="00C02055" w:rsidRDefault="007A4E5D" w:rsidP="00C02055">
                  <w:pPr>
                    <w:pStyle w:val="Tabletext"/>
                    <w:rPr>
                      <w:highlight w:val="yellow"/>
                    </w:rPr>
                  </w:pPr>
                </w:p>
              </w:tc>
              <w:tc>
                <w:tcPr>
                  <w:tcW w:w="1300" w:type="dxa"/>
                  <w:tcBorders>
                    <w:top w:val="nil"/>
                    <w:left w:val="nil"/>
                    <w:bottom w:val="nil"/>
                    <w:right w:val="nil"/>
                  </w:tcBorders>
                  <w:shd w:val="clear" w:color="auto" w:fill="auto"/>
                  <w:noWrap/>
                  <w:vAlign w:val="bottom"/>
                  <w:hideMark/>
                </w:tcPr>
                <w:p w14:paraId="61885E1B" w14:textId="77777777" w:rsidR="007A4E5D" w:rsidRPr="00C02055" w:rsidRDefault="007A4E5D" w:rsidP="00C02055">
                  <w:pPr>
                    <w:pStyle w:val="Tabletext"/>
                    <w:rPr>
                      <w:highlight w:val="yellow"/>
                    </w:rPr>
                  </w:pPr>
                </w:p>
              </w:tc>
            </w:tr>
          </w:tbl>
          <w:p w14:paraId="61885E1D" w14:textId="77777777" w:rsidR="007A4E5D" w:rsidRPr="00C02055" w:rsidRDefault="007A4E5D" w:rsidP="00C02055">
            <w:pPr>
              <w:pStyle w:val="Tabletext"/>
            </w:pPr>
          </w:p>
        </w:tc>
      </w:tr>
      <w:tr w:rsidR="007A4E5D" w:rsidRPr="005C675A" w14:paraId="61885E22" w14:textId="77777777" w:rsidTr="003D6F21">
        <w:trPr>
          <w:jc w:val="center"/>
        </w:trPr>
        <w:tc>
          <w:tcPr>
            <w:tcW w:w="3384" w:type="dxa"/>
          </w:tcPr>
          <w:p w14:paraId="61885E1F" w14:textId="77777777" w:rsidR="007A4E5D" w:rsidRPr="00C02055" w:rsidRDefault="007A4E5D" w:rsidP="00C02055">
            <w:pPr>
              <w:pStyle w:val="Tabletext"/>
            </w:pPr>
            <w:r w:rsidRPr="00C02055">
              <w:t>Maximum input power</w:t>
            </w:r>
          </w:p>
        </w:tc>
        <w:tc>
          <w:tcPr>
            <w:tcW w:w="2565" w:type="dxa"/>
          </w:tcPr>
          <w:p w14:paraId="61885E20" w14:textId="77777777" w:rsidR="007A4E5D" w:rsidRPr="00C02055" w:rsidRDefault="007A4E5D" w:rsidP="00C02055">
            <w:pPr>
              <w:pStyle w:val="Tabletext"/>
              <w:jc w:val="center"/>
            </w:pPr>
            <w:r w:rsidRPr="00C02055">
              <w:t>13.7 dBW</w:t>
            </w:r>
          </w:p>
        </w:tc>
        <w:tc>
          <w:tcPr>
            <w:tcW w:w="2693" w:type="dxa"/>
          </w:tcPr>
          <w:p w14:paraId="61885E21" w14:textId="77777777" w:rsidR="007A4E5D" w:rsidRPr="00C02055" w:rsidRDefault="007A4E5D" w:rsidP="00C02055">
            <w:pPr>
              <w:pStyle w:val="Tabletext"/>
              <w:jc w:val="center"/>
            </w:pPr>
            <w:r w:rsidRPr="00C02055">
              <w:t>18.8 dBW</w:t>
            </w:r>
          </w:p>
        </w:tc>
      </w:tr>
      <w:tr w:rsidR="007A4E5D" w:rsidRPr="005C675A" w14:paraId="61885E26" w14:textId="77777777" w:rsidTr="003D6F21">
        <w:trPr>
          <w:jc w:val="center"/>
        </w:trPr>
        <w:tc>
          <w:tcPr>
            <w:tcW w:w="3384" w:type="dxa"/>
          </w:tcPr>
          <w:p w14:paraId="61885E23" w14:textId="77777777" w:rsidR="007A4E5D" w:rsidRPr="00C02055" w:rsidRDefault="007A4E5D" w:rsidP="00C02055">
            <w:pPr>
              <w:pStyle w:val="Tabletext"/>
            </w:pPr>
            <w:r w:rsidRPr="00C02055">
              <w:t>Maximum input power density</w:t>
            </w:r>
          </w:p>
        </w:tc>
        <w:tc>
          <w:tcPr>
            <w:tcW w:w="2565" w:type="dxa"/>
          </w:tcPr>
          <w:p w14:paraId="61885E24" w14:textId="77777777" w:rsidR="007A4E5D" w:rsidRPr="00C02055" w:rsidRDefault="007A4E5D" w:rsidP="00C02055">
            <w:pPr>
              <w:pStyle w:val="Tabletext"/>
              <w:jc w:val="center"/>
            </w:pPr>
            <w:r w:rsidRPr="00C02055">
              <w:t>−61.5 dBW/Hz</w:t>
            </w:r>
          </w:p>
        </w:tc>
        <w:tc>
          <w:tcPr>
            <w:tcW w:w="2693" w:type="dxa"/>
          </w:tcPr>
          <w:p w14:paraId="61885E25" w14:textId="77777777" w:rsidR="007A4E5D" w:rsidRPr="00C02055" w:rsidRDefault="007A4E5D" w:rsidP="00C02055">
            <w:pPr>
              <w:pStyle w:val="Tabletext"/>
              <w:jc w:val="center"/>
            </w:pPr>
            <w:r w:rsidRPr="00C02055">
              <w:t>−56.4 dBW/Hz</w:t>
            </w:r>
          </w:p>
        </w:tc>
      </w:tr>
      <w:tr w:rsidR="007A4E5D" w:rsidRPr="005C675A" w14:paraId="61885E2A" w14:textId="77777777" w:rsidTr="003D6F21">
        <w:trPr>
          <w:jc w:val="center"/>
        </w:trPr>
        <w:tc>
          <w:tcPr>
            <w:tcW w:w="3384" w:type="dxa"/>
          </w:tcPr>
          <w:p w14:paraId="61885E27" w14:textId="77777777" w:rsidR="007A4E5D" w:rsidRPr="00C02055" w:rsidRDefault="007A4E5D" w:rsidP="00C02055">
            <w:pPr>
              <w:pStyle w:val="Tabletext"/>
            </w:pPr>
            <w:r w:rsidRPr="00C02055">
              <w:t>Earth station antenna gain</w:t>
            </w:r>
          </w:p>
        </w:tc>
        <w:tc>
          <w:tcPr>
            <w:tcW w:w="2565" w:type="dxa"/>
          </w:tcPr>
          <w:p w14:paraId="61885E28" w14:textId="77777777" w:rsidR="007A4E5D" w:rsidRPr="00C02055" w:rsidRDefault="007A4E5D" w:rsidP="00C02055">
            <w:pPr>
              <w:pStyle w:val="Tabletext"/>
              <w:jc w:val="center"/>
            </w:pPr>
            <w:r w:rsidRPr="00C02055">
              <w:t>33.5 dBi</w:t>
            </w:r>
          </w:p>
        </w:tc>
        <w:tc>
          <w:tcPr>
            <w:tcW w:w="2693" w:type="dxa"/>
          </w:tcPr>
          <w:p w14:paraId="61885E29" w14:textId="77777777" w:rsidR="007A4E5D" w:rsidRPr="00C02055" w:rsidRDefault="007A4E5D" w:rsidP="00C02055">
            <w:pPr>
              <w:pStyle w:val="Tabletext"/>
              <w:jc w:val="center"/>
            </w:pPr>
            <w:r w:rsidRPr="00C02055">
              <w:t>57 dBi</w:t>
            </w:r>
          </w:p>
        </w:tc>
      </w:tr>
      <w:tr w:rsidR="007A4E5D" w:rsidRPr="005C675A" w14:paraId="61885E2E" w14:textId="77777777" w:rsidTr="003D6F21">
        <w:trPr>
          <w:jc w:val="center"/>
        </w:trPr>
        <w:tc>
          <w:tcPr>
            <w:tcW w:w="3384" w:type="dxa"/>
          </w:tcPr>
          <w:p w14:paraId="61885E2B" w14:textId="77777777" w:rsidR="007A4E5D" w:rsidRPr="00C02055" w:rsidRDefault="007A4E5D" w:rsidP="00C02055">
            <w:pPr>
              <w:pStyle w:val="Tabletext"/>
            </w:pPr>
            <w:r w:rsidRPr="00C02055">
              <w:t>Earth station antenna diameter</w:t>
            </w:r>
          </w:p>
        </w:tc>
        <w:tc>
          <w:tcPr>
            <w:tcW w:w="2565" w:type="dxa"/>
          </w:tcPr>
          <w:p w14:paraId="61885E2C" w14:textId="77777777" w:rsidR="007A4E5D" w:rsidRPr="00C02055" w:rsidRDefault="007A4E5D" w:rsidP="00C02055">
            <w:pPr>
              <w:pStyle w:val="Tabletext"/>
              <w:jc w:val="center"/>
            </w:pPr>
            <w:r w:rsidRPr="00C02055">
              <w:t>0.6 m</w:t>
            </w:r>
          </w:p>
        </w:tc>
        <w:tc>
          <w:tcPr>
            <w:tcW w:w="2693" w:type="dxa"/>
          </w:tcPr>
          <w:p w14:paraId="61885E2D" w14:textId="77777777" w:rsidR="007A4E5D" w:rsidRPr="00C02055" w:rsidRDefault="007A4E5D" w:rsidP="00C02055">
            <w:pPr>
              <w:pStyle w:val="Tabletext"/>
              <w:jc w:val="center"/>
            </w:pPr>
            <w:r w:rsidRPr="00C02055">
              <w:t>5 m</w:t>
            </w:r>
          </w:p>
        </w:tc>
      </w:tr>
      <w:tr w:rsidR="007A4E5D" w:rsidRPr="005C675A" w14:paraId="61885E32" w14:textId="77777777" w:rsidTr="003D6F21">
        <w:trPr>
          <w:jc w:val="center"/>
        </w:trPr>
        <w:tc>
          <w:tcPr>
            <w:tcW w:w="3384" w:type="dxa"/>
          </w:tcPr>
          <w:p w14:paraId="61885E2F" w14:textId="77777777" w:rsidR="007A4E5D" w:rsidRPr="00C02055" w:rsidRDefault="007A4E5D" w:rsidP="00C02055">
            <w:pPr>
              <w:pStyle w:val="Tabletext"/>
            </w:pPr>
            <w:r w:rsidRPr="00C02055">
              <w:t>Earth station antenna pattern</w:t>
            </w:r>
          </w:p>
        </w:tc>
        <w:tc>
          <w:tcPr>
            <w:tcW w:w="2565" w:type="dxa"/>
          </w:tcPr>
          <w:p w14:paraId="61885E30" w14:textId="77777777" w:rsidR="007A4E5D" w:rsidRPr="00C02055" w:rsidRDefault="007A4E5D" w:rsidP="00C02055">
            <w:pPr>
              <w:pStyle w:val="Tabletext"/>
              <w:jc w:val="center"/>
            </w:pPr>
            <w:r w:rsidRPr="00C02055">
              <w:t>MODRES</w:t>
            </w:r>
          </w:p>
        </w:tc>
        <w:tc>
          <w:tcPr>
            <w:tcW w:w="2693" w:type="dxa"/>
          </w:tcPr>
          <w:p w14:paraId="61885E31" w14:textId="77777777" w:rsidR="007A4E5D" w:rsidRPr="00C02055" w:rsidRDefault="007A4E5D" w:rsidP="00C02055">
            <w:pPr>
              <w:pStyle w:val="Tabletext"/>
              <w:jc w:val="center"/>
            </w:pPr>
            <w:r w:rsidRPr="00C02055">
              <w:t>MODTES</w:t>
            </w:r>
          </w:p>
        </w:tc>
      </w:tr>
      <w:tr w:rsidR="007A4E5D" w:rsidRPr="005C675A" w14:paraId="61885E36" w14:textId="77777777" w:rsidTr="003D6F21">
        <w:trPr>
          <w:jc w:val="center"/>
        </w:trPr>
        <w:tc>
          <w:tcPr>
            <w:tcW w:w="3384" w:type="dxa"/>
          </w:tcPr>
          <w:p w14:paraId="61885E33" w14:textId="77777777" w:rsidR="007A4E5D" w:rsidRPr="00C02055" w:rsidRDefault="007A4E5D" w:rsidP="00C02055">
            <w:pPr>
              <w:pStyle w:val="Tabletext"/>
            </w:pPr>
            <w:r w:rsidRPr="00C02055">
              <w:t>Earth station 3dB beam width</w:t>
            </w:r>
          </w:p>
        </w:tc>
        <w:tc>
          <w:tcPr>
            <w:tcW w:w="2565" w:type="dxa"/>
          </w:tcPr>
          <w:p w14:paraId="61885E34" w14:textId="77777777" w:rsidR="007A4E5D" w:rsidRPr="00C02055" w:rsidRDefault="007A4E5D" w:rsidP="00C02055">
            <w:pPr>
              <w:pStyle w:val="Tabletext"/>
              <w:jc w:val="center"/>
            </w:pPr>
            <w:r w:rsidRPr="00C02055">
              <w:t>2.86</w:t>
            </w:r>
            <w:r w:rsidRPr="00C02055">
              <w:sym w:font="Symbol" w:char="F0B0"/>
            </w:r>
          </w:p>
        </w:tc>
        <w:tc>
          <w:tcPr>
            <w:tcW w:w="2693" w:type="dxa"/>
          </w:tcPr>
          <w:p w14:paraId="61885E35" w14:textId="77777777" w:rsidR="007A4E5D" w:rsidRPr="00C02055" w:rsidRDefault="007A4E5D" w:rsidP="00C02055">
            <w:pPr>
              <w:pStyle w:val="Tabletext"/>
              <w:jc w:val="center"/>
            </w:pPr>
            <w:r w:rsidRPr="00C02055">
              <w:t>0.25</w:t>
            </w:r>
            <w:r w:rsidRPr="00C02055">
              <w:sym w:font="Symbol" w:char="F0B0"/>
            </w:r>
          </w:p>
        </w:tc>
      </w:tr>
      <w:tr w:rsidR="007A4E5D" w:rsidRPr="005C675A" w14:paraId="61885E3A" w14:textId="77777777" w:rsidTr="003D6F21">
        <w:trPr>
          <w:jc w:val="center"/>
        </w:trPr>
        <w:tc>
          <w:tcPr>
            <w:tcW w:w="3384" w:type="dxa"/>
          </w:tcPr>
          <w:p w14:paraId="61885E37" w14:textId="77777777" w:rsidR="007A4E5D" w:rsidRPr="00C02055" w:rsidRDefault="007A4E5D" w:rsidP="00C02055">
            <w:pPr>
              <w:pStyle w:val="Tabletext"/>
            </w:pPr>
            <w:r w:rsidRPr="00C02055">
              <w:t>10 channels</w:t>
            </w:r>
          </w:p>
        </w:tc>
        <w:tc>
          <w:tcPr>
            <w:tcW w:w="2565" w:type="dxa"/>
          </w:tcPr>
          <w:p w14:paraId="61885E38" w14:textId="77777777" w:rsidR="007A4E5D" w:rsidRPr="00C02055" w:rsidRDefault="007A4E5D" w:rsidP="00C02055">
            <w:pPr>
              <w:pStyle w:val="Tabletext"/>
              <w:jc w:val="center"/>
            </w:pPr>
            <w:r w:rsidRPr="00C02055">
              <w:t>1, 2, 3, 4, 5, 6, 7, 8, 17, 18</w:t>
            </w:r>
          </w:p>
        </w:tc>
        <w:tc>
          <w:tcPr>
            <w:tcW w:w="2693" w:type="dxa"/>
          </w:tcPr>
          <w:p w14:paraId="61885E39" w14:textId="77777777" w:rsidR="007A4E5D" w:rsidRPr="00C02055" w:rsidRDefault="007A4E5D" w:rsidP="00C02055">
            <w:pPr>
              <w:pStyle w:val="Tabletext"/>
              <w:jc w:val="center"/>
            </w:pPr>
            <w:r w:rsidRPr="00C02055">
              <w:t>1, 2, 3, 4, 5, 6, 7, 8, 17, 18</w:t>
            </w:r>
          </w:p>
        </w:tc>
      </w:tr>
      <w:tr w:rsidR="007A4E5D" w:rsidRPr="005C675A" w14:paraId="61885E3E" w14:textId="77777777" w:rsidTr="003D6F21">
        <w:trPr>
          <w:jc w:val="center"/>
        </w:trPr>
        <w:tc>
          <w:tcPr>
            <w:tcW w:w="3384" w:type="dxa"/>
          </w:tcPr>
          <w:p w14:paraId="61885E3B" w14:textId="77777777" w:rsidR="007A4E5D" w:rsidRPr="00C02055" w:rsidRDefault="007A4E5D" w:rsidP="00C02055">
            <w:pPr>
              <w:pStyle w:val="Tabletext"/>
            </w:pPr>
            <w:r w:rsidRPr="00C02055">
              <w:t>Bandwidth per channel</w:t>
            </w:r>
          </w:p>
        </w:tc>
        <w:tc>
          <w:tcPr>
            <w:tcW w:w="2565" w:type="dxa"/>
          </w:tcPr>
          <w:p w14:paraId="61885E3C" w14:textId="77777777" w:rsidR="007A4E5D" w:rsidRPr="00C02055" w:rsidRDefault="007A4E5D" w:rsidP="00C02055">
            <w:pPr>
              <w:pStyle w:val="Tabletext"/>
              <w:jc w:val="center"/>
            </w:pPr>
            <w:r w:rsidRPr="00C02055">
              <w:t>33 MHz</w:t>
            </w:r>
          </w:p>
        </w:tc>
        <w:tc>
          <w:tcPr>
            <w:tcW w:w="2693" w:type="dxa"/>
          </w:tcPr>
          <w:p w14:paraId="61885E3D" w14:textId="77777777" w:rsidR="007A4E5D" w:rsidRPr="00C02055" w:rsidRDefault="007A4E5D" w:rsidP="00C02055">
            <w:pPr>
              <w:pStyle w:val="Tabletext"/>
              <w:jc w:val="center"/>
            </w:pPr>
            <w:r w:rsidRPr="00C02055">
              <w:t>33 MHz</w:t>
            </w:r>
          </w:p>
        </w:tc>
      </w:tr>
      <w:tr w:rsidR="007A4E5D" w:rsidRPr="005C675A" w14:paraId="61885E44" w14:textId="77777777" w:rsidTr="003D6F21">
        <w:trPr>
          <w:jc w:val="center"/>
        </w:trPr>
        <w:tc>
          <w:tcPr>
            <w:tcW w:w="3384" w:type="dxa"/>
          </w:tcPr>
          <w:p w14:paraId="61885E3F" w14:textId="77777777" w:rsidR="007A4E5D" w:rsidRPr="00C02055" w:rsidRDefault="007A4E5D" w:rsidP="00C02055">
            <w:pPr>
              <w:pStyle w:val="Tabletext"/>
            </w:pPr>
            <w:r w:rsidRPr="00C02055">
              <w:t>Polarization</w:t>
            </w:r>
          </w:p>
        </w:tc>
        <w:tc>
          <w:tcPr>
            <w:tcW w:w="2565" w:type="dxa"/>
          </w:tcPr>
          <w:p w14:paraId="61885E40" w14:textId="77777777" w:rsidR="007A4E5D" w:rsidRPr="00C02055" w:rsidRDefault="007A4E5D" w:rsidP="00C02055">
            <w:pPr>
              <w:pStyle w:val="Tabletext"/>
              <w:jc w:val="center"/>
            </w:pPr>
            <w:r w:rsidRPr="00C02055">
              <w:t>Odd linear 0</w:t>
            </w:r>
            <w:r w:rsidRPr="00C02055">
              <w:sym w:font="Symbol" w:char="F0B0"/>
            </w:r>
          </w:p>
          <w:p w14:paraId="61885E41" w14:textId="77777777" w:rsidR="007A4E5D" w:rsidRPr="00C02055" w:rsidRDefault="007A4E5D" w:rsidP="00C02055">
            <w:pPr>
              <w:pStyle w:val="Tabletext"/>
              <w:jc w:val="center"/>
            </w:pPr>
            <w:r w:rsidRPr="00C02055">
              <w:t>Even linear 90</w:t>
            </w:r>
            <w:r w:rsidRPr="00C02055">
              <w:sym w:font="Symbol" w:char="F0B0"/>
            </w:r>
          </w:p>
        </w:tc>
        <w:tc>
          <w:tcPr>
            <w:tcW w:w="2693" w:type="dxa"/>
          </w:tcPr>
          <w:p w14:paraId="61885E42" w14:textId="77777777" w:rsidR="007A4E5D" w:rsidRPr="00C02055" w:rsidRDefault="007A4E5D" w:rsidP="00C02055">
            <w:pPr>
              <w:pStyle w:val="Tabletext"/>
              <w:jc w:val="center"/>
            </w:pPr>
            <w:r w:rsidRPr="00C02055">
              <w:t>Odd linear 0</w:t>
            </w:r>
            <w:r w:rsidRPr="00C02055">
              <w:sym w:font="Symbol" w:char="F0B0"/>
            </w:r>
          </w:p>
          <w:p w14:paraId="61885E43" w14:textId="77777777" w:rsidR="007A4E5D" w:rsidRPr="00C02055" w:rsidRDefault="007A4E5D" w:rsidP="00C02055">
            <w:pPr>
              <w:pStyle w:val="Tabletext"/>
              <w:jc w:val="center"/>
            </w:pPr>
            <w:r w:rsidRPr="00C02055">
              <w:t>Even linear 90</w:t>
            </w:r>
            <w:r w:rsidRPr="00C02055">
              <w:sym w:font="Symbol" w:char="F0B0"/>
            </w:r>
          </w:p>
        </w:tc>
      </w:tr>
      <w:tr w:rsidR="007A4E5D" w:rsidRPr="005C675A" w14:paraId="61885E48" w14:textId="77777777" w:rsidTr="003D6F21">
        <w:trPr>
          <w:jc w:val="center"/>
        </w:trPr>
        <w:tc>
          <w:tcPr>
            <w:tcW w:w="3384" w:type="dxa"/>
          </w:tcPr>
          <w:p w14:paraId="61885E45" w14:textId="77777777" w:rsidR="007A4E5D" w:rsidRPr="00C02055" w:rsidRDefault="007A4E5D" w:rsidP="00C02055">
            <w:pPr>
              <w:pStyle w:val="Tabletext"/>
            </w:pPr>
            <w:r w:rsidRPr="00C02055">
              <w:t>Designation of emission</w:t>
            </w:r>
          </w:p>
        </w:tc>
        <w:tc>
          <w:tcPr>
            <w:tcW w:w="2565" w:type="dxa"/>
          </w:tcPr>
          <w:p w14:paraId="61885E46" w14:textId="77777777" w:rsidR="007A4E5D" w:rsidRPr="00C02055" w:rsidRDefault="007A4E5D" w:rsidP="00C02055">
            <w:pPr>
              <w:pStyle w:val="Tabletext"/>
              <w:jc w:val="center"/>
            </w:pPr>
            <w:r w:rsidRPr="00C02055">
              <w:t>33M0G7W--</w:t>
            </w:r>
          </w:p>
        </w:tc>
        <w:tc>
          <w:tcPr>
            <w:tcW w:w="2693" w:type="dxa"/>
          </w:tcPr>
          <w:p w14:paraId="61885E47" w14:textId="77777777" w:rsidR="007A4E5D" w:rsidRPr="00C02055" w:rsidRDefault="007A4E5D" w:rsidP="00C02055">
            <w:pPr>
              <w:pStyle w:val="Tabletext"/>
              <w:jc w:val="center"/>
            </w:pPr>
            <w:r w:rsidRPr="00C02055">
              <w:t>33M0G7W--</w:t>
            </w:r>
          </w:p>
        </w:tc>
      </w:tr>
      <w:tr w:rsidR="007A4E5D" w:rsidRPr="005C675A" w14:paraId="61885E4C" w14:textId="77777777" w:rsidTr="003D6F21">
        <w:trPr>
          <w:jc w:val="center"/>
        </w:trPr>
        <w:tc>
          <w:tcPr>
            <w:tcW w:w="3384" w:type="dxa"/>
          </w:tcPr>
          <w:p w14:paraId="61885E49" w14:textId="77777777" w:rsidR="007A4E5D" w:rsidRPr="00C02055" w:rsidRDefault="007A4E5D" w:rsidP="00C02055">
            <w:pPr>
              <w:pStyle w:val="Tabletext"/>
            </w:pPr>
            <w:r w:rsidRPr="00C02055">
              <w:t>Power control</w:t>
            </w:r>
          </w:p>
        </w:tc>
        <w:tc>
          <w:tcPr>
            <w:tcW w:w="2565" w:type="dxa"/>
          </w:tcPr>
          <w:p w14:paraId="61885E4A" w14:textId="77777777" w:rsidR="007A4E5D" w:rsidRPr="00C02055" w:rsidRDefault="007A4E5D" w:rsidP="00C02055">
            <w:pPr>
              <w:pStyle w:val="Tabletext"/>
              <w:jc w:val="center"/>
            </w:pPr>
          </w:p>
        </w:tc>
        <w:tc>
          <w:tcPr>
            <w:tcW w:w="2693" w:type="dxa"/>
          </w:tcPr>
          <w:p w14:paraId="61885E4B" w14:textId="77777777" w:rsidR="007A4E5D" w:rsidRPr="00C02055" w:rsidRDefault="007A4E5D" w:rsidP="00C02055">
            <w:pPr>
              <w:pStyle w:val="Tabletext"/>
              <w:jc w:val="center"/>
            </w:pPr>
            <w:r w:rsidRPr="00C02055">
              <w:t>3 dB</w:t>
            </w:r>
          </w:p>
        </w:tc>
      </w:tr>
      <w:tr w:rsidR="007A4E5D" w:rsidRPr="005C675A" w14:paraId="61885E50" w14:textId="77777777" w:rsidTr="003D6F21">
        <w:trPr>
          <w:jc w:val="center"/>
        </w:trPr>
        <w:tc>
          <w:tcPr>
            <w:tcW w:w="3384" w:type="dxa"/>
          </w:tcPr>
          <w:p w14:paraId="61885E4D" w14:textId="77777777" w:rsidR="007A4E5D" w:rsidRPr="00C02055" w:rsidRDefault="007A4E5D" w:rsidP="00C02055">
            <w:pPr>
              <w:pStyle w:val="Tabletext"/>
            </w:pPr>
            <w:r w:rsidRPr="00C02055">
              <w:lastRenderedPageBreak/>
              <w:t>Automatic gain control</w:t>
            </w:r>
          </w:p>
        </w:tc>
        <w:tc>
          <w:tcPr>
            <w:tcW w:w="2565" w:type="dxa"/>
          </w:tcPr>
          <w:p w14:paraId="61885E4E" w14:textId="77777777" w:rsidR="007A4E5D" w:rsidRPr="00C02055" w:rsidRDefault="007A4E5D" w:rsidP="00C02055">
            <w:pPr>
              <w:pStyle w:val="Tabletext"/>
              <w:jc w:val="center"/>
            </w:pPr>
          </w:p>
        </w:tc>
        <w:tc>
          <w:tcPr>
            <w:tcW w:w="2693" w:type="dxa"/>
          </w:tcPr>
          <w:p w14:paraId="61885E4F" w14:textId="77777777" w:rsidR="007A4E5D" w:rsidRPr="00C02055" w:rsidRDefault="007A4E5D" w:rsidP="00C02055">
            <w:pPr>
              <w:pStyle w:val="Tabletext"/>
              <w:jc w:val="center"/>
            </w:pPr>
            <w:r w:rsidRPr="00C02055">
              <w:t>15 dB</w:t>
            </w:r>
          </w:p>
        </w:tc>
      </w:tr>
      <w:tr w:rsidR="007A4E5D" w:rsidRPr="005C675A" w14:paraId="61885E54" w14:textId="77777777" w:rsidTr="003D6F21">
        <w:trPr>
          <w:jc w:val="center"/>
        </w:trPr>
        <w:tc>
          <w:tcPr>
            <w:tcW w:w="3384" w:type="dxa"/>
          </w:tcPr>
          <w:p w14:paraId="61885E51" w14:textId="77777777" w:rsidR="007A4E5D" w:rsidRPr="00C02055" w:rsidRDefault="007A4E5D" w:rsidP="00C02055">
            <w:pPr>
              <w:pStyle w:val="Tabletext"/>
            </w:pPr>
            <w:r w:rsidRPr="00C02055">
              <w:t>Noise temperature</w:t>
            </w:r>
          </w:p>
        </w:tc>
        <w:tc>
          <w:tcPr>
            <w:tcW w:w="2565" w:type="dxa"/>
          </w:tcPr>
          <w:p w14:paraId="61885E52" w14:textId="77777777" w:rsidR="007A4E5D" w:rsidRPr="00C02055" w:rsidRDefault="007A4E5D" w:rsidP="00C02055">
            <w:pPr>
              <w:pStyle w:val="Tabletext"/>
              <w:jc w:val="center"/>
            </w:pPr>
          </w:p>
        </w:tc>
        <w:tc>
          <w:tcPr>
            <w:tcW w:w="2693" w:type="dxa"/>
          </w:tcPr>
          <w:p w14:paraId="61885E53" w14:textId="77777777" w:rsidR="007A4E5D" w:rsidRPr="00C02055" w:rsidRDefault="007A4E5D" w:rsidP="00C02055">
            <w:pPr>
              <w:pStyle w:val="Tabletext"/>
              <w:jc w:val="center"/>
            </w:pPr>
            <w:r w:rsidRPr="00C02055">
              <w:t>600 K</w:t>
            </w:r>
          </w:p>
        </w:tc>
      </w:tr>
      <w:tr w:rsidR="007A4E5D" w:rsidRPr="005C675A" w14:paraId="61885E58" w14:textId="77777777" w:rsidTr="003D6F21">
        <w:trPr>
          <w:jc w:val="center"/>
        </w:trPr>
        <w:tc>
          <w:tcPr>
            <w:tcW w:w="3384" w:type="dxa"/>
          </w:tcPr>
          <w:p w14:paraId="61885E55" w14:textId="77777777" w:rsidR="007A4E5D" w:rsidRPr="00C02055" w:rsidRDefault="007A4E5D" w:rsidP="00C02055">
            <w:pPr>
              <w:pStyle w:val="Tabletext"/>
            </w:pPr>
            <w:r w:rsidRPr="00C02055">
              <w:t>Exclusive operation group code</w:t>
            </w:r>
          </w:p>
        </w:tc>
        <w:tc>
          <w:tcPr>
            <w:tcW w:w="2565" w:type="dxa"/>
          </w:tcPr>
          <w:p w14:paraId="61885E56" w14:textId="77777777" w:rsidR="007A4E5D" w:rsidRPr="00C02055" w:rsidRDefault="007A4E5D" w:rsidP="00C02055">
            <w:pPr>
              <w:pStyle w:val="Tabletext"/>
              <w:jc w:val="center"/>
            </w:pPr>
            <w:r w:rsidRPr="00C02055">
              <w:t>E5</w:t>
            </w:r>
          </w:p>
        </w:tc>
        <w:tc>
          <w:tcPr>
            <w:tcW w:w="2693" w:type="dxa"/>
          </w:tcPr>
          <w:p w14:paraId="61885E57" w14:textId="77777777" w:rsidR="007A4E5D" w:rsidRPr="00C02055" w:rsidRDefault="007A4E5D" w:rsidP="00C02055">
            <w:pPr>
              <w:pStyle w:val="Tabletext"/>
              <w:jc w:val="center"/>
            </w:pPr>
            <w:r w:rsidRPr="00C02055">
              <w:t>E5</w:t>
            </w:r>
          </w:p>
        </w:tc>
      </w:tr>
    </w:tbl>
    <w:p w14:paraId="61885E59" w14:textId="77777777" w:rsidR="007A4E5D" w:rsidRPr="00C02055" w:rsidRDefault="007A4E5D" w:rsidP="00C02055">
      <w:pPr>
        <w:pStyle w:val="TableNo"/>
      </w:pPr>
      <w:r w:rsidRPr="00C02055">
        <w:t>Table 2</w:t>
      </w:r>
    </w:p>
    <w:p w14:paraId="61885E5A" w14:textId="77777777" w:rsidR="007A4E5D" w:rsidRPr="00C02055" w:rsidRDefault="007A4E5D" w:rsidP="00C02055">
      <w:pPr>
        <w:pStyle w:val="Tabletitle"/>
      </w:pPr>
      <w:r w:rsidRPr="00C02055">
        <w:t xml:space="preserve">The relevant beams of the BULSAT-BSS-1.2W-W satellite network in which </w:t>
      </w:r>
      <w:r w:rsidRPr="00C02055">
        <w:br/>
        <w:t>the frequency assignments are to be cancelled</w:t>
      </w:r>
    </w:p>
    <w:tbl>
      <w:tblPr>
        <w:tblStyle w:val="TableGrid"/>
        <w:tblW w:w="0" w:type="auto"/>
        <w:jc w:val="center"/>
        <w:tblLook w:val="04A0" w:firstRow="1" w:lastRow="0" w:firstColumn="1" w:lastColumn="0" w:noHBand="0" w:noVBand="1"/>
      </w:tblPr>
      <w:tblGrid>
        <w:gridCol w:w="2690"/>
        <w:gridCol w:w="1926"/>
        <w:gridCol w:w="2664"/>
        <w:gridCol w:w="2012"/>
      </w:tblGrid>
      <w:tr w:rsidR="007A4E5D" w:rsidRPr="00C02055" w14:paraId="61885E5F" w14:textId="77777777" w:rsidTr="003D6F21">
        <w:trPr>
          <w:jc w:val="center"/>
        </w:trPr>
        <w:tc>
          <w:tcPr>
            <w:tcW w:w="2690" w:type="dxa"/>
          </w:tcPr>
          <w:p w14:paraId="61885E5B" w14:textId="77777777" w:rsidR="007A4E5D" w:rsidRPr="00C02055" w:rsidRDefault="007A4E5D" w:rsidP="00C02055">
            <w:pPr>
              <w:pStyle w:val="Tablehead"/>
            </w:pPr>
            <w:r w:rsidRPr="00C02055">
              <w:t>Satellite name</w:t>
            </w:r>
          </w:p>
        </w:tc>
        <w:tc>
          <w:tcPr>
            <w:tcW w:w="1926" w:type="dxa"/>
          </w:tcPr>
          <w:p w14:paraId="61885E5C" w14:textId="77777777" w:rsidR="007A4E5D" w:rsidRPr="00C02055" w:rsidRDefault="007A4E5D" w:rsidP="00C02055">
            <w:pPr>
              <w:pStyle w:val="Tablehead"/>
            </w:pPr>
            <w:r w:rsidRPr="00C02055">
              <w:t>Orbital position</w:t>
            </w:r>
          </w:p>
        </w:tc>
        <w:tc>
          <w:tcPr>
            <w:tcW w:w="2664" w:type="dxa"/>
          </w:tcPr>
          <w:p w14:paraId="61885E5D" w14:textId="77777777" w:rsidR="007A4E5D" w:rsidRPr="00C02055" w:rsidRDefault="007A4E5D" w:rsidP="00C02055">
            <w:pPr>
              <w:pStyle w:val="Tablehead"/>
            </w:pPr>
            <w:r w:rsidRPr="00C02055">
              <w:t>Special Section (Part B)</w:t>
            </w:r>
          </w:p>
        </w:tc>
        <w:tc>
          <w:tcPr>
            <w:tcW w:w="2012" w:type="dxa"/>
          </w:tcPr>
          <w:p w14:paraId="61885E5E" w14:textId="77777777" w:rsidR="007A4E5D" w:rsidRPr="00C02055" w:rsidRDefault="007A4E5D" w:rsidP="00C02055">
            <w:pPr>
              <w:pStyle w:val="Tablehead"/>
            </w:pPr>
            <w:r w:rsidRPr="00C02055">
              <w:t>Beam</w:t>
            </w:r>
          </w:p>
        </w:tc>
      </w:tr>
      <w:tr w:rsidR="007A4E5D" w:rsidRPr="00C02055" w14:paraId="61885E64" w14:textId="77777777" w:rsidTr="003D6F21">
        <w:trPr>
          <w:jc w:val="center"/>
        </w:trPr>
        <w:tc>
          <w:tcPr>
            <w:tcW w:w="2690" w:type="dxa"/>
            <w:vMerge w:val="restart"/>
            <w:vAlign w:val="center"/>
          </w:tcPr>
          <w:p w14:paraId="61885E60" w14:textId="77777777" w:rsidR="007A4E5D" w:rsidRPr="00C02055" w:rsidRDefault="007A4E5D" w:rsidP="00C02055">
            <w:pPr>
              <w:pStyle w:val="Tabletext"/>
            </w:pPr>
            <w:r w:rsidRPr="00C02055">
              <w:t>BULSAT-BSS-1.2W-W</w:t>
            </w:r>
          </w:p>
        </w:tc>
        <w:tc>
          <w:tcPr>
            <w:tcW w:w="1926" w:type="dxa"/>
            <w:vMerge w:val="restart"/>
            <w:vAlign w:val="center"/>
          </w:tcPr>
          <w:p w14:paraId="61885E61" w14:textId="77777777" w:rsidR="007A4E5D" w:rsidRPr="00C02055" w:rsidRDefault="007A4E5D" w:rsidP="00C02055">
            <w:pPr>
              <w:pStyle w:val="Tabletext"/>
              <w:jc w:val="center"/>
            </w:pPr>
            <w:r w:rsidRPr="00C02055">
              <w:t>1.9° E</w:t>
            </w:r>
          </w:p>
        </w:tc>
        <w:tc>
          <w:tcPr>
            <w:tcW w:w="2664" w:type="dxa"/>
            <w:vAlign w:val="center"/>
          </w:tcPr>
          <w:p w14:paraId="61885E62" w14:textId="77777777" w:rsidR="007A4E5D" w:rsidRPr="00C02055" w:rsidRDefault="007A4E5D" w:rsidP="00C02055">
            <w:pPr>
              <w:pStyle w:val="Tabletext"/>
              <w:jc w:val="center"/>
            </w:pPr>
            <w:r w:rsidRPr="00C02055">
              <w:t>AP30/E/599</w:t>
            </w:r>
          </w:p>
        </w:tc>
        <w:tc>
          <w:tcPr>
            <w:tcW w:w="2012" w:type="dxa"/>
            <w:vAlign w:val="center"/>
          </w:tcPr>
          <w:p w14:paraId="61885E63" w14:textId="77777777" w:rsidR="007A4E5D" w:rsidRPr="00C02055" w:rsidRDefault="007A4E5D" w:rsidP="00C02055">
            <w:pPr>
              <w:pStyle w:val="Tabletext"/>
              <w:jc w:val="center"/>
            </w:pPr>
            <w:r w:rsidRPr="00C02055">
              <w:t>CEED</w:t>
            </w:r>
          </w:p>
        </w:tc>
      </w:tr>
      <w:tr w:rsidR="007A4E5D" w:rsidRPr="00C02055" w14:paraId="61885E69" w14:textId="77777777" w:rsidTr="003D6F21">
        <w:trPr>
          <w:jc w:val="center"/>
        </w:trPr>
        <w:tc>
          <w:tcPr>
            <w:tcW w:w="2690" w:type="dxa"/>
            <w:vMerge/>
            <w:vAlign w:val="center"/>
          </w:tcPr>
          <w:p w14:paraId="61885E65" w14:textId="77777777" w:rsidR="007A4E5D" w:rsidRPr="00C02055" w:rsidRDefault="007A4E5D" w:rsidP="00C02055">
            <w:pPr>
              <w:pStyle w:val="Tabletext"/>
            </w:pPr>
          </w:p>
        </w:tc>
        <w:tc>
          <w:tcPr>
            <w:tcW w:w="1926" w:type="dxa"/>
            <w:vMerge/>
            <w:vAlign w:val="center"/>
          </w:tcPr>
          <w:p w14:paraId="61885E66" w14:textId="77777777" w:rsidR="007A4E5D" w:rsidRPr="00C02055" w:rsidRDefault="007A4E5D" w:rsidP="00C02055">
            <w:pPr>
              <w:pStyle w:val="Tabletext"/>
              <w:jc w:val="center"/>
            </w:pPr>
          </w:p>
        </w:tc>
        <w:tc>
          <w:tcPr>
            <w:tcW w:w="2664" w:type="dxa"/>
            <w:vAlign w:val="center"/>
          </w:tcPr>
          <w:p w14:paraId="61885E67" w14:textId="77777777" w:rsidR="007A4E5D" w:rsidRPr="00C02055" w:rsidRDefault="007A4E5D" w:rsidP="00C02055">
            <w:pPr>
              <w:pStyle w:val="Tabletext"/>
              <w:jc w:val="center"/>
            </w:pPr>
            <w:r w:rsidRPr="00C02055">
              <w:t>AP30A/E/542</w:t>
            </w:r>
          </w:p>
        </w:tc>
        <w:tc>
          <w:tcPr>
            <w:tcW w:w="2012" w:type="dxa"/>
            <w:vAlign w:val="center"/>
          </w:tcPr>
          <w:p w14:paraId="61885E68" w14:textId="77777777" w:rsidR="007A4E5D" w:rsidRPr="00C02055" w:rsidRDefault="007A4E5D" w:rsidP="00C02055">
            <w:pPr>
              <w:pStyle w:val="Tabletext"/>
              <w:jc w:val="center"/>
            </w:pPr>
            <w:r w:rsidRPr="00C02055">
              <w:t>CER</w:t>
            </w:r>
          </w:p>
        </w:tc>
      </w:tr>
    </w:tbl>
    <w:p w14:paraId="61885E6A" w14:textId="77777777" w:rsidR="007A4E5D" w:rsidRPr="005C675A" w:rsidRDefault="007A4E5D" w:rsidP="007A4E5D">
      <w:pPr>
        <w:pStyle w:val="Tablefin"/>
        <w:spacing w:line="480" w:lineRule="auto"/>
        <w:rPr>
          <w:lang w:val="en-US"/>
        </w:rPr>
      </w:pPr>
    </w:p>
    <w:tbl>
      <w:tblPr>
        <w:tblStyle w:val="TableGrid"/>
        <w:tblW w:w="0" w:type="auto"/>
        <w:tblLook w:val="04A0" w:firstRow="1" w:lastRow="0" w:firstColumn="1" w:lastColumn="0" w:noHBand="0" w:noVBand="1"/>
      </w:tblPr>
      <w:tblGrid>
        <w:gridCol w:w="4866"/>
        <w:gridCol w:w="4763"/>
      </w:tblGrid>
      <w:tr w:rsidR="007A4E5D" w:rsidRPr="005C675A" w14:paraId="61885E6D" w14:textId="77777777" w:rsidTr="003D6F21">
        <w:tc>
          <w:tcPr>
            <w:tcW w:w="4866" w:type="dxa"/>
          </w:tcPr>
          <w:p w14:paraId="61885E6B" w14:textId="77777777" w:rsidR="007A4E5D" w:rsidRPr="00912382" w:rsidRDefault="007A4E5D" w:rsidP="003D6F21">
            <w:pPr>
              <w:keepNext/>
              <w:keepLines/>
              <w:spacing w:line="480" w:lineRule="auto"/>
              <w:jc w:val="center"/>
              <w:rPr>
                <w:sz w:val="20"/>
                <w:szCs w:val="20"/>
                <w:lang w:val="en-US"/>
              </w:rPr>
            </w:pPr>
            <w:r w:rsidRPr="00912382">
              <w:rPr>
                <w:sz w:val="20"/>
                <w:szCs w:val="20"/>
                <w:lang w:val="en-US"/>
              </w:rPr>
              <w:t xml:space="preserve">The </w:t>
            </w:r>
            <w:r w:rsidRPr="00912382">
              <w:rPr>
                <w:rFonts w:eastAsia="Times New Roman+FPEF"/>
                <w:sz w:val="20"/>
                <w:szCs w:val="20"/>
                <w:lang w:val="en-US"/>
              </w:rPr>
              <w:t>CEED downlink beam</w:t>
            </w:r>
          </w:p>
        </w:tc>
        <w:tc>
          <w:tcPr>
            <w:tcW w:w="4763" w:type="dxa"/>
          </w:tcPr>
          <w:p w14:paraId="61885E6C" w14:textId="77777777" w:rsidR="007A4E5D" w:rsidRPr="00912382" w:rsidRDefault="007A4E5D" w:rsidP="003D6F21">
            <w:pPr>
              <w:keepNext/>
              <w:keepLines/>
              <w:spacing w:line="480" w:lineRule="auto"/>
              <w:jc w:val="center"/>
              <w:rPr>
                <w:sz w:val="20"/>
                <w:szCs w:val="20"/>
                <w:lang w:val="en-US"/>
              </w:rPr>
            </w:pPr>
            <w:r w:rsidRPr="00912382">
              <w:rPr>
                <w:rFonts w:eastAsia="Times New Roman+FPEF"/>
                <w:sz w:val="20"/>
                <w:szCs w:val="20"/>
                <w:lang w:val="en-US"/>
              </w:rPr>
              <w:t>The CER feeder-link beam</w:t>
            </w:r>
          </w:p>
        </w:tc>
      </w:tr>
      <w:tr w:rsidR="007A4E5D" w:rsidRPr="005C675A" w14:paraId="61885E6F" w14:textId="77777777" w:rsidTr="003D6F21">
        <w:tc>
          <w:tcPr>
            <w:tcW w:w="9629" w:type="dxa"/>
            <w:gridSpan w:val="2"/>
          </w:tcPr>
          <w:p w14:paraId="61885E6E" w14:textId="77777777" w:rsidR="007A4E5D" w:rsidRPr="00912382" w:rsidRDefault="007A4E5D" w:rsidP="003D6F21">
            <w:pPr>
              <w:keepNext/>
              <w:keepLines/>
              <w:spacing w:line="480" w:lineRule="auto"/>
              <w:jc w:val="center"/>
              <w:rPr>
                <w:b/>
                <w:bCs/>
                <w:sz w:val="20"/>
                <w:szCs w:val="20"/>
                <w:lang w:val="en-US"/>
              </w:rPr>
            </w:pPr>
            <w:r w:rsidRPr="00912382">
              <w:rPr>
                <w:b/>
                <w:bCs/>
                <w:sz w:val="20"/>
                <w:szCs w:val="20"/>
                <w:lang w:val="en-US"/>
              </w:rPr>
              <w:t>Co-polar coverage</w:t>
            </w:r>
          </w:p>
        </w:tc>
      </w:tr>
      <w:tr w:rsidR="007A4E5D" w:rsidRPr="005C675A" w14:paraId="61885E72" w14:textId="77777777" w:rsidTr="003D6F21">
        <w:tc>
          <w:tcPr>
            <w:tcW w:w="4866" w:type="dxa"/>
          </w:tcPr>
          <w:p w14:paraId="61885E70" w14:textId="77777777" w:rsidR="007A4E5D" w:rsidRPr="005C675A" w:rsidRDefault="007A4E5D" w:rsidP="003D6F21">
            <w:pPr>
              <w:spacing w:line="480" w:lineRule="auto"/>
              <w:rPr>
                <w:lang w:val="en-US"/>
              </w:rPr>
            </w:pPr>
            <w:r w:rsidRPr="005C675A">
              <w:rPr>
                <w:noProof/>
                <w:lang w:eastAsia="zh-CN"/>
              </w:rPr>
              <w:drawing>
                <wp:inline distT="0" distB="0" distL="0" distR="0" wp14:anchorId="61885F34" wp14:editId="61885F35">
                  <wp:extent cx="2581154" cy="2578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258" cy="2591832"/>
                          </a:xfrm>
                          <a:prstGeom prst="rect">
                            <a:avLst/>
                          </a:prstGeom>
                          <a:noFill/>
                          <a:ln>
                            <a:noFill/>
                          </a:ln>
                        </pic:spPr>
                      </pic:pic>
                    </a:graphicData>
                  </a:graphic>
                </wp:inline>
              </w:drawing>
            </w:r>
          </w:p>
        </w:tc>
        <w:tc>
          <w:tcPr>
            <w:tcW w:w="4763" w:type="dxa"/>
          </w:tcPr>
          <w:p w14:paraId="61885E71" w14:textId="77777777" w:rsidR="007A4E5D" w:rsidRPr="005C675A" w:rsidRDefault="007A4E5D" w:rsidP="003D6F21">
            <w:pPr>
              <w:spacing w:line="480" w:lineRule="auto"/>
              <w:rPr>
                <w:lang w:val="en-US"/>
              </w:rPr>
            </w:pPr>
            <w:r w:rsidRPr="005C675A">
              <w:rPr>
                <w:noProof/>
                <w:lang w:eastAsia="zh-CN"/>
              </w:rPr>
              <w:drawing>
                <wp:inline distT="0" distB="0" distL="0" distR="0" wp14:anchorId="61885F36" wp14:editId="61885F37">
                  <wp:extent cx="2549171" cy="254679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275" cy="2555886"/>
                          </a:xfrm>
                          <a:prstGeom prst="rect">
                            <a:avLst/>
                          </a:prstGeom>
                          <a:noFill/>
                          <a:ln>
                            <a:noFill/>
                          </a:ln>
                        </pic:spPr>
                      </pic:pic>
                    </a:graphicData>
                  </a:graphic>
                </wp:inline>
              </w:drawing>
            </w:r>
          </w:p>
        </w:tc>
      </w:tr>
      <w:tr w:rsidR="007A4E5D" w:rsidRPr="005C675A" w14:paraId="61885E74" w14:textId="77777777" w:rsidTr="003D6F21">
        <w:tc>
          <w:tcPr>
            <w:tcW w:w="9629" w:type="dxa"/>
            <w:gridSpan w:val="2"/>
          </w:tcPr>
          <w:p w14:paraId="61885E73" w14:textId="77777777" w:rsidR="007A4E5D" w:rsidRPr="00912382" w:rsidRDefault="007A4E5D" w:rsidP="003D6F21">
            <w:pPr>
              <w:spacing w:line="480" w:lineRule="auto"/>
              <w:jc w:val="center"/>
              <w:rPr>
                <w:b/>
                <w:bCs/>
                <w:sz w:val="20"/>
                <w:szCs w:val="20"/>
                <w:lang w:val="en-US"/>
              </w:rPr>
            </w:pPr>
            <w:r w:rsidRPr="00912382">
              <w:rPr>
                <w:b/>
                <w:bCs/>
                <w:sz w:val="20"/>
                <w:szCs w:val="20"/>
                <w:lang w:val="en-US"/>
              </w:rPr>
              <w:t>Cross-polar coverage</w:t>
            </w:r>
          </w:p>
        </w:tc>
      </w:tr>
      <w:tr w:rsidR="007A4E5D" w:rsidRPr="005C675A" w14:paraId="61885E77" w14:textId="77777777" w:rsidTr="003D6F21">
        <w:tc>
          <w:tcPr>
            <w:tcW w:w="4866" w:type="dxa"/>
          </w:tcPr>
          <w:p w14:paraId="61885E75" w14:textId="77777777" w:rsidR="007A4E5D" w:rsidRPr="005C675A" w:rsidRDefault="007A4E5D" w:rsidP="003D6F21">
            <w:pPr>
              <w:spacing w:line="480" w:lineRule="auto"/>
              <w:rPr>
                <w:lang w:val="en-US"/>
              </w:rPr>
            </w:pPr>
            <w:r w:rsidRPr="005C675A">
              <w:rPr>
                <w:noProof/>
                <w:lang w:eastAsia="zh-CN"/>
              </w:rPr>
              <w:lastRenderedPageBreak/>
              <w:drawing>
                <wp:inline distT="0" distB="0" distL="0" distR="0" wp14:anchorId="61885F38" wp14:editId="61885F39">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5033" cy="2952271"/>
                          </a:xfrm>
                          <a:prstGeom prst="rect">
                            <a:avLst/>
                          </a:prstGeom>
                          <a:noFill/>
                          <a:ln>
                            <a:noFill/>
                          </a:ln>
                        </pic:spPr>
                      </pic:pic>
                    </a:graphicData>
                  </a:graphic>
                </wp:inline>
              </w:drawing>
            </w:r>
          </w:p>
        </w:tc>
        <w:tc>
          <w:tcPr>
            <w:tcW w:w="4763" w:type="dxa"/>
          </w:tcPr>
          <w:p w14:paraId="61885E76" w14:textId="77777777" w:rsidR="007A4E5D" w:rsidRPr="005C675A" w:rsidRDefault="007A4E5D" w:rsidP="003D6F21">
            <w:pPr>
              <w:spacing w:line="480" w:lineRule="auto"/>
              <w:rPr>
                <w:lang w:val="en-US"/>
              </w:rPr>
            </w:pPr>
            <w:r w:rsidRPr="005C675A">
              <w:rPr>
                <w:noProof/>
                <w:lang w:eastAsia="zh-CN"/>
              </w:rPr>
              <w:drawing>
                <wp:inline distT="0" distB="0" distL="0" distR="0" wp14:anchorId="61885F3A" wp14:editId="61885F3B">
                  <wp:extent cx="2828394" cy="289367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7744" cy="2903237"/>
                          </a:xfrm>
                          <a:prstGeom prst="rect">
                            <a:avLst/>
                          </a:prstGeom>
                          <a:noFill/>
                          <a:ln>
                            <a:noFill/>
                          </a:ln>
                        </pic:spPr>
                      </pic:pic>
                    </a:graphicData>
                  </a:graphic>
                </wp:inline>
              </w:drawing>
            </w:r>
          </w:p>
        </w:tc>
      </w:tr>
    </w:tbl>
    <w:p w14:paraId="61885E78" w14:textId="77777777" w:rsidR="007A4E5D" w:rsidRPr="00C02055" w:rsidRDefault="007A4E5D" w:rsidP="00C02055">
      <w:pPr>
        <w:pStyle w:val="Headingi"/>
      </w:pPr>
      <w:r w:rsidRPr="00C02055">
        <w:t>Request for INSAT-EXK82.5E satellite network</w:t>
      </w:r>
    </w:p>
    <w:p w14:paraId="61885E79" w14:textId="77777777" w:rsidR="007A4E5D" w:rsidRPr="005C675A" w:rsidRDefault="007A4E5D" w:rsidP="00C02055">
      <w:pPr>
        <w:rPr>
          <w:lang w:val="en-US"/>
        </w:rPr>
      </w:pPr>
      <w:r w:rsidRPr="005C675A">
        <w:rPr>
          <w:lang w:val="en-US"/>
        </w:rPr>
        <w:t>WRC</w:t>
      </w:r>
      <w:r w:rsidRPr="005C675A">
        <w:rPr>
          <w:lang w:val="en-US"/>
        </w:rPr>
        <w:noBreakHyphen/>
        <w:t xml:space="preserve">19 considered the specific request made by India in Document </w:t>
      </w:r>
      <w:hyperlink r:id="rId16" w:history="1">
        <w:r w:rsidRPr="005C675A">
          <w:rPr>
            <w:rStyle w:val="Hyperlink"/>
            <w:rFonts w:asciiTheme="majorBidi" w:hAnsiTheme="majorBidi" w:cstheme="majorBidi"/>
            <w:szCs w:val="24"/>
            <w:lang w:val="en-US"/>
          </w:rPr>
          <w:t>92(Add.22)</w:t>
        </w:r>
      </w:hyperlink>
      <w:r w:rsidRPr="005C675A">
        <w:rPr>
          <w:lang w:val="en-US"/>
        </w:rPr>
        <w:t xml:space="preserve"> regarding the extension of the regulatory period for bringing into use the INSAT-EXK82.5E satellite network. Considering the particular issues raised in the document, WRC</w:t>
      </w:r>
      <w:r w:rsidRPr="005C675A">
        <w:rPr>
          <w:lang w:val="en-US"/>
        </w:rPr>
        <w:noBreakHyphen/>
        <w:t xml:space="preserve">19 decided to accede to this request and consequently instructed the Radiocommunication Bureau: </w:t>
      </w:r>
    </w:p>
    <w:p w14:paraId="61885E7A" w14:textId="77777777" w:rsidR="007A4E5D" w:rsidRPr="00C02055" w:rsidRDefault="007A4E5D" w:rsidP="00C02055">
      <w:pPr>
        <w:pStyle w:val="enumlev1"/>
      </w:pPr>
      <w:r w:rsidRPr="00C02055">
        <w:t>1</w:t>
      </w:r>
      <w:r w:rsidRPr="00C02055">
        <w:tab/>
        <w:t>to consider the regulatory period for bringing into use the frequency assignments to the INSAT-EXK82.5E satellite network to be extende</w:t>
      </w:r>
      <w:r w:rsidR="00C02055">
        <w:t>d from 30 March 2017 to 30 June </w:t>
      </w:r>
      <w:r w:rsidRPr="00C02055">
        <w:t>2017;</w:t>
      </w:r>
    </w:p>
    <w:p w14:paraId="61885E7B" w14:textId="77777777" w:rsidR="007A4E5D" w:rsidRPr="00C02055" w:rsidRDefault="007A4E5D" w:rsidP="00C02055">
      <w:pPr>
        <w:pStyle w:val="enumlev1"/>
      </w:pPr>
      <w:r w:rsidRPr="00C02055">
        <w:t>2</w:t>
      </w:r>
      <w:r w:rsidRPr="00C02055">
        <w:tab/>
        <w:t xml:space="preserve">to record the date of bringing into use of these frequency assignments as 30 June 2017; </w:t>
      </w:r>
    </w:p>
    <w:p w14:paraId="61885E7C" w14:textId="77777777" w:rsidR="007A4E5D" w:rsidRPr="00C02055" w:rsidRDefault="007A4E5D" w:rsidP="00C02055">
      <w:pPr>
        <w:pStyle w:val="enumlev1"/>
      </w:pPr>
      <w:r w:rsidRPr="00C02055">
        <w:t>3</w:t>
      </w:r>
      <w:r w:rsidRPr="00C02055">
        <w:tab/>
        <w:t>to record the date of suspension of these frequency assignments under   8.17 of Article 8 of Appendix 30B as 3 January 2018 (so that the 3-year suspension period referred to in this provision ends on 3 January 2021);</w:t>
      </w:r>
    </w:p>
    <w:p w14:paraId="61885E7D" w14:textId="77777777" w:rsidR="007A4E5D" w:rsidRPr="00C02055" w:rsidRDefault="007A4E5D" w:rsidP="00C02055">
      <w:pPr>
        <w:pStyle w:val="enumlev1"/>
      </w:pPr>
      <w:r w:rsidRPr="00C02055">
        <w:t>4</w:t>
      </w:r>
      <w:r w:rsidRPr="00C02055">
        <w:tab/>
        <w:t xml:space="preserve">to process the Part B and notification of these frequency assignments with a formal date of receipt of 22 November 2019. </w:t>
      </w:r>
    </w:p>
    <w:p w14:paraId="61885E7E" w14:textId="77777777" w:rsidR="007A4E5D" w:rsidRPr="00C02055" w:rsidRDefault="007A4E5D" w:rsidP="00C02055">
      <w:pPr>
        <w:pStyle w:val="Headingi"/>
        <w:rPr>
          <w:rFonts w:eastAsia="Calibri"/>
        </w:rPr>
      </w:pPr>
      <w:r w:rsidRPr="00C02055">
        <w:t>Request for</w:t>
      </w:r>
      <w:r w:rsidRPr="00C02055">
        <w:rPr>
          <w:rFonts w:eastAsia="Calibri"/>
        </w:rPr>
        <w:t xml:space="preserve"> KYPROS-SAT-3 (39° E) satellite network</w:t>
      </w:r>
    </w:p>
    <w:p w14:paraId="61885E7F" w14:textId="77777777" w:rsidR="007A4E5D" w:rsidRPr="005C675A" w:rsidRDefault="007A4E5D" w:rsidP="00C02055">
      <w:pPr>
        <w:rPr>
          <w:rFonts w:eastAsia="Calibri"/>
          <w:lang w:val="en-US"/>
        </w:rPr>
      </w:pPr>
      <w:r w:rsidRPr="005C675A">
        <w:rPr>
          <w:lang w:val="en-US"/>
        </w:rPr>
        <w:t>WRC</w:t>
      </w:r>
      <w:r w:rsidRPr="005C675A">
        <w:rPr>
          <w:lang w:val="en-US"/>
        </w:rPr>
        <w:noBreakHyphen/>
        <w:t xml:space="preserve">19 considered the specific request made by Cyprus in Document </w:t>
      </w:r>
      <w:hyperlink r:id="rId17" w:history="1">
        <w:r w:rsidRPr="005C675A">
          <w:rPr>
            <w:rStyle w:val="Hyperlink"/>
            <w:lang w:val="en-US"/>
          </w:rPr>
          <w:t>48(Add.22)</w:t>
        </w:r>
      </w:hyperlink>
      <w:r w:rsidRPr="005C675A">
        <w:rPr>
          <w:lang w:val="en-US"/>
        </w:rPr>
        <w:t xml:space="preserve"> regarding the bringing into use of the KYPROS-SAT-3 satellite network at the 39</w:t>
      </w:r>
      <w:r w:rsidRPr="005C675A">
        <w:rPr>
          <w:rFonts w:eastAsia="Calibri"/>
          <w:lang w:val="en-US"/>
        </w:rPr>
        <w:t>° </w:t>
      </w:r>
      <w:r w:rsidRPr="005C675A">
        <w:rPr>
          <w:lang w:val="en-US"/>
        </w:rPr>
        <w:t xml:space="preserve">E orbital location. Having successfully addressed initial concerns raised with this request, WRC-19 </w:t>
      </w:r>
      <w:r w:rsidRPr="005C675A">
        <w:rPr>
          <w:rFonts w:eastAsia="Calibri"/>
          <w:lang w:val="en-US"/>
        </w:rPr>
        <w:t xml:space="preserve">exceptionally agreed to set the date of bringing into use of the frequency assignments to the </w:t>
      </w:r>
      <w:r w:rsidRPr="005C675A">
        <w:rPr>
          <w:lang w:val="en-US"/>
        </w:rPr>
        <w:t>KYPROS-SAT-3 satellite network</w:t>
      </w:r>
      <w:r w:rsidRPr="005C675A">
        <w:rPr>
          <w:rFonts w:eastAsia="Calibri"/>
          <w:lang w:val="en-US"/>
        </w:rPr>
        <w:t xml:space="preserve"> as 7 March 2016. WRC</w:t>
      </w:r>
      <w:r w:rsidRPr="005C675A">
        <w:rPr>
          <w:lang w:val="en-US"/>
        </w:rPr>
        <w:noBreakHyphen/>
      </w:r>
      <w:r w:rsidRPr="005C675A">
        <w:rPr>
          <w:rFonts w:eastAsia="Calibri"/>
          <w:lang w:val="en-US"/>
        </w:rPr>
        <w:t>19 noted that these frequency assignments were subsequently suspended as of 6 June 2016 and brought back into use within the 3-year period set forth in No. </w:t>
      </w:r>
      <w:r w:rsidRPr="005C675A">
        <w:rPr>
          <w:rFonts w:eastAsia="Calibri"/>
          <w:b/>
          <w:bCs/>
          <w:lang w:val="en-US"/>
        </w:rPr>
        <w:t>11.49</w:t>
      </w:r>
      <w:r w:rsidRPr="005C675A">
        <w:rPr>
          <w:rFonts w:eastAsia="Calibri"/>
          <w:lang w:val="en-US"/>
        </w:rPr>
        <w:t>.</w:t>
      </w:r>
    </w:p>
    <w:p w14:paraId="61885E80" w14:textId="77777777" w:rsidR="007A4E5D" w:rsidRPr="00C02055" w:rsidRDefault="007A4E5D" w:rsidP="00C02055">
      <w:pPr>
        <w:pStyle w:val="Headingi"/>
        <w:rPr>
          <w:rFonts w:eastAsia="Calibri"/>
        </w:rPr>
      </w:pPr>
      <w:r w:rsidRPr="00C02055">
        <w:t>Request for</w:t>
      </w:r>
      <w:r w:rsidRPr="00C02055">
        <w:rPr>
          <w:rFonts w:eastAsia="Calibri"/>
        </w:rPr>
        <w:t xml:space="preserve"> </w:t>
      </w:r>
      <w:r w:rsidRPr="00C02055">
        <w:t xml:space="preserve">PALAPA-C1-B (113°E) </w:t>
      </w:r>
      <w:r w:rsidRPr="00C02055">
        <w:rPr>
          <w:rFonts w:eastAsia="Calibri"/>
        </w:rPr>
        <w:t>satellite network</w:t>
      </w:r>
    </w:p>
    <w:p w14:paraId="61885E81" w14:textId="77777777" w:rsidR="007A4E5D" w:rsidRPr="005C675A" w:rsidRDefault="007A4E5D" w:rsidP="00C02055">
      <w:pPr>
        <w:rPr>
          <w:lang w:val="en-US"/>
        </w:rPr>
      </w:pPr>
      <w:r w:rsidRPr="005C675A">
        <w:rPr>
          <w:lang w:val="en-US"/>
        </w:rPr>
        <w:t xml:space="preserve">WRC-19 considered the specific request made by Indonesia in Document </w:t>
      </w:r>
      <w:hyperlink r:id="rId18" w:history="1">
        <w:r w:rsidRPr="005C675A">
          <w:rPr>
            <w:rStyle w:val="Hyperlink"/>
            <w:lang w:val="en-US"/>
          </w:rPr>
          <w:t>35(Add.25)</w:t>
        </w:r>
      </w:hyperlink>
      <w:r w:rsidRPr="005C675A">
        <w:rPr>
          <w:lang w:val="en-US"/>
        </w:rPr>
        <w:t xml:space="preserve"> regarding the extension of the regulatory time</w:t>
      </w:r>
      <w:r>
        <w:rPr>
          <w:lang w:val="en-US"/>
        </w:rPr>
        <w:t>-</w:t>
      </w:r>
      <w:r w:rsidRPr="005C675A">
        <w:rPr>
          <w:lang w:val="en-US"/>
        </w:rPr>
        <w:t>limit for bringing into use frequency assignments to the PALAPA</w:t>
      </w:r>
      <w:r w:rsidRPr="005C675A">
        <w:rPr>
          <w:lang w:val="en-US"/>
        </w:rPr>
        <w:noBreakHyphen/>
        <w:t>C1-B (113°E) satellite network in the frequency bands: 11 452-11 678 MHz, 12 252</w:t>
      </w:r>
      <w:r w:rsidRPr="005C675A">
        <w:rPr>
          <w:lang w:val="en-US"/>
        </w:rPr>
        <w:noBreakHyphen/>
        <w:t>12 532 MHz, 13 758-13 984 MHz, 14 000-14 280 MHz from 6 August 2019 to 31 July 2020. WRC</w:t>
      </w:r>
      <w:r w:rsidRPr="005C675A">
        <w:rPr>
          <w:lang w:val="en-US"/>
        </w:rPr>
        <w:noBreakHyphen/>
        <w:t xml:space="preserve">19 agreed to accede to this limited time extension request, having confirmed </w:t>
      </w:r>
      <w:r w:rsidRPr="005C675A">
        <w:rPr>
          <w:lang w:val="en-US"/>
        </w:rPr>
        <w:lastRenderedPageBreak/>
        <w:t>that all frequency coordination activities requested by other administrations during WRC-19 had been completed for this satellite network.</w:t>
      </w:r>
    </w:p>
    <w:p w14:paraId="61885E82" w14:textId="77777777" w:rsidR="007A4E5D" w:rsidRPr="00C02055" w:rsidRDefault="007A4E5D" w:rsidP="00C02055">
      <w:pPr>
        <w:pStyle w:val="Headingi"/>
        <w:rPr>
          <w:rFonts w:eastAsia="Calibri"/>
        </w:rPr>
      </w:pPr>
      <w:r w:rsidRPr="00C02055">
        <w:t>Request for</w:t>
      </w:r>
      <w:r w:rsidRPr="00C02055">
        <w:rPr>
          <w:rFonts w:eastAsia="Calibri"/>
        </w:rPr>
        <w:t xml:space="preserve"> </w:t>
      </w:r>
      <w:r w:rsidRPr="00C02055">
        <w:t xml:space="preserve">MNG00000 and SANSAR-1 (113.6° E) </w:t>
      </w:r>
      <w:r w:rsidRPr="00C02055">
        <w:rPr>
          <w:rFonts w:eastAsia="Calibri"/>
        </w:rPr>
        <w:t>satellite networks</w:t>
      </w:r>
    </w:p>
    <w:p w14:paraId="61885E83" w14:textId="77777777" w:rsidR="007A4E5D" w:rsidRPr="005C675A" w:rsidRDefault="007A4E5D" w:rsidP="00C02055">
      <w:pPr>
        <w:rPr>
          <w:lang w:val="en-US"/>
        </w:rPr>
      </w:pPr>
      <w:r w:rsidRPr="005C675A">
        <w:rPr>
          <w:lang w:val="en-US"/>
        </w:rPr>
        <w:t xml:space="preserve">WRC-19 considered the specific request made by Mongolia in Document </w:t>
      </w:r>
      <w:hyperlink r:id="rId19" w:history="1">
        <w:r w:rsidRPr="005C675A">
          <w:rPr>
            <w:rStyle w:val="Hyperlink"/>
            <w:lang w:val="en-US"/>
          </w:rPr>
          <w:t>164</w:t>
        </w:r>
      </w:hyperlink>
      <w:r w:rsidRPr="005C675A">
        <w:rPr>
          <w:lang w:val="en-US"/>
        </w:rPr>
        <w:t xml:space="preserve"> regarding the reference situation of Mongolian satellite system (113.6° E) in the FSS Plan. WRC-19 instructs the Radiocommunication Bureau to apply with respect to MNG00000 and SANSAR-1 networks of Mongolia the criteria in § 2.1 of Annex </w:t>
      </w:r>
      <w:r w:rsidRPr="005C675A">
        <w:rPr>
          <w:b/>
          <w:bCs/>
          <w:lang w:val="en-US"/>
        </w:rPr>
        <w:t>4</w:t>
      </w:r>
      <w:r w:rsidRPr="005C675A">
        <w:rPr>
          <w:lang w:val="en-US"/>
        </w:rPr>
        <w:t xml:space="preserve"> to RR Appendix </w:t>
      </w:r>
      <w:r w:rsidRPr="005C675A">
        <w:rPr>
          <w:b/>
          <w:bCs/>
          <w:lang w:val="en-US"/>
        </w:rPr>
        <w:t>30B</w:t>
      </w:r>
      <w:r w:rsidRPr="005C675A">
        <w:rPr>
          <w:lang w:val="en-US"/>
        </w:rPr>
        <w:t xml:space="preserve"> (as revised by WRC-19) when performing examination of the assignments submitted under § 6.17 of RR Appendix </w:t>
      </w:r>
      <w:r w:rsidRPr="005C675A">
        <w:rPr>
          <w:b/>
          <w:bCs/>
          <w:lang w:val="en-US"/>
        </w:rPr>
        <w:t>30B</w:t>
      </w:r>
      <w:r w:rsidRPr="005C675A">
        <w:rPr>
          <w:lang w:val="en-US"/>
        </w:rPr>
        <w:t xml:space="preserve"> after 22 November 2019</w:t>
      </w:r>
      <w:r>
        <w:rPr>
          <w:lang w:val="en-US"/>
        </w:rPr>
        <w:t>”</w:t>
      </w:r>
      <w:r w:rsidRPr="005C675A">
        <w:rPr>
          <w:lang w:val="en-US"/>
        </w:rPr>
        <w:t>.</w:t>
      </w:r>
    </w:p>
    <w:p w14:paraId="61885E84" w14:textId="77777777" w:rsidR="007A4E5D" w:rsidRPr="000333DD" w:rsidRDefault="007A4E5D" w:rsidP="00C02055">
      <w:pPr>
        <w:rPr>
          <w:lang w:val="en-US"/>
        </w:rPr>
      </w:pPr>
      <w:r>
        <w:rPr>
          <w:lang w:val="en-US"/>
        </w:rPr>
        <w:t>2.5</w:t>
      </w:r>
      <w:r>
        <w:rPr>
          <w:lang w:val="en-US"/>
        </w:rPr>
        <w:tab/>
        <w:t xml:space="preserve">The </w:t>
      </w:r>
      <w:r w:rsidRPr="009E6071">
        <w:rPr>
          <w:b/>
          <w:bCs/>
          <w:lang w:val="en-US"/>
        </w:rPr>
        <w:t>Chairman of Committee 5</w:t>
      </w:r>
      <w:r>
        <w:rPr>
          <w:lang w:val="en-US"/>
        </w:rPr>
        <w:t xml:space="preserve"> noted that Indonesia had, in addition to the request made regarding the </w:t>
      </w:r>
      <w:r w:rsidRPr="002F4DF6">
        <w:rPr>
          <w:lang w:val="en-US"/>
        </w:rPr>
        <w:t>PALAPA-C1-B (113°E) satellite network</w:t>
      </w:r>
      <w:r>
        <w:rPr>
          <w:lang w:val="en-US"/>
        </w:rPr>
        <w:t>, submitted two other requests, relating to the</w:t>
      </w:r>
      <w:r w:rsidRPr="00237270">
        <w:rPr>
          <w:lang w:val="en-US"/>
        </w:rPr>
        <w:t xml:space="preserve"> PSN-146E (146°E) </w:t>
      </w:r>
      <w:r>
        <w:rPr>
          <w:lang w:val="en-US"/>
        </w:rPr>
        <w:t>and the</w:t>
      </w:r>
      <w:r w:rsidRPr="00237270">
        <w:t xml:space="preserve"> </w:t>
      </w:r>
      <w:r w:rsidRPr="00237270">
        <w:rPr>
          <w:lang w:val="en-US"/>
        </w:rPr>
        <w:t xml:space="preserve">GARUDA-2 (123°E) </w:t>
      </w:r>
      <w:r w:rsidRPr="00BF4775">
        <w:rPr>
          <w:lang w:val="en-US"/>
        </w:rPr>
        <w:t xml:space="preserve">satellite networks. Since the committee’s </w:t>
      </w:r>
      <w:r>
        <w:rPr>
          <w:lang w:val="en-US"/>
        </w:rPr>
        <w:t>last</w:t>
      </w:r>
      <w:r w:rsidRPr="00BF4775">
        <w:rPr>
          <w:lang w:val="en-US"/>
        </w:rPr>
        <w:t xml:space="preserve"> meeting, </w:t>
      </w:r>
      <w:r>
        <w:rPr>
          <w:lang w:val="en-US"/>
        </w:rPr>
        <w:t xml:space="preserve">an agreement had been reached by </w:t>
      </w:r>
      <w:r w:rsidRPr="00BF4775">
        <w:rPr>
          <w:lang w:val="en-US"/>
        </w:rPr>
        <w:t xml:space="preserve">Australia and Indonesia </w:t>
      </w:r>
      <w:r>
        <w:rPr>
          <w:lang w:val="en-US"/>
        </w:rPr>
        <w:t xml:space="preserve">on the </w:t>
      </w:r>
      <w:r w:rsidRPr="00237270">
        <w:rPr>
          <w:lang w:val="en-US"/>
        </w:rPr>
        <w:t xml:space="preserve">PSN-146E (146°E) </w:t>
      </w:r>
      <w:r>
        <w:rPr>
          <w:lang w:val="en-US"/>
        </w:rPr>
        <w:t xml:space="preserve">satellite network and a text would be prepared for consideration </w:t>
      </w:r>
      <w:r w:rsidRPr="00BF4775">
        <w:rPr>
          <w:lang w:val="en-US"/>
        </w:rPr>
        <w:t>at a later plenary</w:t>
      </w:r>
      <w:r w:rsidRPr="000333DD">
        <w:rPr>
          <w:lang w:val="en-US"/>
        </w:rPr>
        <w:t xml:space="preserve"> meeting. </w:t>
      </w:r>
      <w:r>
        <w:rPr>
          <w:lang w:val="en-US"/>
        </w:rPr>
        <w:t xml:space="preserve">Consensus had yet to be achieved with respect to the </w:t>
      </w:r>
      <w:r w:rsidRPr="00237270">
        <w:rPr>
          <w:lang w:val="en-US"/>
        </w:rPr>
        <w:t xml:space="preserve">GARUDA-2 (123°E) </w:t>
      </w:r>
      <w:r w:rsidRPr="00BF4775">
        <w:rPr>
          <w:lang w:val="en-US"/>
        </w:rPr>
        <w:t>satellite network</w:t>
      </w:r>
      <w:r>
        <w:rPr>
          <w:lang w:val="en-US"/>
        </w:rPr>
        <w:t>.</w:t>
      </w:r>
    </w:p>
    <w:p w14:paraId="61885E85" w14:textId="77777777" w:rsidR="007A4E5D" w:rsidRPr="00DA5C1F" w:rsidRDefault="007A4E5D" w:rsidP="00C02055">
      <w:pPr>
        <w:rPr>
          <w:lang w:val="en-US"/>
        </w:rPr>
      </w:pPr>
      <w:r>
        <w:rPr>
          <w:lang w:val="en-US"/>
        </w:rPr>
        <w:t>2.6</w:t>
      </w:r>
      <w:r>
        <w:rPr>
          <w:lang w:val="en-US"/>
        </w:rPr>
        <w:tab/>
      </w:r>
      <w:r w:rsidRPr="000333DD">
        <w:rPr>
          <w:lang w:val="en-US"/>
        </w:rPr>
        <w:t xml:space="preserve">The </w:t>
      </w:r>
      <w:r w:rsidRPr="000333DD">
        <w:rPr>
          <w:b/>
          <w:bCs/>
          <w:lang w:val="en-US"/>
        </w:rPr>
        <w:t xml:space="preserve">delegate of Indonesia </w:t>
      </w:r>
      <w:r>
        <w:rPr>
          <w:lang w:val="en-US"/>
        </w:rPr>
        <w:t>welcomed the</w:t>
      </w:r>
      <w:r w:rsidRPr="000333DD">
        <w:rPr>
          <w:lang w:val="en-US"/>
        </w:rPr>
        <w:t xml:space="preserve"> favourable </w:t>
      </w:r>
      <w:r>
        <w:rPr>
          <w:lang w:val="en-US"/>
        </w:rPr>
        <w:t xml:space="preserve">conclusion </w:t>
      </w:r>
      <w:r w:rsidRPr="000333DD">
        <w:rPr>
          <w:lang w:val="en-US"/>
        </w:rPr>
        <w:t>regarding the PALAPA-C1-B (113°E) satellite network. H</w:t>
      </w:r>
      <w:r>
        <w:rPr>
          <w:lang w:val="en-US"/>
        </w:rPr>
        <w:t xml:space="preserve">e thanked </w:t>
      </w:r>
      <w:r w:rsidRPr="000333DD">
        <w:rPr>
          <w:lang w:val="en-US"/>
        </w:rPr>
        <w:t xml:space="preserve">the Administration of Australia </w:t>
      </w:r>
      <w:r>
        <w:rPr>
          <w:lang w:val="en-US"/>
        </w:rPr>
        <w:t xml:space="preserve">and its operator for their cooperation, which had made it possible to reach agreement </w:t>
      </w:r>
      <w:r w:rsidRPr="000333DD">
        <w:rPr>
          <w:lang w:val="en-US"/>
        </w:rPr>
        <w:t xml:space="preserve">on the PSN-146E (146°E) satellite network. </w:t>
      </w:r>
      <w:r>
        <w:rPr>
          <w:lang w:val="en-US"/>
        </w:rPr>
        <w:t>More time was required to liaise with concerned administrations and resolve c</w:t>
      </w:r>
      <w:r w:rsidRPr="000333DD">
        <w:rPr>
          <w:lang w:val="en-US"/>
        </w:rPr>
        <w:t xml:space="preserve">oordination </w:t>
      </w:r>
      <w:r>
        <w:rPr>
          <w:lang w:val="en-US"/>
        </w:rPr>
        <w:t xml:space="preserve">matters relating to </w:t>
      </w:r>
      <w:r w:rsidRPr="000333DD">
        <w:rPr>
          <w:lang w:val="en-US"/>
        </w:rPr>
        <w:t xml:space="preserve">the </w:t>
      </w:r>
      <w:r>
        <w:rPr>
          <w:lang w:val="en-US"/>
        </w:rPr>
        <w:t xml:space="preserve">request for the </w:t>
      </w:r>
      <w:r w:rsidRPr="000333DD">
        <w:rPr>
          <w:lang w:val="en-US"/>
        </w:rPr>
        <w:t xml:space="preserve">GARUDA-2 (123°E) satellite network </w:t>
      </w:r>
      <w:r>
        <w:rPr>
          <w:lang w:val="en-US"/>
        </w:rPr>
        <w:t>and he hoped to report on progress at a subsequent plenary meeting.</w:t>
      </w:r>
    </w:p>
    <w:p w14:paraId="61885E86" w14:textId="77777777" w:rsidR="007A4E5D" w:rsidRPr="00DA5C1F" w:rsidRDefault="007A4E5D" w:rsidP="00C02055">
      <w:pPr>
        <w:rPr>
          <w:lang w:val="en-US"/>
        </w:rPr>
      </w:pPr>
      <w:r>
        <w:rPr>
          <w:lang w:val="en-US"/>
        </w:rPr>
        <w:t>2.7</w:t>
      </w:r>
      <w:r>
        <w:rPr>
          <w:lang w:val="en-US"/>
        </w:rPr>
        <w:tab/>
      </w:r>
      <w:r w:rsidRPr="00236769">
        <w:rPr>
          <w:lang w:val="en-US"/>
        </w:rPr>
        <w:t xml:space="preserve">The </w:t>
      </w:r>
      <w:r w:rsidRPr="009133F7">
        <w:rPr>
          <w:b/>
          <w:bCs/>
          <w:lang w:val="en-US"/>
        </w:rPr>
        <w:t>delegate of Aus</w:t>
      </w:r>
      <w:r w:rsidRPr="00DA5C1F">
        <w:rPr>
          <w:b/>
          <w:bCs/>
          <w:lang w:val="en-US"/>
        </w:rPr>
        <w:t>tralia</w:t>
      </w:r>
      <w:r>
        <w:rPr>
          <w:lang w:val="en-US"/>
        </w:rPr>
        <w:t xml:space="preserve"> confirmed that an agreement had been concluded and ratified by the Administrations of Indonesia and Australia. She hoped that text prepared by both administrations for inclusion in the minutes would be considered </w:t>
      </w:r>
      <w:r w:rsidRPr="00DA5C1F">
        <w:rPr>
          <w:lang w:val="en-US"/>
        </w:rPr>
        <w:t>at</w:t>
      </w:r>
      <w:r>
        <w:rPr>
          <w:lang w:val="en-US"/>
        </w:rPr>
        <w:t xml:space="preserve"> a</w:t>
      </w:r>
      <w:r w:rsidRPr="00DA5C1F">
        <w:rPr>
          <w:lang w:val="en-US"/>
        </w:rPr>
        <w:t xml:space="preserve"> later plenary</w:t>
      </w:r>
      <w:r>
        <w:rPr>
          <w:lang w:val="en-US"/>
        </w:rPr>
        <w:t xml:space="preserve"> meeting</w:t>
      </w:r>
      <w:r w:rsidRPr="00DA5C1F">
        <w:rPr>
          <w:lang w:val="en-US"/>
        </w:rPr>
        <w:t>.</w:t>
      </w:r>
    </w:p>
    <w:p w14:paraId="61885E87" w14:textId="77777777" w:rsidR="007A4E5D" w:rsidRPr="00DA5C1F" w:rsidRDefault="007A4E5D" w:rsidP="00C02055">
      <w:pPr>
        <w:rPr>
          <w:lang w:val="en-US"/>
        </w:rPr>
      </w:pPr>
      <w:r>
        <w:rPr>
          <w:lang w:val="en-US"/>
        </w:rPr>
        <w:t>2.8</w:t>
      </w:r>
      <w:r>
        <w:rPr>
          <w:lang w:val="en-US"/>
        </w:rPr>
        <w:tab/>
      </w:r>
      <w:r w:rsidRPr="009133F7">
        <w:rPr>
          <w:lang w:val="en-US"/>
        </w:rPr>
        <w:t xml:space="preserve">The </w:t>
      </w:r>
      <w:r w:rsidRPr="009133F7">
        <w:rPr>
          <w:b/>
          <w:bCs/>
          <w:lang w:val="en-US"/>
        </w:rPr>
        <w:t>delegate of the Islamic</w:t>
      </w:r>
      <w:r>
        <w:rPr>
          <w:b/>
          <w:bCs/>
          <w:lang w:val="en-US"/>
        </w:rPr>
        <w:t xml:space="preserve"> Republic of </w:t>
      </w:r>
      <w:r w:rsidRPr="00DA5C1F">
        <w:rPr>
          <w:b/>
          <w:bCs/>
          <w:lang w:val="en-US"/>
        </w:rPr>
        <w:t>Iran</w:t>
      </w:r>
      <w:r w:rsidRPr="00DA5C1F">
        <w:rPr>
          <w:lang w:val="en-US"/>
        </w:rPr>
        <w:t xml:space="preserve"> </w:t>
      </w:r>
      <w:r>
        <w:rPr>
          <w:lang w:val="en-US"/>
        </w:rPr>
        <w:t>recalled that his delegation had called for the delegation of</w:t>
      </w:r>
      <w:r w:rsidRPr="00DA5C1F">
        <w:rPr>
          <w:lang w:val="en-US"/>
        </w:rPr>
        <w:t xml:space="preserve"> Indonesia </w:t>
      </w:r>
      <w:r>
        <w:rPr>
          <w:lang w:val="en-US"/>
        </w:rPr>
        <w:t xml:space="preserve">to be given an opportunity to complete coordination, and he thanked the Administration </w:t>
      </w:r>
      <w:r w:rsidRPr="00DA5C1F">
        <w:rPr>
          <w:lang w:val="en-US"/>
        </w:rPr>
        <w:t>of Australia</w:t>
      </w:r>
      <w:r>
        <w:rPr>
          <w:lang w:val="en-US"/>
        </w:rPr>
        <w:t xml:space="preserve"> and its operator </w:t>
      </w:r>
      <w:r w:rsidRPr="00DA5C1F">
        <w:rPr>
          <w:lang w:val="en-US"/>
        </w:rPr>
        <w:t xml:space="preserve">for </w:t>
      </w:r>
      <w:r>
        <w:rPr>
          <w:lang w:val="en-US"/>
        </w:rPr>
        <w:t xml:space="preserve">their </w:t>
      </w:r>
      <w:r w:rsidRPr="00DA5C1F">
        <w:rPr>
          <w:lang w:val="en-US"/>
        </w:rPr>
        <w:t xml:space="preserve">efforts to find </w:t>
      </w:r>
      <w:r>
        <w:rPr>
          <w:lang w:val="en-US"/>
        </w:rPr>
        <w:t xml:space="preserve">a </w:t>
      </w:r>
      <w:r w:rsidRPr="00DA5C1F">
        <w:rPr>
          <w:lang w:val="en-US"/>
        </w:rPr>
        <w:t>solution.</w:t>
      </w:r>
      <w:r>
        <w:rPr>
          <w:lang w:val="en-US"/>
        </w:rPr>
        <w:t xml:space="preserve"> He hoped that Indonesia would be given additional time to complete the outstanding coordination work.</w:t>
      </w:r>
    </w:p>
    <w:p w14:paraId="61885E88" w14:textId="77777777" w:rsidR="007A4E5D" w:rsidRPr="00DA5C1F" w:rsidRDefault="007A4E5D" w:rsidP="00C02055">
      <w:pPr>
        <w:rPr>
          <w:lang w:val="en-US"/>
        </w:rPr>
      </w:pPr>
      <w:r>
        <w:rPr>
          <w:lang w:val="en-US"/>
        </w:rPr>
        <w:t>2.9</w:t>
      </w:r>
      <w:r>
        <w:rPr>
          <w:lang w:val="en-US"/>
        </w:rPr>
        <w:tab/>
      </w:r>
      <w:r w:rsidRPr="009133F7">
        <w:rPr>
          <w:lang w:val="en-US"/>
        </w:rPr>
        <w:t xml:space="preserve">The </w:t>
      </w:r>
      <w:r w:rsidRPr="009133F7">
        <w:rPr>
          <w:b/>
          <w:bCs/>
          <w:lang w:val="en-US"/>
        </w:rPr>
        <w:t>delegate of the United</w:t>
      </w:r>
      <w:r>
        <w:rPr>
          <w:b/>
          <w:bCs/>
          <w:lang w:val="en-US"/>
        </w:rPr>
        <w:t xml:space="preserve"> Arab Emirate</w:t>
      </w:r>
      <w:r w:rsidRPr="00C024EE">
        <w:rPr>
          <w:b/>
          <w:bCs/>
          <w:lang w:val="en-US"/>
        </w:rPr>
        <w:t>s</w:t>
      </w:r>
      <w:r>
        <w:rPr>
          <w:b/>
          <w:bCs/>
          <w:lang w:val="en-US"/>
        </w:rPr>
        <w:t xml:space="preserve"> </w:t>
      </w:r>
      <w:r w:rsidRPr="009133F7">
        <w:rPr>
          <w:lang w:val="en-US"/>
        </w:rPr>
        <w:t>said that</w:t>
      </w:r>
      <w:r>
        <w:rPr>
          <w:b/>
          <w:bCs/>
          <w:lang w:val="en-US"/>
        </w:rPr>
        <w:t xml:space="preserve"> </w:t>
      </w:r>
      <w:r>
        <w:rPr>
          <w:lang w:val="en-US"/>
        </w:rPr>
        <w:t xml:space="preserve">his administration was working with the Administration of Indonesia to complete coordination with respect to the </w:t>
      </w:r>
      <w:r w:rsidRPr="00C67939">
        <w:rPr>
          <w:lang w:val="en-US"/>
        </w:rPr>
        <w:t xml:space="preserve">GARUDA-2 (123°E) </w:t>
      </w:r>
      <w:r>
        <w:rPr>
          <w:lang w:val="en-US"/>
        </w:rPr>
        <w:t xml:space="preserve">network and would report to the Plenary on the progress made. </w:t>
      </w:r>
      <w:r w:rsidRPr="00DA5C1F">
        <w:rPr>
          <w:lang w:val="en-US"/>
        </w:rPr>
        <w:t xml:space="preserve"> </w:t>
      </w:r>
    </w:p>
    <w:p w14:paraId="61885E89" w14:textId="77777777" w:rsidR="007A4E5D" w:rsidRDefault="007A4E5D" w:rsidP="00C02055">
      <w:pPr>
        <w:rPr>
          <w:lang w:val="en-US"/>
        </w:rPr>
      </w:pPr>
      <w:r>
        <w:rPr>
          <w:lang w:val="en-US"/>
        </w:rPr>
        <w:t>2.10</w:t>
      </w:r>
      <w:r>
        <w:rPr>
          <w:lang w:val="en-US"/>
        </w:rPr>
        <w:tab/>
      </w:r>
      <w:r w:rsidRPr="00FE43E9">
        <w:rPr>
          <w:lang w:val="en-US"/>
        </w:rPr>
        <w:t xml:space="preserve">The </w:t>
      </w:r>
      <w:r w:rsidRPr="009133F7">
        <w:rPr>
          <w:b/>
          <w:bCs/>
          <w:lang w:val="en-US"/>
        </w:rPr>
        <w:t>delegate of Luxembourg</w:t>
      </w:r>
      <w:r>
        <w:rPr>
          <w:lang w:val="en-US"/>
        </w:rPr>
        <w:t xml:space="preserve"> noted that agreement had been reached to apply </w:t>
      </w:r>
      <w:r w:rsidRPr="00362509">
        <w:rPr>
          <w:lang w:val="en-US"/>
        </w:rPr>
        <w:t xml:space="preserve">the criteria in §2.1 of Annex 4 to Appendix </w:t>
      </w:r>
      <w:r w:rsidRPr="00C02055">
        <w:rPr>
          <w:b/>
          <w:bCs/>
          <w:lang w:val="en-US"/>
        </w:rPr>
        <w:t>30B</w:t>
      </w:r>
      <w:r w:rsidRPr="00362509">
        <w:rPr>
          <w:lang w:val="en-US"/>
        </w:rPr>
        <w:t xml:space="preserve"> </w:t>
      </w:r>
      <w:r>
        <w:rPr>
          <w:lang w:val="en-US"/>
        </w:rPr>
        <w:t xml:space="preserve">of the Radio Regulations </w:t>
      </w:r>
      <w:r w:rsidRPr="00362509">
        <w:rPr>
          <w:lang w:val="en-US"/>
        </w:rPr>
        <w:t xml:space="preserve">as revised by WRC-19 </w:t>
      </w:r>
      <w:r>
        <w:rPr>
          <w:lang w:val="en-US"/>
        </w:rPr>
        <w:t xml:space="preserve">to the request for the </w:t>
      </w:r>
      <w:r w:rsidRPr="005C675A">
        <w:rPr>
          <w:lang w:val="en-US"/>
        </w:rPr>
        <w:t xml:space="preserve">MNG00000 and SANSAR-1 (113.6° E) </w:t>
      </w:r>
      <w:r w:rsidRPr="005C675A">
        <w:rPr>
          <w:rFonts w:eastAsia="Calibri"/>
          <w:lang w:val="en-US"/>
        </w:rPr>
        <w:t>satellite networks</w:t>
      </w:r>
      <w:r>
        <w:rPr>
          <w:lang w:val="en-US"/>
        </w:rPr>
        <w:t xml:space="preserve"> submitted</w:t>
      </w:r>
      <w:r w:rsidRPr="00DA5C1F">
        <w:rPr>
          <w:lang w:val="en-US"/>
        </w:rPr>
        <w:t xml:space="preserve"> by Mongolia</w:t>
      </w:r>
      <w:r>
        <w:rPr>
          <w:lang w:val="en-US"/>
        </w:rPr>
        <w:t xml:space="preserve">. Would those same criteria apply with respect to assignments submitted under </w:t>
      </w:r>
      <w:r w:rsidRPr="00362509">
        <w:rPr>
          <w:lang w:val="en-US"/>
        </w:rPr>
        <w:t>§6.1</w:t>
      </w:r>
      <w:r w:rsidR="00260AB2">
        <w:rPr>
          <w:lang w:val="en-US"/>
        </w:rPr>
        <w:t xml:space="preserve"> before 23 </w:t>
      </w:r>
      <w:r>
        <w:rPr>
          <w:lang w:val="en-US"/>
        </w:rPr>
        <w:t>November 2019.</w:t>
      </w:r>
    </w:p>
    <w:p w14:paraId="61885E8A" w14:textId="77777777" w:rsidR="007A4E5D" w:rsidRPr="002A547B" w:rsidRDefault="007A4E5D" w:rsidP="00C02055">
      <w:pPr>
        <w:rPr>
          <w:lang w:val="en-US"/>
        </w:rPr>
      </w:pPr>
      <w:r>
        <w:rPr>
          <w:lang w:val="en-US"/>
        </w:rPr>
        <w:t>2.11</w:t>
      </w:r>
      <w:r>
        <w:rPr>
          <w:lang w:val="en-US"/>
        </w:rPr>
        <w:tab/>
      </w:r>
      <w:r w:rsidRPr="00FE43E9">
        <w:rPr>
          <w:lang w:val="en-US"/>
        </w:rPr>
        <w:t xml:space="preserve">The </w:t>
      </w:r>
      <w:r w:rsidRPr="009133F7">
        <w:rPr>
          <w:b/>
          <w:bCs/>
          <w:lang w:val="en-US"/>
        </w:rPr>
        <w:t>delegate of the Islamic</w:t>
      </w:r>
      <w:r>
        <w:rPr>
          <w:b/>
          <w:bCs/>
          <w:lang w:val="en-US"/>
        </w:rPr>
        <w:t xml:space="preserve"> Republic of </w:t>
      </w:r>
      <w:r w:rsidRPr="002A547B">
        <w:rPr>
          <w:b/>
          <w:bCs/>
          <w:lang w:val="en-US"/>
        </w:rPr>
        <w:t>Iran</w:t>
      </w:r>
      <w:r w:rsidRPr="002A547B">
        <w:rPr>
          <w:lang w:val="en-US"/>
        </w:rPr>
        <w:t xml:space="preserve"> </w:t>
      </w:r>
      <w:r>
        <w:rPr>
          <w:lang w:val="en-US"/>
        </w:rPr>
        <w:t xml:space="preserve">said </w:t>
      </w:r>
      <w:r w:rsidRPr="002A547B">
        <w:rPr>
          <w:lang w:val="en-US"/>
        </w:rPr>
        <w:t>that</w:t>
      </w:r>
      <w:r w:rsidRPr="00C30A78">
        <w:rPr>
          <w:lang w:val="en-US"/>
        </w:rPr>
        <w:t xml:space="preserve"> </w:t>
      </w:r>
      <w:r w:rsidRPr="002A547B">
        <w:rPr>
          <w:lang w:val="en-US"/>
        </w:rPr>
        <w:t>a better arrangement might be possible</w:t>
      </w:r>
      <w:r>
        <w:rPr>
          <w:lang w:val="en-US"/>
        </w:rPr>
        <w:t>, and he sought guidance from</w:t>
      </w:r>
      <w:r w:rsidRPr="002A547B">
        <w:rPr>
          <w:lang w:val="en-US"/>
        </w:rPr>
        <w:t xml:space="preserve"> </w:t>
      </w:r>
      <w:r>
        <w:rPr>
          <w:lang w:val="en-US"/>
        </w:rPr>
        <w:t>BR</w:t>
      </w:r>
      <w:r w:rsidRPr="002A547B">
        <w:rPr>
          <w:lang w:val="en-US"/>
        </w:rPr>
        <w:t>.</w:t>
      </w:r>
    </w:p>
    <w:p w14:paraId="61885E8B" w14:textId="77777777" w:rsidR="007A4E5D" w:rsidRPr="00DA5C1F" w:rsidRDefault="007A4E5D" w:rsidP="00C02055">
      <w:pPr>
        <w:rPr>
          <w:lang w:val="en-US"/>
        </w:rPr>
      </w:pPr>
      <w:r>
        <w:rPr>
          <w:lang w:val="en-US"/>
        </w:rPr>
        <w:t>2.12</w:t>
      </w:r>
      <w:r>
        <w:rPr>
          <w:lang w:val="en-US"/>
        </w:rPr>
        <w:tab/>
      </w:r>
      <w:r w:rsidRPr="002A547B">
        <w:rPr>
          <w:lang w:val="en-US"/>
        </w:rPr>
        <w:t xml:space="preserve">The </w:t>
      </w:r>
      <w:r>
        <w:rPr>
          <w:b/>
          <w:bCs/>
          <w:lang w:val="en-US"/>
        </w:rPr>
        <w:t>representative of BR</w:t>
      </w:r>
      <w:r w:rsidRPr="002A547B">
        <w:rPr>
          <w:b/>
          <w:bCs/>
          <w:lang w:val="en-US"/>
        </w:rPr>
        <w:t xml:space="preserve"> </w:t>
      </w:r>
      <w:r w:rsidRPr="002A547B">
        <w:rPr>
          <w:lang w:val="en-US"/>
        </w:rPr>
        <w:t xml:space="preserve">said that </w:t>
      </w:r>
      <w:r>
        <w:rPr>
          <w:lang w:val="en-US"/>
        </w:rPr>
        <w:t xml:space="preserve">the Bureau was continuing </w:t>
      </w:r>
      <w:r w:rsidRPr="002A547B">
        <w:rPr>
          <w:lang w:val="en-US"/>
        </w:rPr>
        <w:t xml:space="preserve">consultations with the </w:t>
      </w:r>
      <w:r>
        <w:rPr>
          <w:lang w:val="en-US"/>
        </w:rPr>
        <w:t>Administrations</w:t>
      </w:r>
      <w:r w:rsidRPr="002A547B">
        <w:rPr>
          <w:lang w:val="en-US"/>
        </w:rPr>
        <w:t xml:space="preserve"> of Mongolia and the Russian Federation in order to clarify a practical point relating to implementation. Once those consultations </w:t>
      </w:r>
      <w:r>
        <w:rPr>
          <w:lang w:val="en-US"/>
        </w:rPr>
        <w:t>had been completed</w:t>
      </w:r>
      <w:r w:rsidRPr="002A547B">
        <w:rPr>
          <w:lang w:val="en-US"/>
        </w:rPr>
        <w:t xml:space="preserve">, a final text would be submitted to the Plenary. </w:t>
      </w:r>
      <w:r>
        <w:rPr>
          <w:lang w:val="en-US"/>
        </w:rPr>
        <w:t>A</w:t>
      </w:r>
      <w:r w:rsidRPr="002A547B">
        <w:rPr>
          <w:lang w:val="en-US"/>
        </w:rPr>
        <w:t xml:space="preserve">dditional </w:t>
      </w:r>
      <w:r>
        <w:rPr>
          <w:lang w:val="en-US"/>
        </w:rPr>
        <w:t>clarification might be required</w:t>
      </w:r>
      <w:r w:rsidRPr="002A547B">
        <w:rPr>
          <w:lang w:val="en-US"/>
        </w:rPr>
        <w:t xml:space="preserve"> to ensure that </w:t>
      </w:r>
      <w:r>
        <w:rPr>
          <w:lang w:val="en-US"/>
        </w:rPr>
        <w:t xml:space="preserve">any decision made </w:t>
      </w:r>
      <w:r w:rsidRPr="002A547B">
        <w:rPr>
          <w:lang w:val="en-US"/>
        </w:rPr>
        <w:t>was acceptable to all administrations.</w:t>
      </w:r>
    </w:p>
    <w:p w14:paraId="61885E8C" w14:textId="77777777" w:rsidR="007A4E5D" w:rsidRPr="002A547B" w:rsidRDefault="007A4E5D" w:rsidP="00C02055">
      <w:pPr>
        <w:rPr>
          <w:lang w:val="en-US"/>
        </w:rPr>
      </w:pPr>
      <w:r>
        <w:rPr>
          <w:lang w:val="en-US"/>
        </w:rPr>
        <w:lastRenderedPageBreak/>
        <w:t>2.13</w:t>
      </w:r>
      <w:r>
        <w:rPr>
          <w:lang w:val="en-US"/>
        </w:rPr>
        <w:tab/>
      </w:r>
      <w:r w:rsidRPr="00FE43E9">
        <w:rPr>
          <w:lang w:val="en-US"/>
        </w:rPr>
        <w:t xml:space="preserve">The </w:t>
      </w:r>
      <w:r>
        <w:rPr>
          <w:b/>
          <w:bCs/>
          <w:lang w:val="en-US"/>
        </w:rPr>
        <w:t>Chairman</w:t>
      </w:r>
      <w:r w:rsidRPr="00DA5C1F">
        <w:rPr>
          <w:lang w:val="en-US"/>
        </w:rPr>
        <w:t xml:space="preserve"> propose</w:t>
      </w:r>
      <w:r>
        <w:rPr>
          <w:lang w:val="en-US"/>
        </w:rPr>
        <w:t>d that, subject to the above comments, the text presented in</w:t>
      </w:r>
      <w:r w:rsidRPr="00DA5C1F">
        <w:rPr>
          <w:lang w:val="en-US"/>
        </w:rPr>
        <w:t xml:space="preserve"> </w:t>
      </w:r>
      <w:r>
        <w:rPr>
          <w:lang w:val="en-US"/>
        </w:rPr>
        <w:t>Document 518</w:t>
      </w:r>
      <w:r w:rsidRPr="00DA5C1F">
        <w:rPr>
          <w:lang w:val="en-US"/>
        </w:rPr>
        <w:t xml:space="preserve"> </w:t>
      </w:r>
      <w:r>
        <w:rPr>
          <w:lang w:val="en-US"/>
        </w:rPr>
        <w:t>with the exception of the last paragraph be approved for inclusion in the minutes of the plenary meeting as a decision of the conference, and</w:t>
      </w:r>
      <w:r w:rsidRPr="00DA5C1F">
        <w:rPr>
          <w:lang w:val="en-US"/>
        </w:rPr>
        <w:t xml:space="preserve"> </w:t>
      </w:r>
      <w:r>
        <w:rPr>
          <w:lang w:val="en-US"/>
        </w:rPr>
        <w:t>that</w:t>
      </w:r>
      <w:r w:rsidRPr="00DA5C1F">
        <w:rPr>
          <w:lang w:val="en-US"/>
        </w:rPr>
        <w:t xml:space="preserve"> </w:t>
      </w:r>
      <w:r w:rsidRPr="00453C74">
        <w:rPr>
          <w:lang w:val="en-US"/>
        </w:rPr>
        <w:t xml:space="preserve">Indonesia </w:t>
      </w:r>
      <w:r>
        <w:rPr>
          <w:lang w:val="en-US"/>
        </w:rPr>
        <w:t xml:space="preserve">be given more time </w:t>
      </w:r>
      <w:r w:rsidRPr="00453C74">
        <w:rPr>
          <w:lang w:val="en-US"/>
        </w:rPr>
        <w:t xml:space="preserve">to </w:t>
      </w:r>
      <w:r>
        <w:rPr>
          <w:lang w:val="en-US"/>
        </w:rPr>
        <w:t>complete consultations</w:t>
      </w:r>
      <w:r w:rsidRPr="00453C74">
        <w:rPr>
          <w:lang w:val="en-US"/>
        </w:rPr>
        <w:t xml:space="preserve"> with </w:t>
      </w:r>
      <w:r w:rsidRPr="00834F57">
        <w:rPr>
          <w:lang w:val="en-US"/>
        </w:rPr>
        <w:t xml:space="preserve">other parties. </w:t>
      </w:r>
    </w:p>
    <w:p w14:paraId="61885E8D" w14:textId="77777777" w:rsidR="007A4E5D" w:rsidRDefault="007A4E5D" w:rsidP="00C02055">
      <w:pPr>
        <w:rPr>
          <w:b/>
          <w:bCs/>
          <w:lang w:val="en-US"/>
        </w:rPr>
      </w:pPr>
      <w:r>
        <w:rPr>
          <w:lang w:val="en-US"/>
        </w:rPr>
        <w:t>2.14</w:t>
      </w:r>
      <w:r>
        <w:rPr>
          <w:lang w:val="en-US"/>
        </w:rPr>
        <w:tab/>
      </w:r>
      <w:r w:rsidRPr="002A547B">
        <w:rPr>
          <w:lang w:val="en-US"/>
        </w:rPr>
        <w:t xml:space="preserve">It was so </w:t>
      </w:r>
      <w:r w:rsidRPr="002A547B">
        <w:rPr>
          <w:b/>
          <w:bCs/>
          <w:lang w:val="en-US"/>
        </w:rPr>
        <w:t>agreed</w:t>
      </w:r>
      <w:r w:rsidRPr="00C02055">
        <w:rPr>
          <w:lang w:val="en-US"/>
        </w:rPr>
        <w:t>.</w:t>
      </w:r>
    </w:p>
    <w:p w14:paraId="61885E8E" w14:textId="77777777" w:rsidR="007A4E5D" w:rsidRPr="00DA5C1F" w:rsidRDefault="007A4E5D" w:rsidP="00C02055">
      <w:pPr>
        <w:rPr>
          <w:b/>
          <w:bCs/>
          <w:lang w:val="en-US"/>
        </w:rPr>
      </w:pPr>
      <w:r>
        <w:rPr>
          <w:lang w:val="en-US"/>
        </w:rPr>
        <w:t>2.15</w:t>
      </w:r>
      <w:r>
        <w:rPr>
          <w:lang w:val="en-US"/>
        </w:rPr>
        <w:tab/>
        <w:t xml:space="preserve">On that understanding, </w:t>
      </w:r>
      <w:r w:rsidRPr="009133F7">
        <w:rPr>
          <w:lang w:val="en-US"/>
        </w:rPr>
        <w:t>Document 518 was</w:t>
      </w:r>
      <w:r>
        <w:rPr>
          <w:b/>
          <w:bCs/>
          <w:lang w:val="en-US"/>
        </w:rPr>
        <w:t xml:space="preserve"> approved</w:t>
      </w:r>
      <w:r w:rsidRPr="00C02055">
        <w:rPr>
          <w:lang w:val="en-US"/>
        </w:rPr>
        <w:t>.</w:t>
      </w:r>
    </w:p>
    <w:p w14:paraId="61885E8F" w14:textId="77777777" w:rsidR="007A4E5D" w:rsidRPr="00DA5C1F" w:rsidRDefault="007A4E5D" w:rsidP="00C02055">
      <w:pPr>
        <w:pStyle w:val="Heading1"/>
        <w:rPr>
          <w:lang w:val="en-US"/>
        </w:rPr>
      </w:pPr>
      <w:r>
        <w:rPr>
          <w:lang w:val="en-US"/>
        </w:rPr>
        <w:t>3</w:t>
      </w:r>
      <w:r>
        <w:rPr>
          <w:lang w:val="en-US"/>
        </w:rPr>
        <w:tab/>
      </w:r>
      <w:r w:rsidRPr="00DA5C1F">
        <w:rPr>
          <w:lang w:val="en-US"/>
        </w:rPr>
        <w:t>Thirty-seventh series of texts submitted by the Editorial Committee for first reading (B37) (Document 496)</w:t>
      </w:r>
    </w:p>
    <w:p w14:paraId="61885E90" w14:textId="77777777" w:rsidR="007A4E5D" w:rsidRPr="00DA5C1F" w:rsidRDefault="007A4E5D" w:rsidP="00C02055">
      <w:pPr>
        <w:rPr>
          <w:lang w:val="en-US"/>
        </w:rPr>
      </w:pPr>
      <w:r>
        <w:rPr>
          <w:lang w:val="en-US"/>
        </w:rPr>
        <w:t>3.1</w:t>
      </w:r>
      <w:r>
        <w:rPr>
          <w:lang w:val="en-US"/>
        </w:rPr>
        <w:tab/>
      </w:r>
      <w:r w:rsidRPr="00DA5C1F">
        <w:rPr>
          <w:lang w:val="en-US"/>
        </w:rPr>
        <w:t xml:space="preserve">The </w:t>
      </w:r>
      <w:r w:rsidRPr="00C02055">
        <w:rPr>
          <w:b/>
          <w:bCs/>
          <w:lang w:val="en-US"/>
        </w:rPr>
        <w:t>Chairman of the Editorial Committee</w:t>
      </w:r>
      <w:r w:rsidRPr="00DA5C1F">
        <w:rPr>
          <w:lang w:val="en-US"/>
        </w:rPr>
        <w:t xml:space="preserve"> introduced Document 496</w:t>
      </w:r>
      <w:r>
        <w:rPr>
          <w:lang w:val="en-US"/>
        </w:rPr>
        <w:t>.</w:t>
      </w:r>
    </w:p>
    <w:p w14:paraId="61885E91" w14:textId="77777777" w:rsidR="007A4E5D" w:rsidRDefault="007A4E5D" w:rsidP="00C02055">
      <w:pPr>
        <w:rPr>
          <w:lang w:val="en-US"/>
        </w:rPr>
      </w:pPr>
      <w:r>
        <w:rPr>
          <w:lang w:val="en-US"/>
        </w:rPr>
        <w:t>3.2</w:t>
      </w:r>
      <w:r>
        <w:rPr>
          <w:lang w:val="en-US"/>
        </w:rPr>
        <w:tab/>
        <w:t xml:space="preserve">The </w:t>
      </w:r>
      <w:r w:rsidRPr="00DA5C1F">
        <w:rPr>
          <w:b/>
          <w:bCs/>
          <w:lang w:val="en-US"/>
        </w:rPr>
        <w:t>Chairman</w:t>
      </w:r>
      <w:r w:rsidRPr="00DA5C1F">
        <w:rPr>
          <w:lang w:val="en-US"/>
        </w:rPr>
        <w:t xml:space="preserve"> invited </w:t>
      </w:r>
      <w:r>
        <w:rPr>
          <w:lang w:val="en-US"/>
        </w:rPr>
        <w:t>participants</w:t>
      </w:r>
      <w:r w:rsidRPr="00DA5C1F">
        <w:rPr>
          <w:lang w:val="en-US"/>
        </w:rPr>
        <w:t xml:space="preserve"> to consider Document 496</w:t>
      </w:r>
      <w:r>
        <w:rPr>
          <w:lang w:val="en-US"/>
        </w:rPr>
        <w:t>.</w:t>
      </w:r>
    </w:p>
    <w:p w14:paraId="61885E92" w14:textId="77777777" w:rsidR="007A4E5D" w:rsidRPr="00AD495A" w:rsidRDefault="007A4E5D" w:rsidP="00C02055">
      <w:pPr>
        <w:pStyle w:val="Headingb"/>
        <w:rPr>
          <w:lang w:val="en-GB"/>
        </w:rPr>
      </w:pPr>
      <w:r w:rsidRPr="00AD495A">
        <w:rPr>
          <w:lang w:val="en-GB"/>
        </w:rPr>
        <w:t>Article 5 (MOD Table 1 300-1 525 MHz, MOD 5.346, MOD</w:t>
      </w:r>
      <w:r w:rsidR="00AD495A" w:rsidRPr="00AD495A">
        <w:rPr>
          <w:lang w:val="en-GB"/>
        </w:rPr>
        <w:t xml:space="preserve"> 5.346A); Appendix 5 (MOD Table </w:t>
      </w:r>
      <w:r w:rsidRPr="00AD495A">
        <w:rPr>
          <w:lang w:val="en-GB"/>
        </w:rPr>
        <w:t>5-1); MOD Resolution 761 (WRC-15)</w:t>
      </w:r>
    </w:p>
    <w:p w14:paraId="61885E93" w14:textId="77777777" w:rsidR="007A4E5D" w:rsidRPr="00DA5C1F" w:rsidRDefault="007A4E5D" w:rsidP="00AD495A">
      <w:pPr>
        <w:rPr>
          <w:lang w:val="en-US"/>
        </w:rPr>
      </w:pPr>
      <w:r>
        <w:rPr>
          <w:lang w:val="en-US"/>
        </w:rPr>
        <w:t>3.3</w:t>
      </w:r>
      <w:r>
        <w:rPr>
          <w:lang w:val="en-US"/>
        </w:rPr>
        <w:tab/>
      </w:r>
      <w:r w:rsidRPr="00AD495A">
        <w:rPr>
          <w:b/>
          <w:bCs/>
          <w:lang w:val="en-US"/>
        </w:rPr>
        <w:t>Approved</w:t>
      </w:r>
      <w:r>
        <w:rPr>
          <w:lang w:val="en-US"/>
        </w:rPr>
        <w:t>.</w:t>
      </w:r>
    </w:p>
    <w:p w14:paraId="61885E94" w14:textId="77777777" w:rsidR="007A4E5D" w:rsidRPr="00DA5C1F" w:rsidRDefault="007A4E5D" w:rsidP="00AD495A">
      <w:pPr>
        <w:rPr>
          <w:b/>
          <w:bCs/>
          <w:lang w:val="en-US"/>
        </w:rPr>
      </w:pPr>
      <w:r>
        <w:rPr>
          <w:lang w:val="en-US"/>
        </w:rPr>
        <w:t>3.4</w:t>
      </w:r>
      <w:r>
        <w:rPr>
          <w:lang w:val="en-US"/>
        </w:rPr>
        <w:tab/>
      </w:r>
      <w:r w:rsidRPr="00DA5C1F">
        <w:rPr>
          <w:lang w:val="en-US"/>
        </w:rPr>
        <w:t>T</w:t>
      </w:r>
      <w:r>
        <w:rPr>
          <w:lang w:val="en-US"/>
        </w:rPr>
        <w:t>he t</w:t>
      </w:r>
      <w:r w:rsidRPr="00DA5C1F">
        <w:rPr>
          <w:lang w:val="en-US"/>
        </w:rPr>
        <w:t xml:space="preserve">hirty-seventh series of texts submitted by the Editorial Committee for first reading (B37) (Document 496) was </w:t>
      </w:r>
      <w:r w:rsidRPr="00DA5C1F">
        <w:rPr>
          <w:b/>
          <w:bCs/>
          <w:lang w:val="en-US"/>
        </w:rPr>
        <w:t>approved</w:t>
      </w:r>
      <w:r w:rsidRPr="00AD495A">
        <w:rPr>
          <w:lang w:val="en-US"/>
        </w:rPr>
        <w:t>.</w:t>
      </w:r>
    </w:p>
    <w:p w14:paraId="61885E95" w14:textId="77777777" w:rsidR="007A4E5D" w:rsidRPr="00DA5C1F" w:rsidRDefault="007A4E5D" w:rsidP="00AD495A">
      <w:pPr>
        <w:pStyle w:val="Heading1"/>
        <w:rPr>
          <w:lang w:val="en-US"/>
        </w:rPr>
      </w:pPr>
      <w:r>
        <w:rPr>
          <w:lang w:val="en-US"/>
        </w:rPr>
        <w:t>4</w:t>
      </w:r>
      <w:r>
        <w:rPr>
          <w:lang w:val="en-US"/>
        </w:rPr>
        <w:tab/>
      </w:r>
      <w:r w:rsidRPr="00DA5C1F">
        <w:rPr>
          <w:lang w:val="en-US"/>
        </w:rPr>
        <w:t>Thirty-seventh series of texts submitted by the Editorial Committee (B37)</w:t>
      </w:r>
      <w:r>
        <w:rPr>
          <w:lang w:val="en-US"/>
        </w:rPr>
        <w:t xml:space="preserve"> </w:t>
      </w:r>
      <w:r w:rsidRPr="00DA5C1F">
        <w:rPr>
          <w:lang w:val="en-US"/>
        </w:rPr>
        <w:t>– second reading</w:t>
      </w:r>
      <w:r>
        <w:rPr>
          <w:lang w:val="en-US"/>
        </w:rPr>
        <w:t xml:space="preserve"> </w:t>
      </w:r>
      <w:r w:rsidRPr="00DA5C1F">
        <w:rPr>
          <w:lang w:val="en-US"/>
        </w:rPr>
        <w:t>(Document 496)</w:t>
      </w:r>
    </w:p>
    <w:p w14:paraId="61885E96" w14:textId="77777777" w:rsidR="007A4E5D" w:rsidRPr="00DA5C1F" w:rsidRDefault="007A4E5D" w:rsidP="00AD495A">
      <w:pPr>
        <w:rPr>
          <w:lang w:val="en-US"/>
        </w:rPr>
      </w:pPr>
      <w:r>
        <w:rPr>
          <w:lang w:val="en-US"/>
        </w:rPr>
        <w:t>4.1</w:t>
      </w:r>
      <w:r>
        <w:rPr>
          <w:lang w:val="en-US"/>
        </w:rPr>
        <w:tab/>
      </w:r>
      <w:r w:rsidRPr="00DA5C1F">
        <w:rPr>
          <w:lang w:val="en-US"/>
        </w:rPr>
        <w:t>T</w:t>
      </w:r>
      <w:r>
        <w:rPr>
          <w:lang w:val="en-US"/>
        </w:rPr>
        <w:t>he t</w:t>
      </w:r>
      <w:r w:rsidRPr="00DA5C1F">
        <w:rPr>
          <w:lang w:val="en-US"/>
        </w:rPr>
        <w:t xml:space="preserve">hirty-seventh series of texts submitted by the Editorial Committee (B37) (Document 496) was </w:t>
      </w:r>
      <w:r w:rsidRPr="00DA5C1F">
        <w:rPr>
          <w:b/>
          <w:bCs/>
          <w:lang w:val="en-US"/>
        </w:rPr>
        <w:t xml:space="preserve">approved </w:t>
      </w:r>
      <w:r w:rsidRPr="00DA5C1F">
        <w:rPr>
          <w:lang w:val="en-US"/>
        </w:rPr>
        <w:t>on second reading.</w:t>
      </w:r>
    </w:p>
    <w:p w14:paraId="61885E97" w14:textId="160BAE90" w:rsidR="007A4E5D" w:rsidRDefault="007A4E5D" w:rsidP="00AD495A">
      <w:pPr>
        <w:rPr>
          <w:lang w:val="en-US"/>
        </w:rPr>
      </w:pPr>
      <w:r>
        <w:rPr>
          <w:lang w:val="en-US"/>
        </w:rPr>
        <w:t>4.2</w:t>
      </w:r>
      <w:r>
        <w:rPr>
          <w:lang w:val="en-US"/>
        </w:rPr>
        <w:tab/>
      </w:r>
      <w:r w:rsidRPr="00DA5C1F">
        <w:rPr>
          <w:lang w:val="en-US"/>
        </w:rPr>
        <w:t xml:space="preserve">The </w:t>
      </w:r>
      <w:r w:rsidRPr="00734478">
        <w:rPr>
          <w:b/>
          <w:bCs/>
          <w:lang w:val="en-US"/>
        </w:rPr>
        <w:t>delegate of Japan</w:t>
      </w:r>
      <w:r w:rsidRPr="009E6071">
        <w:rPr>
          <w:lang w:val="en-US"/>
        </w:rPr>
        <w:t>, sp</w:t>
      </w:r>
      <w:r>
        <w:rPr>
          <w:lang w:val="en-US"/>
        </w:rPr>
        <w:t xml:space="preserve">eaking in his capacity as </w:t>
      </w:r>
      <w:r w:rsidRPr="00734478">
        <w:t xml:space="preserve">Chairman of </w:t>
      </w:r>
      <w:r>
        <w:t>Working Group</w:t>
      </w:r>
      <w:r w:rsidRPr="00734478">
        <w:t xml:space="preserve"> 4</w:t>
      </w:r>
      <w:r>
        <w:t>A3</w:t>
      </w:r>
      <w:r w:rsidRPr="00734478">
        <w:t xml:space="preserve"> and on behalf of </w:t>
      </w:r>
      <w:r>
        <w:t>his</w:t>
      </w:r>
      <w:r w:rsidRPr="00734478">
        <w:t xml:space="preserve"> delegation</w:t>
      </w:r>
      <w:r>
        <w:t>,</w:t>
      </w:r>
      <w:r>
        <w:rPr>
          <w:lang w:val="en-US"/>
        </w:rPr>
        <w:t xml:space="preserve"> welcomed the successful completion of work on agenda item </w:t>
      </w:r>
      <w:r w:rsidRPr="00DA5C1F">
        <w:rPr>
          <w:lang w:val="en-US"/>
        </w:rPr>
        <w:t>9.1</w:t>
      </w:r>
      <w:r w:rsidR="009D79B1">
        <w:rPr>
          <w:lang w:val="en-US"/>
        </w:rPr>
        <w:t xml:space="preserve"> (Issue 9.1</w:t>
      </w:r>
      <w:r w:rsidRPr="00DA5C1F">
        <w:rPr>
          <w:lang w:val="en-US"/>
        </w:rPr>
        <w:t>.2</w:t>
      </w:r>
      <w:r w:rsidR="009D79B1">
        <w:rPr>
          <w:lang w:val="en-US"/>
        </w:rPr>
        <w:t>)</w:t>
      </w:r>
      <w:r w:rsidRPr="00DA5C1F">
        <w:rPr>
          <w:lang w:val="en-US"/>
        </w:rPr>
        <w:t xml:space="preserve">. </w:t>
      </w:r>
      <w:r w:rsidRPr="00C90982">
        <w:rPr>
          <w:lang w:val="en-US"/>
        </w:rPr>
        <w:t>He thank</w:t>
      </w:r>
      <w:r>
        <w:rPr>
          <w:lang w:val="en-US"/>
        </w:rPr>
        <w:t>ed</w:t>
      </w:r>
      <w:r w:rsidRPr="00C90982">
        <w:rPr>
          <w:lang w:val="en-US"/>
        </w:rPr>
        <w:t xml:space="preserve"> the </w:t>
      </w:r>
      <w:r>
        <w:rPr>
          <w:lang w:val="en-US"/>
        </w:rPr>
        <w:t xml:space="preserve">Chairman of Committee 4, the </w:t>
      </w:r>
      <w:r w:rsidRPr="00C90982">
        <w:rPr>
          <w:lang w:val="en-US"/>
        </w:rPr>
        <w:t xml:space="preserve">chairmen of the working groups and ad hoc groups </w:t>
      </w:r>
      <w:r>
        <w:rPr>
          <w:lang w:val="en-US"/>
        </w:rPr>
        <w:t>that had worked on</w:t>
      </w:r>
      <w:r w:rsidRPr="00C90982">
        <w:rPr>
          <w:lang w:val="en-US"/>
        </w:rPr>
        <w:t xml:space="preserve"> that item, </w:t>
      </w:r>
      <w:r>
        <w:rPr>
          <w:lang w:val="en-US"/>
        </w:rPr>
        <w:t>and</w:t>
      </w:r>
      <w:r w:rsidRPr="00C90982">
        <w:rPr>
          <w:lang w:val="en-US"/>
        </w:rPr>
        <w:t xml:space="preserve"> administrations and regional groups for their cooperation.</w:t>
      </w:r>
      <w:r w:rsidRPr="00DA5C1F">
        <w:rPr>
          <w:lang w:val="en-US"/>
        </w:rPr>
        <w:t xml:space="preserve"> </w:t>
      </w:r>
    </w:p>
    <w:p w14:paraId="61885E98" w14:textId="77777777" w:rsidR="007A4E5D" w:rsidRPr="00DA5C1F" w:rsidRDefault="007A4E5D" w:rsidP="00AD495A">
      <w:pPr>
        <w:pStyle w:val="Heading1"/>
        <w:rPr>
          <w:lang w:val="en-US"/>
        </w:rPr>
      </w:pPr>
      <w:r>
        <w:rPr>
          <w:lang w:val="en-US"/>
        </w:rPr>
        <w:t>5</w:t>
      </w:r>
      <w:r>
        <w:rPr>
          <w:lang w:val="en-US"/>
        </w:rPr>
        <w:tab/>
      </w:r>
      <w:r w:rsidRPr="00DA5C1F">
        <w:rPr>
          <w:lang w:val="en-US"/>
        </w:rPr>
        <w:t>Thirty-eighth series of texts submitted by the Editorial Committee for first reading (B38) (Document 497)</w:t>
      </w:r>
    </w:p>
    <w:p w14:paraId="61885E99" w14:textId="77777777" w:rsidR="007A4E5D" w:rsidRDefault="007A4E5D" w:rsidP="00AD495A">
      <w:pPr>
        <w:rPr>
          <w:lang w:val="en-US"/>
        </w:rPr>
      </w:pPr>
      <w:r>
        <w:rPr>
          <w:lang w:val="en-US"/>
        </w:rPr>
        <w:t>5.1</w:t>
      </w:r>
      <w:r>
        <w:rPr>
          <w:lang w:val="en-US"/>
        </w:rPr>
        <w:tab/>
      </w:r>
      <w:r w:rsidRPr="00DA5C1F">
        <w:rPr>
          <w:lang w:val="en-US"/>
        </w:rPr>
        <w:t xml:space="preserve">The </w:t>
      </w:r>
      <w:r w:rsidRPr="00AD495A">
        <w:rPr>
          <w:b/>
          <w:bCs/>
          <w:lang w:val="en-US"/>
        </w:rPr>
        <w:t>Chairman of the Editorial Committee</w:t>
      </w:r>
      <w:r w:rsidRPr="00DA5C1F">
        <w:rPr>
          <w:lang w:val="en-US"/>
        </w:rPr>
        <w:t xml:space="preserve"> introduced Document 497</w:t>
      </w:r>
      <w:r>
        <w:rPr>
          <w:lang w:val="en-US"/>
        </w:rPr>
        <w:t>.</w:t>
      </w:r>
      <w:r w:rsidRPr="00DA5C1F">
        <w:rPr>
          <w:lang w:val="en-US"/>
        </w:rPr>
        <w:t xml:space="preserve"> </w:t>
      </w:r>
    </w:p>
    <w:p w14:paraId="61885E9A" w14:textId="77777777" w:rsidR="007A4E5D" w:rsidRPr="00DA5C1F" w:rsidRDefault="007A4E5D" w:rsidP="00AD495A">
      <w:pPr>
        <w:rPr>
          <w:lang w:val="en-US"/>
        </w:rPr>
      </w:pPr>
      <w:r>
        <w:rPr>
          <w:lang w:val="en-US"/>
        </w:rPr>
        <w:t>5.2</w:t>
      </w:r>
      <w:r>
        <w:rPr>
          <w:lang w:val="en-US"/>
        </w:rPr>
        <w:tab/>
        <w:t xml:space="preserve">The </w:t>
      </w:r>
      <w:r w:rsidRPr="00DC173F">
        <w:rPr>
          <w:b/>
          <w:bCs/>
          <w:lang w:val="en-US"/>
        </w:rPr>
        <w:t>Chairman</w:t>
      </w:r>
      <w:r>
        <w:rPr>
          <w:lang w:val="en-US"/>
        </w:rPr>
        <w:t xml:space="preserve"> invited participants to consider Document 497.</w:t>
      </w:r>
    </w:p>
    <w:p w14:paraId="61885E9B" w14:textId="77777777" w:rsidR="007A4E5D" w:rsidRPr="00AD495A" w:rsidRDefault="007A4E5D" w:rsidP="00AD495A">
      <w:pPr>
        <w:pStyle w:val="Headingb"/>
        <w:rPr>
          <w:lang w:val="en-GB"/>
        </w:rPr>
      </w:pPr>
      <w:r w:rsidRPr="00AD495A">
        <w:rPr>
          <w:lang w:val="en-GB"/>
        </w:rPr>
        <w:t>Article 5 (MOD 5.161A, MOD 5.164, MOD 5.279, MOD 5.297, MOD 5.312, MOD 5.323, MOD 5.325A, MOD 5.389F, MOD 5.401, MOD 5.</w:t>
      </w:r>
      <w:r w:rsidR="00AD495A">
        <w:rPr>
          <w:lang w:val="en-GB"/>
        </w:rPr>
        <w:t>429, MOD 5.431, MOD 5.447); MOD </w:t>
      </w:r>
      <w:r w:rsidR="00AD495A" w:rsidRPr="00AD495A">
        <w:rPr>
          <w:lang w:val="en-GB"/>
        </w:rPr>
        <w:t>Resolution </w:t>
      </w:r>
      <w:r w:rsidRPr="00AD495A">
        <w:rPr>
          <w:lang w:val="en-GB"/>
        </w:rPr>
        <w:t>26 (Rev.WRC-07); MOD Resolution 155 (WRC-15); MOD Resolution 804</w:t>
      </w:r>
      <w:r w:rsidR="00AD495A">
        <w:rPr>
          <w:lang w:val="en-GB"/>
        </w:rPr>
        <w:t xml:space="preserve"> (Rev.</w:t>
      </w:r>
      <w:r w:rsidRPr="00AD495A">
        <w:rPr>
          <w:lang w:val="en-GB"/>
        </w:rPr>
        <w:t>WRC-12)</w:t>
      </w:r>
    </w:p>
    <w:p w14:paraId="61885E9C" w14:textId="77777777" w:rsidR="007A4E5D" w:rsidRPr="00DA5C1F" w:rsidRDefault="007A4E5D" w:rsidP="00AD495A">
      <w:pPr>
        <w:rPr>
          <w:lang w:val="en-US"/>
        </w:rPr>
      </w:pPr>
      <w:r>
        <w:rPr>
          <w:lang w:val="en-US"/>
        </w:rPr>
        <w:t>5.3</w:t>
      </w:r>
      <w:r>
        <w:rPr>
          <w:lang w:val="en-US"/>
        </w:rPr>
        <w:tab/>
      </w:r>
      <w:r w:rsidRPr="00AD495A">
        <w:rPr>
          <w:b/>
          <w:bCs/>
          <w:lang w:val="en-US"/>
        </w:rPr>
        <w:t>Approved</w:t>
      </w:r>
      <w:r w:rsidRPr="00DA5C1F">
        <w:rPr>
          <w:lang w:val="en-US"/>
        </w:rPr>
        <w:t>.</w:t>
      </w:r>
    </w:p>
    <w:p w14:paraId="61885E9D" w14:textId="77777777" w:rsidR="007A4E5D" w:rsidRPr="00DA5C1F" w:rsidRDefault="007A4E5D" w:rsidP="00AD495A">
      <w:pPr>
        <w:rPr>
          <w:lang w:val="en-US"/>
        </w:rPr>
      </w:pPr>
      <w:r>
        <w:rPr>
          <w:lang w:val="en-US"/>
        </w:rPr>
        <w:t>5.4</w:t>
      </w:r>
      <w:r>
        <w:rPr>
          <w:lang w:val="en-US"/>
        </w:rPr>
        <w:tab/>
      </w:r>
      <w:r w:rsidRPr="00DA5C1F">
        <w:rPr>
          <w:lang w:val="en-US"/>
        </w:rPr>
        <w:t>T</w:t>
      </w:r>
      <w:r>
        <w:rPr>
          <w:lang w:val="en-US"/>
        </w:rPr>
        <w:t>he t</w:t>
      </w:r>
      <w:r w:rsidRPr="00DA5C1F">
        <w:rPr>
          <w:lang w:val="en-US"/>
        </w:rPr>
        <w:t xml:space="preserve">hirty-eighth series of texts submitted by the Editorial Committee for first reading (B38) (Document 497) was </w:t>
      </w:r>
      <w:r w:rsidRPr="00DA5C1F">
        <w:rPr>
          <w:b/>
          <w:bCs/>
          <w:lang w:val="en-US"/>
        </w:rPr>
        <w:t>approved</w:t>
      </w:r>
      <w:r w:rsidRPr="00DA5C1F">
        <w:rPr>
          <w:lang w:val="en-US"/>
        </w:rPr>
        <w:t>.</w:t>
      </w:r>
    </w:p>
    <w:p w14:paraId="61885E9E" w14:textId="77777777" w:rsidR="007A4E5D" w:rsidRPr="00DA5C1F" w:rsidRDefault="007A4E5D" w:rsidP="00AD495A">
      <w:pPr>
        <w:pStyle w:val="Heading1"/>
        <w:rPr>
          <w:lang w:val="en-US"/>
        </w:rPr>
      </w:pPr>
      <w:r>
        <w:rPr>
          <w:lang w:val="en-US"/>
        </w:rPr>
        <w:lastRenderedPageBreak/>
        <w:t>6</w:t>
      </w:r>
      <w:r>
        <w:rPr>
          <w:lang w:val="en-US"/>
        </w:rPr>
        <w:tab/>
      </w:r>
      <w:r w:rsidRPr="00DA5C1F">
        <w:rPr>
          <w:lang w:val="en-US"/>
        </w:rPr>
        <w:t>Thirty-eighth series of texts submitted by the Editorial Committee (B38)</w:t>
      </w:r>
      <w:r>
        <w:rPr>
          <w:lang w:val="en-US"/>
        </w:rPr>
        <w:t xml:space="preserve"> </w:t>
      </w:r>
      <w:r w:rsidRPr="00DA5C1F">
        <w:rPr>
          <w:lang w:val="en-US"/>
        </w:rPr>
        <w:t>– second reading</w:t>
      </w:r>
      <w:r>
        <w:rPr>
          <w:lang w:val="en-US"/>
        </w:rPr>
        <w:t xml:space="preserve"> </w:t>
      </w:r>
      <w:r w:rsidRPr="00DA5C1F">
        <w:rPr>
          <w:lang w:val="en-US"/>
        </w:rPr>
        <w:t>(Document 497)</w:t>
      </w:r>
    </w:p>
    <w:p w14:paraId="61885E9F" w14:textId="77777777" w:rsidR="007A4E5D" w:rsidRPr="00DA5C1F" w:rsidRDefault="007A4E5D" w:rsidP="00AD495A">
      <w:pPr>
        <w:rPr>
          <w:lang w:val="en-US"/>
        </w:rPr>
      </w:pPr>
      <w:r>
        <w:rPr>
          <w:lang w:val="en-US"/>
        </w:rPr>
        <w:t>6.1</w:t>
      </w:r>
      <w:r>
        <w:rPr>
          <w:lang w:val="en-US"/>
        </w:rPr>
        <w:tab/>
      </w:r>
      <w:r w:rsidRPr="00DA5C1F">
        <w:rPr>
          <w:lang w:val="en-US"/>
        </w:rPr>
        <w:t>T</w:t>
      </w:r>
      <w:r>
        <w:rPr>
          <w:lang w:val="en-US"/>
        </w:rPr>
        <w:t>he t</w:t>
      </w:r>
      <w:r w:rsidRPr="00DA5C1F">
        <w:rPr>
          <w:lang w:val="en-US"/>
        </w:rPr>
        <w:t>hirty-eighth series of texts submitted by the Edit</w:t>
      </w:r>
      <w:r w:rsidR="00AD495A">
        <w:rPr>
          <w:lang w:val="en-US"/>
        </w:rPr>
        <w:t>orial Committee (B38) (Document </w:t>
      </w:r>
      <w:r w:rsidRPr="00DA5C1F">
        <w:rPr>
          <w:lang w:val="en-US"/>
        </w:rPr>
        <w:t xml:space="preserve">497) was </w:t>
      </w:r>
      <w:r w:rsidRPr="00145667">
        <w:rPr>
          <w:b/>
          <w:bCs/>
          <w:lang w:val="en-US"/>
        </w:rPr>
        <w:t xml:space="preserve">approved </w:t>
      </w:r>
      <w:r w:rsidRPr="00DA5C1F">
        <w:rPr>
          <w:lang w:val="en-US"/>
        </w:rPr>
        <w:t>on second reading</w:t>
      </w:r>
      <w:r>
        <w:rPr>
          <w:lang w:val="en-US"/>
        </w:rPr>
        <w:t>.</w:t>
      </w:r>
    </w:p>
    <w:p w14:paraId="61885EA0" w14:textId="77777777" w:rsidR="007A4E5D" w:rsidRPr="00DA5C1F" w:rsidRDefault="007A4E5D" w:rsidP="00AD495A">
      <w:pPr>
        <w:pStyle w:val="Heading1"/>
        <w:rPr>
          <w:lang w:val="en-US"/>
        </w:rPr>
      </w:pPr>
      <w:r>
        <w:rPr>
          <w:lang w:val="en-US"/>
        </w:rPr>
        <w:t>7</w:t>
      </w:r>
      <w:r>
        <w:rPr>
          <w:lang w:val="en-US"/>
        </w:rPr>
        <w:tab/>
      </w:r>
      <w:r w:rsidRPr="00DA5C1F">
        <w:rPr>
          <w:lang w:val="en-US"/>
        </w:rPr>
        <w:t>Thirty-ninth series of texts submitted by the Editorial Committee for first reading (B39) (Document 501)</w:t>
      </w:r>
    </w:p>
    <w:p w14:paraId="61885EA1" w14:textId="77777777" w:rsidR="007A4E5D" w:rsidRPr="00DA5C1F" w:rsidRDefault="007A4E5D" w:rsidP="00AD495A">
      <w:pPr>
        <w:rPr>
          <w:lang w:val="en-US"/>
        </w:rPr>
      </w:pPr>
      <w:r>
        <w:rPr>
          <w:lang w:val="en-US"/>
        </w:rPr>
        <w:t>7.1</w:t>
      </w:r>
      <w:r>
        <w:rPr>
          <w:lang w:val="en-US"/>
        </w:rPr>
        <w:tab/>
      </w:r>
      <w:r w:rsidRPr="00DA5C1F">
        <w:rPr>
          <w:lang w:val="en-US"/>
        </w:rPr>
        <w:t xml:space="preserve">The </w:t>
      </w:r>
      <w:r w:rsidRPr="00AD495A">
        <w:rPr>
          <w:b/>
          <w:bCs/>
          <w:lang w:val="en-US"/>
        </w:rPr>
        <w:t>Chairman of the Editorial Committee</w:t>
      </w:r>
      <w:r w:rsidRPr="00DA5C1F">
        <w:rPr>
          <w:lang w:val="en-US"/>
        </w:rPr>
        <w:t xml:space="preserve"> introduced Document 501</w:t>
      </w:r>
      <w:r>
        <w:rPr>
          <w:lang w:val="en-US"/>
        </w:rPr>
        <w:t>.</w:t>
      </w:r>
    </w:p>
    <w:p w14:paraId="61885EA2" w14:textId="77777777" w:rsidR="007A4E5D" w:rsidRPr="00DA5C1F" w:rsidRDefault="007A4E5D" w:rsidP="00AD495A">
      <w:pPr>
        <w:rPr>
          <w:lang w:val="en-US"/>
        </w:rPr>
      </w:pPr>
      <w:r>
        <w:rPr>
          <w:lang w:val="en-US"/>
        </w:rPr>
        <w:t>7.2</w:t>
      </w:r>
      <w:r>
        <w:rPr>
          <w:lang w:val="en-US"/>
        </w:rPr>
        <w:tab/>
      </w:r>
      <w:r w:rsidRPr="00DA5C1F">
        <w:rPr>
          <w:lang w:val="en-US"/>
        </w:rPr>
        <w:t xml:space="preserve">The </w:t>
      </w:r>
      <w:r w:rsidRPr="00145667">
        <w:rPr>
          <w:b/>
          <w:bCs/>
          <w:lang w:val="en-US"/>
        </w:rPr>
        <w:t>Chairman</w:t>
      </w:r>
      <w:r w:rsidRPr="00DA5C1F">
        <w:rPr>
          <w:lang w:val="en-US"/>
        </w:rPr>
        <w:t xml:space="preserve"> invited </w:t>
      </w:r>
      <w:r>
        <w:rPr>
          <w:lang w:val="en-US"/>
        </w:rPr>
        <w:t>participants</w:t>
      </w:r>
      <w:r w:rsidRPr="00DA5C1F">
        <w:rPr>
          <w:lang w:val="en-US"/>
        </w:rPr>
        <w:t xml:space="preserve"> to consider Document 501.</w:t>
      </w:r>
    </w:p>
    <w:p w14:paraId="61885EA3" w14:textId="77777777" w:rsidR="007A4E5D" w:rsidRPr="00AD495A" w:rsidRDefault="007A4E5D" w:rsidP="00AD495A">
      <w:pPr>
        <w:pStyle w:val="Headingb"/>
        <w:rPr>
          <w:lang w:val="en-GB"/>
        </w:rPr>
      </w:pPr>
      <w:r w:rsidRPr="00AD495A">
        <w:rPr>
          <w:lang w:val="en-GB"/>
        </w:rPr>
        <w:t>Appendix 7 (MOD 1, MOD 2.1.2, MOD Table 2, MOD 3.1, MOD 3.1.1; Annex 5 - MOD 1, MOD 2; Annex 7 - MOD Table 7c, MOD Table 8d, MOD Table 9a, MOD Table 9b</w:t>
      </w:r>
      <w:r w:rsidR="00AD495A" w:rsidRPr="00AD495A">
        <w:rPr>
          <w:lang w:val="en-GB"/>
        </w:rPr>
        <w:t>, MOD </w:t>
      </w:r>
      <w:r w:rsidRPr="00AD495A">
        <w:rPr>
          <w:lang w:val="en-GB"/>
        </w:rPr>
        <w:t>Table 10</w:t>
      </w:r>
      <w:r w:rsidR="00AD495A" w:rsidRPr="00AD495A">
        <w:rPr>
          <w:lang w:val="en-GB"/>
        </w:rPr>
        <w:t>)</w:t>
      </w:r>
    </w:p>
    <w:p w14:paraId="61885EA4" w14:textId="77777777" w:rsidR="007A4E5D" w:rsidRPr="009E6071" w:rsidRDefault="007A4E5D" w:rsidP="00AD495A">
      <w:pPr>
        <w:rPr>
          <w:lang w:val="en-US"/>
        </w:rPr>
      </w:pPr>
      <w:r>
        <w:rPr>
          <w:lang w:val="en-US"/>
        </w:rPr>
        <w:t>7.3</w:t>
      </w:r>
      <w:r>
        <w:rPr>
          <w:lang w:val="en-US"/>
        </w:rPr>
        <w:tab/>
      </w:r>
      <w:r w:rsidRPr="00AD495A">
        <w:rPr>
          <w:b/>
          <w:bCs/>
          <w:lang w:val="en-US"/>
        </w:rPr>
        <w:t>Approved</w:t>
      </w:r>
      <w:r>
        <w:rPr>
          <w:lang w:val="en-US"/>
        </w:rPr>
        <w:t>.</w:t>
      </w:r>
    </w:p>
    <w:p w14:paraId="61885EA5" w14:textId="77777777" w:rsidR="007A4E5D" w:rsidRDefault="007A4E5D" w:rsidP="00AD495A">
      <w:pPr>
        <w:rPr>
          <w:lang w:val="en-US"/>
        </w:rPr>
      </w:pPr>
      <w:r>
        <w:rPr>
          <w:lang w:val="en-US"/>
        </w:rPr>
        <w:t>7.4</w:t>
      </w:r>
      <w:r>
        <w:rPr>
          <w:lang w:val="en-US"/>
        </w:rPr>
        <w:tab/>
      </w:r>
      <w:r w:rsidRPr="00DC173F">
        <w:rPr>
          <w:lang w:val="en-US"/>
        </w:rPr>
        <w:t>T</w:t>
      </w:r>
      <w:r>
        <w:rPr>
          <w:lang w:val="en-US"/>
        </w:rPr>
        <w:t>he t</w:t>
      </w:r>
      <w:r w:rsidRPr="00DC173F">
        <w:rPr>
          <w:lang w:val="en-US"/>
        </w:rPr>
        <w:t>hirty-ninth series of texts submitted by the Editorial Committee for first reading (B39) (Document 501)</w:t>
      </w:r>
      <w:r>
        <w:rPr>
          <w:lang w:val="en-US"/>
        </w:rPr>
        <w:t xml:space="preserve"> was </w:t>
      </w:r>
      <w:r w:rsidRPr="00DC173F">
        <w:rPr>
          <w:b/>
          <w:bCs/>
          <w:lang w:val="en-US"/>
        </w:rPr>
        <w:t>approved</w:t>
      </w:r>
      <w:r>
        <w:rPr>
          <w:lang w:val="en-US"/>
        </w:rPr>
        <w:t>.</w:t>
      </w:r>
    </w:p>
    <w:p w14:paraId="61885EA6" w14:textId="77777777" w:rsidR="007A4E5D" w:rsidRPr="00DA5C1F" w:rsidRDefault="007A4E5D" w:rsidP="00AD495A">
      <w:pPr>
        <w:pStyle w:val="Heading1"/>
        <w:rPr>
          <w:lang w:val="en-US"/>
        </w:rPr>
      </w:pPr>
      <w:r>
        <w:rPr>
          <w:lang w:val="en-US"/>
        </w:rPr>
        <w:t>8</w:t>
      </w:r>
      <w:r>
        <w:rPr>
          <w:lang w:val="en-US"/>
        </w:rPr>
        <w:tab/>
      </w:r>
      <w:r w:rsidRPr="00DA5C1F">
        <w:rPr>
          <w:lang w:val="en-US"/>
        </w:rPr>
        <w:t>Thirty-ninth series of texts submitted by the Editorial Committee (B39) – second reading</w:t>
      </w:r>
      <w:r>
        <w:rPr>
          <w:lang w:val="en-US"/>
        </w:rPr>
        <w:t xml:space="preserve"> </w:t>
      </w:r>
      <w:r w:rsidRPr="00DA5C1F">
        <w:rPr>
          <w:lang w:val="en-US"/>
        </w:rPr>
        <w:t>(Document 501)</w:t>
      </w:r>
    </w:p>
    <w:p w14:paraId="61885EA7" w14:textId="77777777" w:rsidR="007A4E5D" w:rsidRDefault="007A4E5D" w:rsidP="00AD495A">
      <w:pPr>
        <w:rPr>
          <w:lang w:val="en-US"/>
        </w:rPr>
      </w:pPr>
      <w:r>
        <w:rPr>
          <w:lang w:val="en-US"/>
        </w:rPr>
        <w:t>8.1</w:t>
      </w:r>
      <w:r>
        <w:rPr>
          <w:lang w:val="en-US"/>
        </w:rPr>
        <w:tab/>
      </w:r>
      <w:r w:rsidRPr="00DC173F">
        <w:rPr>
          <w:lang w:val="en-US"/>
        </w:rPr>
        <w:t>T</w:t>
      </w:r>
      <w:r>
        <w:rPr>
          <w:lang w:val="en-US"/>
        </w:rPr>
        <w:t>he t</w:t>
      </w:r>
      <w:r w:rsidRPr="00DC173F">
        <w:rPr>
          <w:lang w:val="en-US"/>
        </w:rPr>
        <w:t>hirty-ninth series of texts submitted by the Edit</w:t>
      </w:r>
      <w:r w:rsidR="00AD495A">
        <w:rPr>
          <w:lang w:val="en-US"/>
        </w:rPr>
        <w:t>orial Committee (B39) (Document </w:t>
      </w:r>
      <w:r w:rsidRPr="00DC173F">
        <w:rPr>
          <w:lang w:val="en-US"/>
        </w:rPr>
        <w:t xml:space="preserve">501) </w:t>
      </w:r>
      <w:r>
        <w:rPr>
          <w:lang w:val="en-US"/>
        </w:rPr>
        <w:t xml:space="preserve">was </w:t>
      </w:r>
      <w:r w:rsidRPr="00DC173F">
        <w:rPr>
          <w:b/>
          <w:bCs/>
          <w:lang w:val="en-US"/>
        </w:rPr>
        <w:t>approved</w:t>
      </w:r>
      <w:r>
        <w:rPr>
          <w:lang w:val="en-US"/>
        </w:rPr>
        <w:t xml:space="preserve"> on</w:t>
      </w:r>
      <w:r w:rsidRPr="00DC173F">
        <w:rPr>
          <w:lang w:val="en-US"/>
        </w:rPr>
        <w:t xml:space="preserve"> second reading</w:t>
      </w:r>
      <w:r>
        <w:rPr>
          <w:lang w:val="en-US"/>
        </w:rPr>
        <w:t>.</w:t>
      </w:r>
    </w:p>
    <w:p w14:paraId="61885EA8" w14:textId="77777777" w:rsidR="007A4E5D" w:rsidRPr="00DA5C1F" w:rsidRDefault="007A4E5D" w:rsidP="00AD495A">
      <w:pPr>
        <w:pStyle w:val="Heading1"/>
        <w:rPr>
          <w:lang w:val="en-US"/>
        </w:rPr>
      </w:pPr>
      <w:bookmarkStart w:id="12" w:name="_Hlk25151991"/>
      <w:r>
        <w:rPr>
          <w:lang w:val="en-US"/>
        </w:rPr>
        <w:t>9</w:t>
      </w:r>
      <w:r>
        <w:rPr>
          <w:lang w:val="en-US"/>
        </w:rPr>
        <w:tab/>
      </w:r>
      <w:r w:rsidRPr="00DA5C1F">
        <w:rPr>
          <w:lang w:val="en-US"/>
        </w:rPr>
        <w:t>Fortieth series of texts submitted by the Editorial Committee for first reading (B40) (</w:t>
      </w:r>
      <w:r w:rsidRPr="001076D3">
        <w:rPr>
          <w:lang w:val="en-US"/>
        </w:rPr>
        <w:t>Document 502)</w:t>
      </w:r>
    </w:p>
    <w:bookmarkEnd w:id="12"/>
    <w:p w14:paraId="61885EA9" w14:textId="77777777" w:rsidR="007A4E5D" w:rsidRPr="00DA5C1F" w:rsidRDefault="007A4E5D" w:rsidP="00AD495A">
      <w:pPr>
        <w:rPr>
          <w:lang w:val="en-US"/>
        </w:rPr>
      </w:pPr>
      <w:r>
        <w:rPr>
          <w:lang w:val="en-US"/>
        </w:rPr>
        <w:t>9.1</w:t>
      </w:r>
      <w:r>
        <w:rPr>
          <w:lang w:val="en-US"/>
        </w:rPr>
        <w:tab/>
      </w:r>
      <w:r w:rsidRPr="00DA5C1F">
        <w:rPr>
          <w:lang w:val="en-US"/>
        </w:rPr>
        <w:t xml:space="preserve">The </w:t>
      </w:r>
      <w:r w:rsidRPr="00AD495A">
        <w:rPr>
          <w:b/>
          <w:bCs/>
          <w:lang w:val="en-US"/>
        </w:rPr>
        <w:t>Chairman of the Editorial Committee</w:t>
      </w:r>
      <w:r w:rsidRPr="00DA5C1F">
        <w:rPr>
          <w:lang w:val="en-US"/>
        </w:rPr>
        <w:t xml:space="preserve"> introduced Document 502.</w:t>
      </w:r>
    </w:p>
    <w:p w14:paraId="61885EAA" w14:textId="77777777" w:rsidR="007A4E5D" w:rsidRPr="00DA5C1F" w:rsidRDefault="007A4E5D" w:rsidP="00AD495A">
      <w:pPr>
        <w:rPr>
          <w:lang w:val="en-US"/>
        </w:rPr>
      </w:pPr>
      <w:r>
        <w:rPr>
          <w:lang w:val="en-US"/>
        </w:rPr>
        <w:t>9.2</w:t>
      </w:r>
      <w:r>
        <w:rPr>
          <w:lang w:val="en-US"/>
        </w:rPr>
        <w:tab/>
      </w:r>
      <w:r w:rsidRPr="00DA5C1F">
        <w:rPr>
          <w:lang w:val="en-US"/>
        </w:rPr>
        <w:t xml:space="preserve">The </w:t>
      </w:r>
      <w:r w:rsidRPr="00DA5C1F">
        <w:rPr>
          <w:b/>
          <w:bCs/>
          <w:lang w:val="en-US"/>
        </w:rPr>
        <w:t>Chairman</w:t>
      </w:r>
      <w:r w:rsidRPr="00DA5C1F">
        <w:rPr>
          <w:lang w:val="en-US"/>
        </w:rPr>
        <w:t xml:space="preserve"> invited </w:t>
      </w:r>
      <w:r>
        <w:rPr>
          <w:lang w:val="en-US"/>
        </w:rPr>
        <w:t>participants</w:t>
      </w:r>
      <w:r w:rsidRPr="00DA5C1F">
        <w:rPr>
          <w:lang w:val="en-US"/>
        </w:rPr>
        <w:t xml:space="preserve"> to consider Document 502.</w:t>
      </w:r>
    </w:p>
    <w:p w14:paraId="61885EAB" w14:textId="77777777" w:rsidR="007A4E5D" w:rsidRPr="00AD495A" w:rsidRDefault="007A4E5D" w:rsidP="00AD495A">
      <w:pPr>
        <w:pStyle w:val="Headingb"/>
        <w:rPr>
          <w:lang w:val="en-GB"/>
        </w:rPr>
      </w:pPr>
      <w:r w:rsidRPr="00AD495A">
        <w:rPr>
          <w:lang w:val="en-GB"/>
        </w:rPr>
        <w:t>Article 11 (MOD 11.44, MOD 11.44.2, MOD 11.44.3, MOD 11.44C, ADD 11.44C.1 and 11.44D.1, ADD 11.44C.3, ADD 11.44C.4, MOD 11.44D, MOD 11.44E, MOD 11.49, ADD 11.49.2, ADD 11.49.3, ADD 11.49.4, ADD 11.49.5, ADD Section III, Add 11.51); Article 13 (MOD 13.6, ADD 13.6.1); Appendix 4 (MOD Table A – items A.20 and A.2.a</w:t>
      </w:r>
      <w:r w:rsidR="00AD495A" w:rsidRPr="00AD495A">
        <w:rPr>
          <w:lang w:val="en-GB"/>
        </w:rPr>
        <w:t>); ADD </w:t>
      </w:r>
      <w:r w:rsidRPr="00AD495A">
        <w:rPr>
          <w:lang w:val="en-GB"/>
        </w:rPr>
        <w:t>Resolution COM5/7 (WRC-19) – A milestone-based approach for the implementation of frequency assignments to space stations in a non-geostationary-orbit satellite system in specific frequency bands and services</w:t>
      </w:r>
    </w:p>
    <w:p w14:paraId="61885EAC" w14:textId="77777777" w:rsidR="007A4E5D" w:rsidRDefault="007A4E5D" w:rsidP="00AD495A">
      <w:pPr>
        <w:rPr>
          <w:lang w:val="en-US"/>
        </w:rPr>
      </w:pPr>
      <w:r>
        <w:rPr>
          <w:lang w:val="en-US"/>
        </w:rPr>
        <w:t>9.3</w:t>
      </w:r>
      <w:r>
        <w:rPr>
          <w:lang w:val="en-US"/>
        </w:rPr>
        <w:tab/>
      </w:r>
      <w:r w:rsidRPr="00AD495A">
        <w:rPr>
          <w:b/>
          <w:bCs/>
          <w:lang w:val="en-US"/>
        </w:rPr>
        <w:t>Approved</w:t>
      </w:r>
      <w:r w:rsidRPr="00DA5C1F">
        <w:rPr>
          <w:lang w:val="en-US"/>
        </w:rPr>
        <w:t>.</w:t>
      </w:r>
    </w:p>
    <w:p w14:paraId="61885EAD" w14:textId="77777777" w:rsidR="007A4E5D" w:rsidRDefault="007A4E5D" w:rsidP="00AD495A">
      <w:pPr>
        <w:rPr>
          <w:b/>
          <w:bCs/>
          <w:lang w:val="en-US"/>
        </w:rPr>
      </w:pPr>
      <w:bookmarkStart w:id="13" w:name="_Hlk25571878"/>
      <w:r>
        <w:rPr>
          <w:lang w:val="en-US"/>
        </w:rPr>
        <w:t>9.4</w:t>
      </w:r>
      <w:r>
        <w:rPr>
          <w:lang w:val="en-US"/>
        </w:rPr>
        <w:tab/>
        <w:t>The f</w:t>
      </w:r>
      <w:r w:rsidRPr="00673830">
        <w:rPr>
          <w:lang w:val="en-US"/>
        </w:rPr>
        <w:t>ortieth series of texts submitted by the Editorial Committee for first reading (B40) (Document</w:t>
      </w:r>
      <w:r>
        <w:rPr>
          <w:lang w:val="en-US"/>
        </w:rPr>
        <w:t xml:space="preserve"> </w:t>
      </w:r>
      <w:r w:rsidRPr="00673830">
        <w:rPr>
          <w:lang w:val="en-US"/>
        </w:rPr>
        <w:t xml:space="preserve">502) was </w:t>
      </w:r>
      <w:r w:rsidRPr="00673830">
        <w:rPr>
          <w:b/>
          <w:bCs/>
          <w:lang w:val="en-US"/>
        </w:rPr>
        <w:t>approved</w:t>
      </w:r>
      <w:r w:rsidRPr="00AD495A">
        <w:rPr>
          <w:lang w:val="en-US"/>
        </w:rPr>
        <w:t>.</w:t>
      </w:r>
    </w:p>
    <w:p w14:paraId="61885EAE" w14:textId="77777777" w:rsidR="007A4E5D" w:rsidRPr="00DA5C1F" w:rsidRDefault="007A4E5D" w:rsidP="00AD495A">
      <w:pPr>
        <w:pStyle w:val="Heading1"/>
        <w:rPr>
          <w:lang w:val="en-US"/>
        </w:rPr>
      </w:pPr>
      <w:r>
        <w:rPr>
          <w:lang w:val="en-US"/>
        </w:rPr>
        <w:t>10</w:t>
      </w:r>
      <w:r>
        <w:rPr>
          <w:lang w:val="en-US"/>
        </w:rPr>
        <w:tab/>
      </w:r>
      <w:r w:rsidRPr="00DA5C1F">
        <w:rPr>
          <w:lang w:val="en-US"/>
        </w:rPr>
        <w:t>Fortieth series of texts submitted by the Editorial Committee (</w:t>
      </w:r>
      <w:r w:rsidRPr="00BD6F7F">
        <w:rPr>
          <w:lang w:val="en-US"/>
        </w:rPr>
        <w:t xml:space="preserve">B40) </w:t>
      </w:r>
      <w:r>
        <w:rPr>
          <w:lang w:val="en-US"/>
        </w:rPr>
        <w:t xml:space="preserve">– second reading </w:t>
      </w:r>
      <w:r w:rsidRPr="003A5398">
        <w:rPr>
          <w:lang w:val="en-US"/>
        </w:rPr>
        <w:t>(Documents 499, 500 and 502)</w:t>
      </w:r>
      <w:r w:rsidRPr="00DA5C1F">
        <w:rPr>
          <w:lang w:val="en-US"/>
        </w:rPr>
        <w:t xml:space="preserve"> </w:t>
      </w:r>
    </w:p>
    <w:p w14:paraId="61885EAF" w14:textId="77777777" w:rsidR="007A4E5D" w:rsidRDefault="007A4E5D" w:rsidP="00AD495A">
      <w:pPr>
        <w:rPr>
          <w:lang w:val="en-US"/>
        </w:rPr>
      </w:pPr>
      <w:r>
        <w:rPr>
          <w:lang w:val="en-US"/>
        </w:rPr>
        <w:t>10.1</w:t>
      </w:r>
      <w:r>
        <w:rPr>
          <w:lang w:val="en-US"/>
        </w:rPr>
        <w:tab/>
      </w:r>
      <w:r w:rsidRPr="001076D3">
        <w:rPr>
          <w:lang w:val="en-US"/>
        </w:rPr>
        <w:t xml:space="preserve">The fortieth series of texts submitted by the Editorial Committee (B40) (Document 502) was </w:t>
      </w:r>
      <w:r w:rsidRPr="001076D3">
        <w:rPr>
          <w:b/>
          <w:bCs/>
          <w:lang w:val="en-US"/>
        </w:rPr>
        <w:t>approved</w:t>
      </w:r>
      <w:r w:rsidRPr="001076D3">
        <w:rPr>
          <w:lang w:val="en-US"/>
        </w:rPr>
        <w:t xml:space="preserve"> on second reading.</w:t>
      </w:r>
    </w:p>
    <w:p w14:paraId="61885EB0" w14:textId="77777777" w:rsidR="007A4E5D" w:rsidRPr="00DA5C1F" w:rsidRDefault="007A4E5D" w:rsidP="00AD495A">
      <w:pPr>
        <w:rPr>
          <w:lang w:val="en-US"/>
        </w:rPr>
      </w:pPr>
      <w:bookmarkStart w:id="14" w:name="_Hlk25594524"/>
      <w:r>
        <w:rPr>
          <w:lang w:val="en-US"/>
        </w:rPr>
        <w:t>10.2</w:t>
      </w:r>
      <w:r>
        <w:rPr>
          <w:lang w:val="en-US"/>
        </w:rPr>
        <w:tab/>
      </w:r>
      <w:r w:rsidRPr="00DA5C1F">
        <w:rPr>
          <w:lang w:val="en-US"/>
        </w:rPr>
        <w:t xml:space="preserve">The </w:t>
      </w:r>
      <w:r w:rsidRPr="00DA5C1F">
        <w:rPr>
          <w:b/>
          <w:bCs/>
          <w:lang w:val="en-US"/>
        </w:rPr>
        <w:t>Chairman</w:t>
      </w:r>
      <w:r w:rsidRPr="00DA5C1F">
        <w:rPr>
          <w:lang w:val="en-US"/>
        </w:rPr>
        <w:t xml:space="preserve"> </w:t>
      </w:r>
      <w:r>
        <w:rPr>
          <w:lang w:val="en-US"/>
        </w:rPr>
        <w:t xml:space="preserve">invited participants to consider Document 499, the approval of which had been deferred from earlier in the meeting. It was </w:t>
      </w:r>
      <w:r w:rsidRPr="000E54EA">
        <w:rPr>
          <w:lang w:val="en-US"/>
        </w:rPr>
        <w:t xml:space="preserve">proposed that the following text, contained in </w:t>
      </w:r>
      <w:r>
        <w:rPr>
          <w:lang w:val="en-US"/>
        </w:rPr>
        <w:lastRenderedPageBreak/>
        <w:t>the document</w:t>
      </w:r>
      <w:r w:rsidRPr="000E54EA">
        <w:rPr>
          <w:lang w:val="en-US"/>
        </w:rPr>
        <w:t xml:space="preserve">, be approved and included in the minutes of the </w:t>
      </w:r>
      <w:r>
        <w:rPr>
          <w:lang w:val="en-US"/>
        </w:rPr>
        <w:t xml:space="preserve">plenary </w:t>
      </w:r>
      <w:r w:rsidRPr="000E54EA">
        <w:rPr>
          <w:lang w:val="en-US"/>
        </w:rPr>
        <w:t>meeting as a decision of the conference:</w:t>
      </w:r>
    </w:p>
    <w:bookmarkEnd w:id="13"/>
    <w:bookmarkEnd w:id="14"/>
    <w:p w14:paraId="61885EB1" w14:textId="77777777" w:rsidR="007A4E5D" w:rsidRPr="00AD495A" w:rsidRDefault="007A4E5D" w:rsidP="00404D0E">
      <w:pPr>
        <w:pStyle w:val="Title4"/>
      </w:pPr>
      <w:r w:rsidRPr="00AD495A">
        <w:t xml:space="preserve">“Understanding of the Radiocommunication Bureau of </w:t>
      </w:r>
      <w:r w:rsidRPr="00AD495A">
        <w:rPr>
          <w:i/>
          <w:iCs/>
        </w:rPr>
        <w:t>resolves</w:t>
      </w:r>
      <w:r w:rsidR="00AD495A" w:rsidRPr="00AD495A">
        <w:t xml:space="preserve"> 11 and Annex 2 of Resolution </w:t>
      </w:r>
      <w:r w:rsidRPr="00AD495A">
        <w:t>[7(A)-NGSO-MILESTONES] (WRC-19)</w:t>
      </w:r>
    </w:p>
    <w:p w14:paraId="61885EB2" w14:textId="77777777" w:rsidR="007A4E5D" w:rsidRPr="000460D6" w:rsidRDefault="007A4E5D" w:rsidP="00AD495A">
      <w:pPr>
        <w:rPr>
          <w:lang w:val="en-US"/>
        </w:rPr>
      </w:pPr>
      <w:r w:rsidRPr="000460D6">
        <w:rPr>
          <w:lang w:val="en-US"/>
        </w:rPr>
        <w:t xml:space="preserve">The Bureau notes that Resolution </w:t>
      </w:r>
      <w:r w:rsidRPr="000460D6">
        <w:rPr>
          <w:b/>
          <w:lang w:val="en-US"/>
        </w:rPr>
        <w:t>[7(A)-NGSO-MILESTONES] (WRC-19)</w:t>
      </w:r>
      <w:r w:rsidRPr="000460D6">
        <w:rPr>
          <w:lang w:val="en-US"/>
        </w:rPr>
        <w:t xml:space="preserve">, including its Annex 2, does not supersede the proper application of the provisions of RR Article </w:t>
      </w:r>
      <w:r w:rsidRPr="000460D6">
        <w:rPr>
          <w:b/>
          <w:lang w:val="en-US"/>
        </w:rPr>
        <w:t>9</w:t>
      </w:r>
      <w:r w:rsidRPr="000460D6">
        <w:rPr>
          <w:lang w:val="en-US"/>
        </w:rPr>
        <w:t xml:space="preserve"> of the Radio Regulations, in particular RR No. </w:t>
      </w:r>
      <w:r w:rsidRPr="000460D6">
        <w:rPr>
          <w:b/>
          <w:lang w:val="en-US"/>
        </w:rPr>
        <w:t>9.6</w:t>
      </w:r>
      <w:r w:rsidRPr="000460D6">
        <w:rPr>
          <w:lang w:val="en-US"/>
        </w:rPr>
        <w:t xml:space="preserve"> (initiation of the coordination process), RR Nos. </w:t>
      </w:r>
      <w:r w:rsidRPr="000460D6">
        <w:rPr>
          <w:b/>
          <w:lang w:val="en-US"/>
        </w:rPr>
        <w:t>9.50</w:t>
      </w:r>
      <w:r w:rsidRPr="000460D6">
        <w:rPr>
          <w:lang w:val="en-US"/>
        </w:rPr>
        <w:t xml:space="preserve"> to </w:t>
      </w:r>
      <w:r w:rsidRPr="000460D6">
        <w:rPr>
          <w:b/>
          <w:lang w:val="en-US"/>
        </w:rPr>
        <w:t>9.52</w:t>
      </w:r>
      <w:r w:rsidRPr="000460D6">
        <w:rPr>
          <w:lang w:val="en-US"/>
        </w:rPr>
        <w:t xml:space="preserve"> and </w:t>
      </w:r>
      <w:r w:rsidRPr="000460D6">
        <w:rPr>
          <w:b/>
          <w:lang w:val="en-US"/>
        </w:rPr>
        <w:t>9.52C</w:t>
      </w:r>
      <w:r w:rsidRPr="000460D6">
        <w:rPr>
          <w:lang w:val="en-US"/>
        </w:rPr>
        <w:t xml:space="preserve"> (action upon a request for coordination) and RR No. </w:t>
      </w:r>
      <w:r w:rsidRPr="000460D6">
        <w:rPr>
          <w:b/>
          <w:lang w:val="en-US"/>
        </w:rPr>
        <w:t>9.53</w:t>
      </w:r>
      <w:r w:rsidRPr="000460D6">
        <w:rPr>
          <w:lang w:val="en-US"/>
        </w:rPr>
        <w:t xml:space="preserve"> (mutual efforts by the requesting and responding administrations to overcome the difficulties).</w:t>
      </w:r>
    </w:p>
    <w:p w14:paraId="61885EB3" w14:textId="77777777" w:rsidR="007A4E5D" w:rsidRPr="000460D6" w:rsidRDefault="007A4E5D" w:rsidP="00AD495A">
      <w:pPr>
        <w:rPr>
          <w:lang w:val="en-US"/>
        </w:rPr>
      </w:pPr>
      <w:r w:rsidRPr="000460D6">
        <w:rPr>
          <w:lang w:val="en-US"/>
        </w:rPr>
        <w:t>This set of provisions creates a balanced framework where both the requesting and responding administrations perform a series of acts that constitutes the bilateral coordination process:</w:t>
      </w:r>
    </w:p>
    <w:p w14:paraId="61885EB4" w14:textId="77777777" w:rsidR="007A4E5D" w:rsidRPr="000460D6" w:rsidRDefault="007A4E5D" w:rsidP="00AD495A">
      <w:pPr>
        <w:pStyle w:val="enumlev1"/>
        <w:rPr>
          <w:lang w:val="en-US"/>
        </w:rPr>
      </w:pPr>
      <w:r w:rsidRPr="000460D6">
        <w:rPr>
          <w:lang w:val="en-US"/>
        </w:rPr>
        <w:t>–</w:t>
      </w:r>
      <w:r w:rsidRPr="000460D6">
        <w:rPr>
          <w:lang w:val="en-US"/>
        </w:rPr>
        <w:tab/>
        <w:t>the requesting ad</w:t>
      </w:r>
      <w:r w:rsidR="00AD495A">
        <w:rPr>
          <w:lang w:val="en-US"/>
        </w:rPr>
        <w:t>ministration starts the process;</w:t>
      </w:r>
    </w:p>
    <w:p w14:paraId="61885EB5" w14:textId="77777777" w:rsidR="007A4E5D" w:rsidRPr="000460D6" w:rsidRDefault="007A4E5D" w:rsidP="00AD495A">
      <w:pPr>
        <w:pStyle w:val="enumlev1"/>
        <w:rPr>
          <w:lang w:val="en-US"/>
        </w:rPr>
      </w:pPr>
      <w:r w:rsidRPr="000460D6">
        <w:rPr>
          <w:lang w:val="en-US"/>
        </w:rPr>
        <w:t>–</w:t>
      </w:r>
      <w:r w:rsidRPr="000460D6">
        <w:rPr>
          <w:lang w:val="en-US"/>
        </w:rPr>
        <w:tab/>
        <w:t>the responding administration replies to this request by either giving its agreement or indicating its disagreement together with information concerning its assignments upon which the disagreement is based and suggestions as it is able to offer with a view to a satisfactory reso</w:t>
      </w:r>
      <w:r w:rsidR="00AD495A">
        <w:rPr>
          <w:lang w:val="en-US"/>
        </w:rPr>
        <w:t>lution of the matter;</w:t>
      </w:r>
    </w:p>
    <w:p w14:paraId="61885EB6" w14:textId="77777777" w:rsidR="007A4E5D" w:rsidRPr="000460D6" w:rsidRDefault="007A4E5D" w:rsidP="00AD495A">
      <w:pPr>
        <w:pStyle w:val="enumlev1"/>
        <w:rPr>
          <w:lang w:val="en-US"/>
        </w:rPr>
      </w:pPr>
      <w:r w:rsidRPr="000460D6">
        <w:rPr>
          <w:lang w:val="en-US"/>
        </w:rPr>
        <w:t>–</w:t>
      </w:r>
      <w:r w:rsidRPr="000460D6">
        <w:rPr>
          <w:lang w:val="en-US"/>
        </w:rPr>
        <w:tab/>
        <w:t>both administrations make every possible mutual effort to overcome the difficulties, in a manner acceptable to the parties concerned.</w:t>
      </w:r>
    </w:p>
    <w:p w14:paraId="61885EB7" w14:textId="77777777" w:rsidR="007A4E5D" w:rsidRPr="000460D6" w:rsidRDefault="007A4E5D" w:rsidP="00AD495A">
      <w:pPr>
        <w:rPr>
          <w:lang w:val="en-US"/>
        </w:rPr>
      </w:pPr>
      <w:r w:rsidRPr="000460D6">
        <w:rPr>
          <w:lang w:val="en-US"/>
        </w:rPr>
        <w:t xml:space="preserve">Therefore the Bureau understands that notifying administrations, when providing, </w:t>
      </w:r>
      <w:r w:rsidRPr="000460D6">
        <w:rPr>
          <w:i/>
          <w:iCs/>
          <w:lang w:val="en-US"/>
        </w:rPr>
        <w:t>inter alia,</w:t>
      </w:r>
      <w:r w:rsidRPr="000460D6">
        <w:rPr>
          <w:lang w:val="en-US"/>
        </w:rPr>
        <w:t xml:space="preserve"> item 3 of Annex 2 to Resolution </w:t>
      </w:r>
      <w:r w:rsidRPr="000460D6">
        <w:rPr>
          <w:b/>
          <w:lang w:val="en-US"/>
        </w:rPr>
        <w:t>[7(A)-NGSO-MILESTONES] (WRC-19)</w:t>
      </w:r>
      <w:r w:rsidRPr="000460D6">
        <w:rPr>
          <w:lang w:val="en-US"/>
        </w:rPr>
        <w:t xml:space="preserve"> pursuant to </w:t>
      </w:r>
      <w:r w:rsidRPr="000460D6">
        <w:rPr>
          <w:i/>
          <w:iCs/>
          <w:lang w:val="en-US"/>
        </w:rPr>
        <w:t xml:space="preserve">resolves </w:t>
      </w:r>
      <w:r w:rsidRPr="000460D6">
        <w:rPr>
          <w:lang w:val="en-US"/>
        </w:rPr>
        <w:t xml:space="preserve">11 of this Resolution, will have to report on the status of coordination and on efforts made in the coordination with satellite systems or networks identified under the relevant provisions of Section II of RR Article </w:t>
      </w:r>
      <w:r w:rsidRPr="000460D6">
        <w:rPr>
          <w:b/>
          <w:lang w:val="en-US"/>
        </w:rPr>
        <w:t>9</w:t>
      </w:r>
      <w:r w:rsidRPr="000460D6">
        <w:rPr>
          <w:lang w:val="en-US"/>
        </w:rPr>
        <w:t xml:space="preserve">. </w:t>
      </w:r>
    </w:p>
    <w:p w14:paraId="61885EB8" w14:textId="77777777" w:rsidR="007A4E5D" w:rsidRPr="000460D6" w:rsidRDefault="007A4E5D" w:rsidP="00AD495A">
      <w:pPr>
        <w:rPr>
          <w:lang w:val="en-US"/>
        </w:rPr>
      </w:pPr>
      <w:r w:rsidRPr="000460D6">
        <w:rPr>
          <w:lang w:val="en-US"/>
        </w:rPr>
        <w:t xml:space="preserve">Notifying administrations may also include under this item 3 information about coordination activities with later filed satellite systems or networks that they are aware of, which the Bureau understands as beneficial for an administration requesting the application of </w:t>
      </w:r>
      <w:r w:rsidRPr="000460D6">
        <w:rPr>
          <w:i/>
          <w:iCs/>
          <w:lang w:val="en-US"/>
        </w:rPr>
        <w:t>resolves</w:t>
      </w:r>
      <w:r w:rsidRPr="000460D6">
        <w:rPr>
          <w:lang w:val="en-US"/>
        </w:rPr>
        <w:t xml:space="preserve"> 11. The Bureau notes that it is materially impossible for such an administration to include information related to cases where the requesting administration has not initiated contacts with a view to start detailed technical and operational discussions in advance of the submission of the report request under item 3. </w:t>
      </w:r>
    </w:p>
    <w:p w14:paraId="61885EB9" w14:textId="77777777" w:rsidR="007A4E5D" w:rsidRPr="00DA5C1F" w:rsidRDefault="007A4E5D" w:rsidP="00AD495A">
      <w:pPr>
        <w:rPr>
          <w:lang w:val="en-US"/>
        </w:rPr>
      </w:pPr>
      <w:r w:rsidRPr="00DA5C1F">
        <w:rPr>
          <w:lang w:val="en-US"/>
        </w:rPr>
        <w:t xml:space="preserve">The Bureau finally understands that, by adopting </w:t>
      </w:r>
      <w:r w:rsidRPr="00DA5C1F">
        <w:rPr>
          <w:i/>
          <w:iCs/>
          <w:lang w:val="en-US"/>
        </w:rPr>
        <w:t>resolves</w:t>
      </w:r>
      <w:r w:rsidRPr="00DA5C1F">
        <w:rPr>
          <w:lang w:val="en-US"/>
        </w:rPr>
        <w:t xml:space="preserve"> 11 and Annex 2 of Resolution </w:t>
      </w:r>
      <w:r w:rsidRPr="00DA5C1F">
        <w:rPr>
          <w:b/>
          <w:lang w:val="en-US"/>
        </w:rPr>
        <w:t>[7(A)-NGSO-MILESTONES] (WRC-19)</w:t>
      </w:r>
      <w:r w:rsidRPr="00DA5C1F">
        <w:rPr>
          <w:lang w:val="en-US"/>
        </w:rPr>
        <w:t xml:space="preserve">, WRC-19 decided to establish a transparent process that will be open for comments: any administration disagreeing with the content of a report provided under item 3 of Annex 2 of this Resolution will have the opportunity to submit its views to the Radio Regulations Board and the administration having submitted the report will have the opportunity to provide its clarification on the matter. The RRB will take into account this information when implementing </w:t>
      </w:r>
      <w:r w:rsidRPr="00DA5C1F">
        <w:rPr>
          <w:i/>
          <w:iCs/>
          <w:lang w:val="en-US"/>
        </w:rPr>
        <w:t>resolves</w:t>
      </w:r>
      <w:r w:rsidRPr="00DA5C1F">
        <w:rPr>
          <w:lang w:val="en-US"/>
        </w:rPr>
        <w:t xml:space="preserve"> 11</w:t>
      </w:r>
      <w:r w:rsidRPr="00DA5C1F">
        <w:rPr>
          <w:i/>
          <w:iCs/>
          <w:lang w:val="en-US"/>
        </w:rPr>
        <w:t>b)</w:t>
      </w:r>
      <w:r w:rsidRPr="00DA5C1F">
        <w:rPr>
          <w:lang w:val="en-US"/>
        </w:rPr>
        <w:t xml:space="preserve"> of this Resolution.”</w:t>
      </w:r>
    </w:p>
    <w:p w14:paraId="61885EBA" w14:textId="77777777" w:rsidR="007A4E5D" w:rsidRPr="00DA5C1F" w:rsidRDefault="007A4E5D" w:rsidP="00AD495A">
      <w:r>
        <w:t>10.3</w:t>
      </w:r>
      <w:r>
        <w:tab/>
      </w:r>
      <w:r w:rsidRPr="00DA5C1F">
        <w:t xml:space="preserve">It was so </w:t>
      </w:r>
      <w:r w:rsidRPr="00DA5C1F">
        <w:rPr>
          <w:b/>
          <w:bCs/>
        </w:rPr>
        <w:t>agreed</w:t>
      </w:r>
      <w:r w:rsidRPr="00DA5C1F">
        <w:t>.</w:t>
      </w:r>
    </w:p>
    <w:p w14:paraId="61885EBB" w14:textId="77777777" w:rsidR="007A4E5D" w:rsidRPr="000E54EA" w:rsidRDefault="007A4E5D" w:rsidP="00AD495A">
      <w:r>
        <w:t>10.4</w:t>
      </w:r>
      <w:r>
        <w:tab/>
      </w:r>
      <w:r w:rsidRPr="000E54EA">
        <w:t xml:space="preserve">Document 499 was </w:t>
      </w:r>
      <w:r w:rsidRPr="000E54EA">
        <w:rPr>
          <w:b/>
          <w:bCs/>
        </w:rPr>
        <w:t>approved</w:t>
      </w:r>
      <w:r w:rsidRPr="00AD495A">
        <w:t>.</w:t>
      </w:r>
    </w:p>
    <w:p w14:paraId="61885EBC" w14:textId="77777777" w:rsidR="007A4E5D" w:rsidRPr="00DA5C1F" w:rsidRDefault="007A4E5D" w:rsidP="00AD495A">
      <w:pPr>
        <w:rPr>
          <w:lang w:val="en-US"/>
        </w:rPr>
      </w:pPr>
      <w:r>
        <w:rPr>
          <w:lang w:val="en-US"/>
        </w:rPr>
        <w:t>10.5</w:t>
      </w:r>
      <w:r>
        <w:rPr>
          <w:lang w:val="en-US"/>
        </w:rPr>
        <w:tab/>
      </w:r>
      <w:r w:rsidRPr="00DA5C1F">
        <w:rPr>
          <w:lang w:val="en-US"/>
        </w:rPr>
        <w:t xml:space="preserve">The </w:t>
      </w:r>
      <w:r w:rsidRPr="00DA5C1F">
        <w:rPr>
          <w:b/>
          <w:bCs/>
          <w:lang w:val="en-US"/>
        </w:rPr>
        <w:t>Chairman</w:t>
      </w:r>
      <w:r w:rsidRPr="00DA5C1F">
        <w:rPr>
          <w:lang w:val="en-US"/>
        </w:rPr>
        <w:t xml:space="preserve"> </w:t>
      </w:r>
      <w:r w:rsidRPr="00673830">
        <w:rPr>
          <w:lang w:val="en-US"/>
        </w:rPr>
        <w:t xml:space="preserve">invited </w:t>
      </w:r>
      <w:r>
        <w:rPr>
          <w:lang w:val="en-US"/>
        </w:rPr>
        <w:t>participants</w:t>
      </w:r>
      <w:r w:rsidRPr="00673830">
        <w:rPr>
          <w:lang w:val="en-US"/>
        </w:rPr>
        <w:t xml:space="preserve"> to consider Document </w:t>
      </w:r>
      <w:r>
        <w:rPr>
          <w:lang w:val="en-US"/>
        </w:rPr>
        <w:t>500</w:t>
      </w:r>
      <w:r w:rsidRPr="00673830">
        <w:rPr>
          <w:lang w:val="en-US"/>
        </w:rPr>
        <w:t xml:space="preserve">, the approval of which had been deferred from earlier </w:t>
      </w:r>
      <w:r>
        <w:rPr>
          <w:lang w:val="en-US"/>
        </w:rPr>
        <w:t>in</w:t>
      </w:r>
      <w:r w:rsidRPr="00673830">
        <w:rPr>
          <w:lang w:val="en-US"/>
        </w:rPr>
        <w:t xml:space="preserve"> the meeting.</w:t>
      </w:r>
      <w:r>
        <w:rPr>
          <w:lang w:val="en-US"/>
        </w:rPr>
        <w:t xml:space="preserve"> It was </w:t>
      </w:r>
      <w:r w:rsidRPr="00673830">
        <w:rPr>
          <w:lang w:val="en-US"/>
        </w:rPr>
        <w:t xml:space="preserve">proposed that the following text, contained in the document, be approved and included in the minutes of the </w:t>
      </w:r>
      <w:r>
        <w:rPr>
          <w:lang w:val="en-US"/>
        </w:rPr>
        <w:t xml:space="preserve">plenary </w:t>
      </w:r>
      <w:r w:rsidRPr="00673830">
        <w:rPr>
          <w:lang w:val="en-US"/>
        </w:rPr>
        <w:t>meeting as a decision of the conference:</w:t>
      </w:r>
    </w:p>
    <w:p w14:paraId="61885EBD" w14:textId="77777777" w:rsidR="007A4E5D" w:rsidRPr="00DA5C1F" w:rsidRDefault="007A4E5D" w:rsidP="00AD495A">
      <w:pPr>
        <w:rPr>
          <w:noProof/>
        </w:rPr>
      </w:pPr>
      <w:r w:rsidRPr="00DA5C1F">
        <w:lastRenderedPageBreak/>
        <w:t>“1</w:t>
      </w:r>
      <w:r w:rsidRPr="00DA5C1F">
        <w:tab/>
        <w:t>WRC-19 has adopted a new milestone-based approach for the deployment of non-geostationary satellite systems in specific bands and services. WRC-19 indicates to the Director of the Radiocommunication Bureau that with the milestone approach, WRC-19 is not encouraging routine use of No. </w:t>
      </w:r>
      <w:r w:rsidRPr="00DA5C1F">
        <w:rPr>
          <w:b/>
        </w:rPr>
        <w:t>13.6</w:t>
      </w:r>
      <w:r w:rsidRPr="00DA5C1F">
        <w:t xml:space="preserve"> in the Radio Regulations, in the absence of reliable information, to seek confirmation of the deployment </w:t>
      </w:r>
      <w:r w:rsidRPr="00DA5C1F">
        <w:rPr>
          <w:noProof/>
        </w:rPr>
        <w:t xml:space="preserve">of the number of satellites in notified orbital planes for non-geostationary satellite orbit systems in frequency bands and services not listed in </w:t>
      </w:r>
      <w:r w:rsidRPr="00DA5C1F">
        <w:rPr>
          <w:bCs/>
          <w:i/>
          <w:noProof/>
        </w:rPr>
        <w:t>resolves</w:t>
      </w:r>
      <w:r w:rsidRPr="00DA5C1F">
        <w:rPr>
          <w:bCs/>
          <w:noProof/>
        </w:rPr>
        <w:t> 1</w:t>
      </w:r>
      <w:r w:rsidRPr="00DA5C1F">
        <w:rPr>
          <w:noProof/>
        </w:rPr>
        <w:t xml:space="preserve"> of the new Resolution.</w:t>
      </w:r>
    </w:p>
    <w:p w14:paraId="61885EBE" w14:textId="77777777" w:rsidR="007A4E5D" w:rsidRPr="00DA5C1F" w:rsidRDefault="007A4E5D" w:rsidP="00AD495A">
      <w:r w:rsidRPr="00DA5C1F">
        <w:rPr>
          <w:bdr w:val="none" w:sz="0" w:space="0" w:color="auto" w:frame="1"/>
          <w:shd w:val="clear" w:color="auto" w:fill="FFFFFF"/>
        </w:rPr>
        <w:t>2</w:t>
      </w:r>
      <w:r w:rsidRPr="00DA5C1F">
        <w:rPr>
          <w:bdr w:val="none" w:sz="0" w:space="0" w:color="auto" w:frame="1"/>
          <w:shd w:val="clear" w:color="auto" w:fill="FFFFFF"/>
        </w:rPr>
        <w:tab/>
        <w:t>WRC-19 invites ITU-R to study, 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61885EBF" w14:textId="77777777" w:rsidR="007A4E5D" w:rsidRPr="00DA5C1F" w:rsidRDefault="007A4E5D" w:rsidP="00AD495A">
      <w:r w:rsidRPr="00DA5C1F">
        <w:rPr>
          <w:bdr w:val="none" w:sz="0" w:space="0" w:color="auto" w:frame="1"/>
          <w:shd w:val="clear" w:color="auto" w:fill="FFFFFF"/>
        </w:rPr>
        <w:t>3</w:t>
      </w:r>
      <w:r w:rsidRPr="00DA5C1F">
        <w:rPr>
          <w:bdr w:val="none" w:sz="0" w:space="0" w:color="auto" w:frame="1"/>
          <w:shd w:val="clear" w:color="auto" w:fill="FFFFFF"/>
        </w:rPr>
        <w:tab/>
        <w:t xml:space="preserve">WRC-19 invites ITU-R to study, as a matter of urgency, possible development of a post-milestone procedure taking into account the reporting defined in § 18 of the Resolution </w:t>
      </w:r>
      <w:r w:rsidRPr="00DA5C1F">
        <w:rPr>
          <w:b/>
          <w:bdr w:val="none" w:sz="0" w:space="0" w:color="auto" w:frame="1"/>
          <w:shd w:val="clear" w:color="auto" w:fill="FFFFFF"/>
        </w:rPr>
        <w:t>[</w:t>
      </w:r>
      <w:r w:rsidRPr="00DA5C1F">
        <w:rPr>
          <w:b/>
        </w:rPr>
        <w:t>7(A)</w:t>
      </w:r>
      <w:r w:rsidRPr="00DA5C1F">
        <w:rPr>
          <w:b/>
        </w:rPr>
        <w:noBreakHyphen/>
        <w:t>NGSO-MILESTONES</w:t>
      </w:r>
      <w:r w:rsidRPr="00DA5C1F">
        <w:rPr>
          <w:b/>
          <w:bdr w:val="none" w:sz="0" w:space="0" w:color="auto" w:frame="1"/>
          <w:shd w:val="clear" w:color="auto" w:fill="FFFFFF"/>
        </w:rPr>
        <w:t>]</w:t>
      </w:r>
      <w:r w:rsidRPr="00DA5C1F">
        <w:rPr>
          <w:bdr w:val="none" w:sz="0" w:space="0" w:color="auto" w:frame="1"/>
          <w:shd w:val="clear" w:color="auto" w:fill="FFFFFF"/>
        </w:rPr>
        <w:t>.</w:t>
      </w:r>
    </w:p>
    <w:p w14:paraId="61885EC0" w14:textId="77777777" w:rsidR="007A4E5D" w:rsidRPr="00DA5C1F" w:rsidRDefault="007A4E5D" w:rsidP="00AD495A">
      <w:r w:rsidRPr="00DA5C1F">
        <w:t xml:space="preserve">Furthermore, WRC-19 instructs the Bureau in applying the relevant provisions of the RR (e.g.  No. 11.44C.2 or </w:t>
      </w:r>
      <w:r w:rsidRPr="00DA5C1F">
        <w:rPr>
          <w:i/>
          <w:iCs/>
        </w:rPr>
        <w:t>resolves</w:t>
      </w:r>
      <w:r w:rsidRPr="00DA5C1F">
        <w:t> 9</w:t>
      </w:r>
      <w:r w:rsidRPr="00DA5C1F">
        <w:rPr>
          <w:i/>
          <w:iCs/>
        </w:rPr>
        <w:t>d)</w:t>
      </w:r>
      <w:r w:rsidRPr="00DA5C1F">
        <w:t xml:space="preserve"> of Resolution </w:t>
      </w:r>
      <w:r w:rsidRPr="00DA5C1F">
        <w:rPr>
          <w:b/>
          <w:noProof/>
        </w:rPr>
        <w:t>[7(A)-NGSO-MILESTONES]</w:t>
      </w:r>
      <w:r w:rsidRPr="00DA5C1F">
        <w:rPr>
          <w:noProof/>
        </w:rPr>
        <w:t>)</w:t>
      </w:r>
      <w:r w:rsidRPr="00DA5C1F">
        <w:t xml:space="preserve"> to exercise utmost caution until such time as ITU-R completes studies on tolerances.”</w:t>
      </w:r>
    </w:p>
    <w:p w14:paraId="61885EC1" w14:textId="77777777" w:rsidR="007A4E5D" w:rsidRPr="00DA5C1F" w:rsidRDefault="007A4E5D" w:rsidP="00AD495A">
      <w:bookmarkStart w:id="15" w:name="_Hlk25151523"/>
      <w:r>
        <w:t>10.6</w:t>
      </w:r>
      <w:r>
        <w:tab/>
      </w:r>
      <w:r w:rsidRPr="00DA5C1F">
        <w:t xml:space="preserve">It was so </w:t>
      </w:r>
      <w:r w:rsidRPr="00DA5C1F">
        <w:rPr>
          <w:b/>
          <w:bCs/>
        </w:rPr>
        <w:t>agreed</w:t>
      </w:r>
      <w:r w:rsidRPr="00DA5C1F">
        <w:t>.</w:t>
      </w:r>
    </w:p>
    <w:p w14:paraId="61885EC2" w14:textId="77777777" w:rsidR="007A4E5D" w:rsidRPr="00DA5C1F" w:rsidRDefault="007A4E5D" w:rsidP="00AD495A">
      <w:r>
        <w:t>10.7</w:t>
      </w:r>
      <w:r>
        <w:tab/>
      </w:r>
      <w:r w:rsidRPr="00DA5C1F">
        <w:t xml:space="preserve">Document 500 was </w:t>
      </w:r>
      <w:r w:rsidRPr="00DA5C1F">
        <w:rPr>
          <w:b/>
          <w:bCs/>
        </w:rPr>
        <w:t>approved</w:t>
      </w:r>
      <w:r w:rsidRPr="00AD495A">
        <w:t>.</w:t>
      </w:r>
    </w:p>
    <w:bookmarkEnd w:id="15"/>
    <w:p w14:paraId="61885EC3" w14:textId="77777777" w:rsidR="007A4E5D" w:rsidRPr="00DA5C1F" w:rsidRDefault="007A4E5D" w:rsidP="00AD495A">
      <w:pPr>
        <w:pStyle w:val="Heading1"/>
        <w:rPr>
          <w:lang w:val="en-US"/>
        </w:rPr>
      </w:pPr>
      <w:r>
        <w:rPr>
          <w:lang w:val="en-US"/>
        </w:rPr>
        <w:t>11</w:t>
      </w:r>
      <w:r>
        <w:rPr>
          <w:lang w:val="en-US"/>
        </w:rPr>
        <w:tab/>
      </w:r>
      <w:r w:rsidRPr="00DA5C1F">
        <w:rPr>
          <w:lang w:val="en-US"/>
        </w:rPr>
        <w:t xml:space="preserve">Forty-fifth series of texts submitted by the Editorial Committee for first reading (B45) (Document </w:t>
      </w:r>
      <w:r w:rsidRPr="001076D3">
        <w:rPr>
          <w:lang w:val="en-US"/>
        </w:rPr>
        <w:t>507)</w:t>
      </w:r>
    </w:p>
    <w:p w14:paraId="61885EC4" w14:textId="77777777" w:rsidR="007A4E5D" w:rsidRPr="000E54EA" w:rsidRDefault="007A4E5D" w:rsidP="00404D0E">
      <w:pPr>
        <w:rPr>
          <w:lang w:val="en-US"/>
        </w:rPr>
      </w:pPr>
      <w:r w:rsidRPr="007072F0">
        <w:rPr>
          <w:lang w:val="en-US"/>
        </w:rPr>
        <w:t>11.1</w:t>
      </w:r>
      <w:r w:rsidRPr="007072F0">
        <w:rPr>
          <w:lang w:val="en-US"/>
        </w:rPr>
        <w:tab/>
        <w:t>The</w:t>
      </w:r>
      <w:r w:rsidRPr="00DA5C1F">
        <w:rPr>
          <w:lang w:val="en-US"/>
        </w:rPr>
        <w:t xml:space="preserve"> </w:t>
      </w:r>
      <w:r w:rsidRPr="00404D0E">
        <w:rPr>
          <w:b/>
          <w:bCs/>
          <w:lang w:val="en-US"/>
        </w:rPr>
        <w:t>Chairman of the Editorial Committee</w:t>
      </w:r>
      <w:r w:rsidRPr="000E54EA">
        <w:rPr>
          <w:lang w:val="en-US"/>
        </w:rPr>
        <w:t xml:space="preserve"> introduced Document </w:t>
      </w:r>
      <w:r>
        <w:rPr>
          <w:lang w:val="en-US"/>
        </w:rPr>
        <w:t>507</w:t>
      </w:r>
      <w:r w:rsidRPr="000E54EA">
        <w:rPr>
          <w:lang w:val="en-US"/>
        </w:rPr>
        <w:t>.</w:t>
      </w:r>
    </w:p>
    <w:p w14:paraId="61885EC5" w14:textId="77777777" w:rsidR="007A4E5D" w:rsidRDefault="007A4E5D" w:rsidP="00404D0E">
      <w:pPr>
        <w:rPr>
          <w:lang w:val="en-US"/>
        </w:rPr>
      </w:pPr>
      <w:r>
        <w:rPr>
          <w:lang w:val="en-US"/>
        </w:rPr>
        <w:t>11.2</w:t>
      </w:r>
      <w:r>
        <w:rPr>
          <w:lang w:val="en-US"/>
        </w:rPr>
        <w:tab/>
        <w:t xml:space="preserve">The </w:t>
      </w:r>
      <w:r w:rsidRPr="00DC173F">
        <w:rPr>
          <w:b/>
          <w:bCs/>
          <w:lang w:val="en-US"/>
        </w:rPr>
        <w:t>Chairman</w:t>
      </w:r>
      <w:r>
        <w:rPr>
          <w:lang w:val="en-US"/>
        </w:rPr>
        <w:t xml:space="preserve"> invited participants to consider Document 507.</w:t>
      </w:r>
    </w:p>
    <w:p w14:paraId="61885EC6" w14:textId="77777777" w:rsidR="007A4E5D" w:rsidRPr="00BA089F" w:rsidRDefault="007A4E5D" w:rsidP="00404D0E">
      <w:pPr>
        <w:pStyle w:val="Headingb"/>
        <w:rPr>
          <w:lang w:val="en-GB"/>
        </w:rPr>
      </w:pPr>
      <w:r w:rsidRPr="00BA089F">
        <w:rPr>
          <w:lang w:val="en-GB"/>
        </w:rPr>
        <w:t>Appendix 30B (MOD Article 6)</w:t>
      </w:r>
    </w:p>
    <w:p w14:paraId="61885EC7" w14:textId="77777777" w:rsidR="007A4E5D" w:rsidRPr="00C900AF" w:rsidRDefault="007A4E5D" w:rsidP="00404D0E">
      <w:pPr>
        <w:rPr>
          <w:lang w:val="en-US"/>
        </w:rPr>
      </w:pPr>
      <w:r>
        <w:rPr>
          <w:lang w:val="en-US"/>
        </w:rPr>
        <w:t>11.3</w:t>
      </w:r>
      <w:r>
        <w:rPr>
          <w:lang w:val="en-US"/>
        </w:rPr>
        <w:tab/>
      </w:r>
      <w:r w:rsidRPr="00404D0E">
        <w:rPr>
          <w:b/>
          <w:bCs/>
          <w:lang w:val="en-US"/>
        </w:rPr>
        <w:t>Approved</w:t>
      </w:r>
      <w:r w:rsidRPr="00C900AF">
        <w:rPr>
          <w:lang w:val="en-US"/>
        </w:rPr>
        <w:t>.</w:t>
      </w:r>
    </w:p>
    <w:p w14:paraId="61885EC8" w14:textId="77777777" w:rsidR="007A4E5D" w:rsidRPr="00BA089F" w:rsidRDefault="007A4E5D" w:rsidP="00404D0E">
      <w:pPr>
        <w:pStyle w:val="Headingb"/>
        <w:rPr>
          <w:lang w:val="en-GB"/>
        </w:rPr>
      </w:pPr>
      <w:bookmarkStart w:id="16" w:name="_Hlk25594614"/>
      <w:r w:rsidRPr="00BA089F">
        <w:rPr>
          <w:lang w:val="en-GB"/>
        </w:rPr>
        <w:t xml:space="preserve">ADD Resolution COM5/8 (WRC-19) </w:t>
      </w:r>
      <w:bookmarkEnd w:id="16"/>
      <w:r w:rsidRPr="00BA089F">
        <w:rPr>
          <w:lang w:val="en-GB"/>
        </w:rPr>
        <w:t>– Additional measures for satellite networks in the fixed-satellite service in frequency bands subject to Appendix 30B for the enhancement of equitable access to these frequency bands</w:t>
      </w:r>
    </w:p>
    <w:p w14:paraId="61885EC9" w14:textId="77777777" w:rsidR="007A4E5D" w:rsidRDefault="007A4E5D" w:rsidP="00404D0E">
      <w:pPr>
        <w:rPr>
          <w:lang w:val="en-US"/>
        </w:rPr>
      </w:pPr>
      <w:r>
        <w:rPr>
          <w:lang w:val="en-US"/>
        </w:rPr>
        <w:t>11.4</w:t>
      </w:r>
      <w:r>
        <w:rPr>
          <w:lang w:val="en-US"/>
        </w:rPr>
        <w:tab/>
        <w:t xml:space="preserve">The </w:t>
      </w:r>
      <w:r w:rsidRPr="0023341A">
        <w:rPr>
          <w:b/>
          <w:bCs/>
          <w:lang w:val="en-US"/>
        </w:rPr>
        <w:t>delegate of the</w:t>
      </w:r>
      <w:r>
        <w:rPr>
          <w:lang w:val="en-US"/>
        </w:rPr>
        <w:t xml:space="preserve"> </w:t>
      </w:r>
      <w:r w:rsidRPr="000B71EF">
        <w:rPr>
          <w:b/>
          <w:bCs/>
          <w:lang w:val="en-US"/>
        </w:rPr>
        <w:t>Republic of Korea</w:t>
      </w:r>
      <w:r>
        <w:rPr>
          <w:lang w:val="en-US"/>
        </w:rPr>
        <w:t xml:space="preserve"> proposed that, in order to ensure the consistent use of terminology, the word “administration” in paragraph 2) of Appendix 1 to Attachment 1 should be replaced with “assignment”.</w:t>
      </w:r>
    </w:p>
    <w:p w14:paraId="61885ECA" w14:textId="77777777" w:rsidR="007A4E5D" w:rsidRDefault="007A4E5D" w:rsidP="00404D0E">
      <w:pPr>
        <w:rPr>
          <w:lang w:val="en-US"/>
        </w:rPr>
      </w:pPr>
      <w:r>
        <w:rPr>
          <w:lang w:val="en-US"/>
        </w:rPr>
        <w:t>11.5</w:t>
      </w:r>
      <w:r>
        <w:rPr>
          <w:lang w:val="en-US"/>
        </w:rPr>
        <w:tab/>
        <w:t xml:space="preserve">The </w:t>
      </w:r>
      <w:r w:rsidRPr="0023341A">
        <w:rPr>
          <w:b/>
          <w:bCs/>
          <w:lang w:val="en-US"/>
        </w:rPr>
        <w:t>delegate of the</w:t>
      </w:r>
      <w:r>
        <w:rPr>
          <w:lang w:val="en-US"/>
        </w:rPr>
        <w:t xml:space="preserve"> </w:t>
      </w:r>
      <w:r w:rsidRPr="000B71EF">
        <w:rPr>
          <w:b/>
          <w:bCs/>
          <w:lang w:val="en-US"/>
        </w:rPr>
        <w:t>Islamic Republic of Iran</w:t>
      </w:r>
      <w:r>
        <w:rPr>
          <w:lang w:val="en-US"/>
        </w:rPr>
        <w:t xml:space="preserve">, supported by the </w:t>
      </w:r>
      <w:r>
        <w:rPr>
          <w:b/>
          <w:bCs/>
          <w:lang w:val="en-US"/>
        </w:rPr>
        <w:t xml:space="preserve">delegate of </w:t>
      </w:r>
      <w:r w:rsidRPr="00D03695">
        <w:rPr>
          <w:b/>
          <w:bCs/>
          <w:lang w:val="en-US"/>
        </w:rPr>
        <w:t xml:space="preserve">Egypt </w:t>
      </w:r>
      <w:r>
        <w:rPr>
          <w:lang w:val="en-US"/>
        </w:rPr>
        <w:t xml:space="preserve">speaking as the </w:t>
      </w:r>
      <w:r w:rsidRPr="00D03695">
        <w:rPr>
          <w:lang w:val="en-US"/>
        </w:rPr>
        <w:t>Chairman of Working Group 5B</w:t>
      </w:r>
      <w:r>
        <w:rPr>
          <w:lang w:val="en-US"/>
        </w:rPr>
        <w:t xml:space="preserve">, said that it was usual to refer in the Radio Regulations to an “affected administration” and the text should remain as it stood. The comments by the delegate of the Republic of Korea might be reflected in the minutes. </w:t>
      </w:r>
    </w:p>
    <w:p w14:paraId="61885ECB" w14:textId="77777777" w:rsidR="007A4E5D" w:rsidRPr="00DA5C1F" w:rsidRDefault="007A4E5D" w:rsidP="00404D0E">
      <w:pPr>
        <w:rPr>
          <w:lang w:val="en-US"/>
        </w:rPr>
      </w:pPr>
      <w:r>
        <w:rPr>
          <w:lang w:val="en-US"/>
        </w:rPr>
        <w:t>11.6</w:t>
      </w:r>
      <w:r>
        <w:rPr>
          <w:lang w:val="en-US"/>
        </w:rPr>
        <w:tab/>
        <w:t xml:space="preserve">The </w:t>
      </w:r>
      <w:r>
        <w:rPr>
          <w:b/>
          <w:bCs/>
          <w:lang w:val="en-US"/>
        </w:rPr>
        <w:t>representative</w:t>
      </w:r>
      <w:r w:rsidRPr="000B71EF">
        <w:rPr>
          <w:b/>
          <w:bCs/>
          <w:lang w:val="en-US"/>
        </w:rPr>
        <w:t xml:space="preserve"> of BR</w:t>
      </w:r>
      <w:r>
        <w:rPr>
          <w:lang w:val="en-US"/>
        </w:rPr>
        <w:t xml:space="preserve"> said that the proposed amendment would</w:t>
      </w:r>
      <w:r w:rsidRPr="00DA5C1F">
        <w:rPr>
          <w:lang w:val="en-US"/>
        </w:rPr>
        <w:t xml:space="preserve"> have no impact on </w:t>
      </w:r>
      <w:r>
        <w:rPr>
          <w:lang w:val="en-US"/>
        </w:rPr>
        <w:t>the B</w:t>
      </w:r>
      <w:r w:rsidRPr="00DA5C1F">
        <w:rPr>
          <w:lang w:val="en-US"/>
        </w:rPr>
        <w:t>ureau</w:t>
      </w:r>
      <w:r>
        <w:rPr>
          <w:lang w:val="en-US"/>
        </w:rPr>
        <w:t>’s</w:t>
      </w:r>
      <w:r w:rsidRPr="00DA5C1F">
        <w:rPr>
          <w:lang w:val="en-US"/>
        </w:rPr>
        <w:t xml:space="preserve"> </w:t>
      </w:r>
      <w:r>
        <w:rPr>
          <w:lang w:val="en-US"/>
        </w:rPr>
        <w:t xml:space="preserve">application of </w:t>
      </w:r>
      <w:r w:rsidRPr="000333DD">
        <w:rPr>
          <w:lang w:val="en-US"/>
        </w:rPr>
        <w:t xml:space="preserve">the provision. </w:t>
      </w:r>
      <w:r>
        <w:rPr>
          <w:lang w:val="en-US"/>
        </w:rPr>
        <w:t xml:space="preserve">He noted that there was no contradiction between the understanding of the delegate of the Republic of Korea and that agreed in the </w:t>
      </w:r>
      <w:r w:rsidRPr="000333DD">
        <w:rPr>
          <w:lang w:val="en-US"/>
        </w:rPr>
        <w:t>committee.</w:t>
      </w:r>
    </w:p>
    <w:p w14:paraId="61885ECC" w14:textId="77777777" w:rsidR="007A4E5D" w:rsidRPr="00FE43E9" w:rsidRDefault="007A4E5D" w:rsidP="00404D0E">
      <w:pPr>
        <w:rPr>
          <w:lang w:val="en-US"/>
        </w:rPr>
      </w:pPr>
      <w:r>
        <w:rPr>
          <w:lang w:val="en-US"/>
        </w:rPr>
        <w:t>11.7</w:t>
      </w:r>
      <w:r>
        <w:rPr>
          <w:lang w:val="en-US"/>
        </w:rPr>
        <w:tab/>
        <w:t xml:space="preserve">The </w:t>
      </w:r>
      <w:r w:rsidRPr="00E4486D">
        <w:rPr>
          <w:b/>
          <w:bCs/>
          <w:lang w:val="en-US"/>
        </w:rPr>
        <w:t>Chairman</w:t>
      </w:r>
      <w:r>
        <w:rPr>
          <w:lang w:val="en-US"/>
        </w:rPr>
        <w:t xml:space="preserve"> took it that the Plenary </w:t>
      </w:r>
      <w:r w:rsidRPr="00FE43E9">
        <w:rPr>
          <w:lang w:val="en-US"/>
        </w:rPr>
        <w:t xml:space="preserve">wished to keep the text unchanged and to </w:t>
      </w:r>
      <w:r>
        <w:rPr>
          <w:lang w:val="en-US"/>
        </w:rPr>
        <w:t>note</w:t>
      </w:r>
      <w:r w:rsidRPr="00FE43E9">
        <w:rPr>
          <w:lang w:val="en-US"/>
        </w:rPr>
        <w:t xml:space="preserve"> the comments of the delegate of </w:t>
      </w:r>
      <w:r>
        <w:rPr>
          <w:lang w:val="en-US"/>
        </w:rPr>
        <w:t xml:space="preserve">the Republic of </w:t>
      </w:r>
      <w:r w:rsidRPr="00FE43E9">
        <w:rPr>
          <w:lang w:val="en-US"/>
        </w:rPr>
        <w:t>Korea.</w:t>
      </w:r>
    </w:p>
    <w:p w14:paraId="61885ECD" w14:textId="77777777" w:rsidR="007A4E5D" w:rsidRPr="00DA5C1F" w:rsidRDefault="007A4E5D" w:rsidP="00404D0E">
      <w:pPr>
        <w:rPr>
          <w:lang w:val="en-US"/>
        </w:rPr>
      </w:pPr>
      <w:r>
        <w:rPr>
          <w:lang w:val="en-US"/>
        </w:rPr>
        <w:t>11.8</w:t>
      </w:r>
      <w:r>
        <w:rPr>
          <w:lang w:val="en-US"/>
        </w:rPr>
        <w:tab/>
      </w:r>
      <w:r w:rsidRPr="00DA5C1F">
        <w:rPr>
          <w:lang w:val="en-US"/>
        </w:rPr>
        <w:t xml:space="preserve">It was so </w:t>
      </w:r>
      <w:r w:rsidRPr="00E4486D">
        <w:rPr>
          <w:b/>
          <w:bCs/>
          <w:lang w:val="en-US"/>
        </w:rPr>
        <w:t>agreed</w:t>
      </w:r>
      <w:r w:rsidRPr="00DA5C1F">
        <w:rPr>
          <w:lang w:val="en-US"/>
        </w:rPr>
        <w:t>.</w:t>
      </w:r>
    </w:p>
    <w:p w14:paraId="61885ECE" w14:textId="77777777" w:rsidR="007A4E5D" w:rsidRDefault="007A4E5D" w:rsidP="00404D0E">
      <w:pPr>
        <w:rPr>
          <w:lang w:val="en-US"/>
        </w:rPr>
      </w:pPr>
      <w:r>
        <w:rPr>
          <w:lang w:val="en-US"/>
        </w:rPr>
        <w:lastRenderedPageBreak/>
        <w:t>11.9</w:t>
      </w:r>
      <w:r>
        <w:rPr>
          <w:lang w:val="en-US"/>
        </w:rPr>
        <w:tab/>
      </w:r>
      <w:r w:rsidRPr="007072F0">
        <w:rPr>
          <w:lang w:val="en-US"/>
        </w:rPr>
        <w:t>ADD Resolution COM5/8 (WRC-19)</w:t>
      </w:r>
      <w:r>
        <w:rPr>
          <w:b/>
          <w:bCs/>
          <w:lang w:val="en-US"/>
        </w:rPr>
        <w:t xml:space="preserve"> </w:t>
      </w:r>
      <w:r w:rsidRPr="00673830">
        <w:rPr>
          <w:lang w:val="en-US"/>
        </w:rPr>
        <w:t xml:space="preserve">was </w:t>
      </w:r>
      <w:r>
        <w:rPr>
          <w:b/>
          <w:bCs/>
          <w:lang w:val="en-US"/>
        </w:rPr>
        <w:t>approved</w:t>
      </w:r>
      <w:r w:rsidRPr="00404D0E">
        <w:rPr>
          <w:lang w:val="en-US"/>
        </w:rPr>
        <w:t>.</w:t>
      </w:r>
    </w:p>
    <w:p w14:paraId="61885ECF" w14:textId="77777777" w:rsidR="007A4E5D" w:rsidRDefault="007A4E5D" w:rsidP="00404D0E">
      <w:pPr>
        <w:rPr>
          <w:b/>
          <w:bCs/>
          <w:lang w:val="en-US"/>
        </w:rPr>
      </w:pPr>
      <w:r>
        <w:rPr>
          <w:lang w:val="en-US"/>
        </w:rPr>
        <w:t>11.10</w:t>
      </w:r>
      <w:r>
        <w:rPr>
          <w:lang w:val="en-US"/>
        </w:rPr>
        <w:tab/>
      </w:r>
      <w:r w:rsidRPr="00673830">
        <w:rPr>
          <w:lang w:val="en-US"/>
        </w:rPr>
        <w:t>The forty-fifth series of texts submitted by the Editorial Committee for first reading (B45) (Document 507) was</w:t>
      </w:r>
      <w:r w:rsidRPr="00673830">
        <w:rPr>
          <w:b/>
          <w:bCs/>
          <w:lang w:val="en-US"/>
        </w:rPr>
        <w:t xml:space="preserve"> approved</w:t>
      </w:r>
      <w:r w:rsidRPr="00404D0E">
        <w:rPr>
          <w:lang w:val="en-US"/>
        </w:rPr>
        <w:t>.</w:t>
      </w:r>
    </w:p>
    <w:p w14:paraId="61885ED0" w14:textId="77777777" w:rsidR="007A4E5D" w:rsidRPr="00DC173F" w:rsidRDefault="007A4E5D" w:rsidP="00404D0E">
      <w:pPr>
        <w:pStyle w:val="Heading1"/>
        <w:rPr>
          <w:lang w:val="en-US"/>
        </w:rPr>
      </w:pPr>
      <w:r>
        <w:rPr>
          <w:lang w:val="en-US"/>
        </w:rPr>
        <w:t>12</w:t>
      </w:r>
      <w:r>
        <w:rPr>
          <w:lang w:val="en-US"/>
        </w:rPr>
        <w:tab/>
        <w:t>F</w:t>
      </w:r>
      <w:r w:rsidRPr="00DC173F">
        <w:rPr>
          <w:lang w:val="en-US"/>
        </w:rPr>
        <w:t>orty-fifth series of texts submitted by the Editorial Committee</w:t>
      </w:r>
      <w:r>
        <w:rPr>
          <w:lang w:val="en-US"/>
        </w:rPr>
        <w:t xml:space="preserve"> (B45)</w:t>
      </w:r>
      <w:r w:rsidRPr="00DC173F">
        <w:rPr>
          <w:lang w:val="en-US"/>
        </w:rPr>
        <w:t xml:space="preserve"> </w:t>
      </w:r>
      <w:r>
        <w:rPr>
          <w:lang w:val="en-US"/>
        </w:rPr>
        <w:t xml:space="preserve">– second reading </w:t>
      </w:r>
      <w:r w:rsidRPr="003A5398">
        <w:rPr>
          <w:lang w:val="en-US"/>
        </w:rPr>
        <w:t>(Documents 507 and 509)</w:t>
      </w:r>
      <w:r w:rsidRPr="00BD6F7F">
        <w:rPr>
          <w:lang w:val="en-US"/>
        </w:rPr>
        <w:t xml:space="preserve"> </w:t>
      </w:r>
    </w:p>
    <w:p w14:paraId="61885ED1" w14:textId="77777777" w:rsidR="007A4E5D" w:rsidRPr="00DC173F" w:rsidRDefault="007A4E5D" w:rsidP="00404D0E">
      <w:pPr>
        <w:rPr>
          <w:lang w:val="en-US"/>
        </w:rPr>
      </w:pPr>
      <w:r>
        <w:rPr>
          <w:lang w:val="en-US"/>
        </w:rPr>
        <w:t>12.1</w:t>
      </w:r>
      <w:r>
        <w:rPr>
          <w:lang w:val="en-US"/>
        </w:rPr>
        <w:tab/>
      </w:r>
      <w:r w:rsidRPr="00DC173F">
        <w:rPr>
          <w:lang w:val="en-US"/>
        </w:rPr>
        <w:t>The forty-fifth series of texts submitted by the Edit</w:t>
      </w:r>
      <w:r w:rsidR="00404D0E">
        <w:rPr>
          <w:lang w:val="en-US"/>
        </w:rPr>
        <w:t>orial Committee (B45) (Document </w:t>
      </w:r>
      <w:r w:rsidRPr="00DC173F">
        <w:rPr>
          <w:lang w:val="en-US"/>
        </w:rPr>
        <w:t>507</w:t>
      </w:r>
      <w:r>
        <w:rPr>
          <w:lang w:val="en-US"/>
        </w:rPr>
        <w:t xml:space="preserve">) was </w:t>
      </w:r>
      <w:r w:rsidRPr="00DC173F">
        <w:rPr>
          <w:b/>
          <w:bCs/>
          <w:lang w:val="en-US"/>
        </w:rPr>
        <w:t>approved</w:t>
      </w:r>
      <w:r>
        <w:rPr>
          <w:lang w:val="en-US"/>
        </w:rPr>
        <w:t xml:space="preserve"> on</w:t>
      </w:r>
      <w:r w:rsidRPr="00DC173F">
        <w:rPr>
          <w:lang w:val="en-US"/>
        </w:rPr>
        <w:t xml:space="preserve"> second reading</w:t>
      </w:r>
      <w:r>
        <w:rPr>
          <w:lang w:val="en-US"/>
        </w:rPr>
        <w:t>.</w:t>
      </w:r>
    </w:p>
    <w:p w14:paraId="61885ED2" w14:textId="77777777" w:rsidR="007A4E5D" w:rsidRPr="000E54EA" w:rsidRDefault="007A4E5D" w:rsidP="00404D0E">
      <w:pPr>
        <w:rPr>
          <w:lang w:val="en-US"/>
        </w:rPr>
      </w:pPr>
      <w:r>
        <w:rPr>
          <w:lang w:val="en-US"/>
        </w:rPr>
        <w:t>12.2</w:t>
      </w:r>
      <w:r>
        <w:rPr>
          <w:lang w:val="en-US"/>
        </w:rPr>
        <w:tab/>
      </w:r>
      <w:r w:rsidRPr="000E54EA">
        <w:rPr>
          <w:lang w:val="en-US"/>
        </w:rPr>
        <w:t xml:space="preserve">The </w:t>
      </w:r>
      <w:r w:rsidRPr="000E54EA">
        <w:rPr>
          <w:b/>
          <w:bCs/>
          <w:lang w:val="en-US"/>
        </w:rPr>
        <w:t>Chairman</w:t>
      </w:r>
      <w:r w:rsidRPr="000E54EA">
        <w:rPr>
          <w:lang w:val="en-US"/>
        </w:rPr>
        <w:t xml:space="preserve"> </w:t>
      </w:r>
      <w:r w:rsidRPr="00673830">
        <w:rPr>
          <w:lang w:val="en-US"/>
        </w:rPr>
        <w:t xml:space="preserve">invited </w:t>
      </w:r>
      <w:r>
        <w:rPr>
          <w:lang w:val="en-US"/>
        </w:rPr>
        <w:t>participants</w:t>
      </w:r>
      <w:r w:rsidRPr="00673830">
        <w:rPr>
          <w:lang w:val="en-US"/>
        </w:rPr>
        <w:t xml:space="preserve"> to consider Document </w:t>
      </w:r>
      <w:r>
        <w:rPr>
          <w:lang w:val="en-US"/>
        </w:rPr>
        <w:t>509</w:t>
      </w:r>
      <w:r w:rsidRPr="00673830">
        <w:rPr>
          <w:lang w:val="en-US"/>
        </w:rPr>
        <w:t xml:space="preserve">, the approval of which had been deferred from earlier </w:t>
      </w:r>
      <w:r>
        <w:rPr>
          <w:lang w:val="en-US"/>
        </w:rPr>
        <w:t>in</w:t>
      </w:r>
      <w:r w:rsidRPr="00673830">
        <w:rPr>
          <w:lang w:val="en-US"/>
        </w:rPr>
        <w:t xml:space="preserve"> the meeting. </w:t>
      </w:r>
      <w:r>
        <w:rPr>
          <w:lang w:val="en-US"/>
        </w:rPr>
        <w:t xml:space="preserve">It was </w:t>
      </w:r>
      <w:r w:rsidRPr="00673830">
        <w:rPr>
          <w:lang w:val="en-US"/>
        </w:rPr>
        <w:t xml:space="preserve">proposed that the following text, contained in the document, be approved and included in the minutes of the </w:t>
      </w:r>
      <w:r>
        <w:rPr>
          <w:lang w:val="en-US"/>
        </w:rPr>
        <w:t xml:space="preserve">plenary </w:t>
      </w:r>
      <w:r w:rsidRPr="00673830">
        <w:rPr>
          <w:lang w:val="en-US"/>
        </w:rPr>
        <w:t>meeting as a decision of the conference:</w:t>
      </w:r>
    </w:p>
    <w:p w14:paraId="61885ED3" w14:textId="77777777" w:rsidR="007A4E5D" w:rsidRPr="00E4486D" w:rsidRDefault="007A4E5D" w:rsidP="00404D0E">
      <w:pPr>
        <w:pStyle w:val="Title4"/>
        <w:rPr>
          <w:lang w:val="en-US"/>
        </w:rPr>
      </w:pPr>
      <w:r>
        <w:rPr>
          <w:lang w:val="en-US"/>
        </w:rPr>
        <w:t>“</w:t>
      </w:r>
      <w:r w:rsidRPr="00E4486D">
        <w:rPr>
          <w:lang w:val="en-US"/>
        </w:rPr>
        <w:t xml:space="preserve">Instructions to the Radiocommunication Bureau in application of </w:t>
      </w:r>
      <w:r w:rsidRPr="00E4486D">
        <w:rPr>
          <w:lang w:val="en-US"/>
        </w:rPr>
        <w:br/>
        <w:t>Resolution [A7(E)-AP30B] (WRC-19)</w:t>
      </w:r>
    </w:p>
    <w:p w14:paraId="61885ED4" w14:textId="77777777" w:rsidR="007A4E5D" w:rsidRPr="00E4486D" w:rsidRDefault="007A4E5D" w:rsidP="001F2D0B">
      <w:pPr>
        <w:pStyle w:val="Heading1"/>
        <w:rPr>
          <w:lang w:val="en-US"/>
        </w:rPr>
      </w:pPr>
      <w:r w:rsidRPr="00E4486D">
        <w:rPr>
          <w:lang w:val="en-US"/>
        </w:rPr>
        <w:t>1</w:t>
      </w:r>
      <w:r w:rsidRPr="00E4486D">
        <w:rPr>
          <w:lang w:val="en-US"/>
        </w:rPr>
        <w:tab/>
        <w:t xml:space="preserve">Application of the § 2 of the attachment of Resolution [A7(E)-AP30B] (WRC-19) for modification under </w:t>
      </w:r>
      <w:r w:rsidRPr="00E4486D">
        <w:rPr>
          <w:lang w:val="en-US" w:eastAsia="zh-CN"/>
        </w:rPr>
        <w:t>§ 6.1 of RR Appendix </w:t>
      </w:r>
      <w:r w:rsidRPr="00E4486D">
        <w:rPr>
          <w:lang w:val="en-US"/>
        </w:rPr>
        <w:t xml:space="preserve">30B </w:t>
      </w:r>
      <w:r w:rsidRPr="00E4486D">
        <w:rPr>
          <w:lang w:val="en-US" w:eastAsia="zh-CN"/>
        </w:rPr>
        <w:t>of a submission previously sent to the Bureau under § 6.1 of RR Appendix </w:t>
      </w:r>
      <w:r w:rsidRPr="00E4486D">
        <w:rPr>
          <w:lang w:val="en-US"/>
        </w:rPr>
        <w:t>30B</w:t>
      </w:r>
    </w:p>
    <w:p w14:paraId="61885ED5" w14:textId="77777777" w:rsidR="007A4E5D" w:rsidRPr="00E4486D" w:rsidRDefault="007A4E5D" w:rsidP="001F2D0B">
      <w:pPr>
        <w:rPr>
          <w:lang w:val="en-US"/>
        </w:rPr>
      </w:pPr>
      <w:r w:rsidRPr="00E4486D">
        <w:rPr>
          <w:lang w:val="en-US"/>
        </w:rPr>
        <w:t xml:space="preserve">When, under the application of § 2 of the attachment of Resolution </w:t>
      </w:r>
      <w:r w:rsidRPr="00E4486D">
        <w:rPr>
          <w:b/>
          <w:bCs/>
          <w:lang w:val="en-US"/>
        </w:rPr>
        <w:t>[A7(E)-AP30B]</w:t>
      </w:r>
      <w:r w:rsidRPr="00E4486D">
        <w:rPr>
          <w:rFonts w:ascii="Times New Roman Bold" w:hAnsi="Times New Roman Bold"/>
          <w:b/>
          <w:szCs w:val="24"/>
          <w:lang w:val="en-US"/>
        </w:rPr>
        <w:t xml:space="preserve"> (WRC-19)</w:t>
      </w:r>
      <w:r w:rsidRPr="00E4486D">
        <w:rPr>
          <w:lang w:val="en-US"/>
        </w:rPr>
        <w:t xml:space="preserve">, an administration intends to modify a submission previously sent to the Bureau under § 6.1 of RR Appendix </w:t>
      </w:r>
      <w:r w:rsidRPr="00E4486D">
        <w:rPr>
          <w:b/>
          <w:lang w:val="en-US"/>
        </w:rPr>
        <w:t>30B</w:t>
      </w:r>
      <w:r w:rsidRPr="00E4486D">
        <w:rPr>
          <w:lang w:val="en-US"/>
        </w:rPr>
        <w:t xml:space="preserve">, to resubmit such submission under § 6.1 of RR Appendix </w:t>
      </w:r>
      <w:r w:rsidRPr="00E4486D">
        <w:rPr>
          <w:b/>
          <w:lang w:val="en-US"/>
        </w:rPr>
        <w:t>30B</w:t>
      </w:r>
      <w:r w:rsidRPr="00E4486D">
        <w:rPr>
          <w:lang w:val="en-US"/>
        </w:rPr>
        <w:t xml:space="preserve"> applying the special procedure described in the Attachment of Resolution </w:t>
      </w:r>
      <w:r w:rsidRPr="00E4486D">
        <w:rPr>
          <w:b/>
          <w:bCs/>
          <w:lang w:val="en-US"/>
        </w:rPr>
        <w:t>[A7(E)-AP30B]</w:t>
      </w:r>
      <w:r w:rsidRPr="00E4486D">
        <w:rPr>
          <w:lang w:val="en-US"/>
        </w:rPr>
        <w:t xml:space="preserve"> </w:t>
      </w:r>
      <w:r w:rsidRPr="00E4486D">
        <w:rPr>
          <w:rFonts w:ascii="Times New Roman Bold" w:hAnsi="Times New Roman Bold"/>
          <w:b/>
          <w:szCs w:val="24"/>
          <w:lang w:val="en-US"/>
        </w:rPr>
        <w:t>(WRC-19)</w:t>
      </w:r>
      <w:r w:rsidRPr="00E4486D">
        <w:rPr>
          <w:lang w:val="en-US"/>
        </w:rPr>
        <w:t>, the Bureau shall verify if the minimum ellipse submitted under this procedure is within the envelope of the initial submission under § 6.1 of RR Appendix </w:t>
      </w:r>
      <w:r w:rsidRPr="00E4486D">
        <w:rPr>
          <w:b/>
          <w:lang w:val="en-US"/>
        </w:rPr>
        <w:t>30B</w:t>
      </w:r>
      <w:r w:rsidRPr="00E4486D">
        <w:rPr>
          <w:lang w:val="en-US"/>
        </w:rPr>
        <w:t xml:space="preserve">. If this is the case, the Bureau shall keep the initial date of receipt of the initial submission under § 6.1 of RR Appendix </w:t>
      </w:r>
      <w:r w:rsidRPr="00E4486D">
        <w:rPr>
          <w:b/>
          <w:lang w:val="en-US"/>
        </w:rPr>
        <w:t>30B</w:t>
      </w:r>
      <w:r w:rsidRPr="00E4486D">
        <w:rPr>
          <w:lang w:val="en-US"/>
        </w:rPr>
        <w:t>, shall restart compatibility examination with existing filing and shall publish a new special section. Otherwise, the Bureau shall give a new date of reception which is the date of reception of request application of this procedure.</w:t>
      </w:r>
    </w:p>
    <w:p w14:paraId="61885ED6" w14:textId="77777777" w:rsidR="007A4E5D" w:rsidRPr="00E4486D" w:rsidRDefault="007A4E5D" w:rsidP="001F2D0B">
      <w:pPr>
        <w:pStyle w:val="Heading1"/>
        <w:rPr>
          <w:lang w:val="en-US"/>
        </w:rPr>
      </w:pPr>
      <w:r w:rsidRPr="00E4486D">
        <w:rPr>
          <w:lang w:val="en-US"/>
        </w:rPr>
        <w:t>2</w:t>
      </w:r>
      <w:r w:rsidRPr="00E4486D">
        <w:rPr>
          <w:lang w:val="en-US"/>
        </w:rPr>
        <w:tab/>
        <w:t xml:space="preserve">Application of the § 2 of the attachment of Resolution [A7(E)-AP30B] (WRC-19) for direct submission under </w:t>
      </w:r>
      <w:r w:rsidRPr="00E4486D">
        <w:rPr>
          <w:lang w:val="en-US" w:eastAsia="zh-CN"/>
        </w:rPr>
        <w:t>§ 6.17 of RR Appendix </w:t>
      </w:r>
      <w:r w:rsidRPr="00E4486D">
        <w:rPr>
          <w:lang w:val="en-US"/>
        </w:rPr>
        <w:t xml:space="preserve">30B </w:t>
      </w:r>
      <w:r w:rsidRPr="00E4486D">
        <w:rPr>
          <w:lang w:val="en-US" w:eastAsia="zh-CN"/>
        </w:rPr>
        <w:t>of a submission previously sent to the Bureau under § 6.1 of RR Appendix </w:t>
      </w:r>
      <w:r w:rsidRPr="00E4486D">
        <w:rPr>
          <w:lang w:val="en-US"/>
        </w:rPr>
        <w:t>30B</w:t>
      </w:r>
    </w:p>
    <w:p w14:paraId="61885ED7" w14:textId="77777777" w:rsidR="007A4E5D" w:rsidRPr="003A5398" w:rsidRDefault="007A4E5D" w:rsidP="001F2D0B">
      <w:pPr>
        <w:pStyle w:val="enumlev1"/>
      </w:pPr>
      <w:r w:rsidRPr="003A5398">
        <w:t>a)</w:t>
      </w:r>
      <w:r w:rsidRPr="003A5398">
        <w:tab/>
        <w:t xml:space="preserve">Submission of an ellipse under </w:t>
      </w:r>
      <w:r w:rsidRPr="003A5398">
        <w:rPr>
          <w:lang w:eastAsia="zh-CN"/>
        </w:rPr>
        <w:t>§ 6.17 of RR Appendix </w:t>
      </w:r>
      <w:r w:rsidRPr="003A5398">
        <w:t>30B</w:t>
      </w:r>
    </w:p>
    <w:p w14:paraId="61885ED8" w14:textId="77777777" w:rsidR="007A4E5D" w:rsidRPr="00E4486D" w:rsidRDefault="007A4E5D" w:rsidP="001F2D0B">
      <w:pPr>
        <w:pStyle w:val="enumlev1"/>
        <w:rPr>
          <w:lang w:val="en-US"/>
        </w:rPr>
      </w:pPr>
      <w:r w:rsidRPr="00E4486D">
        <w:rPr>
          <w:lang w:val="en-US"/>
        </w:rPr>
        <w:tab/>
        <w:t xml:space="preserve">When, under the application of § 2 of the attachment of Resolution </w:t>
      </w:r>
      <w:r w:rsidRPr="00E4486D">
        <w:rPr>
          <w:b/>
          <w:bCs/>
          <w:lang w:val="en-US"/>
        </w:rPr>
        <w:t>[A7(E)-AP30B]</w:t>
      </w:r>
      <w:r w:rsidRPr="00E4486D">
        <w:rPr>
          <w:rFonts w:ascii="Times New Roman Bold" w:hAnsi="Times New Roman Bold"/>
          <w:b/>
          <w:szCs w:val="24"/>
          <w:lang w:val="en-US"/>
        </w:rPr>
        <w:t xml:space="preserve"> (WRC-19)</w:t>
      </w:r>
      <w:r w:rsidRPr="00E4486D">
        <w:rPr>
          <w:lang w:val="en-US"/>
        </w:rPr>
        <w:t>, an administration intends to directly submit under § 6.17 of RR Appendix </w:t>
      </w:r>
      <w:r w:rsidRPr="00E4486D">
        <w:rPr>
          <w:b/>
          <w:lang w:val="en-US"/>
        </w:rPr>
        <w:t>30B</w:t>
      </w:r>
      <w:r w:rsidRPr="00E4486D">
        <w:rPr>
          <w:lang w:val="en-US"/>
        </w:rPr>
        <w:t xml:space="preserve"> and apply the special procedure described in the Attachment of Resolution </w:t>
      </w:r>
      <w:r w:rsidRPr="00E4486D">
        <w:rPr>
          <w:b/>
          <w:bCs/>
          <w:lang w:val="en-US"/>
        </w:rPr>
        <w:t xml:space="preserve">[A7(E)-AP30B] </w:t>
      </w:r>
      <w:r w:rsidRPr="00E4486D">
        <w:rPr>
          <w:rFonts w:ascii="Times New Roman Bold" w:hAnsi="Times New Roman Bold"/>
          <w:b/>
          <w:szCs w:val="24"/>
          <w:lang w:val="en-US"/>
        </w:rPr>
        <w:t>(WRC-19)</w:t>
      </w:r>
      <w:r w:rsidRPr="00E4486D">
        <w:rPr>
          <w:lang w:val="en-US"/>
        </w:rPr>
        <w:t xml:space="preserve"> to a submission previously sent to the Bureau under § 6.1 of RR Appendix </w:t>
      </w:r>
      <w:r w:rsidRPr="00E4486D">
        <w:rPr>
          <w:b/>
          <w:lang w:val="en-US"/>
        </w:rPr>
        <w:t>30B</w:t>
      </w:r>
      <w:r w:rsidRPr="00E4486D">
        <w:rPr>
          <w:lang w:val="en-US"/>
        </w:rPr>
        <w:t>, the Bureau shall verify if the minimum ellipse submitted under this procedure is within the envelope of the initial submission under § 6.1 of RR Appendix </w:t>
      </w:r>
      <w:r w:rsidRPr="00E4486D">
        <w:rPr>
          <w:b/>
          <w:lang w:val="en-US"/>
        </w:rPr>
        <w:t>30B</w:t>
      </w:r>
      <w:r w:rsidRPr="00E4486D">
        <w:rPr>
          <w:lang w:val="en-US"/>
        </w:rPr>
        <w:t>. If this is the case, the Bureau shall keep the initial date of receipt of the initial submission under § 6.1 of RR Appendix </w:t>
      </w:r>
      <w:r w:rsidRPr="00E4486D">
        <w:rPr>
          <w:b/>
          <w:lang w:val="en-US"/>
        </w:rPr>
        <w:t>30B</w:t>
      </w:r>
      <w:r w:rsidRPr="00E4486D">
        <w:rPr>
          <w:lang w:val="en-US"/>
        </w:rPr>
        <w:t xml:space="preserve"> and shall perform analysis under § 6.17 of Appendix </w:t>
      </w:r>
      <w:r w:rsidRPr="00E4486D">
        <w:rPr>
          <w:b/>
          <w:lang w:val="en-US"/>
        </w:rPr>
        <w:t>30B</w:t>
      </w:r>
      <w:r w:rsidRPr="00E4486D">
        <w:rPr>
          <w:lang w:val="en-US"/>
        </w:rPr>
        <w:t xml:space="preserve"> based on this minimum ellipse. Otherwise, the Bureau shall return the notice to the administration.</w:t>
      </w:r>
    </w:p>
    <w:p w14:paraId="61885ED9" w14:textId="77777777" w:rsidR="007A4E5D" w:rsidRPr="003A5398" w:rsidRDefault="007A4E5D" w:rsidP="001F2D0B">
      <w:pPr>
        <w:pStyle w:val="enumlev1"/>
      </w:pPr>
      <w:r w:rsidRPr="003A5398">
        <w:t>b)</w:t>
      </w:r>
      <w:r w:rsidRPr="003A5398">
        <w:tab/>
        <w:t>Submission of a shaped beam under § 6.17 of Appendix 30B</w:t>
      </w:r>
    </w:p>
    <w:p w14:paraId="61885EDA" w14:textId="77777777" w:rsidR="007A4E5D" w:rsidRPr="00E4486D" w:rsidRDefault="007A4E5D" w:rsidP="001F2D0B">
      <w:pPr>
        <w:pStyle w:val="enumlev1"/>
        <w:rPr>
          <w:lang w:val="en-US"/>
        </w:rPr>
      </w:pPr>
      <w:r w:rsidRPr="00E4486D">
        <w:rPr>
          <w:lang w:val="en-US"/>
        </w:rPr>
        <w:lastRenderedPageBreak/>
        <w:tab/>
        <w:t xml:space="preserve">When, under the application of § 2 of the attachment of Resolution </w:t>
      </w:r>
      <w:r w:rsidRPr="00E4486D">
        <w:rPr>
          <w:b/>
          <w:bCs/>
          <w:lang w:val="en-US"/>
        </w:rPr>
        <w:t>[A7(E)-AP30B]</w:t>
      </w:r>
      <w:r w:rsidRPr="00E4486D">
        <w:rPr>
          <w:lang w:val="en-US"/>
        </w:rPr>
        <w:t xml:space="preserve"> </w:t>
      </w:r>
      <w:r w:rsidRPr="00E4486D">
        <w:rPr>
          <w:rFonts w:ascii="Times New Roman Bold" w:hAnsi="Times New Roman Bold"/>
          <w:b/>
          <w:szCs w:val="24"/>
          <w:lang w:val="en-US"/>
        </w:rPr>
        <w:t>(WRC-19)</w:t>
      </w:r>
      <w:r w:rsidRPr="00E4486D">
        <w:rPr>
          <w:lang w:val="en-US"/>
        </w:rPr>
        <w:t>, an administration intends to directly submit under § 6.17 of RR Appendix </w:t>
      </w:r>
      <w:r w:rsidRPr="00E4486D">
        <w:rPr>
          <w:b/>
          <w:lang w:val="en-US"/>
        </w:rPr>
        <w:t>30B</w:t>
      </w:r>
      <w:r w:rsidRPr="00E4486D">
        <w:rPr>
          <w:lang w:val="en-US"/>
        </w:rPr>
        <w:t xml:space="preserve"> and apply the special procedure described in the Attachment of Resolution </w:t>
      </w:r>
      <w:r w:rsidRPr="00E4486D">
        <w:rPr>
          <w:b/>
          <w:bCs/>
          <w:lang w:val="en-US"/>
        </w:rPr>
        <w:t>[A7(E)-AP30B]</w:t>
      </w:r>
      <w:r w:rsidRPr="00E4486D">
        <w:rPr>
          <w:rFonts w:ascii="Times New Roman Bold" w:hAnsi="Times New Roman Bold"/>
          <w:b/>
          <w:szCs w:val="24"/>
          <w:lang w:val="en-US"/>
        </w:rPr>
        <w:t xml:space="preserve"> (WRC-19)</w:t>
      </w:r>
      <w:r w:rsidRPr="00E4486D">
        <w:rPr>
          <w:lang w:val="en-US"/>
        </w:rPr>
        <w:t xml:space="preserve"> to a submission previously sent to the Bureau under § 6.1 of RR Appendix </w:t>
      </w:r>
      <w:r w:rsidRPr="00E4486D">
        <w:rPr>
          <w:b/>
          <w:lang w:val="en-US"/>
        </w:rPr>
        <w:t>30B</w:t>
      </w:r>
      <w:r w:rsidRPr="00E4486D">
        <w:rPr>
          <w:lang w:val="en-US"/>
        </w:rPr>
        <w:t>, the Bureau shall verify if the shaped beam submitted under this procedure is within the envelope of the minimum ellipse generated by the Bureau, considering associated test points, and within the envelope of the initial submission under § 6.1 of RR Appendix </w:t>
      </w:r>
      <w:r w:rsidRPr="00E4486D">
        <w:rPr>
          <w:b/>
          <w:lang w:val="en-US"/>
        </w:rPr>
        <w:t>30B</w:t>
      </w:r>
      <w:r w:rsidRPr="00E4486D">
        <w:rPr>
          <w:lang w:val="en-US"/>
        </w:rPr>
        <w:t>. If this is the case, the Bureau shall keep the initial date of receipt of the initial submission under § 6.1 of RR Appendix </w:t>
      </w:r>
      <w:r w:rsidRPr="00E4486D">
        <w:rPr>
          <w:b/>
          <w:lang w:val="en-US"/>
        </w:rPr>
        <w:t>30B</w:t>
      </w:r>
      <w:r w:rsidRPr="00E4486D">
        <w:rPr>
          <w:lang w:val="en-US"/>
        </w:rPr>
        <w:t xml:space="preserve"> and shall perform analysis under § 6.17 of RR Appendix </w:t>
      </w:r>
      <w:r w:rsidRPr="00E4486D">
        <w:rPr>
          <w:b/>
          <w:lang w:val="en-US"/>
        </w:rPr>
        <w:t>30B</w:t>
      </w:r>
      <w:r w:rsidRPr="00E4486D">
        <w:rPr>
          <w:lang w:val="en-US"/>
        </w:rPr>
        <w:t xml:space="preserve"> based on this minimum ellipse. Otherwise, the Bureau shall return the notice to the administration.</w:t>
      </w:r>
    </w:p>
    <w:p w14:paraId="61885EDB" w14:textId="77777777" w:rsidR="007A4E5D" w:rsidRPr="00E4486D" w:rsidRDefault="007A4E5D" w:rsidP="001F2D0B">
      <w:pPr>
        <w:pStyle w:val="Heading1"/>
        <w:rPr>
          <w:lang w:val="en-US"/>
        </w:rPr>
      </w:pPr>
      <w:r w:rsidRPr="00E4486D">
        <w:rPr>
          <w:lang w:val="en-US"/>
        </w:rPr>
        <w:t>3</w:t>
      </w:r>
      <w:r w:rsidRPr="00E4486D">
        <w:rPr>
          <w:lang w:val="en-US"/>
        </w:rPr>
        <w:tab/>
      </w:r>
      <w:r w:rsidRPr="00E4486D">
        <w:rPr>
          <w:szCs w:val="24"/>
          <w:lang w:val="en-US"/>
        </w:rPr>
        <w:t>Beam</w:t>
      </w:r>
      <w:r w:rsidRPr="00E4486D">
        <w:rPr>
          <w:lang w:val="en-US"/>
        </w:rPr>
        <w:t xml:space="preserve"> to be created in cases of submissions of an additional system by an </w:t>
      </w:r>
      <w:r w:rsidRPr="00E4486D">
        <w:rPr>
          <w:szCs w:val="24"/>
          <w:lang w:val="en-US"/>
        </w:rPr>
        <w:t>administration</w:t>
      </w:r>
      <w:r w:rsidRPr="00E4486D">
        <w:rPr>
          <w:lang w:val="en-US"/>
        </w:rPr>
        <w:t xml:space="preserve"> acting on behalf of a group of named administrations</w:t>
      </w:r>
    </w:p>
    <w:p w14:paraId="61885EDC" w14:textId="77777777" w:rsidR="007A4E5D" w:rsidRPr="00E4486D" w:rsidRDefault="007A4E5D" w:rsidP="001F2D0B">
      <w:pPr>
        <w:rPr>
          <w:szCs w:val="24"/>
          <w:lang w:val="en-US"/>
        </w:rPr>
      </w:pPr>
      <w:r w:rsidRPr="00E4486D">
        <w:rPr>
          <w:lang w:val="en-US"/>
        </w:rPr>
        <w:t>For a submission of an additional system by an administration acting on behalf of a group of named administrations, the beam of the submission is f</w:t>
      </w:r>
      <w:r w:rsidRPr="00E4486D">
        <w:rPr>
          <w:szCs w:val="24"/>
          <w:lang w:val="en-US"/>
        </w:rPr>
        <w:t>ormed by combining all individual minimum ellipses associated with each of the administrations of the group:</w:t>
      </w:r>
    </w:p>
    <w:p w14:paraId="61885EDD" w14:textId="77777777" w:rsidR="007A4E5D" w:rsidRPr="00E4486D" w:rsidRDefault="007A4E5D" w:rsidP="001F2D0B">
      <w:pPr>
        <w:pStyle w:val="enumlev1"/>
        <w:rPr>
          <w:lang w:val="en-US"/>
        </w:rPr>
      </w:pPr>
      <w:r w:rsidRPr="00E4486D">
        <w:rPr>
          <w:lang w:val="en-US"/>
        </w:rPr>
        <w:t>–</w:t>
      </w:r>
      <w:r w:rsidRPr="00E4486D">
        <w:rPr>
          <w:lang w:val="en-US"/>
        </w:rPr>
        <w:tab/>
        <w:t>If all individual minimum ellipses overlap with each other, the beam contains only one coverage area formed by the contours stemming from the combination of all individual minimum ellipses.</w:t>
      </w:r>
    </w:p>
    <w:p w14:paraId="61885EDE" w14:textId="77777777" w:rsidR="007A4E5D" w:rsidRPr="00E4486D" w:rsidRDefault="007A4E5D" w:rsidP="001F2D0B">
      <w:pPr>
        <w:pStyle w:val="enumlev1"/>
        <w:rPr>
          <w:lang w:val="en-US"/>
        </w:rPr>
      </w:pPr>
      <w:r w:rsidRPr="00E4486D">
        <w:rPr>
          <w:lang w:val="en-US"/>
        </w:rPr>
        <w:t>–</w:t>
      </w:r>
      <w:r w:rsidRPr="00E4486D">
        <w:rPr>
          <w:lang w:val="en-US"/>
        </w:rPr>
        <w:tab/>
        <w:t>If not all individual minimum ellipses overlap with each other, the beam consists of multiple spots stemming from the non-overlapping ellipses and each spot is formed by the contours stemming from the combination of individual minimum ellipses that overlap with each other.</w:t>
      </w:r>
    </w:p>
    <w:p w14:paraId="61885EDF" w14:textId="77777777" w:rsidR="007A4E5D" w:rsidRPr="00E4486D" w:rsidRDefault="007A4E5D" w:rsidP="001F2D0B">
      <w:pPr>
        <w:pStyle w:val="Heading1"/>
        <w:rPr>
          <w:lang w:val="en-US"/>
        </w:rPr>
      </w:pPr>
      <w:r w:rsidRPr="00E4486D">
        <w:rPr>
          <w:lang w:val="en-US"/>
        </w:rPr>
        <w:t>4</w:t>
      </w:r>
      <w:r w:rsidRPr="00E4486D">
        <w:rPr>
          <w:lang w:val="en-US"/>
        </w:rPr>
        <w:tab/>
        <w:t>Application of the § 12 of the attachment of Resolution [A7(E)-AP30B] (WRC-19) when there is a lack of collaboration of the notifying administration of the existing network</w:t>
      </w:r>
    </w:p>
    <w:p w14:paraId="61885EE0" w14:textId="77777777" w:rsidR="007A4E5D" w:rsidRPr="00E4486D" w:rsidRDefault="007A4E5D" w:rsidP="001F2D0B">
      <w:pPr>
        <w:rPr>
          <w:lang w:val="en-US"/>
        </w:rPr>
      </w:pPr>
      <w:r w:rsidRPr="00E4486D">
        <w:rPr>
          <w:lang w:val="en-US"/>
        </w:rPr>
        <w:t xml:space="preserve">When, under the application of § 12 of the attachment of Resolution </w:t>
      </w:r>
      <w:r w:rsidRPr="00E4486D">
        <w:rPr>
          <w:b/>
          <w:bCs/>
          <w:lang w:val="en-US"/>
        </w:rPr>
        <w:t>[A7(E)-AP30B] (WRC-19)</w:t>
      </w:r>
      <w:r w:rsidRPr="00E4486D">
        <w:rPr>
          <w:lang w:val="en-US"/>
        </w:rPr>
        <w:t>, the Bureau does not receive confirmation from the notifying administration of the incoming network that the collaboration between the two administrations has successfully started, the notifying administration may seek assistance of the Bureau. The Bureau shall immediately send a telefax to the notifying administration of the existing network req</w:t>
      </w:r>
      <w:r w:rsidR="001F2D0B">
        <w:rPr>
          <w:lang w:val="en-US"/>
        </w:rPr>
        <w:t>uesting it to provide within 30 </w:t>
      </w:r>
      <w:r w:rsidRPr="00E4486D">
        <w:rPr>
          <w:lang w:val="en-US"/>
        </w:rPr>
        <w:t>days the conditions for the operation to verify harmful interference and proposed date of the implementation of those conditions within the next 4 months for the application of § 12 of Resolution [</w:t>
      </w:r>
      <w:r w:rsidRPr="00E4486D">
        <w:rPr>
          <w:b/>
          <w:szCs w:val="24"/>
          <w:lang w:val="en-US"/>
        </w:rPr>
        <w:t>A7(E)-AP30B]</w:t>
      </w:r>
      <w:r w:rsidRPr="00E4486D">
        <w:rPr>
          <w:lang w:val="en-US"/>
        </w:rPr>
        <w:t>. In the absence of such information received by the Bureau, the Bureau shall immediately send a reminder providing an additional 15-day period for the response. In the absence of such acknowledgment within 15 days, it shall be deemed that the notifying administration of the existing network which has failed to start collaboration has undertaken that no complaint will be made in respect of any harmful interference affecting its own assignments which may be caused by the assignment of the notifying administration of the incoming network for which coordination was requested.</w:t>
      </w:r>
      <w:r>
        <w:rPr>
          <w:lang w:val="en-US"/>
        </w:rPr>
        <w:t>”</w:t>
      </w:r>
    </w:p>
    <w:p w14:paraId="61885EE1" w14:textId="77777777" w:rsidR="007A4E5D" w:rsidRPr="000E54EA" w:rsidRDefault="007A4E5D" w:rsidP="001F2D0B">
      <w:pPr>
        <w:rPr>
          <w:lang w:val="en-US"/>
        </w:rPr>
      </w:pPr>
      <w:r>
        <w:rPr>
          <w:lang w:val="en-US"/>
        </w:rPr>
        <w:t>12.3</w:t>
      </w:r>
      <w:r>
        <w:rPr>
          <w:lang w:val="en-US"/>
        </w:rPr>
        <w:tab/>
      </w:r>
      <w:r w:rsidRPr="000E54EA">
        <w:rPr>
          <w:lang w:val="en-US"/>
        </w:rPr>
        <w:t xml:space="preserve">It was so </w:t>
      </w:r>
      <w:r w:rsidRPr="000E54EA">
        <w:rPr>
          <w:b/>
          <w:bCs/>
          <w:lang w:val="en-US"/>
        </w:rPr>
        <w:t>agreed</w:t>
      </w:r>
      <w:r w:rsidRPr="000E54EA">
        <w:rPr>
          <w:lang w:val="en-US"/>
        </w:rPr>
        <w:t>.</w:t>
      </w:r>
    </w:p>
    <w:p w14:paraId="61885EE2" w14:textId="77777777" w:rsidR="007A4E5D" w:rsidRPr="000E54EA" w:rsidRDefault="007A4E5D" w:rsidP="001F2D0B">
      <w:pPr>
        <w:rPr>
          <w:lang w:val="en-US"/>
        </w:rPr>
      </w:pPr>
      <w:r>
        <w:rPr>
          <w:lang w:val="en-US"/>
        </w:rPr>
        <w:t>12.4</w:t>
      </w:r>
      <w:r>
        <w:rPr>
          <w:lang w:val="en-US"/>
        </w:rPr>
        <w:tab/>
      </w:r>
      <w:r w:rsidRPr="000E54EA">
        <w:rPr>
          <w:lang w:val="en-US"/>
        </w:rPr>
        <w:t xml:space="preserve">Document 509 was </w:t>
      </w:r>
      <w:r w:rsidRPr="000E54EA">
        <w:rPr>
          <w:b/>
          <w:bCs/>
          <w:lang w:val="en-US"/>
        </w:rPr>
        <w:t>approved</w:t>
      </w:r>
      <w:r w:rsidRPr="000E54EA">
        <w:rPr>
          <w:lang w:val="en-US"/>
        </w:rPr>
        <w:t>.</w:t>
      </w:r>
    </w:p>
    <w:p w14:paraId="61885EE3" w14:textId="77777777" w:rsidR="007A4E5D" w:rsidRPr="00DC173F" w:rsidRDefault="007A4E5D" w:rsidP="001F2D0B">
      <w:pPr>
        <w:pStyle w:val="Heading1"/>
        <w:rPr>
          <w:lang w:val="en-US"/>
        </w:rPr>
      </w:pPr>
      <w:r>
        <w:rPr>
          <w:lang w:val="en-US"/>
        </w:rPr>
        <w:lastRenderedPageBreak/>
        <w:t>13</w:t>
      </w:r>
      <w:r>
        <w:rPr>
          <w:lang w:val="en-US"/>
        </w:rPr>
        <w:tab/>
      </w:r>
      <w:r w:rsidRPr="00DC173F">
        <w:rPr>
          <w:lang w:val="en-US"/>
        </w:rPr>
        <w:t>Forty-sixth series of texts submitted by the Editorial Committee</w:t>
      </w:r>
      <w:r>
        <w:rPr>
          <w:lang w:val="en-US"/>
        </w:rPr>
        <w:t xml:space="preserve"> for first reading</w:t>
      </w:r>
      <w:r w:rsidRPr="00DC173F">
        <w:rPr>
          <w:lang w:val="en-US"/>
        </w:rPr>
        <w:t xml:space="preserve"> (B46) (Document</w:t>
      </w:r>
      <w:r>
        <w:rPr>
          <w:lang w:val="en-US"/>
        </w:rPr>
        <w:t>s</w:t>
      </w:r>
      <w:r w:rsidRPr="00DC173F">
        <w:rPr>
          <w:lang w:val="en-US"/>
        </w:rPr>
        <w:t xml:space="preserve"> </w:t>
      </w:r>
      <w:r w:rsidRPr="001076D3">
        <w:rPr>
          <w:lang w:val="en-US"/>
        </w:rPr>
        <w:t xml:space="preserve">508 </w:t>
      </w:r>
      <w:r w:rsidRPr="00BD6F7F">
        <w:rPr>
          <w:lang w:val="en-US"/>
        </w:rPr>
        <w:t>and 510</w:t>
      </w:r>
      <w:r w:rsidRPr="001076D3">
        <w:rPr>
          <w:lang w:val="en-US"/>
        </w:rPr>
        <w:t>)</w:t>
      </w:r>
      <w:r w:rsidRPr="00DC173F">
        <w:rPr>
          <w:lang w:val="en-US"/>
        </w:rPr>
        <w:t xml:space="preserve"> </w:t>
      </w:r>
    </w:p>
    <w:p w14:paraId="61885EE4" w14:textId="77777777" w:rsidR="007A4E5D" w:rsidRDefault="007A4E5D" w:rsidP="001F2D0B">
      <w:pPr>
        <w:rPr>
          <w:lang w:val="en-US"/>
        </w:rPr>
      </w:pPr>
      <w:r>
        <w:rPr>
          <w:lang w:val="en-US"/>
        </w:rPr>
        <w:t>13.1</w:t>
      </w:r>
      <w:r>
        <w:rPr>
          <w:lang w:val="en-US"/>
        </w:rPr>
        <w:tab/>
      </w:r>
      <w:r w:rsidRPr="00E4486D">
        <w:rPr>
          <w:lang w:val="en-US"/>
        </w:rPr>
        <w:t>The</w:t>
      </w:r>
      <w:r w:rsidRPr="00DA5C1F">
        <w:rPr>
          <w:lang w:val="en-US"/>
        </w:rPr>
        <w:t xml:space="preserve"> </w:t>
      </w:r>
      <w:r w:rsidRPr="001F2D0B">
        <w:rPr>
          <w:b/>
          <w:bCs/>
          <w:lang w:val="en-US"/>
        </w:rPr>
        <w:t>Chairman of the Editorial Committee</w:t>
      </w:r>
      <w:r w:rsidRPr="00DA5C1F">
        <w:rPr>
          <w:lang w:val="en-US"/>
        </w:rPr>
        <w:t xml:space="preserve"> introduced Document 508</w:t>
      </w:r>
      <w:r>
        <w:rPr>
          <w:lang w:val="en-US"/>
        </w:rPr>
        <w:t>.</w:t>
      </w:r>
    </w:p>
    <w:p w14:paraId="61885EE5" w14:textId="77777777" w:rsidR="007A4E5D" w:rsidRDefault="007A4E5D" w:rsidP="001F2D0B">
      <w:pPr>
        <w:rPr>
          <w:lang w:val="en-US"/>
        </w:rPr>
      </w:pPr>
      <w:r>
        <w:rPr>
          <w:lang w:val="en-US"/>
        </w:rPr>
        <w:t>13.2</w:t>
      </w:r>
      <w:r>
        <w:rPr>
          <w:lang w:val="en-US"/>
        </w:rPr>
        <w:tab/>
        <w:t xml:space="preserve">The </w:t>
      </w:r>
      <w:r w:rsidRPr="00E4486D">
        <w:rPr>
          <w:b/>
          <w:bCs/>
          <w:lang w:val="en-US"/>
        </w:rPr>
        <w:t>Chairman</w:t>
      </w:r>
      <w:r>
        <w:rPr>
          <w:lang w:val="en-US"/>
        </w:rPr>
        <w:t xml:space="preserve"> invited participants to consider Document 508.</w:t>
      </w:r>
    </w:p>
    <w:p w14:paraId="61885EE6" w14:textId="77777777" w:rsidR="007A4E5D" w:rsidRPr="00BA089F" w:rsidRDefault="007A4E5D" w:rsidP="001F2D0B">
      <w:pPr>
        <w:pStyle w:val="Headingb"/>
        <w:rPr>
          <w:lang w:val="en-GB"/>
        </w:rPr>
      </w:pPr>
      <w:r w:rsidRPr="00BA089F">
        <w:rPr>
          <w:lang w:val="en-GB"/>
        </w:rPr>
        <w:t>Appendix 30B (MOD Annex 3, MOD Annex 4)</w:t>
      </w:r>
    </w:p>
    <w:p w14:paraId="61885EE7" w14:textId="77777777" w:rsidR="007A4E5D" w:rsidRPr="00E4486D" w:rsidRDefault="007A4E5D" w:rsidP="001F2D0B">
      <w:pPr>
        <w:rPr>
          <w:lang w:val="en-US"/>
        </w:rPr>
      </w:pPr>
      <w:r>
        <w:rPr>
          <w:lang w:val="en-US"/>
        </w:rPr>
        <w:t>13.3</w:t>
      </w:r>
      <w:r>
        <w:rPr>
          <w:lang w:val="en-US"/>
        </w:rPr>
        <w:tab/>
      </w:r>
      <w:r w:rsidRPr="001F2D0B">
        <w:rPr>
          <w:b/>
          <w:bCs/>
          <w:lang w:val="en-US"/>
        </w:rPr>
        <w:t>Approved</w:t>
      </w:r>
      <w:r w:rsidRPr="00E4486D">
        <w:rPr>
          <w:lang w:val="en-US"/>
        </w:rPr>
        <w:t>.</w:t>
      </w:r>
    </w:p>
    <w:p w14:paraId="61885EE8" w14:textId="77777777" w:rsidR="007A4E5D" w:rsidRPr="00DA5C1F" w:rsidRDefault="007A4E5D" w:rsidP="001F2D0B">
      <w:pPr>
        <w:rPr>
          <w:lang w:val="en-US"/>
        </w:rPr>
      </w:pPr>
      <w:r>
        <w:rPr>
          <w:lang w:val="en-US"/>
        </w:rPr>
        <w:t>13.4</w:t>
      </w:r>
      <w:r>
        <w:rPr>
          <w:lang w:val="en-US"/>
        </w:rPr>
        <w:tab/>
        <w:t xml:space="preserve">Following a comment by the </w:t>
      </w:r>
      <w:r w:rsidRPr="007072F0">
        <w:rPr>
          <w:b/>
          <w:bCs/>
          <w:lang w:val="en-US"/>
        </w:rPr>
        <w:t>delegate of</w:t>
      </w:r>
      <w:r>
        <w:rPr>
          <w:b/>
          <w:bCs/>
          <w:lang w:val="en-US"/>
        </w:rPr>
        <w:t xml:space="preserve"> </w:t>
      </w:r>
      <w:r w:rsidRPr="00DA5C1F">
        <w:rPr>
          <w:b/>
          <w:bCs/>
          <w:lang w:val="en-US"/>
        </w:rPr>
        <w:t>Kazakhstan</w:t>
      </w:r>
      <w:r>
        <w:rPr>
          <w:b/>
          <w:bCs/>
          <w:lang w:val="en-US"/>
        </w:rPr>
        <w:t>,</w:t>
      </w:r>
      <w:r w:rsidRPr="00DA5C1F">
        <w:rPr>
          <w:lang w:val="en-US"/>
        </w:rPr>
        <w:t xml:space="preserve"> </w:t>
      </w:r>
      <w:r>
        <w:rPr>
          <w:lang w:val="en-US"/>
        </w:rPr>
        <w:t>t</w:t>
      </w:r>
      <w:r w:rsidRPr="00343E14">
        <w:rPr>
          <w:lang w:val="en-US"/>
        </w:rPr>
        <w:t>he</w:t>
      </w:r>
      <w:r>
        <w:rPr>
          <w:b/>
          <w:bCs/>
          <w:lang w:val="en-US"/>
        </w:rPr>
        <w:t xml:space="preserve"> </w:t>
      </w:r>
      <w:r w:rsidRPr="00FE43E9">
        <w:rPr>
          <w:b/>
          <w:bCs/>
          <w:lang w:val="en-US"/>
        </w:rPr>
        <w:t xml:space="preserve">Chairman </w:t>
      </w:r>
      <w:r w:rsidRPr="00FE43E9">
        <w:rPr>
          <w:lang w:val="en-US"/>
        </w:rPr>
        <w:t>proposed that the Plenary approve the</w:t>
      </w:r>
      <w:r w:rsidRPr="00FE43E9">
        <w:rPr>
          <w:b/>
          <w:bCs/>
          <w:lang w:val="en-US"/>
        </w:rPr>
        <w:t xml:space="preserve"> </w:t>
      </w:r>
      <w:r w:rsidRPr="00FE43E9">
        <w:rPr>
          <w:lang w:val="en-US"/>
        </w:rPr>
        <w:t xml:space="preserve">document </w:t>
      </w:r>
      <w:r>
        <w:rPr>
          <w:lang w:val="en-US"/>
        </w:rPr>
        <w:t>o</w:t>
      </w:r>
      <w:r w:rsidRPr="00FE43E9">
        <w:rPr>
          <w:lang w:val="en-US"/>
        </w:rPr>
        <w:t xml:space="preserve">n first reading and send it back to the Editorial Committee </w:t>
      </w:r>
      <w:r>
        <w:rPr>
          <w:lang w:val="en-US"/>
        </w:rPr>
        <w:t>to align the Russian and English versions before</w:t>
      </w:r>
      <w:r w:rsidRPr="00FE43E9">
        <w:rPr>
          <w:lang w:val="en-US"/>
        </w:rPr>
        <w:t xml:space="preserve"> second reading.</w:t>
      </w:r>
    </w:p>
    <w:p w14:paraId="61885EE9" w14:textId="77777777" w:rsidR="007A4E5D" w:rsidRDefault="007A4E5D" w:rsidP="001F2D0B">
      <w:pPr>
        <w:rPr>
          <w:lang w:val="en-US"/>
        </w:rPr>
      </w:pPr>
      <w:r>
        <w:rPr>
          <w:lang w:val="en-US"/>
        </w:rPr>
        <w:t>13.5</w:t>
      </w:r>
      <w:r>
        <w:rPr>
          <w:lang w:val="en-US"/>
        </w:rPr>
        <w:tab/>
      </w:r>
      <w:r w:rsidRPr="00DA5C1F">
        <w:rPr>
          <w:lang w:val="en-US"/>
        </w:rPr>
        <w:t xml:space="preserve">It was so </w:t>
      </w:r>
      <w:r w:rsidRPr="00343E14">
        <w:rPr>
          <w:b/>
          <w:bCs/>
          <w:lang w:val="en-US"/>
        </w:rPr>
        <w:t>agreed</w:t>
      </w:r>
      <w:r>
        <w:rPr>
          <w:lang w:val="en-US"/>
        </w:rPr>
        <w:t>.</w:t>
      </w:r>
    </w:p>
    <w:p w14:paraId="61885EEA" w14:textId="77777777" w:rsidR="007A4E5D" w:rsidRPr="00D06055" w:rsidRDefault="007A4E5D" w:rsidP="001F2D0B">
      <w:pPr>
        <w:rPr>
          <w:lang w:val="en-US"/>
        </w:rPr>
      </w:pPr>
      <w:r>
        <w:rPr>
          <w:lang w:val="en-US"/>
        </w:rPr>
        <w:t>13.6</w:t>
      </w:r>
      <w:r>
        <w:rPr>
          <w:lang w:val="en-US"/>
        </w:rPr>
        <w:tab/>
        <w:t>The f</w:t>
      </w:r>
      <w:r w:rsidRPr="00673830">
        <w:rPr>
          <w:lang w:val="en-US"/>
        </w:rPr>
        <w:t xml:space="preserve">orty-sixth series of texts submitted by the Editorial Committee for first reading (B46) (Document 508) </w:t>
      </w:r>
      <w:r w:rsidRPr="00D06055">
        <w:rPr>
          <w:lang w:val="en-US"/>
        </w:rPr>
        <w:t xml:space="preserve">was </w:t>
      </w:r>
      <w:r w:rsidRPr="00D06055">
        <w:rPr>
          <w:b/>
          <w:bCs/>
          <w:lang w:val="en-US"/>
        </w:rPr>
        <w:t>approved</w:t>
      </w:r>
      <w:r w:rsidRPr="00D06055">
        <w:rPr>
          <w:lang w:val="en-US"/>
        </w:rPr>
        <w:t>.</w:t>
      </w:r>
    </w:p>
    <w:p w14:paraId="61885EEB" w14:textId="77777777" w:rsidR="007A4E5D" w:rsidRPr="00DA5C1F" w:rsidRDefault="007A4E5D" w:rsidP="001F2D0B">
      <w:pPr>
        <w:rPr>
          <w:lang w:val="en-US"/>
        </w:rPr>
      </w:pPr>
      <w:r>
        <w:rPr>
          <w:lang w:val="en-US"/>
        </w:rPr>
        <w:t>13.7</w:t>
      </w:r>
      <w:r>
        <w:rPr>
          <w:lang w:val="en-US"/>
        </w:rPr>
        <w:tab/>
      </w:r>
      <w:r w:rsidRPr="00343E14">
        <w:rPr>
          <w:lang w:val="en-US"/>
        </w:rPr>
        <w:t xml:space="preserve">The </w:t>
      </w:r>
      <w:r w:rsidRPr="00343E14">
        <w:rPr>
          <w:b/>
          <w:bCs/>
          <w:lang w:val="en-US"/>
        </w:rPr>
        <w:t>Chairman</w:t>
      </w:r>
      <w:r w:rsidRPr="00343E14">
        <w:rPr>
          <w:lang w:val="en-US"/>
        </w:rPr>
        <w:t xml:space="preserve"> </w:t>
      </w:r>
      <w:r w:rsidRPr="00673830">
        <w:rPr>
          <w:lang w:val="en-US"/>
        </w:rPr>
        <w:t xml:space="preserve">invited </w:t>
      </w:r>
      <w:r>
        <w:rPr>
          <w:lang w:val="en-US"/>
        </w:rPr>
        <w:t>participants</w:t>
      </w:r>
      <w:r w:rsidRPr="00673830">
        <w:rPr>
          <w:lang w:val="en-US"/>
        </w:rPr>
        <w:t xml:space="preserve"> to consider Document 5</w:t>
      </w:r>
      <w:r>
        <w:rPr>
          <w:lang w:val="en-US"/>
        </w:rPr>
        <w:t>10</w:t>
      </w:r>
      <w:r w:rsidRPr="00673830">
        <w:rPr>
          <w:lang w:val="en-US"/>
        </w:rPr>
        <w:t xml:space="preserve">, the approval of which had been deferred from earlier </w:t>
      </w:r>
      <w:r>
        <w:rPr>
          <w:lang w:val="en-US"/>
        </w:rPr>
        <w:t>in</w:t>
      </w:r>
      <w:r w:rsidRPr="00673830">
        <w:rPr>
          <w:lang w:val="en-US"/>
        </w:rPr>
        <w:t xml:space="preserve"> the meeting. </w:t>
      </w:r>
      <w:r>
        <w:rPr>
          <w:lang w:val="en-US"/>
        </w:rPr>
        <w:t xml:space="preserve">It was </w:t>
      </w:r>
      <w:r w:rsidRPr="00673830">
        <w:rPr>
          <w:lang w:val="en-US"/>
        </w:rPr>
        <w:t xml:space="preserve">proposed that the following text, contained in the document, be approved and included in the minutes of the </w:t>
      </w:r>
      <w:r>
        <w:rPr>
          <w:lang w:val="en-US"/>
        </w:rPr>
        <w:t xml:space="preserve">plenary </w:t>
      </w:r>
      <w:r w:rsidRPr="00673830">
        <w:rPr>
          <w:lang w:val="en-US"/>
        </w:rPr>
        <w:t>meeting as a decision of the conference</w:t>
      </w:r>
      <w:r w:rsidRPr="00343E14">
        <w:rPr>
          <w:lang w:val="en-US"/>
        </w:rPr>
        <w:t>:</w:t>
      </w:r>
    </w:p>
    <w:p w14:paraId="61885EEC" w14:textId="77777777" w:rsidR="007A4E5D" w:rsidRPr="00343E14" w:rsidRDefault="007A4E5D" w:rsidP="001F2D0B">
      <w:pPr>
        <w:pStyle w:val="Title4"/>
        <w:rPr>
          <w:lang w:val="en-US"/>
        </w:rPr>
      </w:pPr>
      <w:r>
        <w:rPr>
          <w:lang w:val="en-US"/>
        </w:rPr>
        <w:t>“</w:t>
      </w:r>
      <w:r w:rsidRPr="00343E14">
        <w:rPr>
          <w:lang w:val="en-US"/>
        </w:rPr>
        <w:t>Instructions to the Radiocommunication Bureau in application of Annex 3 and Annex 4 of RR Appendix 30B as well as of criteria referred to in Resolution [A7(E)-AP30B] (WRC-19) in its processing, after 22 November 2019, of submissions received under that Appendix</w:t>
      </w:r>
    </w:p>
    <w:p w14:paraId="61885EED" w14:textId="77777777" w:rsidR="007A4E5D" w:rsidRPr="00343E14" w:rsidRDefault="007A4E5D" w:rsidP="001F2D0B">
      <w:pPr>
        <w:rPr>
          <w:lang w:val="en-US"/>
        </w:rPr>
      </w:pPr>
      <w:r w:rsidRPr="00343E14">
        <w:rPr>
          <w:lang w:val="en-US"/>
        </w:rPr>
        <w:t>The Radiocommunication Bureau shall continue to calculate and update already accepted single-entry values in both uplink and downlink for all RR Appendix </w:t>
      </w:r>
      <w:r w:rsidRPr="00343E14">
        <w:rPr>
          <w:b/>
          <w:bCs/>
          <w:lang w:val="en-US"/>
        </w:rPr>
        <w:t>30B</w:t>
      </w:r>
      <w:r w:rsidRPr="00343E14">
        <w:rPr>
          <w:lang w:val="en-US"/>
        </w:rPr>
        <w:t xml:space="preserve"> satellite networks in consistency with footnotes X2 and X3 to item 2.1 of the Annex 4 of RR Appendix </w:t>
      </w:r>
      <w:r w:rsidRPr="00343E14">
        <w:rPr>
          <w:b/>
          <w:bCs/>
          <w:lang w:val="en-US"/>
        </w:rPr>
        <w:t>30B (Rev.WRC-19)</w:t>
      </w:r>
      <w:r w:rsidRPr="00343E14">
        <w:rPr>
          <w:lang w:val="en-US"/>
        </w:rPr>
        <w:t>, so that this information could be used by administrations during coordination of their respective networks. The Radiocommunication Bureau shall apply:</w:t>
      </w:r>
    </w:p>
    <w:p w14:paraId="61885EEE" w14:textId="77777777" w:rsidR="007A4E5D" w:rsidRPr="00343E14" w:rsidRDefault="007A4E5D" w:rsidP="001F2D0B">
      <w:pPr>
        <w:pStyle w:val="enumlev1"/>
        <w:rPr>
          <w:lang w:val="en-US"/>
        </w:rPr>
      </w:pPr>
      <w:r w:rsidRPr="00343E14">
        <w:rPr>
          <w:lang w:val="en-US"/>
        </w:rPr>
        <w:t>1</w:t>
      </w:r>
      <w:r w:rsidRPr="00343E14">
        <w:rPr>
          <w:lang w:val="en-US"/>
        </w:rPr>
        <w:tab/>
        <w:t>For complete submissions under § 6.1 received by the Bureau before 23 November 2019:</w:t>
      </w:r>
    </w:p>
    <w:p w14:paraId="61885EEF" w14:textId="77777777" w:rsidR="007A4E5D" w:rsidRPr="00343E14" w:rsidRDefault="007A4E5D" w:rsidP="001F2D0B">
      <w:pPr>
        <w:pStyle w:val="enumlev2"/>
        <w:rPr>
          <w:lang w:val="en-US"/>
        </w:rPr>
      </w:pPr>
      <w:r w:rsidRPr="00343E14">
        <w:rPr>
          <w:i/>
          <w:lang w:val="en-US"/>
        </w:rPr>
        <w:t>a)</w:t>
      </w:r>
      <w:r w:rsidRPr="00343E14">
        <w:rPr>
          <w:lang w:val="en-US"/>
        </w:rPr>
        <w:tab/>
        <w:t xml:space="preserve">Annex 3 (WRC-07) in its examination under </w:t>
      </w:r>
      <w:r w:rsidRPr="00343E14">
        <w:rPr>
          <w:rFonts w:cs="Calibri"/>
          <w:lang w:val="en-US"/>
        </w:rPr>
        <w:t>§</w:t>
      </w:r>
      <w:r w:rsidRPr="00343E14">
        <w:rPr>
          <w:lang w:val="en-US"/>
        </w:rPr>
        <w:t> 6.3 b);</w:t>
      </w:r>
    </w:p>
    <w:p w14:paraId="61885EF0"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(Rev.WRC-07) in its examination under </w:t>
      </w:r>
      <w:r w:rsidRPr="00343E14">
        <w:rPr>
          <w:rFonts w:cs="Calibri"/>
          <w:lang w:val="en-US"/>
        </w:rPr>
        <w:t>§</w:t>
      </w:r>
      <w:r w:rsidRPr="00343E14">
        <w:rPr>
          <w:lang w:val="en-US"/>
        </w:rPr>
        <w:t> 6.5.</w:t>
      </w:r>
    </w:p>
    <w:p w14:paraId="61885EF1" w14:textId="77777777" w:rsidR="007A4E5D" w:rsidRPr="00343E14" w:rsidRDefault="001F2D0B" w:rsidP="001F2D0B">
      <w:pPr>
        <w:pStyle w:val="enumlev1"/>
        <w:rPr>
          <w:lang w:val="en-US"/>
        </w:rPr>
      </w:pPr>
      <w:r>
        <w:rPr>
          <w:lang w:val="en-US"/>
        </w:rPr>
        <w:tab/>
      </w:r>
      <w:r w:rsidR="007A4E5D" w:rsidRPr="00343E14">
        <w:rPr>
          <w:lang w:val="en-US"/>
        </w:rPr>
        <w:t>Note: Including protection of submissions under Issue E examined before Part A.</w:t>
      </w:r>
    </w:p>
    <w:p w14:paraId="61885EF2" w14:textId="77777777" w:rsidR="007A4E5D" w:rsidRPr="00343E14" w:rsidRDefault="007A4E5D" w:rsidP="001F2D0B">
      <w:pPr>
        <w:pStyle w:val="enumlev1"/>
        <w:rPr>
          <w:lang w:val="en-US"/>
        </w:rPr>
      </w:pPr>
      <w:r w:rsidRPr="00343E14">
        <w:rPr>
          <w:lang w:val="en-US"/>
        </w:rPr>
        <w:t>2</w:t>
      </w:r>
      <w:r w:rsidRPr="00343E14">
        <w:rPr>
          <w:lang w:val="en-US"/>
        </w:rPr>
        <w:tab/>
        <w:t>For complete submissions under § 6.17 received by the Bureau before 23 November 2019:</w:t>
      </w:r>
    </w:p>
    <w:p w14:paraId="61885EF3" w14:textId="77777777" w:rsidR="007A4E5D" w:rsidRPr="00343E14" w:rsidRDefault="007A4E5D" w:rsidP="001F2D0B">
      <w:pPr>
        <w:pStyle w:val="enumlev2"/>
        <w:rPr>
          <w:lang w:val="en-US"/>
        </w:rPr>
      </w:pPr>
      <w:r w:rsidRPr="00343E14">
        <w:rPr>
          <w:i/>
          <w:lang w:val="en-US"/>
        </w:rPr>
        <w:t>a)</w:t>
      </w:r>
      <w:r w:rsidRPr="00343E14">
        <w:rPr>
          <w:lang w:val="en-US"/>
        </w:rPr>
        <w:tab/>
        <w:t xml:space="preserve">Annex 3 (WRC-07) in its examination under </w:t>
      </w:r>
      <w:r w:rsidRPr="00343E14">
        <w:rPr>
          <w:rFonts w:cs="Calibri"/>
          <w:lang w:val="en-US"/>
        </w:rPr>
        <w:t>§</w:t>
      </w:r>
      <w:r w:rsidRPr="00343E14">
        <w:rPr>
          <w:lang w:val="en-US"/>
        </w:rPr>
        <w:t> 6.19 c);</w:t>
      </w:r>
    </w:p>
    <w:p w14:paraId="61885EF4"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(Rev.WRC-07) in its examination under </w:t>
      </w:r>
      <w:r w:rsidRPr="00343E14">
        <w:rPr>
          <w:rFonts w:cs="Calibri"/>
          <w:lang w:val="en-US"/>
        </w:rPr>
        <w:t>§</w:t>
      </w:r>
      <w:r w:rsidRPr="00343E14">
        <w:rPr>
          <w:lang w:val="en-US"/>
        </w:rPr>
        <w:t> 6.21;</w:t>
      </w:r>
    </w:p>
    <w:p w14:paraId="61885EF5" w14:textId="77777777" w:rsidR="007A4E5D" w:rsidRPr="00343E14" w:rsidRDefault="007A4E5D" w:rsidP="001F2D0B">
      <w:pPr>
        <w:pStyle w:val="enumlev2"/>
        <w:rPr>
          <w:lang w:val="en-US"/>
        </w:rPr>
      </w:pPr>
      <w:r w:rsidRPr="00343E14">
        <w:rPr>
          <w:i/>
          <w:lang w:val="en-US"/>
        </w:rPr>
        <w:t>c)</w:t>
      </w:r>
      <w:r w:rsidRPr="00343E14">
        <w:rPr>
          <w:lang w:val="en-US"/>
        </w:rPr>
        <w:tab/>
        <w:t xml:space="preserve">Annex 4 (Rev.WRC-07) in its further examination under the new footnote to </w:t>
      </w:r>
      <w:r w:rsidRPr="00343E14">
        <w:rPr>
          <w:rFonts w:cs="Calibri"/>
          <w:lang w:val="en-US"/>
        </w:rPr>
        <w:t>§</w:t>
      </w:r>
      <w:r w:rsidRPr="00343E14">
        <w:rPr>
          <w:lang w:val="en-US"/>
        </w:rPr>
        <w:t> 6.21 c);</w:t>
      </w:r>
    </w:p>
    <w:p w14:paraId="61885EF6" w14:textId="77777777" w:rsidR="007A4E5D" w:rsidRPr="00343E14" w:rsidRDefault="007A4E5D" w:rsidP="001F2D0B">
      <w:pPr>
        <w:pStyle w:val="enumlev2"/>
        <w:rPr>
          <w:lang w:val="en-US"/>
        </w:rPr>
      </w:pPr>
      <w:r w:rsidRPr="00343E14">
        <w:rPr>
          <w:i/>
          <w:lang w:val="en-US"/>
        </w:rPr>
        <w:t>d)</w:t>
      </w:r>
      <w:r w:rsidRPr="00343E14">
        <w:rPr>
          <w:lang w:val="en-US"/>
        </w:rPr>
        <w:tab/>
        <w:t xml:space="preserve">Annex 4 (Rev.WRC-07) in its examination under </w:t>
      </w:r>
      <w:r w:rsidRPr="00343E14">
        <w:rPr>
          <w:rFonts w:cs="Calibri"/>
          <w:lang w:val="en-US"/>
        </w:rPr>
        <w:t>§</w:t>
      </w:r>
      <w:r w:rsidRPr="00343E14">
        <w:rPr>
          <w:lang w:val="en-US"/>
        </w:rPr>
        <w:t> 6.22.</w:t>
      </w:r>
    </w:p>
    <w:p w14:paraId="61885EF7" w14:textId="77777777" w:rsidR="007A4E5D" w:rsidRPr="00343E14" w:rsidRDefault="001F2D0B" w:rsidP="001F2D0B">
      <w:pPr>
        <w:pStyle w:val="enumlev1"/>
        <w:rPr>
          <w:lang w:val="en-US"/>
        </w:rPr>
      </w:pPr>
      <w:r>
        <w:rPr>
          <w:lang w:val="en-US"/>
        </w:rPr>
        <w:tab/>
      </w:r>
      <w:r w:rsidR="007A4E5D" w:rsidRPr="00343E14">
        <w:rPr>
          <w:lang w:val="en-US"/>
        </w:rPr>
        <w:t>Note: Including protection of submissions under Issue E examined before Part B.</w:t>
      </w:r>
    </w:p>
    <w:p w14:paraId="61885EF8" w14:textId="77777777" w:rsidR="007A4E5D" w:rsidRPr="00343E14" w:rsidRDefault="007A4E5D" w:rsidP="00252811">
      <w:pPr>
        <w:pStyle w:val="enumlev1"/>
        <w:rPr>
          <w:lang w:val="en-US"/>
        </w:rPr>
      </w:pPr>
      <w:r w:rsidRPr="00343E14">
        <w:rPr>
          <w:lang w:val="en-US"/>
        </w:rPr>
        <w:t>3</w:t>
      </w:r>
      <w:r w:rsidRPr="00343E14">
        <w:rPr>
          <w:lang w:val="en-US"/>
        </w:rPr>
        <w:tab/>
        <w:t xml:space="preserve">For complete submissions under § 6.17 received </w:t>
      </w:r>
      <w:r w:rsidR="00252811">
        <w:rPr>
          <w:lang w:val="en-US"/>
        </w:rPr>
        <w:t>by the Bureau after 22 November </w:t>
      </w:r>
      <w:r w:rsidRPr="00343E14">
        <w:rPr>
          <w:lang w:val="en-US"/>
        </w:rPr>
        <w:t>2019, related to complete submissions under § 6.1 received by the Bureau before 23 November 2019:</w:t>
      </w:r>
    </w:p>
    <w:p w14:paraId="61885EF9" w14:textId="77777777" w:rsidR="007A4E5D" w:rsidRPr="00343E14" w:rsidRDefault="007A4E5D" w:rsidP="001F2D0B">
      <w:pPr>
        <w:pStyle w:val="enumlev2"/>
        <w:rPr>
          <w:lang w:val="en-US"/>
        </w:rPr>
      </w:pPr>
      <w:r w:rsidRPr="00343E14">
        <w:rPr>
          <w:i/>
          <w:lang w:val="en-US"/>
        </w:rPr>
        <w:lastRenderedPageBreak/>
        <w:t>a)</w:t>
      </w:r>
      <w:r w:rsidRPr="00343E14">
        <w:rPr>
          <w:lang w:val="en-US"/>
        </w:rPr>
        <w:tab/>
        <w:t xml:space="preserve">Annex 3 (WRC-07) in its examination under </w:t>
      </w:r>
      <w:r w:rsidRPr="00343E14">
        <w:rPr>
          <w:rFonts w:cs="Calibri"/>
          <w:lang w:val="en-US"/>
        </w:rPr>
        <w:t>§</w:t>
      </w:r>
      <w:r w:rsidRPr="00343E14">
        <w:rPr>
          <w:lang w:val="en-US"/>
        </w:rPr>
        <w:t> 6.19 c);</w:t>
      </w:r>
    </w:p>
    <w:p w14:paraId="61885EFA"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(Rev.WRC-07) in its examination under </w:t>
      </w:r>
      <w:r w:rsidRPr="00343E14">
        <w:rPr>
          <w:rFonts w:cs="Calibri"/>
          <w:lang w:val="en-US"/>
        </w:rPr>
        <w:t>§</w:t>
      </w:r>
      <w:r w:rsidRPr="00343E14">
        <w:rPr>
          <w:lang w:val="en-US"/>
        </w:rPr>
        <w:t> 6.21;</w:t>
      </w:r>
    </w:p>
    <w:p w14:paraId="61885EFB" w14:textId="77777777" w:rsidR="007A4E5D" w:rsidRPr="00343E14" w:rsidRDefault="007A4E5D" w:rsidP="001F2D0B">
      <w:pPr>
        <w:pStyle w:val="enumlev2"/>
        <w:rPr>
          <w:lang w:val="en-US"/>
        </w:rPr>
      </w:pPr>
      <w:r w:rsidRPr="00343E14">
        <w:rPr>
          <w:i/>
          <w:lang w:val="en-US"/>
        </w:rPr>
        <w:t>c)</w:t>
      </w:r>
      <w:r w:rsidRPr="00343E14">
        <w:rPr>
          <w:lang w:val="en-US"/>
        </w:rPr>
        <w:tab/>
        <w:t xml:space="preserve">Annex 4 (Rev.WRC-07) in its further examination under footnote YY to </w:t>
      </w:r>
      <w:r w:rsidRPr="00343E14">
        <w:rPr>
          <w:rFonts w:cs="Calibri"/>
          <w:lang w:val="en-US"/>
        </w:rPr>
        <w:t>§</w:t>
      </w:r>
      <w:r w:rsidRPr="00343E14">
        <w:rPr>
          <w:lang w:val="en-US"/>
        </w:rPr>
        <w:t> 6.21 c) if the remaining affected assignments are recorded in the List before 23 November 2019;</w:t>
      </w:r>
    </w:p>
    <w:p w14:paraId="61885EFC" w14:textId="77777777" w:rsidR="007A4E5D" w:rsidRPr="00343E14" w:rsidRDefault="007A4E5D" w:rsidP="001F2D0B">
      <w:pPr>
        <w:pStyle w:val="enumlev2"/>
        <w:rPr>
          <w:lang w:val="en-US"/>
        </w:rPr>
      </w:pPr>
      <w:r w:rsidRPr="00343E14">
        <w:rPr>
          <w:i/>
          <w:lang w:val="en-US"/>
        </w:rPr>
        <w:t>d)</w:t>
      </w:r>
      <w:r w:rsidRPr="00343E14">
        <w:rPr>
          <w:lang w:val="en-US"/>
        </w:rPr>
        <w:tab/>
        <w:t xml:space="preserve">Annex 4 (Rev.WRC-19) in its further examination under footnote YY to </w:t>
      </w:r>
      <w:r w:rsidRPr="00343E14">
        <w:rPr>
          <w:rFonts w:cs="Calibri"/>
          <w:lang w:val="en-US"/>
        </w:rPr>
        <w:t>§</w:t>
      </w:r>
      <w:r w:rsidRPr="00343E14">
        <w:rPr>
          <w:lang w:val="en-US"/>
        </w:rPr>
        <w:t xml:space="preserve"> 6.21 c) if the remaining affected assignments are recorded in the List after 22 November 2019; </w:t>
      </w:r>
    </w:p>
    <w:p w14:paraId="61885EFD" w14:textId="77777777" w:rsidR="007A4E5D" w:rsidRPr="00343E14" w:rsidRDefault="007A4E5D" w:rsidP="001F2D0B">
      <w:pPr>
        <w:pStyle w:val="enumlev2"/>
        <w:rPr>
          <w:lang w:val="en-US"/>
        </w:rPr>
      </w:pPr>
      <w:r w:rsidRPr="00343E14">
        <w:rPr>
          <w:i/>
          <w:lang w:val="en-US"/>
        </w:rPr>
        <w:t>e)</w:t>
      </w:r>
      <w:r w:rsidRPr="00343E14">
        <w:rPr>
          <w:lang w:val="en-US"/>
        </w:rPr>
        <w:tab/>
        <w:t xml:space="preserve">Annex 4 (Rev.WRC-19) in its examination under </w:t>
      </w:r>
      <w:r w:rsidRPr="00343E14">
        <w:rPr>
          <w:rFonts w:cs="Calibri"/>
          <w:lang w:val="en-US"/>
        </w:rPr>
        <w:t>§</w:t>
      </w:r>
      <w:r w:rsidRPr="00343E14">
        <w:rPr>
          <w:lang w:val="en-US"/>
        </w:rPr>
        <w:t> 6.22.</w:t>
      </w:r>
    </w:p>
    <w:p w14:paraId="61885EFE" w14:textId="77777777" w:rsidR="007A4E5D" w:rsidRPr="00343E14" w:rsidRDefault="001F2D0B" w:rsidP="001F2D0B">
      <w:pPr>
        <w:pStyle w:val="enumlev1"/>
        <w:rPr>
          <w:lang w:val="en-US"/>
        </w:rPr>
      </w:pPr>
      <w:r>
        <w:rPr>
          <w:lang w:val="en-US"/>
        </w:rPr>
        <w:tab/>
      </w:r>
      <w:r w:rsidR="007A4E5D" w:rsidRPr="00343E14">
        <w:rPr>
          <w:lang w:val="en-US"/>
        </w:rPr>
        <w:t>Note: Including protection of submissions under Issue E examined before Parts A and/or B.</w:t>
      </w:r>
    </w:p>
    <w:p w14:paraId="61885EFF" w14:textId="77777777" w:rsidR="007A4E5D" w:rsidRPr="00343E14" w:rsidRDefault="007A4E5D" w:rsidP="001F2D0B">
      <w:pPr>
        <w:pStyle w:val="enumlev1"/>
        <w:rPr>
          <w:lang w:val="en-US"/>
        </w:rPr>
      </w:pPr>
      <w:r w:rsidRPr="00343E14">
        <w:rPr>
          <w:lang w:val="en-US"/>
        </w:rPr>
        <w:t>4</w:t>
      </w:r>
      <w:r w:rsidRPr="00343E14">
        <w:rPr>
          <w:lang w:val="en-US"/>
        </w:rPr>
        <w:tab/>
        <w:t>For complete submissions under § 6.1 received by the Bureau after 22 November 2019:</w:t>
      </w:r>
    </w:p>
    <w:p w14:paraId="61885F00" w14:textId="77777777" w:rsidR="007A4E5D" w:rsidRPr="00343E14" w:rsidRDefault="007A4E5D" w:rsidP="001F2D0B">
      <w:pPr>
        <w:pStyle w:val="enumlev2"/>
        <w:rPr>
          <w:lang w:val="en-US"/>
        </w:rPr>
      </w:pPr>
      <w:r w:rsidRPr="00343E14">
        <w:rPr>
          <w:i/>
          <w:lang w:val="en-US"/>
        </w:rPr>
        <w:t>a)</w:t>
      </w:r>
      <w:r w:rsidRPr="00343E14">
        <w:rPr>
          <w:lang w:val="en-US"/>
        </w:rPr>
        <w:tab/>
        <w:t xml:space="preserve">Annex 3 (Rev.WRC-19) in its examination under </w:t>
      </w:r>
      <w:r w:rsidRPr="00343E14">
        <w:rPr>
          <w:rFonts w:cs="Calibri"/>
          <w:lang w:val="en-US"/>
        </w:rPr>
        <w:t>§</w:t>
      </w:r>
      <w:r w:rsidRPr="00343E14">
        <w:rPr>
          <w:lang w:val="en-US"/>
        </w:rPr>
        <w:t> 6.3 b);</w:t>
      </w:r>
    </w:p>
    <w:p w14:paraId="61885F01"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(Rev.WRC-19) in its examination under </w:t>
      </w:r>
      <w:r w:rsidRPr="00343E14">
        <w:rPr>
          <w:rFonts w:cs="Calibri"/>
          <w:lang w:val="en-US"/>
        </w:rPr>
        <w:t>§</w:t>
      </w:r>
      <w:r w:rsidRPr="00343E14">
        <w:rPr>
          <w:lang w:val="en-US"/>
        </w:rPr>
        <w:t> 6.5.</w:t>
      </w:r>
    </w:p>
    <w:p w14:paraId="61885F02" w14:textId="77777777" w:rsidR="007A4E5D" w:rsidRPr="00343E14" w:rsidRDefault="007A4E5D" w:rsidP="001F2D0B">
      <w:pPr>
        <w:pStyle w:val="enumlev1"/>
        <w:rPr>
          <w:lang w:val="en-US"/>
        </w:rPr>
      </w:pPr>
      <w:r w:rsidRPr="00343E14">
        <w:rPr>
          <w:lang w:val="en-US"/>
        </w:rPr>
        <w:t>5</w:t>
      </w:r>
      <w:r w:rsidRPr="00343E14">
        <w:rPr>
          <w:lang w:val="en-US"/>
        </w:rPr>
        <w:tab/>
      </w:r>
      <w:r w:rsidRPr="00343E14">
        <w:rPr>
          <w:spacing w:val="-2"/>
          <w:lang w:val="en-US"/>
        </w:rPr>
        <w:t xml:space="preserve">For complete </w:t>
      </w:r>
      <w:r w:rsidRPr="00343E14">
        <w:rPr>
          <w:lang w:val="en-US"/>
        </w:rPr>
        <w:t>submissions</w:t>
      </w:r>
      <w:r w:rsidRPr="00343E14">
        <w:rPr>
          <w:spacing w:val="-2"/>
          <w:lang w:val="en-US"/>
        </w:rPr>
        <w:t xml:space="preserve"> under § 6.17 received by the Bureau after 22 November 2019</w:t>
      </w:r>
      <w:r w:rsidRPr="00343E14">
        <w:rPr>
          <w:lang w:val="en-US"/>
        </w:rPr>
        <w:t xml:space="preserve">, related to complete submissions under § 6.1 received </w:t>
      </w:r>
      <w:r w:rsidR="00942851">
        <w:rPr>
          <w:lang w:val="en-US"/>
        </w:rPr>
        <w:t>by the Bureau after 22 November </w:t>
      </w:r>
      <w:r w:rsidRPr="00343E14">
        <w:rPr>
          <w:lang w:val="en-US"/>
        </w:rPr>
        <w:t>2019:</w:t>
      </w:r>
    </w:p>
    <w:p w14:paraId="61885F03" w14:textId="77777777" w:rsidR="007A4E5D" w:rsidRPr="00343E14" w:rsidRDefault="007A4E5D" w:rsidP="001F2D0B">
      <w:pPr>
        <w:pStyle w:val="enumlev2"/>
        <w:rPr>
          <w:lang w:val="en-US"/>
        </w:rPr>
      </w:pPr>
      <w:r w:rsidRPr="00343E14">
        <w:rPr>
          <w:i/>
          <w:lang w:val="en-US"/>
        </w:rPr>
        <w:t>a)</w:t>
      </w:r>
      <w:r w:rsidRPr="00343E14">
        <w:rPr>
          <w:lang w:val="en-US"/>
        </w:rPr>
        <w:tab/>
        <w:t xml:space="preserve">Annex 3 (Rev.WRC-19) in its examination under </w:t>
      </w:r>
      <w:r w:rsidRPr="00343E14">
        <w:rPr>
          <w:rFonts w:cs="Calibri"/>
          <w:lang w:val="en-US"/>
        </w:rPr>
        <w:t>§</w:t>
      </w:r>
      <w:r w:rsidRPr="00343E14">
        <w:rPr>
          <w:lang w:val="en-US"/>
        </w:rPr>
        <w:t> 6.19 c);</w:t>
      </w:r>
    </w:p>
    <w:p w14:paraId="61885F04"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(Rev.WRC-19) in its examination under </w:t>
      </w:r>
      <w:r w:rsidRPr="00343E14">
        <w:rPr>
          <w:rFonts w:cs="Calibri"/>
          <w:lang w:val="en-US"/>
        </w:rPr>
        <w:t>§</w:t>
      </w:r>
      <w:r w:rsidRPr="00343E14">
        <w:rPr>
          <w:lang w:val="en-US"/>
        </w:rPr>
        <w:t> 6.21;</w:t>
      </w:r>
    </w:p>
    <w:p w14:paraId="61885F05" w14:textId="77777777" w:rsidR="007A4E5D" w:rsidRPr="00343E14" w:rsidRDefault="007A4E5D" w:rsidP="001F2D0B">
      <w:pPr>
        <w:pStyle w:val="enumlev2"/>
        <w:rPr>
          <w:lang w:val="en-US"/>
        </w:rPr>
      </w:pPr>
      <w:r w:rsidRPr="00343E14">
        <w:rPr>
          <w:i/>
          <w:lang w:val="en-US"/>
        </w:rPr>
        <w:t>c)</w:t>
      </w:r>
      <w:r w:rsidRPr="00343E14">
        <w:rPr>
          <w:lang w:val="en-US"/>
        </w:rPr>
        <w:tab/>
        <w:t xml:space="preserve">Annex 4 (Rev.WRC-19) in its examination under </w:t>
      </w:r>
      <w:r w:rsidRPr="00343E14">
        <w:rPr>
          <w:rFonts w:cs="Calibri"/>
          <w:lang w:val="en-US"/>
        </w:rPr>
        <w:t>§</w:t>
      </w:r>
      <w:r w:rsidRPr="00343E14">
        <w:rPr>
          <w:lang w:val="en-US"/>
        </w:rPr>
        <w:t> 6.22.</w:t>
      </w:r>
    </w:p>
    <w:p w14:paraId="61885F06" w14:textId="77777777" w:rsidR="007A4E5D" w:rsidRPr="00343E14" w:rsidRDefault="007A4E5D" w:rsidP="001F2D0B">
      <w:pPr>
        <w:pStyle w:val="enumlev1"/>
        <w:rPr>
          <w:lang w:val="en-US"/>
        </w:rPr>
      </w:pPr>
      <w:r w:rsidRPr="00343E14">
        <w:rPr>
          <w:lang w:val="en-US"/>
        </w:rPr>
        <w:t>6</w:t>
      </w:r>
      <w:r w:rsidRPr="00343E14">
        <w:rPr>
          <w:lang w:val="en-US"/>
        </w:rPr>
        <w:tab/>
        <w:t xml:space="preserve">For complete submissions under § 6.1 in application of Resolution </w:t>
      </w:r>
      <w:r w:rsidRPr="00343E14">
        <w:rPr>
          <w:b/>
          <w:bCs/>
          <w:lang w:val="en-US"/>
        </w:rPr>
        <w:t>[A7(E)-AP30B] (WRC-19)</w:t>
      </w:r>
      <w:r w:rsidRPr="00343E14">
        <w:rPr>
          <w:lang w:val="en-US"/>
        </w:rPr>
        <w:t>:</w:t>
      </w:r>
    </w:p>
    <w:p w14:paraId="61885F07" w14:textId="77777777" w:rsidR="007A4E5D" w:rsidRPr="00343E14" w:rsidRDefault="007A4E5D" w:rsidP="001F2D0B">
      <w:pPr>
        <w:pStyle w:val="enumlev2"/>
        <w:rPr>
          <w:lang w:val="en-US"/>
        </w:rPr>
      </w:pPr>
      <w:r w:rsidRPr="00343E14">
        <w:rPr>
          <w:i/>
          <w:lang w:val="en-US"/>
        </w:rPr>
        <w:t>a)</w:t>
      </w:r>
      <w:r w:rsidRPr="00343E14">
        <w:rPr>
          <w:lang w:val="en-US"/>
        </w:rPr>
        <w:tab/>
        <w:t xml:space="preserve">Annex 3 (Rev.WRC-19) in its examination under </w:t>
      </w:r>
      <w:r w:rsidRPr="00343E14">
        <w:rPr>
          <w:rFonts w:cs="Calibri"/>
          <w:lang w:val="en-US"/>
        </w:rPr>
        <w:t>§</w:t>
      </w:r>
      <w:r w:rsidRPr="00343E14">
        <w:rPr>
          <w:lang w:val="en-US"/>
        </w:rPr>
        <w:t> 6.3 b);</w:t>
      </w:r>
    </w:p>
    <w:p w14:paraId="61885F08"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(Rev.WRC-19) and the new criteria referred to in Resolution </w:t>
      </w:r>
      <w:r w:rsidRPr="00343E14">
        <w:rPr>
          <w:b/>
          <w:bCs/>
          <w:lang w:val="en-US"/>
        </w:rPr>
        <w:t>[A7(E)</w:t>
      </w:r>
      <w:r w:rsidRPr="00343E14">
        <w:rPr>
          <w:b/>
          <w:bCs/>
          <w:lang w:val="en-US"/>
        </w:rPr>
        <w:noBreakHyphen/>
        <w:t xml:space="preserve">AP30B] (WRC-19) </w:t>
      </w:r>
      <w:r w:rsidRPr="00343E14">
        <w:rPr>
          <w:lang w:val="en-US"/>
        </w:rPr>
        <w:t xml:space="preserve">in its examination under </w:t>
      </w:r>
      <w:r w:rsidRPr="00343E14">
        <w:rPr>
          <w:rFonts w:cs="Calibri"/>
          <w:lang w:val="en-US"/>
        </w:rPr>
        <w:t>§</w:t>
      </w:r>
      <w:r w:rsidRPr="00343E14">
        <w:rPr>
          <w:lang w:val="en-US"/>
        </w:rPr>
        <w:t> 6.5, as appropriate.</w:t>
      </w:r>
    </w:p>
    <w:p w14:paraId="61885F09" w14:textId="77777777" w:rsidR="007A4E5D" w:rsidRPr="00343E14" w:rsidRDefault="001F2D0B" w:rsidP="001F2D0B">
      <w:pPr>
        <w:pStyle w:val="enumlev1"/>
        <w:rPr>
          <w:lang w:val="en-US"/>
        </w:rPr>
      </w:pPr>
      <w:r>
        <w:rPr>
          <w:lang w:val="en-US"/>
        </w:rPr>
        <w:tab/>
      </w:r>
      <w:r w:rsidR="007A4E5D" w:rsidRPr="00343E14">
        <w:rPr>
          <w:lang w:val="en-US"/>
        </w:rPr>
        <w:t>Note: Including examination of submissions under Issue E before the examination of the last normal Part A and/or Part B received before 23 November 2019.</w:t>
      </w:r>
    </w:p>
    <w:p w14:paraId="61885F0A" w14:textId="77777777" w:rsidR="007A4E5D" w:rsidRPr="00343E14" w:rsidRDefault="007A4E5D" w:rsidP="001F2D0B">
      <w:pPr>
        <w:pStyle w:val="enumlev1"/>
        <w:rPr>
          <w:lang w:val="en-US"/>
        </w:rPr>
      </w:pPr>
      <w:r w:rsidRPr="00343E14">
        <w:rPr>
          <w:lang w:val="en-US"/>
        </w:rPr>
        <w:t>7</w:t>
      </w:r>
      <w:r w:rsidRPr="00343E14">
        <w:rPr>
          <w:lang w:val="en-US"/>
        </w:rPr>
        <w:tab/>
        <w:t xml:space="preserve">For complete submissions under § 6.17 in application of Resolution </w:t>
      </w:r>
      <w:r w:rsidRPr="00343E14">
        <w:rPr>
          <w:b/>
          <w:bCs/>
          <w:lang w:val="en-US"/>
        </w:rPr>
        <w:t>[A7(E)-AP30B] (WRC-19)</w:t>
      </w:r>
      <w:r w:rsidRPr="00343E14">
        <w:rPr>
          <w:lang w:val="en-US"/>
        </w:rPr>
        <w:t>, the Bureau shall apply:</w:t>
      </w:r>
    </w:p>
    <w:p w14:paraId="61885F0B" w14:textId="77777777" w:rsidR="007A4E5D" w:rsidRPr="00343E14" w:rsidRDefault="007A4E5D" w:rsidP="001F2D0B">
      <w:pPr>
        <w:pStyle w:val="enumlev2"/>
        <w:rPr>
          <w:lang w:val="en-US"/>
        </w:rPr>
      </w:pPr>
      <w:r w:rsidRPr="00343E14">
        <w:rPr>
          <w:i/>
          <w:lang w:val="en-US"/>
        </w:rPr>
        <w:t>a)</w:t>
      </w:r>
      <w:r w:rsidRPr="00343E14">
        <w:rPr>
          <w:lang w:val="en-US"/>
        </w:rPr>
        <w:tab/>
        <w:t xml:space="preserve">Annex 3 (Rev.WRC-19) in its examination under </w:t>
      </w:r>
      <w:r w:rsidRPr="00343E14">
        <w:rPr>
          <w:rFonts w:cs="Calibri"/>
          <w:lang w:val="en-US"/>
        </w:rPr>
        <w:t>§</w:t>
      </w:r>
      <w:r w:rsidRPr="00343E14">
        <w:rPr>
          <w:lang w:val="en-US"/>
        </w:rPr>
        <w:t> 6.19 c);</w:t>
      </w:r>
    </w:p>
    <w:p w14:paraId="61885F0C" w14:textId="77777777" w:rsidR="007A4E5D" w:rsidRPr="00343E14" w:rsidRDefault="007A4E5D" w:rsidP="001F2D0B">
      <w:pPr>
        <w:pStyle w:val="enumlev2"/>
        <w:rPr>
          <w:lang w:val="en-US"/>
        </w:rPr>
      </w:pPr>
      <w:r w:rsidRPr="00343E14">
        <w:rPr>
          <w:i/>
          <w:lang w:val="en-US"/>
        </w:rPr>
        <w:t>b)</w:t>
      </w:r>
      <w:r w:rsidRPr="00343E14">
        <w:rPr>
          <w:lang w:val="en-US"/>
        </w:rPr>
        <w:tab/>
        <w:t xml:space="preserve">Annex 4 (Rev.WRC-19) and the new criteria referred to in Resolution </w:t>
      </w:r>
      <w:r w:rsidRPr="00343E14">
        <w:rPr>
          <w:b/>
          <w:bCs/>
          <w:lang w:val="en-US"/>
        </w:rPr>
        <w:t>[A7(E)</w:t>
      </w:r>
      <w:r w:rsidRPr="00343E14">
        <w:rPr>
          <w:b/>
          <w:bCs/>
          <w:lang w:val="en-US"/>
        </w:rPr>
        <w:noBreakHyphen/>
        <w:t xml:space="preserve">AP30B] (WRC-19) </w:t>
      </w:r>
      <w:r w:rsidRPr="00343E14">
        <w:rPr>
          <w:lang w:val="en-US"/>
        </w:rPr>
        <w:t>in its examination under § 6.21, as appropriate;</w:t>
      </w:r>
    </w:p>
    <w:p w14:paraId="61885F0D" w14:textId="77777777" w:rsidR="007A4E5D" w:rsidRPr="00343E14" w:rsidRDefault="007A4E5D" w:rsidP="001F2D0B">
      <w:pPr>
        <w:pStyle w:val="enumlev2"/>
        <w:rPr>
          <w:lang w:val="en-US"/>
        </w:rPr>
      </w:pPr>
      <w:r w:rsidRPr="00343E14">
        <w:rPr>
          <w:i/>
          <w:lang w:val="en-US"/>
        </w:rPr>
        <w:t>c)</w:t>
      </w:r>
      <w:r w:rsidRPr="00343E14">
        <w:rPr>
          <w:lang w:val="en-US"/>
        </w:rPr>
        <w:tab/>
        <w:t xml:space="preserve">Annex 4 (Rev.WRC-19) and the new criteria referred to in Resolution </w:t>
      </w:r>
      <w:r w:rsidRPr="00343E14">
        <w:rPr>
          <w:b/>
          <w:bCs/>
          <w:lang w:val="en-US"/>
        </w:rPr>
        <w:t>[A7(E)</w:t>
      </w:r>
      <w:r w:rsidRPr="00343E14">
        <w:rPr>
          <w:b/>
          <w:bCs/>
          <w:lang w:val="en-US"/>
        </w:rPr>
        <w:noBreakHyphen/>
        <w:t>AP30B] (WRC-19)</w:t>
      </w:r>
      <w:r w:rsidRPr="00343E14">
        <w:rPr>
          <w:lang w:val="en-US"/>
        </w:rPr>
        <w:t xml:space="preserve"> in its further examination under footnote YY to </w:t>
      </w:r>
      <w:r w:rsidRPr="00343E14">
        <w:rPr>
          <w:rFonts w:cs="Calibri"/>
          <w:lang w:val="en-US"/>
        </w:rPr>
        <w:t>§</w:t>
      </w:r>
      <w:r w:rsidRPr="00343E14">
        <w:rPr>
          <w:lang w:val="en-US"/>
        </w:rPr>
        <w:t> 6.21 c), as appropriate;</w:t>
      </w:r>
    </w:p>
    <w:p w14:paraId="61885F0E" w14:textId="77777777" w:rsidR="007A4E5D" w:rsidRPr="00343E14" w:rsidRDefault="007A4E5D" w:rsidP="001F2D0B">
      <w:pPr>
        <w:pStyle w:val="enumlev2"/>
        <w:rPr>
          <w:lang w:val="en-US"/>
        </w:rPr>
      </w:pPr>
      <w:r w:rsidRPr="00343E14">
        <w:rPr>
          <w:i/>
          <w:lang w:val="en-US"/>
        </w:rPr>
        <w:t>d)</w:t>
      </w:r>
      <w:r w:rsidRPr="00343E14">
        <w:rPr>
          <w:lang w:val="en-US"/>
        </w:rPr>
        <w:tab/>
        <w:t xml:space="preserve">Annex 4 (Rev.WRC-19) and the new criteria referred to in Resolution </w:t>
      </w:r>
      <w:r w:rsidRPr="00343E14">
        <w:rPr>
          <w:b/>
          <w:bCs/>
          <w:lang w:val="en-US"/>
        </w:rPr>
        <w:t>[A7(E)</w:t>
      </w:r>
      <w:r w:rsidRPr="00343E14">
        <w:rPr>
          <w:b/>
          <w:bCs/>
          <w:lang w:val="en-US"/>
        </w:rPr>
        <w:noBreakHyphen/>
        <w:t>AP30B] (WRC-19)</w:t>
      </w:r>
      <w:r w:rsidRPr="00343E14">
        <w:rPr>
          <w:lang w:val="en-US"/>
        </w:rPr>
        <w:t xml:space="preserve"> in its examination under § 6.22, as appropriate.</w:t>
      </w:r>
    </w:p>
    <w:p w14:paraId="61885F0F" w14:textId="77777777" w:rsidR="007A4E5D" w:rsidRPr="00343E14" w:rsidRDefault="007A4E5D" w:rsidP="001F2D0B">
      <w:pPr>
        <w:rPr>
          <w:lang w:val="en-US"/>
        </w:rPr>
      </w:pPr>
      <w:r w:rsidRPr="00343E14">
        <w:rPr>
          <w:lang w:val="en-US"/>
        </w:rPr>
        <w:t xml:space="preserve">Application of § 6.16: </w:t>
      </w:r>
    </w:p>
    <w:p w14:paraId="61885F10" w14:textId="77777777" w:rsidR="007A4E5D" w:rsidRPr="00343E14" w:rsidRDefault="007A4E5D" w:rsidP="001F2D0B">
      <w:pPr>
        <w:pStyle w:val="enumlev1"/>
        <w:rPr>
          <w:lang w:val="en-US"/>
        </w:rPr>
      </w:pPr>
      <w:r w:rsidRPr="00343E14">
        <w:rPr>
          <w:lang w:val="en-US"/>
        </w:rPr>
        <w:t>–</w:t>
      </w:r>
      <w:r w:rsidRPr="00343E14">
        <w:rPr>
          <w:lang w:val="en-US"/>
        </w:rPr>
        <w:tab/>
        <w:t>In excluding the territories of the concerned administration, the Bureau shall apply Annex 4 (Rev.WRC-07) until the last complete submissions under § 6.1 or § 6.17 received by the Bureau before 23 November 2019 has been examined and Annex 4 (Rev.WRC-19) afterward.</w:t>
      </w:r>
    </w:p>
    <w:p w14:paraId="61885F11" w14:textId="77777777" w:rsidR="007A4E5D" w:rsidRPr="00343E14" w:rsidRDefault="007A4E5D" w:rsidP="001F2D0B">
      <w:pPr>
        <w:pStyle w:val="enumlev1"/>
        <w:rPr>
          <w:lang w:val="en-US"/>
        </w:rPr>
      </w:pPr>
      <w:r w:rsidRPr="00343E14">
        <w:rPr>
          <w:lang w:val="en-US"/>
        </w:rPr>
        <w:lastRenderedPageBreak/>
        <w:t>–</w:t>
      </w:r>
      <w:r w:rsidRPr="00343E14">
        <w:rPr>
          <w:lang w:val="en-US"/>
        </w:rPr>
        <w:tab/>
        <w:t>If § 6.16 request is submitted in order to be taken into account for the examination of a complete submissions under § 6.17, in examining those submissions, the Bureau shall apply appropriate Annex 4 used in the examination under § 6.21 and § 6.22 as indicated above.</w:t>
      </w:r>
    </w:p>
    <w:p w14:paraId="61885F13" w14:textId="77777777" w:rsidR="001F2D0B" w:rsidRDefault="007A4E5D" w:rsidP="001F2D0B">
      <w:pPr>
        <w:rPr>
          <w:lang w:val="en-US"/>
        </w:rPr>
      </w:pPr>
      <w:r w:rsidRPr="00343E14">
        <w:rPr>
          <w:lang w:val="en-US"/>
        </w:rPr>
        <w:t xml:space="preserve">Application </w:t>
      </w:r>
      <w:r w:rsidR="001F2D0B">
        <w:rPr>
          <w:lang w:val="en-US"/>
        </w:rPr>
        <w:t>of § 6.27 in updating criteria:</w:t>
      </w:r>
    </w:p>
    <w:p w14:paraId="61885F14" w14:textId="77777777" w:rsidR="007A4E5D" w:rsidRPr="00343E14" w:rsidRDefault="007A4E5D" w:rsidP="001F2D0B">
      <w:pPr>
        <w:rPr>
          <w:lang w:val="en-US"/>
        </w:rPr>
      </w:pPr>
      <w:r w:rsidRPr="00343E14">
        <w:rPr>
          <w:lang w:val="en-US"/>
        </w:rPr>
        <w:t>The Bureau shall apply Annex 4 (Rev.WRC-07) until the last complete submissions under § 6.1 or § 6.17 received by the Bureau before 23 November 2019 has been examined and Annex 4 (Rev.WRC-19) afterward.</w:t>
      </w:r>
    </w:p>
    <w:p w14:paraId="61885F15" w14:textId="77777777" w:rsidR="007A4E5D" w:rsidRPr="00343E14" w:rsidRDefault="007A4E5D" w:rsidP="001F2D0B">
      <w:pPr>
        <w:rPr>
          <w:lang w:val="en-US"/>
        </w:rPr>
      </w:pPr>
      <w:r w:rsidRPr="00343E14">
        <w:rPr>
          <w:lang w:val="en-US"/>
        </w:rPr>
        <w:t>Application of § 7.5:</w:t>
      </w:r>
    </w:p>
    <w:p w14:paraId="61885F16" w14:textId="77777777" w:rsidR="007A4E5D" w:rsidRPr="00343E14" w:rsidRDefault="007A4E5D" w:rsidP="001F2D0B">
      <w:pPr>
        <w:pStyle w:val="enumlev1"/>
        <w:rPr>
          <w:lang w:val="en-US"/>
        </w:rPr>
      </w:pPr>
      <w:r w:rsidRPr="00343E14">
        <w:rPr>
          <w:lang w:val="en-US"/>
        </w:rPr>
        <w:t>–</w:t>
      </w:r>
      <w:r w:rsidRPr="00343E14">
        <w:rPr>
          <w:lang w:val="en-US"/>
        </w:rPr>
        <w:tab/>
        <w:t xml:space="preserve">For a request under Article </w:t>
      </w:r>
      <w:r w:rsidRPr="00343E14">
        <w:rPr>
          <w:b/>
          <w:bCs/>
          <w:lang w:val="en-US"/>
        </w:rPr>
        <w:t>7</w:t>
      </w:r>
      <w:r w:rsidRPr="00343E14">
        <w:rPr>
          <w:lang w:val="en-US"/>
        </w:rPr>
        <w:t xml:space="preserve"> received before 23 November 2019, the Bureau shall apply Annex 3 (WRC-07) and Annex 4 (Rev.WRC-07).</w:t>
      </w:r>
    </w:p>
    <w:p w14:paraId="61885F17" w14:textId="77777777" w:rsidR="007A4E5D" w:rsidRPr="00343E14" w:rsidRDefault="007A4E5D" w:rsidP="001F2D0B">
      <w:pPr>
        <w:pStyle w:val="enumlev1"/>
        <w:rPr>
          <w:lang w:val="en-US"/>
        </w:rPr>
      </w:pPr>
      <w:r w:rsidRPr="00343E14">
        <w:rPr>
          <w:lang w:val="en-US"/>
        </w:rPr>
        <w:t>–</w:t>
      </w:r>
      <w:r w:rsidRPr="00343E14">
        <w:rPr>
          <w:lang w:val="en-US"/>
        </w:rPr>
        <w:tab/>
        <w:t xml:space="preserve">For a request under Article </w:t>
      </w:r>
      <w:r w:rsidRPr="00343E14">
        <w:rPr>
          <w:b/>
          <w:bCs/>
          <w:lang w:val="en-US"/>
        </w:rPr>
        <w:t>7</w:t>
      </w:r>
      <w:r w:rsidRPr="00343E14">
        <w:rPr>
          <w:lang w:val="en-US"/>
        </w:rPr>
        <w:t xml:space="preserve"> received after 22 November 2019, the Bureau shall apply Annex 3 (Rev.WRC-19) and Annex 4 (Rev.WRC-19). </w:t>
      </w:r>
    </w:p>
    <w:p w14:paraId="61885F18" w14:textId="77777777" w:rsidR="007A4E5D" w:rsidRDefault="007A4E5D" w:rsidP="001F2D0B">
      <w:pPr>
        <w:rPr>
          <w:lang w:val="en-US"/>
        </w:rPr>
      </w:pPr>
      <w:r w:rsidRPr="00343E14">
        <w:rPr>
          <w:lang w:val="en-US"/>
        </w:rPr>
        <w:t xml:space="preserve">In its examination under 6.21 c), the Bureau shall take into account also complete submissions under § 6.1 in application of Resolution </w:t>
      </w:r>
      <w:r w:rsidRPr="00343E14">
        <w:rPr>
          <w:b/>
          <w:bCs/>
          <w:lang w:val="en-US"/>
        </w:rPr>
        <w:t>[A7(E)-AP30B] (WRC-19)</w:t>
      </w:r>
      <w:r w:rsidRPr="00343E14">
        <w:rPr>
          <w:lang w:val="en-US"/>
        </w:rPr>
        <w:t xml:space="preserve"> and Article </w:t>
      </w:r>
      <w:r w:rsidRPr="00343E14">
        <w:rPr>
          <w:bCs/>
          <w:lang w:val="en-US"/>
        </w:rPr>
        <w:t>7</w:t>
      </w:r>
      <w:r w:rsidRPr="00343E14">
        <w:rPr>
          <w:lang w:val="en-US"/>
        </w:rPr>
        <w:t xml:space="preserve"> request transferred to Article </w:t>
      </w:r>
      <w:r w:rsidRPr="00343E14">
        <w:rPr>
          <w:bCs/>
          <w:lang w:val="en-US"/>
        </w:rPr>
        <w:t>6</w:t>
      </w:r>
      <w:r w:rsidRPr="00343E14">
        <w:rPr>
          <w:lang w:val="en-US"/>
        </w:rPr>
        <w:t xml:space="preserve"> under § 7.7 that has been examined before the date of receipt of the examined notice submitted under § 6.1.</w:t>
      </w:r>
      <w:r>
        <w:rPr>
          <w:lang w:val="en-US"/>
        </w:rPr>
        <w:t>”</w:t>
      </w:r>
    </w:p>
    <w:p w14:paraId="61885F19" w14:textId="77777777" w:rsidR="007A4E5D" w:rsidRPr="00343E14" w:rsidRDefault="007A4E5D" w:rsidP="001F2D0B">
      <w:pPr>
        <w:rPr>
          <w:lang w:val="en-US"/>
        </w:rPr>
      </w:pPr>
      <w:r>
        <w:rPr>
          <w:lang w:val="en-US"/>
        </w:rPr>
        <w:t>13.8</w:t>
      </w:r>
      <w:r>
        <w:rPr>
          <w:lang w:val="en-US"/>
        </w:rPr>
        <w:tab/>
        <w:t xml:space="preserve">It was so </w:t>
      </w:r>
      <w:r w:rsidRPr="00343E14">
        <w:rPr>
          <w:b/>
          <w:bCs/>
          <w:lang w:val="en-US"/>
        </w:rPr>
        <w:t>agreed</w:t>
      </w:r>
      <w:r w:rsidRPr="001F2D0B">
        <w:rPr>
          <w:lang w:val="en-US"/>
        </w:rPr>
        <w:t>.</w:t>
      </w:r>
    </w:p>
    <w:p w14:paraId="61885F1A" w14:textId="77777777" w:rsidR="007A4E5D" w:rsidRDefault="007A4E5D" w:rsidP="001F2D0B">
      <w:pPr>
        <w:rPr>
          <w:lang w:val="en-US"/>
        </w:rPr>
      </w:pPr>
      <w:r>
        <w:rPr>
          <w:lang w:val="en-US"/>
        </w:rPr>
        <w:t>13.9</w:t>
      </w:r>
      <w:r>
        <w:rPr>
          <w:lang w:val="en-US"/>
        </w:rPr>
        <w:tab/>
        <w:t xml:space="preserve">Document 510 was </w:t>
      </w:r>
      <w:r w:rsidRPr="00343E14">
        <w:rPr>
          <w:b/>
          <w:bCs/>
          <w:lang w:val="en-US"/>
        </w:rPr>
        <w:t>approved</w:t>
      </w:r>
      <w:r>
        <w:rPr>
          <w:lang w:val="en-US"/>
        </w:rPr>
        <w:t>.</w:t>
      </w:r>
    </w:p>
    <w:p w14:paraId="61885F1B" w14:textId="77777777" w:rsidR="007A4E5D" w:rsidRPr="00DC173F" w:rsidRDefault="007A4E5D" w:rsidP="001F2D0B">
      <w:pPr>
        <w:pStyle w:val="Heading1"/>
        <w:rPr>
          <w:lang w:val="en-US"/>
        </w:rPr>
      </w:pPr>
      <w:r>
        <w:rPr>
          <w:lang w:val="en-US"/>
        </w:rPr>
        <w:t>14</w:t>
      </w:r>
      <w:r>
        <w:rPr>
          <w:lang w:val="en-US"/>
        </w:rPr>
        <w:tab/>
      </w:r>
      <w:r w:rsidRPr="00DC173F">
        <w:rPr>
          <w:lang w:val="en-US"/>
        </w:rPr>
        <w:t>Third series of texts submitted by the Editorial Committee</w:t>
      </w:r>
      <w:r>
        <w:rPr>
          <w:lang w:val="en-US"/>
        </w:rPr>
        <w:t xml:space="preserve"> for second reading (R3)</w:t>
      </w:r>
      <w:r w:rsidRPr="00DC173F">
        <w:rPr>
          <w:lang w:val="en-US"/>
        </w:rPr>
        <w:t xml:space="preserve"> (Document 498</w:t>
      </w:r>
      <w:r>
        <w:rPr>
          <w:lang w:val="en-US"/>
        </w:rPr>
        <w:t>)</w:t>
      </w:r>
    </w:p>
    <w:p w14:paraId="61885F1C" w14:textId="77777777" w:rsidR="007A4E5D" w:rsidRPr="00DA5C1F" w:rsidRDefault="007A4E5D" w:rsidP="00C709BF">
      <w:pPr>
        <w:rPr>
          <w:lang w:val="en-US"/>
        </w:rPr>
      </w:pPr>
      <w:r>
        <w:rPr>
          <w:lang w:val="en-US"/>
        </w:rPr>
        <w:t>14.1</w:t>
      </w:r>
      <w:r>
        <w:rPr>
          <w:lang w:val="en-US"/>
        </w:rPr>
        <w:tab/>
      </w:r>
      <w:r w:rsidRPr="00DA5C1F">
        <w:rPr>
          <w:lang w:val="en-US"/>
        </w:rPr>
        <w:t xml:space="preserve">The </w:t>
      </w:r>
      <w:r w:rsidRPr="00DA5C1F">
        <w:rPr>
          <w:b/>
          <w:bCs/>
          <w:lang w:val="en-US"/>
        </w:rPr>
        <w:t>Chairman of the Editorial Committee</w:t>
      </w:r>
      <w:r w:rsidRPr="00DA5C1F">
        <w:rPr>
          <w:lang w:val="en-US"/>
        </w:rPr>
        <w:t xml:space="preserve"> </w:t>
      </w:r>
      <w:r>
        <w:rPr>
          <w:lang w:val="en-US"/>
        </w:rPr>
        <w:t>said that</w:t>
      </w:r>
      <w:r w:rsidRPr="00DA5C1F">
        <w:rPr>
          <w:lang w:val="en-US"/>
        </w:rPr>
        <w:t xml:space="preserve"> Document 498</w:t>
      </w:r>
      <w:r>
        <w:rPr>
          <w:lang w:val="en-US"/>
        </w:rPr>
        <w:t xml:space="preserve"> reflected the amendments made to ADD Resolution COM4/1 (WRC-19) at the eighth plenary meeting. </w:t>
      </w:r>
    </w:p>
    <w:p w14:paraId="61885F1D" w14:textId="77777777" w:rsidR="007A4E5D" w:rsidRPr="00FE43E9" w:rsidRDefault="007A4E5D" w:rsidP="00C709BF">
      <w:pPr>
        <w:rPr>
          <w:lang w:val="en-US"/>
        </w:rPr>
      </w:pPr>
      <w:r>
        <w:rPr>
          <w:lang w:val="en-US"/>
        </w:rPr>
        <w:t>14.2</w:t>
      </w:r>
      <w:r>
        <w:rPr>
          <w:lang w:val="en-US"/>
        </w:rPr>
        <w:tab/>
      </w:r>
      <w:r w:rsidRPr="00FE43E9">
        <w:rPr>
          <w:lang w:val="en-US"/>
        </w:rPr>
        <w:t xml:space="preserve">The third series of texts submitted by the Editorial Committee </w:t>
      </w:r>
      <w:r>
        <w:rPr>
          <w:lang w:val="en-US"/>
        </w:rPr>
        <w:t xml:space="preserve">for second reading </w:t>
      </w:r>
      <w:r w:rsidRPr="00FE43E9">
        <w:rPr>
          <w:lang w:val="en-US"/>
        </w:rPr>
        <w:t xml:space="preserve">(R3) (Document 498) was </w:t>
      </w:r>
      <w:r w:rsidRPr="00FE43E9">
        <w:rPr>
          <w:b/>
          <w:bCs/>
          <w:lang w:val="en-US"/>
        </w:rPr>
        <w:t>approved</w:t>
      </w:r>
      <w:r w:rsidRPr="00FE43E9">
        <w:rPr>
          <w:lang w:val="en-US"/>
        </w:rPr>
        <w:t>.</w:t>
      </w:r>
    </w:p>
    <w:p w14:paraId="61885F1E" w14:textId="77777777" w:rsidR="007A4E5D" w:rsidRPr="00DC173F" w:rsidRDefault="007A4E5D" w:rsidP="00C709BF">
      <w:pPr>
        <w:pStyle w:val="Heading1"/>
        <w:rPr>
          <w:lang w:val="en-US"/>
        </w:rPr>
      </w:pPr>
      <w:r>
        <w:t>15</w:t>
      </w:r>
      <w:r>
        <w:tab/>
        <w:t>General comments and o</w:t>
      </w:r>
      <w:r w:rsidRPr="00DC173F">
        <w:t>rganization of work</w:t>
      </w:r>
    </w:p>
    <w:p w14:paraId="61885F1F" w14:textId="77777777" w:rsidR="007A4E5D" w:rsidRPr="00DA5C1F" w:rsidRDefault="007A4E5D" w:rsidP="00C709BF">
      <w:pPr>
        <w:rPr>
          <w:lang w:val="en-US"/>
        </w:rPr>
      </w:pPr>
      <w:r>
        <w:rPr>
          <w:lang w:val="en-US"/>
        </w:rPr>
        <w:t>15.1</w:t>
      </w:r>
      <w:r>
        <w:rPr>
          <w:lang w:val="en-US"/>
        </w:rPr>
        <w:tab/>
      </w:r>
      <w:r w:rsidRPr="00DF3B00">
        <w:rPr>
          <w:lang w:val="en-US"/>
        </w:rPr>
        <w:t>The</w:t>
      </w:r>
      <w:r>
        <w:rPr>
          <w:b/>
          <w:bCs/>
          <w:lang w:val="en-US"/>
        </w:rPr>
        <w:t xml:space="preserve"> delegate of </w:t>
      </w:r>
      <w:r w:rsidRPr="00DA5C1F">
        <w:rPr>
          <w:b/>
          <w:bCs/>
          <w:lang w:val="en-US"/>
        </w:rPr>
        <w:t>China</w:t>
      </w:r>
      <w:r>
        <w:rPr>
          <w:lang w:val="en-US"/>
        </w:rPr>
        <w:t xml:space="preserve"> said that her country – a major global provider of free meteorological data – had concerns regarding agenda item 1.13. As an important stakeholder, it wished to participate in the consultations on that item</w:t>
      </w:r>
      <w:r w:rsidRPr="00AE6E66">
        <w:rPr>
          <w:lang w:val="en-US"/>
        </w:rPr>
        <w:t xml:space="preserve">, </w:t>
      </w:r>
      <w:r>
        <w:rPr>
          <w:lang w:val="en-US"/>
        </w:rPr>
        <w:t xml:space="preserve">particularly as their outcome could affect </w:t>
      </w:r>
      <w:r w:rsidRPr="008A5BA1">
        <w:rPr>
          <w:lang w:val="en-US"/>
        </w:rPr>
        <w:t xml:space="preserve">the </w:t>
      </w:r>
      <w:r w:rsidRPr="00696F8A">
        <w:rPr>
          <w:lang w:val="en-US"/>
        </w:rPr>
        <w:t>protection of EESS systems</w:t>
      </w:r>
      <w:r>
        <w:rPr>
          <w:lang w:val="en-US"/>
        </w:rPr>
        <w:t xml:space="preserve"> and have a serious impact on meteorological services</w:t>
      </w:r>
      <w:r w:rsidRPr="00696F8A">
        <w:rPr>
          <w:lang w:val="en-US"/>
        </w:rPr>
        <w:t xml:space="preserve">. </w:t>
      </w:r>
    </w:p>
    <w:p w14:paraId="61885F20" w14:textId="77777777" w:rsidR="007A4E5D" w:rsidRPr="000333DD" w:rsidRDefault="007A4E5D" w:rsidP="00C709BF">
      <w:pPr>
        <w:rPr>
          <w:lang w:val="en-US"/>
        </w:rPr>
      </w:pPr>
      <w:r>
        <w:rPr>
          <w:lang w:val="en-US"/>
        </w:rPr>
        <w:t>15.2</w:t>
      </w:r>
      <w:r>
        <w:rPr>
          <w:lang w:val="en-US"/>
        </w:rPr>
        <w:tab/>
      </w:r>
      <w:r w:rsidRPr="00DF3B00">
        <w:rPr>
          <w:lang w:val="en-US"/>
        </w:rPr>
        <w:t>The</w:t>
      </w:r>
      <w:r>
        <w:rPr>
          <w:b/>
          <w:bCs/>
          <w:lang w:val="en-US"/>
        </w:rPr>
        <w:t xml:space="preserve"> </w:t>
      </w:r>
      <w:r w:rsidRPr="00DA5C1F">
        <w:rPr>
          <w:b/>
          <w:bCs/>
          <w:lang w:val="en-US"/>
        </w:rPr>
        <w:t>Chairman</w:t>
      </w:r>
      <w:r>
        <w:rPr>
          <w:b/>
          <w:bCs/>
          <w:lang w:val="en-US"/>
        </w:rPr>
        <w:t xml:space="preserve"> </w:t>
      </w:r>
      <w:r w:rsidRPr="00DF3B00">
        <w:rPr>
          <w:lang w:val="en-US"/>
        </w:rPr>
        <w:t xml:space="preserve">said </w:t>
      </w:r>
      <w:r>
        <w:rPr>
          <w:lang w:val="en-US"/>
        </w:rPr>
        <w:t>that related discussions had been held</w:t>
      </w:r>
      <w:r w:rsidRPr="00DA5C1F">
        <w:rPr>
          <w:lang w:val="en-US"/>
        </w:rPr>
        <w:t xml:space="preserve"> </w:t>
      </w:r>
      <w:r>
        <w:rPr>
          <w:lang w:val="en-US"/>
        </w:rPr>
        <w:t>the previous</w:t>
      </w:r>
      <w:r w:rsidRPr="00DA5C1F">
        <w:rPr>
          <w:lang w:val="en-US"/>
        </w:rPr>
        <w:t xml:space="preserve"> </w:t>
      </w:r>
      <w:r>
        <w:rPr>
          <w:lang w:val="en-US"/>
        </w:rPr>
        <w:t xml:space="preserve">evening and a resolution </w:t>
      </w:r>
      <w:r w:rsidRPr="00977F89">
        <w:rPr>
          <w:lang w:val="en-US"/>
        </w:rPr>
        <w:t xml:space="preserve">was expected later that day. However, the delegation of China was welcome to attend </w:t>
      </w:r>
      <w:r>
        <w:rPr>
          <w:lang w:val="en-US"/>
        </w:rPr>
        <w:t>any further</w:t>
      </w:r>
      <w:r w:rsidRPr="00977F89">
        <w:rPr>
          <w:lang w:val="en-US"/>
        </w:rPr>
        <w:t xml:space="preserve"> meetings.</w:t>
      </w:r>
      <w:r w:rsidRPr="007072F0">
        <w:rPr>
          <w:lang w:val="en-US"/>
        </w:rPr>
        <w:t xml:space="preserve"> </w:t>
      </w:r>
      <w:r>
        <w:rPr>
          <w:lang w:val="en-US"/>
        </w:rPr>
        <w:t>Agenda item</w:t>
      </w:r>
      <w:r w:rsidRPr="000333DD">
        <w:rPr>
          <w:lang w:val="en-US"/>
        </w:rPr>
        <w:t xml:space="preserve"> 1.</w:t>
      </w:r>
      <w:r>
        <w:rPr>
          <w:lang w:val="en-US"/>
        </w:rPr>
        <w:t>1</w:t>
      </w:r>
      <w:r w:rsidRPr="000333DD">
        <w:rPr>
          <w:lang w:val="en-US"/>
        </w:rPr>
        <w:t xml:space="preserve">3 was very important and required consensus. It was </w:t>
      </w:r>
      <w:r>
        <w:rPr>
          <w:lang w:val="en-US"/>
        </w:rPr>
        <w:t>important</w:t>
      </w:r>
      <w:r w:rsidRPr="000333DD">
        <w:rPr>
          <w:lang w:val="en-US"/>
        </w:rPr>
        <w:t xml:space="preserve"> to achieve a result that </w:t>
      </w:r>
      <w:r>
        <w:rPr>
          <w:lang w:val="en-US"/>
        </w:rPr>
        <w:t xml:space="preserve">was fair and </w:t>
      </w:r>
      <w:r w:rsidRPr="000333DD">
        <w:rPr>
          <w:lang w:val="en-US"/>
        </w:rPr>
        <w:t>would help to foster development.</w:t>
      </w:r>
    </w:p>
    <w:p w14:paraId="61885F21" w14:textId="77777777" w:rsidR="007A4E5D" w:rsidRPr="000333DD" w:rsidRDefault="007A4E5D" w:rsidP="00C709BF">
      <w:pPr>
        <w:rPr>
          <w:lang w:val="en-US"/>
        </w:rPr>
      </w:pPr>
      <w:r>
        <w:rPr>
          <w:lang w:val="en-US"/>
        </w:rPr>
        <w:t>15.3</w:t>
      </w:r>
      <w:r>
        <w:rPr>
          <w:lang w:val="en-US"/>
        </w:rPr>
        <w:tab/>
      </w:r>
      <w:r w:rsidRPr="000333DD">
        <w:rPr>
          <w:lang w:val="en-US"/>
        </w:rPr>
        <w:t xml:space="preserve">The </w:t>
      </w:r>
      <w:r w:rsidRPr="000333DD">
        <w:rPr>
          <w:b/>
          <w:bCs/>
          <w:lang w:val="en-US"/>
        </w:rPr>
        <w:t xml:space="preserve">delegate of the Islamic Republic of Iran </w:t>
      </w:r>
      <w:r w:rsidRPr="00D07741">
        <w:rPr>
          <w:lang w:val="en-US"/>
        </w:rPr>
        <w:t>expressed supp</w:t>
      </w:r>
      <w:r w:rsidRPr="000333DD">
        <w:rPr>
          <w:lang w:val="en-US"/>
        </w:rPr>
        <w:t xml:space="preserve">ort for the request made by the delegate of </w:t>
      </w:r>
      <w:r w:rsidRPr="00977F89">
        <w:rPr>
          <w:lang w:val="en-US"/>
        </w:rPr>
        <w:t xml:space="preserve">China. </w:t>
      </w:r>
      <w:r>
        <w:rPr>
          <w:lang w:val="en-US"/>
        </w:rPr>
        <w:t>I</w:t>
      </w:r>
      <w:r w:rsidRPr="00977F89">
        <w:rPr>
          <w:lang w:val="en-US"/>
        </w:rPr>
        <w:t xml:space="preserve">t would be </w:t>
      </w:r>
      <w:r>
        <w:rPr>
          <w:lang w:val="en-US"/>
        </w:rPr>
        <w:t>prudent</w:t>
      </w:r>
      <w:r w:rsidRPr="00977F89">
        <w:rPr>
          <w:lang w:val="en-US"/>
        </w:rPr>
        <w:t xml:space="preserve"> to include key players, as well as </w:t>
      </w:r>
      <w:r>
        <w:rPr>
          <w:lang w:val="en-US"/>
        </w:rPr>
        <w:t xml:space="preserve">the </w:t>
      </w:r>
      <w:r w:rsidRPr="00977F89">
        <w:rPr>
          <w:lang w:val="en-US"/>
        </w:rPr>
        <w:t xml:space="preserve">regional groups, in </w:t>
      </w:r>
      <w:r>
        <w:rPr>
          <w:lang w:val="en-US"/>
        </w:rPr>
        <w:t xml:space="preserve">the </w:t>
      </w:r>
      <w:r w:rsidRPr="00977F89">
        <w:rPr>
          <w:lang w:val="en-US"/>
        </w:rPr>
        <w:t>discussions</w:t>
      </w:r>
      <w:r>
        <w:rPr>
          <w:lang w:val="en-US"/>
        </w:rPr>
        <w:t xml:space="preserve">, </w:t>
      </w:r>
      <w:r w:rsidRPr="00977F89">
        <w:rPr>
          <w:lang w:val="en-US"/>
        </w:rPr>
        <w:t>in line with the principle of universality</w:t>
      </w:r>
      <w:r>
        <w:rPr>
          <w:lang w:val="en-US"/>
        </w:rPr>
        <w:t>. He called on participants to demonstrate a spirit of compromise</w:t>
      </w:r>
      <w:r w:rsidRPr="00977F89">
        <w:rPr>
          <w:lang w:val="en-US"/>
        </w:rPr>
        <w:t>.</w:t>
      </w:r>
      <w:r>
        <w:rPr>
          <w:lang w:val="en-US"/>
        </w:rPr>
        <w:t xml:space="preserve"> </w:t>
      </w:r>
    </w:p>
    <w:p w14:paraId="61885F22" w14:textId="77777777" w:rsidR="007A4E5D" w:rsidRPr="000333DD" w:rsidRDefault="007A4E5D" w:rsidP="00C709BF">
      <w:pPr>
        <w:rPr>
          <w:lang w:val="en-US"/>
        </w:rPr>
      </w:pPr>
      <w:r>
        <w:rPr>
          <w:lang w:val="en-US"/>
        </w:rPr>
        <w:t>15.4</w:t>
      </w:r>
      <w:r>
        <w:rPr>
          <w:lang w:val="en-US"/>
        </w:rPr>
        <w:tab/>
      </w:r>
      <w:r w:rsidRPr="000333DD">
        <w:rPr>
          <w:lang w:val="en-US"/>
        </w:rPr>
        <w:t>The</w:t>
      </w:r>
      <w:r w:rsidRPr="000333DD">
        <w:rPr>
          <w:b/>
          <w:bCs/>
          <w:lang w:val="en-US"/>
        </w:rPr>
        <w:t xml:space="preserve"> delegate of Mexico</w:t>
      </w:r>
      <w:r w:rsidRPr="000333DD">
        <w:rPr>
          <w:lang w:val="en-US"/>
        </w:rPr>
        <w:t xml:space="preserve"> said that, following the conclusion of negotiations with the United States, Mexico wished to withdraw its request to be added to footnote</w:t>
      </w:r>
      <w:r>
        <w:rPr>
          <w:lang w:val="en-US"/>
        </w:rPr>
        <w:t xml:space="preserve"> </w:t>
      </w:r>
      <w:r w:rsidRPr="001076D3">
        <w:rPr>
          <w:lang w:val="en-US"/>
        </w:rPr>
        <w:t>5.441A</w:t>
      </w:r>
      <w:r w:rsidRPr="000333DD">
        <w:rPr>
          <w:lang w:val="en-US"/>
        </w:rPr>
        <w:t>.</w:t>
      </w:r>
    </w:p>
    <w:p w14:paraId="61885F23" w14:textId="77777777" w:rsidR="007A4E5D" w:rsidRPr="00977F89" w:rsidRDefault="007A4E5D" w:rsidP="00C709BF">
      <w:pPr>
        <w:rPr>
          <w:lang w:val="en-US"/>
        </w:rPr>
      </w:pPr>
      <w:r>
        <w:rPr>
          <w:lang w:val="en-US"/>
        </w:rPr>
        <w:lastRenderedPageBreak/>
        <w:t>15.5</w:t>
      </w:r>
      <w:r>
        <w:rPr>
          <w:lang w:val="en-US"/>
        </w:rPr>
        <w:tab/>
      </w:r>
      <w:r w:rsidRPr="000333DD">
        <w:rPr>
          <w:lang w:val="en-US"/>
        </w:rPr>
        <w:t xml:space="preserve">The </w:t>
      </w:r>
      <w:r w:rsidRPr="000333DD">
        <w:rPr>
          <w:b/>
          <w:bCs/>
          <w:lang w:val="en-US"/>
        </w:rPr>
        <w:t>Secretary of the Plenary</w:t>
      </w:r>
      <w:r w:rsidRPr="000333DD">
        <w:rPr>
          <w:lang w:val="en-US"/>
        </w:rPr>
        <w:t xml:space="preserve"> said that the </w:t>
      </w:r>
      <w:r>
        <w:rPr>
          <w:lang w:val="en-US"/>
        </w:rPr>
        <w:t xml:space="preserve">relevant </w:t>
      </w:r>
      <w:r w:rsidRPr="000333DD">
        <w:rPr>
          <w:lang w:val="en-US"/>
        </w:rPr>
        <w:t>document had been put on hold</w:t>
      </w:r>
      <w:r>
        <w:rPr>
          <w:lang w:val="en-US"/>
        </w:rPr>
        <w:t xml:space="preserve"> pending completion of the negotiations</w:t>
      </w:r>
      <w:r w:rsidRPr="000333DD">
        <w:rPr>
          <w:lang w:val="en-US"/>
        </w:rPr>
        <w:t xml:space="preserve">. </w:t>
      </w:r>
      <w:r>
        <w:rPr>
          <w:lang w:val="en-US"/>
        </w:rPr>
        <w:t xml:space="preserve">Once the document had been revised to reflect the agreements reached, it would </w:t>
      </w:r>
      <w:r w:rsidRPr="00977F89">
        <w:rPr>
          <w:lang w:val="en-US"/>
        </w:rPr>
        <w:t xml:space="preserve">be submitted to </w:t>
      </w:r>
      <w:r>
        <w:rPr>
          <w:lang w:val="en-US"/>
        </w:rPr>
        <w:t>the P</w:t>
      </w:r>
      <w:r w:rsidRPr="00977F89">
        <w:rPr>
          <w:lang w:val="en-US"/>
        </w:rPr>
        <w:t xml:space="preserve">lenary. </w:t>
      </w:r>
    </w:p>
    <w:p w14:paraId="61885F24" w14:textId="74A50640" w:rsidR="007A4E5D" w:rsidRDefault="007A4E5D" w:rsidP="00C709BF">
      <w:pPr>
        <w:rPr>
          <w:lang w:val="en-US"/>
        </w:rPr>
      </w:pPr>
      <w:r>
        <w:rPr>
          <w:lang w:val="en-US"/>
        </w:rPr>
        <w:t>15.6</w:t>
      </w:r>
      <w:r>
        <w:rPr>
          <w:lang w:val="en-US"/>
        </w:rPr>
        <w:tab/>
      </w:r>
      <w:r w:rsidRPr="00977F89">
        <w:rPr>
          <w:lang w:val="en-US"/>
        </w:rPr>
        <w:t>The</w:t>
      </w:r>
      <w:r w:rsidRPr="00977F89">
        <w:rPr>
          <w:b/>
          <w:bCs/>
          <w:lang w:val="en-US"/>
        </w:rPr>
        <w:t xml:space="preserve"> Chairman of Committee 5</w:t>
      </w:r>
      <w:r w:rsidRPr="00977F89">
        <w:rPr>
          <w:lang w:val="en-US"/>
        </w:rPr>
        <w:t xml:space="preserve"> suggested</w:t>
      </w:r>
      <w:r w:rsidRPr="000333DD">
        <w:rPr>
          <w:lang w:val="en-US"/>
        </w:rPr>
        <w:t xml:space="preserve"> that work on </w:t>
      </w:r>
      <w:r w:rsidRPr="00AE6E66">
        <w:rPr>
          <w:lang w:val="en-US"/>
        </w:rPr>
        <w:t xml:space="preserve">agenda items 1.6 and </w:t>
      </w:r>
      <w:r>
        <w:rPr>
          <w:lang w:val="en-US"/>
        </w:rPr>
        <w:t>9.1</w:t>
      </w:r>
      <w:r w:rsidR="005C49AA">
        <w:rPr>
          <w:lang w:val="en-US"/>
        </w:rPr>
        <w:t xml:space="preserve"> (Issue 9.1</w:t>
      </w:r>
      <w:r>
        <w:rPr>
          <w:lang w:val="en-US"/>
        </w:rPr>
        <w:t>.</w:t>
      </w:r>
      <w:r w:rsidRPr="00AE6E66">
        <w:rPr>
          <w:lang w:val="en-US"/>
        </w:rPr>
        <w:t>3</w:t>
      </w:r>
      <w:r w:rsidR="005C49AA">
        <w:rPr>
          <w:lang w:val="en-US"/>
        </w:rPr>
        <w:t>)</w:t>
      </w:r>
      <w:r w:rsidRPr="00AE6E66">
        <w:rPr>
          <w:lang w:val="en-US"/>
        </w:rPr>
        <w:t xml:space="preserve"> required</w:t>
      </w:r>
      <w:r w:rsidRPr="000333DD">
        <w:rPr>
          <w:lang w:val="en-US"/>
        </w:rPr>
        <w:t xml:space="preserve"> coordination at the regional group level.</w:t>
      </w:r>
      <w:r w:rsidRPr="00DA5C1F">
        <w:rPr>
          <w:lang w:val="en-US"/>
        </w:rPr>
        <w:t xml:space="preserve"> </w:t>
      </w:r>
    </w:p>
    <w:p w14:paraId="61885F25" w14:textId="77777777" w:rsidR="007A4E5D" w:rsidRPr="00DA5C1F" w:rsidRDefault="007A4E5D" w:rsidP="00C709BF">
      <w:pPr>
        <w:rPr>
          <w:lang w:val="en-US"/>
        </w:rPr>
      </w:pPr>
      <w:r>
        <w:rPr>
          <w:lang w:val="en-US"/>
        </w:rPr>
        <w:t>15.7</w:t>
      </w:r>
      <w:r>
        <w:rPr>
          <w:lang w:val="en-US"/>
        </w:rPr>
        <w:tab/>
        <w:t xml:space="preserve">The </w:t>
      </w:r>
      <w:r w:rsidRPr="009E6071">
        <w:rPr>
          <w:b/>
          <w:bCs/>
          <w:lang w:val="en-US"/>
        </w:rPr>
        <w:t>Chairman</w:t>
      </w:r>
      <w:r>
        <w:rPr>
          <w:lang w:val="en-US"/>
        </w:rPr>
        <w:t xml:space="preserve"> said that it was important to do whatever was necessary to make progress on those agenda items.</w:t>
      </w:r>
    </w:p>
    <w:p w14:paraId="61885F26" w14:textId="77777777" w:rsidR="007A4E5D" w:rsidRDefault="007A4E5D" w:rsidP="00C709BF">
      <w:pPr>
        <w:rPr>
          <w:lang w:val="en-US"/>
        </w:rPr>
      </w:pPr>
      <w:r>
        <w:rPr>
          <w:lang w:val="en-US"/>
        </w:rPr>
        <w:t>15.8</w:t>
      </w:r>
      <w:r>
        <w:rPr>
          <w:lang w:val="en-US"/>
        </w:rPr>
        <w:tab/>
        <w:t xml:space="preserve">The </w:t>
      </w:r>
      <w:r w:rsidRPr="00303F5A">
        <w:rPr>
          <w:b/>
          <w:bCs/>
          <w:lang w:val="en-US"/>
        </w:rPr>
        <w:t>Chairman of the Ad hoc Group of the Plenary</w:t>
      </w:r>
      <w:r w:rsidRPr="009E6071">
        <w:rPr>
          <w:b/>
          <w:bCs/>
          <w:lang w:val="en-US"/>
        </w:rPr>
        <w:t xml:space="preserve"> 6</w:t>
      </w:r>
      <w:r>
        <w:rPr>
          <w:lang w:val="en-US"/>
        </w:rPr>
        <w:t xml:space="preserve"> asked the Plenary to consider whether a further meeting of the ad hoc group was required in order to address issues relating to agenda item 10.</w:t>
      </w:r>
      <w:r w:rsidRPr="00DA5C1F">
        <w:rPr>
          <w:lang w:val="en-US"/>
        </w:rPr>
        <w:t xml:space="preserve"> </w:t>
      </w:r>
    </w:p>
    <w:p w14:paraId="61885F27" w14:textId="77777777" w:rsidR="007A4E5D" w:rsidRDefault="007A4E5D" w:rsidP="00C709BF">
      <w:pPr>
        <w:rPr>
          <w:lang w:val="en-US"/>
        </w:rPr>
      </w:pPr>
      <w:r>
        <w:rPr>
          <w:lang w:val="en-US"/>
        </w:rPr>
        <w:t>15.9</w:t>
      </w:r>
      <w:r>
        <w:rPr>
          <w:lang w:val="en-US"/>
        </w:rPr>
        <w:tab/>
        <w:t xml:space="preserve">The </w:t>
      </w:r>
      <w:r w:rsidRPr="009E6071">
        <w:rPr>
          <w:b/>
          <w:bCs/>
          <w:lang w:val="en-US"/>
        </w:rPr>
        <w:t>delegate of the Islamic Republic of Iran</w:t>
      </w:r>
      <w:r>
        <w:rPr>
          <w:lang w:val="en-US"/>
        </w:rPr>
        <w:t xml:space="preserve"> said that, should an additional meeting be held, it should focus on the WRC-23 agenda, in particular the areas that remained in square brackets. There was insufficient time to go into detailed consideration of the resolution relating to the WRC-27 agenda.</w:t>
      </w:r>
    </w:p>
    <w:p w14:paraId="61885F28" w14:textId="77777777" w:rsidR="007A4E5D" w:rsidRPr="00181710" w:rsidRDefault="007A4E5D" w:rsidP="00C709BF">
      <w:pPr>
        <w:rPr>
          <w:lang w:val="en-US"/>
        </w:rPr>
      </w:pPr>
      <w:r>
        <w:rPr>
          <w:lang w:val="en-US"/>
        </w:rPr>
        <w:t>15.10</w:t>
      </w:r>
      <w:r>
        <w:rPr>
          <w:lang w:val="en-US"/>
        </w:rPr>
        <w:tab/>
        <w:t xml:space="preserve">The </w:t>
      </w:r>
      <w:r w:rsidRPr="00303F5A">
        <w:rPr>
          <w:b/>
          <w:bCs/>
          <w:lang w:val="en-US"/>
        </w:rPr>
        <w:t>Chairman of the Ad hoc Group of the Plenary</w:t>
      </w:r>
      <w:r w:rsidRPr="00C35035">
        <w:rPr>
          <w:b/>
          <w:bCs/>
          <w:lang w:val="en-US"/>
        </w:rPr>
        <w:t xml:space="preserve"> 6</w:t>
      </w:r>
      <w:r>
        <w:rPr>
          <w:lang w:val="en-US"/>
        </w:rPr>
        <w:t xml:space="preserve"> said that, since there had already been extensive discussion on the agenda for WRC-23, it might be useful to look in more detail at the situation regarding the agenda for WRC-27. He invited representatives of regional organizations to attend an additional meeting and put forward their views.</w:t>
      </w:r>
    </w:p>
    <w:p w14:paraId="61885F29" w14:textId="77777777" w:rsidR="007A4E5D" w:rsidRDefault="007A4E5D" w:rsidP="00C709BF">
      <w:pPr>
        <w:rPr>
          <w:lang w:val="en-US"/>
        </w:rPr>
      </w:pPr>
      <w:r>
        <w:rPr>
          <w:lang w:val="en-US"/>
        </w:rPr>
        <w:t>15.11</w:t>
      </w:r>
      <w:r>
        <w:rPr>
          <w:lang w:val="en-US"/>
        </w:rPr>
        <w:tab/>
      </w:r>
      <w:r w:rsidRPr="00530215">
        <w:rPr>
          <w:lang w:val="en-US"/>
        </w:rPr>
        <w:t>The</w:t>
      </w:r>
      <w:r>
        <w:rPr>
          <w:b/>
          <w:bCs/>
          <w:lang w:val="en-US"/>
        </w:rPr>
        <w:t xml:space="preserve"> Chairman </w:t>
      </w:r>
      <w:r w:rsidRPr="00BB4773">
        <w:rPr>
          <w:lang w:val="en-US"/>
        </w:rPr>
        <w:t>encouraged the ad hoc group to hold the meetings</w:t>
      </w:r>
      <w:r>
        <w:rPr>
          <w:lang w:val="en-US"/>
        </w:rPr>
        <w:t xml:space="preserve"> </w:t>
      </w:r>
      <w:r w:rsidRPr="00BB4773">
        <w:rPr>
          <w:lang w:val="en-US"/>
        </w:rPr>
        <w:t>it needed</w:t>
      </w:r>
      <w:r>
        <w:rPr>
          <w:lang w:val="en-US"/>
        </w:rPr>
        <w:t xml:space="preserve">, </w:t>
      </w:r>
      <w:r w:rsidRPr="00BB4773">
        <w:rPr>
          <w:lang w:val="en-US"/>
        </w:rPr>
        <w:t>given the importance of finishing work on agenda item</w:t>
      </w:r>
      <w:r>
        <w:rPr>
          <w:lang w:val="en-US"/>
        </w:rPr>
        <w:t xml:space="preserve"> 10</w:t>
      </w:r>
      <w:r w:rsidRPr="00BB4773">
        <w:rPr>
          <w:lang w:val="en-US"/>
        </w:rPr>
        <w:t xml:space="preserve">. </w:t>
      </w:r>
      <w:r>
        <w:rPr>
          <w:lang w:val="en-US"/>
        </w:rPr>
        <w:t>The</w:t>
      </w:r>
      <w:r w:rsidRPr="00BB4773">
        <w:rPr>
          <w:lang w:val="en-US"/>
        </w:rPr>
        <w:t xml:space="preserve"> same advice applied to </w:t>
      </w:r>
      <w:r>
        <w:rPr>
          <w:lang w:val="en-US"/>
        </w:rPr>
        <w:t xml:space="preserve">the </w:t>
      </w:r>
      <w:r w:rsidRPr="00BB4773">
        <w:rPr>
          <w:lang w:val="en-US"/>
        </w:rPr>
        <w:t>other ad hoc groups. In case of deadlock on issues, participants were encouraged to approach him directly. It was best to resolve issues in the ad hoc groups, rather than in plenary.</w:t>
      </w:r>
    </w:p>
    <w:p w14:paraId="61885F2A" w14:textId="7B03E004" w:rsidR="007A4E5D" w:rsidRDefault="007A4E5D" w:rsidP="00C709BF">
      <w:pPr>
        <w:rPr>
          <w:lang w:val="en-US"/>
        </w:rPr>
      </w:pPr>
      <w:r>
        <w:rPr>
          <w:lang w:val="en-US"/>
        </w:rPr>
        <w:t>15.12</w:t>
      </w:r>
      <w:r>
        <w:rPr>
          <w:lang w:val="en-US"/>
        </w:rPr>
        <w:tab/>
        <w:t xml:space="preserve">Following a discussion involving the </w:t>
      </w:r>
      <w:r w:rsidRPr="0023341A">
        <w:rPr>
          <w:lang w:val="en-US"/>
        </w:rPr>
        <w:t xml:space="preserve">delegates of </w:t>
      </w:r>
      <w:r w:rsidRPr="00C771CF">
        <w:rPr>
          <w:lang w:val="en-US"/>
        </w:rPr>
        <w:t>the United Arab Emirates</w:t>
      </w:r>
      <w:r>
        <w:rPr>
          <w:lang w:val="en-US"/>
        </w:rPr>
        <w:t>,</w:t>
      </w:r>
      <w:r w:rsidRPr="00C771CF">
        <w:rPr>
          <w:lang w:val="en-US"/>
        </w:rPr>
        <w:t xml:space="preserve"> </w:t>
      </w:r>
      <w:r w:rsidRPr="0023341A">
        <w:rPr>
          <w:lang w:val="en-US"/>
        </w:rPr>
        <w:t>the</w:t>
      </w:r>
      <w:r>
        <w:rPr>
          <w:lang w:val="en-US"/>
        </w:rPr>
        <w:t xml:space="preserve"> </w:t>
      </w:r>
      <w:r w:rsidRPr="00787402">
        <w:rPr>
          <w:lang w:val="en-US"/>
        </w:rPr>
        <w:t>Islamic Republic of Iran</w:t>
      </w:r>
      <w:r>
        <w:rPr>
          <w:lang w:val="en-US"/>
        </w:rPr>
        <w:t xml:space="preserve">, </w:t>
      </w:r>
      <w:r w:rsidRPr="00C771CF">
        <w:rPr>
          <w:lang w:val="en-US"/>
        </w:rPr>
        <w:t>Germany</w:t>
      </w:r>
      <w:r w:rsidRPr="009E6071">
        <w:rPr>
          <w:lang w:val="en-US"/>
        </w:rPr>
        <w:t>,</w:t>
      </w:r>
      <w:r w:rsidRPr="00C771CF">
        <w:rPr>
          <w:lang w:val="en-US"/>
        </w:rPr>
        <w:t xml:space="preserve"> </w:t>
      </w:r>
      <w:r>
        <w:rPr>
          <w:lang w:val="en-US"/>
        </w:rPr>
        <w:t xml:space="preserve">the </w:t>
      </w:r>
      <w:r w:rsidRPr="00C771CF">
        <w:rPr>
          <w:lang w:val="en-US"/>
        </w:rPr>
        <w:t>United Kingdom</w:t>
      </w:r>
      <w:r>
        <w:rPr>
          <w:lang w:val="en-US"/>
        </w:rPr>
        <w:t xml:space="preserve">, Luxembourg </w:t>
      </w:r>
      <w:r w:rsidRPr="003A5398">
        <w:rPr>
          <w:lang w:val="en-US"/>
        </w:rPr>
        <w:t xml:space="preserve">and </w:t>
      </w:r>
      <w:r w:rsidRPr="00C771CF">
        <w:rPr>
          <w:lang w:val="en-US"/>
        </w:rPr>
        <w:t>Slovenia</w:t>
      </w:r>
      <w:r>
        <w:rPr>
          <w:lang w:val="en-US"/>
        </w:rPr>
        <w:t xml:space="preserve"> relating to issues and documents to be addressed by Ad hoc Group of the Plenary 6, the </w:t>
      </w:r>
      <w:r w:rsidRPr="00C771CF">
        <w:rPr>
          <w:lang w:val="en-US"/>
        </w:rPr>
        <w:t xml:space="preserve">Chairman of </w:t>
      </w:r>
      <w:r w:rsidRPr="003A5398">
        <w:rPr>
          <w:lang w:val="en-US"/>
        </w:rPr>
        <w:t xml:space="preserve">the </w:t>
      </w:r>
      <w:r w:rsidRPr="00C771CF">
        <w:rPr>
          <w:lang w:val="en-US"/>
        </w:rPr>
        <w:t>Ad hoc Group of the Plenary</w:t>
      </w:r>
      <w:r>
        <w:rPr>
          <w:lang w:val="en-US"/>
        </w:rPr>
        <w:t xml:space="preserve"> 6 said that he would hold an additional meeting, but was not prepared to reopen the discussion of items already agreed on.</w:t>
      </w:r>
    </w:p>
    <w:p w14:paraId="61885F2B" w14:textId="77777777" w:rsidR="007A4E5D" w:rsidRDefault="007A4E5D" w:rsidP="00C709BF">
      <w:pPr>
        <w:rPr>
          <w:b/>
          <w:bCs/>
          <w:lang w:val="en-US"/>
        </w:rPr>
      </w:pPr>
      <w:r w:rsidRPr="00C709BF">
        <w:rPr>
          <w:b/>
          <w:bCs/>
          <w:lang w:val="en-US"/>
        </w:rPr>
        <w:t>The meeting rose at 1050 hours.</w:t>
      </w:r>
    </w:p>
    <w:p w14:paraId="61885F2C" w14:textId="77777777" w:rsidR="00C709BF" w:rsidRDefault="00C709BF" w:rsidP="00C709BF">
      <w:pPr>
        <w:rPr>
          <w:b/>
          <w:bCs/>
          <w:lang w:val="en-US"/>
        </w:rPr>
      </w:pPr>
    </w:p>
    <w:p w14:paraId="61885F2D" w14:textId="77777777" w:rsidR="00C709BF" w:rsidRPr="00C709BF" w:rsidRDefault="00C709BF" w:rsidP="00C709BF">
      <w:pPr>
        <w:rPr>
          <w:b/>
          <w:bCs/>
          <w:lang w:val="en-US"/>
        </w:rPr>
      </w:pPr>
    </w:p>
    <w:p w14:paraId="61885F2E" w14:textId="77777777" w:rsidR="007A4E5D" w:rsidRPr="00D7157F" w:rsidRDefault="007A4E5D" w:rsidP="00C709BF">
      <w:r w:rsidRPr="00D7157F">
        <w:t>The Secretary-General:</w:t>
      </w:r>
      <w:r w:rsidRPr="00D7157F">
        <w:tab/>
      </w:r>
      <w:r w:rsidRPr="00D7157F">
        <w:tab/>
      </w:r>
      <w:r w:rsidRPr="00D7157F">
        <w:tab/>
      </w:r>
      <w:r w:rsidRPr="00D7157F">
        <w:tab/>
      </w:r>
      <w:r w:rsidRPr="00D7157F">
        <w:tab/>
      </w:r>
      <w:r w:rsidRPr="00D7157F">
        <w:tab/>
      </w:r>
      <w:r w:rsidRPr="00D7157F">
        <w:tab/>
      </w:r>
      <w:r w:rsidRPr="00D7157F">
        <w:tab/>
        <w:t>The Chairman:</w:t>
      </w:r>
    </w:p>
    <w:p w14:paraId="61885F2F" w14:textId="77777777" w:rsidR="007A4E5D" w:rsidRPr="00D7157F" w:rsidRDefault="007A4E5D" w:rsidP="00C709BF">
      <w:r w:rsidRPr="00D7157F">
        <w:t>H. ZHAO</w:t>
      </w:r>
      <w:r w:rsidRPr="00D7157F">
        <w:tab/>
      </w:r>
      <w:r w:rsidRPr="00D7157F">
        <w:tab/>
      </w:r>
      <w:r w:rsidRPr="00D7157F">
        <w:tab/>
      </w:r>
      <w:r w:rsidRPr="00D7157F">
        <w:tab/>
      </w:r>
      <w:r w:rsidRPr="00D7157F">
        <w:tab/>
      </w:r>
      <w:r w:rsidRPr="00D7157F">
        <w:tab/>
      </w:r>
      <w:r w:rsidRPr="00D7157F">
        <w:tab/>
      </w:r>
      <w:r w:rsidRPr="00D7157F">
        <w:tab/>
      </w:r>
      <w:r w:rsidRPr="00D7157F">
        <w:tab/>
      </w:r>
      <w:r w:rsidRPr="00D7157F">
        <w:tab/>
        <w:t>A. BADAWI</w:t>
      </w:r>
    </w:p>
    <w:p w14:paraId="61885F30" w14:textId="77777777" w:rsidR="007A4E5D" w:rsidRDefault="007A4E5D" w:rsidP="008B68CD">
      <w:pPr>
        <w:rPr>
          <w:rFonts w:asciiTheme="majorBidi" w:hAnsiTheme="majorBidi" w:cstheme="majorBidi"/>
          <w:szCs w:val="24"/>
        </w:rPr>
      </w:pPr>
    </w:p>
    <w:p w14:paraId="61885F31" w14:textId="77777777" w:rsidR="00C709BF" w:rsidRPr="005916CB" w:rsidRDefault="00C709BF" w:rsidP="008B68CD">
      <w:pPr>
        <w:rPr>
          <w:rFonts w:asciiTheme="majorBidi" w:hAnsiTheme="majorBidi" w:cstheme="majorBidi"/>
          <w:szCs w:val="24"/>
        </w:rPr>
      </w:pPr>
    </w:p>
    <w:sectPr w:rsidR="00C709BF" w:rsidRPr="005916CB" w:rsidSect="0039169B">
      <w:headerReference w:type="default" r:id="rId20"/>
      <w:footerReference w:type="even" r:id="rId21"/>
      <w:footerReference w:type="default" r:id="rId22"/>
      <w:footerReference w:type="first" r:id="rId2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D916" w14:textId="77777777" w:rsidR="00BA089F" w:rsidRDefault="00BA089F">
      <w:r>
        <w:separator/>
      </w:r>
    </w:p>
  </w:endnote>
  <w:endnote w:type="continuationSeparator" w:id="0">
    <w:p w14:paraId="439111B4" w14:textId="77777777" w:rsidR="00BA089F" w:rsidRDefault="00BA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5F42" w14:textId="77777777" w:rsidR="00BA089F" w:rsidRDefault="00BA089F">
    <w:pPr>
      <w:framePr w:wrap="around" w:vAnchor="text" w:hAnchor="margin" w:xAlign="right" w:y="1"/>
    </w:pPr>
    <w:r>
      <w:fldChar w:fldCharType="begin"/>
    </w:r>
    <w:r>
      <w:instrText xml:space="preserve">PAGE  </w:instrText>
    </w:r>
    <w:r>
      <w:fldChar w:fldCharType="end"/>
    </w:r>
  </w:p>
  <w:p w14:paraId="61885F43" w14:textId="5EB5E2BA" w:rsidR="00BA089F" w:rsidRPr="0041348E" w:rsidRDefault="00BA089F">
    <w:pPr>
      <w:ind w:right="360"/>
      <w:rPr>
        <w:lang w:val="en-US"/>
      </w:rPr>
    </w:pPr>
    <w:r>
      <w:fldChar w:fldCharType="begin"/>
    </w:r>
    <w:r w:rsidRPr="0041348E">
      <w:rPr>
        <w:lang w:val="en-US"/>
      </w:rPr>
      <w:instrText xml:space="preserve"> FILENAME \p  \* MERGEFORMAT </w:instrText>
    </w:r>
    <w:r>
      <w:fldChar w:fldCharType="separate"/>
    </w:r>
    <w:r>
      <w:rPr>
        <w:noProof/>
        <w:lang w:val="en-US"/>
      </w:rPr>
      <w:t>C:\Users\capdessu\AppData\Local\Microsoft\Windows\INetCache\Content.Outlook\FP6L4WPO\Minutes of the 10th Plenary Meeting_571e+JW.docx</w:t>
    </w:r>
    <w:r>
      <w:fldChar w:fldCharType="end"/>
    </w:r>
    <w:r w:rsidRPr="0041348E">
      <w:rPr>
        <w:lang w:val="en-US"/>
      </w:rPr>
      <w:tab/>
    </w:r>
    <w:r>
      <w:fldChar w:fldCharType="begin"/>
    </w:r>
    <w:r>
      <w:instrText xml:space="preserve"> SAVEDATE \@ DD.MM.YY </w:instrText>
    </w:r>
    <w:r>
      <w:fldChar w:fldCharType="separate"/>
    </w:r>
    <w:r w:rsidR="00F37D8E">
      <w:rPr>
        <w:noProof/>
      </w:rPr>
      <w:t>09.01.20</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BF85" w14:textId="7D2B6D53" w:rsidR="00BA089F" w:rsidRDefault="00F37D8E">
    <w:pPr>
      <w:pStyle w:val="Footer"/>
    </w:pPr>
    <w:r>
      <w:fldChar w:fldCharType="begin"/>
    </w:r>
    <w:r>
      <w:instrText xml:space="preserve"> FILENAME  \p  \* MERGEFORMAT </w:instrText>
    </w:r>
    <w:r>
      <w:fldChar w:fldCharType="separate"/>
    </w:r>
    <w:r>
      <w:t>Y:\APP\BR\POOL\WRC-19\DOC\OUTPUT\571V2E.docx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CC19" w14:textId="21A77AE4" w:rsidR="00BA089F" w:rsidRDefault="00F37D8E">
    <w:pPr>
      <w:pStyle w:val="Footer"/>
    </w:pPr>
    <w:r>
      <w:fldChar w:fldCharType="begin"/>
    </w:r>
    <w:r>
      <w:instrText xml:space="preserve"> FILENAME  \p  \* MERGEFORMAT </w:instrText>
    </w:r>
    <w:r>
      <w:fldChar w:fldCharType="separate"/>
    </w:r>
    <w:r>
      <w:t>Y:\APP\BR\POOL\WRC-19\DOC\OUTPUT\571V2E.docx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EE73" w14:textId="77777777" w:rsidR="00BA089F" w:rsidRDefault="00BA089F">
      <w:r>
        <w:rPr>
          <w:b/>
        </w:rPr>
        <w:t>_______________</w:t>
      </w:r>
    </w:p>
  </w:footnote>
  <w:footnote w:type="continuationSeparator" w:id="0">
    <w:p w14:paraId="3234256A" w14:textId="77777777" w:rsidR="00BA089F" w:rsidRDefault="00BA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5F40" w14:textId="590AD9A8" w:rsidR="00BA089F" w:rsidRDefault="00BA089F" w:rsidP="00187BD9">
    <w:pPr>
      <w:pStyle w:val="Header"/>
    </w:pPr>
    <w:r>
      <w:fldChar w:fldCharType="begin"/>
    </w:r>
    <w:r>
      <w:instrText xml:space="preserve"> PAGE  \* MERGEFORMAT </w:instrText>
    </w:r>
    <w:r>
      <w:fldChar w:fldCharType="separate"/>
    </w:r>
    <w:r w:rsidR="00F37D8E">
      <w:rPr>
        <w:noProof/>
      </w:rPr>
      <w:t>6</w:t>
    </w:r>
    <w:r>
      <w:fldChar w:fldCharType="end"/>
    </w:r>
  </w:p>
  <w:p w14:paraId="61885F41" w14:textId="77777777" w:rsidR="00BA089F" w:rsidRPr="00A066F1" w:rsidRDefault="00BA089F" w:rsidP="00DA544E">
    <w:pPr>
      <w:pStyle w:val="Header"/>
    </w:pPr>
    <w:r>
      <w:t>CMR19/571-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63C2959"/>
    <w:multiLevelType w:val="hybridMultilevel"/>
    <w:tmpl w:val="A4609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1C2E"/>
    <w:rsid w:val="0009706C"/>
    <w:rsid w:val="000D154B"/>
    <w:rsid w:val="000D2DAF"/>
    <w:rsid w:val="000E463E"/>
    <w:rsid w:val="000F73FF"/>
    <w:rsid w:val="00114CF7"/>
    <w:rsid w:val="00116C7A"/>
    <w:rsid w:val="00120EC1"/>
    <w:rsid w:val="00123B68"/>
    <w:rsid w:val="00126F2E"/>
    <w:rsid w:val="00146F6F"/>
    <w:rsid w:val="00187BD9"/>
    <w:rsid w:val="00190B55"/>
    <w:rsid w:val="001C3B5F"/>
    <w:rsid w:val="001D058F"/>
    <w:rsid w:val="001F2D0B"/>
    <w:rsid w:val="002009EA"/>
    <w:rsid w:val="00202756"/>
    <w:rsid w:val="00202CA0"/>
    <w:rsid w:val="00216B6D"/>
    <w:rsid w:val="00223263"/>
    <w:rsid w:val="00241FA2"/>
    <w:rsid w:val="00252811"/>
    <w:rsid w:val="00260AB2"/>
    <w:rsid w:val="00271316"/>
    <w:rsid w:val="002B349C"/>
    <w:rsid w:val="002D58BE"/>
    <w:rsid w:val="002F4747"/>
    <w:rsid w:val="00302605"/>
    <w:rsid w:val="003132D4"/>
    <w:rsid w:val="003242C4"/>
    <w:rsid w:val="00361B37"/>
    <w:rsid w:val="00377BD3"/>
    <w:rsid w:val="00384088"/>
    <w:rsid w:val="003852CE"/>
    <w:rsid w:val="0039169B"/>
    <w:rsid w:val="003A7F8C"/>
    <w:rsid w:val="003B2284"/>
    <w:rsid w:val="003B532E"/>
    <w:rsid w:val="003D0F8B"/>
    <w:rsid w:val="003D6F21"/>
    <w:rsid w:val="003E0DB6"/>
    <w:rsid w:val="00404D0E"/>
    <w:rsid w:val="0041348E"/>
    <w:rsid w:val="00420873"/>
    <w:rsid w:val="00492075"/>
    <w:rsid w:val="004969AD"/>
    <w:rsid w:val="004A26C4"/>
    <w:rsid w:val="004B13CB"/>
    <w:rsid w:val="004D26EA"/>
    <w:rsid w:val="004D2BFB"/>
    <w:rsid w:val="004D5D5C"/>
    <w:rsid w:val="004F3DC0"/>
    <w:rsid w:val="0050139F"/>
    <w:rsid w:val="0051416C"/>
    <w:rsid w:val="0055129F"/>
    <w:rsid w:val="0055140B"/>
    <w:rsid w:val="005964AB"/>
    <w:rsid w:val="005C099A"/>
    <w:rsid w:val="005C31A5"/>
    <w:rsid w:val="005C49AA"/>
    <w:rsid w:val="005E10C9"/>
    <w:rsid w:val="005E290B"/>
    <w:rsid w:val="005E61DD"/>
    <w:rsid w:val="005F04D8"/>
    <w:rsid w:val="006023DF"/>
    <w:rsid w:val="00615426"/>
    <w:rsid w:val="00616219"/>
    <w:rsid w:val="00645B7D"/>
    <w:rsid w:val="00657DE0"/>
    <w:rsid w:val="00685313"/>
    <w:rsid w:val="00692833"/>
    <w:rsid w:val="006A1699"/>
    <w:rsid w:val="006A6E9B"/>
    <w:rsid w:val="006B7845"/>
    <w:rsid w:val="006B7C2A"/>
    <w:rsid w:val="006C23DA"/>
    <w:rsid w:val="006C64C5"/>
    <w:rsid w:val="006E3D45"/>
    <w:rsid w:val="0070607A"/>
    <w:rsid w:val="007149F9"/>
    <w:rsid w:val="00733A30"/>
    <w:rsid w:val="00734FAB"/>
    <w:rsid w:val="00745AEE"/>
    <w:rsid w:val="00750F10"/>
    <w:rsid w:val="007742CA"/>
    <w:rsid w:val="00790D70"/>
    <w:rsid w:val="007A4E5D"/>
    <w:rsid w:val="007A6F1F"/>
    <w:rsid w:val="007D5320"/>
    <w:rsid w:val="00800972"/>
    <w:rsid w:val="00804475"/>
    <w:rsid w:val="00811633"/>
    <w:rsid w:val="00814037"/>
    <w:rsid w:val="00841216"/>
    <w:rsid w:val="00842AF0"/>
    <w:rsid w:val="0086171E"/>
    <w:rsid w:val="00872FC8"/>
    <w:rsid w:val="008845D0"/>
    <w:rsid w:val="00884D60"/>
    <w:rsid w:val="008B43F2"/>
    <w:rsid w:val="008B68CD"/>
    <w:rsid w:val="008B6CFF"/>
    <w:rsid w:val="00901603"/>
    <w:rsid w:val="00912382"/>
    <w:rsid w:val="00921972"/>
    <w:rsid w:val="009274B4"/>
    <w:rsid w:val="00934EA2"/>
    <w:rsid w:val="00942851"/>
    <w:rsid w:val="00944A5C"/>
    <w:rsid w:val="00952A66"/>
    <w:rsid w:val="009B1EA1"/>
    <w:rsid w:val="009B7C9A"/>
    <w:rsid w:val="009C56E5"/>
    <w:rsid w:val="009C7716"/>
    <w:rsid w:val="009D79B1"/>
    <w:rsid w:val="009E5FC8"/>
    <w:rsid w:val="009E687A"/>
    <w:rsid w:val="009F236F"/>
    <w:rsid w:val="00A066F1"/>
    <w:rsid w:val="00A141AF"/>
    <w:rsid w:val="00A16D29"/>
    <w:rsid w:val="00A17E05"/>
    <w:rsid w:val="00A30305"/>
    <w:rsid w:val="00A31D2D"/>
    <w:rsid w:val="00A4600A"/>
    <w:rsid w:val="00A538A6"/>
    <w:rsid w:val="00A54C25"/>
    <w:rsid w:val="00A710E7"/>
    <w:rsid w:val="00A7372E"/>
    <w:rsid w:val="00A93B85"/>
    <w:rsid w:val="00AA0B18"/>
    <w:rsid w:val="00AA3C65"/>
    <w:rsid w:val="00AA666F"/>
    <w:rsid w:val="00AD495A"/>
    <w:rsid w:val="00AD7914"/>
    <w:rsid w:val="00AE514B"/>
    <w:rsid w:val="00B15E23"/>
    <w:rsid w:val="00B40888"/>
    <w:rsid w:val="00B639E9"/>
    <w:rsid w:val="00B817CD"/>
    <w:rsid w:val="00B81A7D"/>
    <w:rsid w:val="00B94AD0"/>
    <w:rsid w:val="00BA089F"/>
    <w:rsid w:val="00BB3A95"/>
    <w:rsid w:val="00BD6CCE"/>
    <w:rsid w:val="00C0018F"/>
    <w:rsid w:val="00C02055"/>
    <w:rsid w:val="00C124B1"/>
    <w:rsid w:val="00C16A5A"/>
    <w:rsid w:val="00C20466"/>
    <w:rsid w:val="00C214ED"/>
    <w:rsid w:val="00C234E6"/>
    <w:rsid w:val="00C324A8"/>
    <w:rsid w:val="00C3423D"/>
    <w:rsid w:val="00C54517"/>
    <w:rsid w:val="00C56F70"/>
    <w:rsid w:val="00C57B91"/>
    <w:rsid w:val="00C620DE"/>
    <w:rsid w:val="00C64CD8"/>
    <w:rsid w:val="00C709BF"/>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544E"/>
    <w:rsid w:val="00DD3DB8"/>
    <w:rsid w:val="00DD44AF"/>
    <w:rsid w:val="00DE06E6"/>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37D8E"/>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885D2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C620DE"/>
    <w:pPr>
      <w:tabs>
        <w:tab w:val="clear" w:pos="1134"/>
        <w:tab w:val="clear" w:pos="1871"/>
        <w:tab w:val="clear" w:pos="2268"/>
      </w:tabs>
      <w:overflowPunct/>
      <w:autoSpaceDE/>
      <w:autoSpaceDN/>
      <w:adjustRightInd/>
      <w:spacing w:before="100" w:beforeAutospacing="1" w:after="100" w:afterAutospacing="1"/>
      <w:textAlignment w:val="auto"/>
    </w:pPr>
    <w:rPr>
      <w:rFonts w:eastAsiaTheme="minorHAnsi"/>
      <w:szCs w:val="24"/>
      <w:lang w:eastAsia="en-GB"/>
    </w:rPr>
  </w:style>
  <w:style w:type="paragraph" w:customStyle="1" w:styleId="toc0">
    <w:name w:val="toc 0"/>
    <w:basedOn w:val="Normal"/>
    <w:next w:val="TOC1"/>
    <w:rsid w:val="00C620DE"/>
    <w:pPr>
      <w:tabs>
        <w:tab w:val="clear" w:pos="1134"/>
        <w:tab w:val="clear" w:pos="1871"/>
        <w:tab w:val="clear" w:pos="2268"/>
        <w:tab w:val="right" w:pos="9781"/>
      </w:tabs>
    </w:pPr>
    <w:rPr>
      <w:b/>
    </w:rPr>
  </w:style>
  <w:style w:type="character" w:styleId="CommentReference">
    <w:name w:val="annotation reference"/>
    <w:basedOn w:val="DefaultParagraphFont"/>
    <w:uiPriority w:val="99"/>
    <w:semiHidden/>
    <w:unhideWhenUsed/>
    <w:rsid w:val="007A4E5D"/>
    <w:rPr>
      <w:sz w:val="16"/>
      <w:szCs w:val="16"/>
    </w:rPr>
  </w:style>
  <w:style w:type="paragraph" w:styleId="CommentText">
    <w:name w:val="annotation text"/>
    <w:basedOn w:val="Normal"/>
    <w:link w:val="CommentTextChar"/>
    <w:uiPriority w:val="99"/>
    <w:unhideWhenUsed/>
    <w:rsid w:val="007A4E5D"/>
    <w:pPr>
      <w:tabs>
        <w:tab w:val="clear" w:pos="1134"/>
        <w:tab w:val="clear" w:pos="1871"/>
        <w:tab w:val="clear" w:pos="2268"/>
      </w:tabs>
      <w:overflowPunct/>
      <w:autoSpaceDE/>
      <w:autoSpaceDN/>
      <w:adjustRightInd/>
      <w:spacing w:before="0"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A4E5D"/>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7A4E5D"/>
    <w:rPr>
      <w:b/>
      <w:bCs/>
    </w:rPr>
  </w:style>
  <w:style w:type="character" w:customStyle="1" w:styleId="CommentSubjectChar">
    <w:name w:val="Comment Subject Char"/>
    <w:basedOn w:val="CommentTextChar"/>
    <w:link w:val="CommentSubject"/>
    <w:uiPriority w:val="99"/>
    <w:semiHidden/>
    <w:rsid w:val="007A4E5D"/>
    <w:rPr>
      <w:rFonts w:asciiTheme="minorHAnsi" w:eastAsiaTheme="minorHAnsi" w:hAnsiTheme="minorHAnsi" w:cstheme="minorBidi"/>
      <w:b/>
      <w:bCs/>
      <w:lang w:val="en-GB" w:eastAsia="en-US"/>
    </w:rPr>
  </w:style>
  <w:style w:type="paragraph" w:customStyle="1" w:styleId="Question1">
    <w:name w:val="Question 1"/>
    <w:basedOn w:val="Normal"/>
    <w:next w:val="Normal"/>
    <w:uiPriority w:val="99"/>
    <w:rsid w:val="007A4E5D"/>
    <w:pPr>
      <w:widowControl w:val="0"/>
      <w:tabs>
        <w:tab w:val="clear" w:pos="1134"/>
        <w:tab w:val="clear" w:pos="1871"/>
        <w:tab w:val="clear" w:pos="2268"/>
        <w:tab w:val="left" w:pos="2160"/>
        <w:tab w:val="left" w:pos="2880"/>
        <w:tab w:val="left" w:pos="3600"/>
        <w:tab w:val="left" w:pos="4320"/>
        <w:tab w:val="left" w:pos="5040"/>
        <w:tab w:val="left" w:pos="5760"/>
        <w:tab w:val="left" w:pos="6480"/>
        <w:tab w:val="left" w:pos="7200"/>
        <w:tab w:val="left" w:pos="7920"/>
        <w:tab w:val="left" w:pos="8640"/>
      </w:tabs>
      <w:overflowPunct/>
      <w:spacing w:before="0"/>
      <w:ind w:firstLine="720"/>
      <w:textAlignment w:val="auto"/>
    </w:pPr>
    <w:rPr>
      <w:rFonts w:ascii="Courier New" w:hAnsi="Courier New" w:cs="Courier New"/>
      <w:szCs w:val="24"/>
      <w:lang w:val="en-US"/>
    </w:rPr>
  </w:style>
  <w:style w:type="paragraph" w:customStyle="1" w:styleId="Colloquy1">
    <w:name w:val="Colloquy 1"/>
    <w:basedOn w:val="Normal"/>
    <w:next w:val="Normal"/>
    <w:uiPriority w:val="99"/>
    <w:rsid w:val="007A4E5D"/>
    <w:pPr>
      <w:widowControl w:val="0"/>
      <w:tabs>
        <w:tab w:val="clear" w:pos="1134"/>
        <w:tab w:val="clear" w:pos="1871"/>
        <w:tab w:val="clear" w:pos="2268"/>
        <w:tab w:val="left" w:pos="2160"/>
        <w:tab w:val="left" w:pos="2880"/>
        <w:tab w:val="left" w:pos="3600"/>
        <w:tab w:val="left" w:pos="4320"/>
        <w:tab w:val="left" w:pos="5040"/>
        <w:tab w:val="left" w:pos="5760"/>
        <w:tab w:val="left" w:pos="6480"/>
        <w:tab w:val="left" w:pos="7200"/>
        <w:tab w:val="left" w:pos="7920"/>
        <w:tab w:val="left" w:pos="8640"/>
      </w:tabs>
      <w:overflowPunct/>
      <w:spacing w:before="0"/>
      <w:ind w:hanging="1"/>
      <w:textAlignment w:val="auto"/>
    </w:pPr>
    <w:rPr>
      <w:rFonts w:ascii="Courier New" w:hAnsi="Courier New" w:cs="Courier New"/>
      <w:szCs w:val="24"/>
      <w:lang w:val="en-US"/>
    </w:rPr>
  </w:style>
  <w:style w:type="character" w:customStyle="1" w:styleId="TabletextChar">
    <w:name w:val="Table_text Char"/>
    <w:link w:val="Tabletext"/>
    <w:rsid w:val="007A4E5D"/>
    <w:rPr>
      <w:rFonts w:ascii="Times New Roman" w:hAnsi="Times New Roman"/>
      <w:lang w:val="en-GB" w:eastAsia="en-US"/>
    </w:rPr>
  </w:style>
  <w:style w:type="table" w:styleId="TableGrid">
    <w:name w:val="Table Grid"/>
    <w:basedOn w:val="TableNormal"/>
    <w:uiPriority w:val="39"/>
    <w:rsid w:val="007A4E5D"/>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7A4E5D"/>
    <w:pPr>
      <w:spacing w:before="0" w:after="0"/>
    </w:pPr>
  </w:style>
  <w:style w:type="paragraph" w:styleId="Revision">
    <w:name w:val="Revision"/>
    <w:hidden/>
    <w:uiPriority w:val="99"/>
    <w:semiHidden/>
    <w:rsid w:val="007A4E5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itu.int/md/meetingdoc.asp?lang=en&amp;parent=R16-WRC19-C-003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itu.int/md/meetingdoc.asp?lang=en&amp;parent=R16-WRC19-C-00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16-WRC19-C-0092/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tu.int/md/R16-WRC19-C-0164/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6A2C37F0A2904A518138869BD6DD4A9A00FB96C2B2A9CF87448A5041EB12DBC9FB" ma:contentTypeVersion="0" ma:contentTypeDescription="ITU Meeting Document" ma:contentTypeScope="" ma:versionID="29621972b7727f91abc86061b73d6df6">
  <xsd:schema xmlns:xsd="http://www.w3.org/2001/XMLSchema" xmlns:xs="http://www.w3.org/2001/XMLSchema" xmlns:p="http://schemas.microsoft.com/office/2006/metadata/properties" xmlns:ns2="6e7c0ebb-30ad-49b0-9a70-eec924f882eb" targetNamespace="http://schemas.microsoft.com/office/2006/metadata/properties" ma:root="true" ma:fieldsID="bc13861f39c973b5f1416b9cc48e2252" ns2:_="">
    <xsd:import namespace="6e7c0ebb-30ad-49b0-9a70-eec924f882eb"/>
    <xsd:element name="properties">
      <xsd:complexType>
        <xsd:sequence>
          <xsd:element name="documentManagement">
            <xsd:complexType>
              <xsd:all>
                <xsd:element ref="ns2:DocumentCategorySiteColumn"/>
                <xsd:element ref="ns2:MeetingDateSite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c0ebb-30ad-49b0-9a70-eec924f882eb" elementFormDefault="qualified">
    <xsd:import namespace="http://schemas.microsoft.com/office/2006/documentManagement/types"/>
    <xsd:import namespace="http://schemas.microsoft.com/office/infopath/2007/PartnerControls"/>
    <xsd:element name="DocumentCategorySiteColumn" ma:index="8" ma:displayName="Document Category" ma:default="01. Agenda" ma:format="Dropdown" ma:internalName="DocumentCategorySiteColumn">
      <xsd:simpleType>
        <xsd:restriction base="dms:Choice">
          <xsd:enumeration value="01. Agenda"/>
          <xsd:enumeration value="02. Summary records"/>
          <xsd:enumeration value="Other Documents"/>
        </xsd:restriction>
      </xsd:simpleType>
    </xsd:element>
    <xsd:element name="MeetingDateSiteColumn" ma:index="9" nillable="true" ma:displayName="Meeting Date" ma:description="Date of Meeting" ma:format="DateOnly" ma:internalName="MeetingDateSi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SiteColumn xmlns="6e7c0ebb-30ad-49b0-9a70-eec924f882eb">2020-01-14T23:00:00+00:00</MeetingDateSiteColumn>
    <DocumentCategorySiteColumn xmlns="6e7c0ebb-30ad-49b0-9a70-eec924f882eb">Other Documents</DocumentCategorySiteColum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3D29-F03E-43F5-A1F2-672F23362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c0ebb-30ad-49b0-9a70-eec924f88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F8B66-5886-423F-ACFE-28EB96DAC112}">
  <ds:schemaRefs>
    <ds:schemaRef ds:uri="http://schemas.microsoft.com/sharepoint/v3/contenttype/forms"/>
  </ds:schemaRefs>
</ds:datastoreItem>
</file>

<file path=customXml/itemProps3.xml><?xml version="1.0" encoding="utf-8"?>
<ds:datastoreItem xmlns:ds="http://schemas.openxmlformats.org/officeDocument/2006/customXml" ds:itemID="{34A31A5F-1C25-4B70-B72A-ACB1F9999FA9}">
  <ds:schemaRefs>
    <ds:schemaRef ds:uri="6e7c0ebb-30ad-49b0-9a70-eec924f882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02DF6F-F747-4434-82B0-3092399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7540</Words>
  <Characters>39849</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PLEN 10</vt:lpstr>
    </vt:vector>
  </TitlesOfParts>
  <Manager>General Secretariat - Pool</Manager>
  <Company>International Telecommunication Union (ITU)</Company>
  <LinksUpToDate>false</LinksUpToDate>
  <CharactersWithSpaces>47295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 10</dc:title>
  <dc:subject>World Radiocommunication Conference - 2019</dc:subject>
  <dc:creator>Documents Proposals Manager (DPM)</dc:creator>
  <cp:keywords>DPM_v2019.11.6.2_prod</cp:keywords>
  <dc:description>Uploaded on 2015.07.06</dc:description>
  <cp:lastModifiedBy>BR</cp:lastModifiedBy>
  <cp:revision>4</cp:revision>
  <cp:lastPrinted>2017-02-10T08:23:00Z</cp:lastPrinted>
  <dcterms:created xsi:type="dcterms:W3CDTF">2020-01-09T08:27:00Z</dcterms:created>
  <dcterms:modified xsi:type="dcterms:W3CDTF">2020-01-09T09:54:00Z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0x0101006A2C37F0A2904A518138869BD6DD4A9A00FB96C2B2A9CF87448A5041EB12DBC9FB</vt:lpwstr>
  </property>
  <property fmtid="{D5CDD505-2E9C-101B-9397-08002B2CF9AE}" pid="10" name="_dlc_DocIdItemGuid">
    <vt:lpwstr>e3f51d54-8436-4404-bce8-bbffce89a1d7</vt:lpwstr>
  </property>
</Properties>
</file>