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90"/>
        <w:tblW w:w="9975" w:type="dxa"/>
        <w:tblLayout w:type="fixed"/>
        <w:tblLook w:val="0000" w:firstRow="0" w:lastRow="0" w:firstColumn="0" w:lastColumn="0" w:noHBand="0" w:noVBand="0"/>
      </w:tblPr>
      <w:tblGrid>
        <w:gridCol w:w="6629"/>
        <w:gridCol w:w="3346"/>
      </w:tblGrid>
      <w:tr w:rsidR="009D4A49" w:rsidRPr="00DC09F4" w:rsidTr="008073FF">
        <w:trPr>
          <w:cantSplit/>
        </w:trPr>
        <w:tc>
          <w:tcPr>
            <w:tcW w:w="6629" w:type="dxa"/>
            <w:vAlign w:val="center"/>
          </w:tcPr>
          <w:p w:rsidR="009D4A49" w:rsidRPr="001D281C" w:rsidRDefault="009D4A49" w:rsidP="00C67361">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1D281C">
              <w:rPr>
                <w:rFonts w:ascii="Verdana" w:hAnsi="Verdana" w:cs="Times New Roman Bold"/>
                <w:b/>
                <w:sz w:val="26"/>
                <w:szCs w:val="26"/>
              </w:rPr>
              <w:t xml:space="preserve">Comité du </w:t>
            </w:r>
            <w:r>
              <w:rPr>
                <w:rFonts w:ascii="Verdana" w:hAnsi="Verdana" w:cs="Times New Roman Bold"/>
                <w:b/>
                <w:sz w:val="26"/>
                <w:szCs w:val="26"/>
              </w:rPr>
              <w:t>R</w:t>
            </w:r>
            <w:r w:rsidRPr="001D281C">
              <w:rPr>
                <w:rFonts w:ascii="Verdana" w:hAnsi="Verdana" w:cs="Times New Roman Bold"/>
                <w:b/>
                <w:sz w:val="26"/>
                <w:szCs w:val="26"/>
              </w:rPr>
              <w:t>èglement</w:t>
            </w:r>
            <w:r>
              <w:rPr>
                <w:rFonts w:ascii="Verdana" w:hAnsi="Verdana" w:cs="Times New Roman Bold"/>
                <w:b/>
                <w:sz w:val="26"/>
                <w:szCs w:val="26"/>
              </w:rPr>
              <w:t xml:space="preserve"> d</w:t>
            </w:r>
            <w:r w:rsidRPr="001D281C">
              <w:rPr>
                <w:rFonts w:ascii="Verdana" w:hAnsi="Verdana" w:cs="Times New Roman Bold"/>
                <w:b/>
                <w:sz w:val="26"/>
                <w:szCs w:val="26"/>
              </w:rPr>
              <w:t xml:space="preserve">es </w:t>
            </w:r>
            <w:r>
              <w:rPr>
                <w:rFonts w:ascii="Verdana" w:hAnsi="Verdana" w:cs="Times New Roman Bold"/>
                <w:b/>
                <w:sz w:val="26"/>
                <w:szCs w:val="26"/>
              </w:rPr>
              <w:br/>
            </w:r>
            <w:r w:rsidRPr="001D281C">
              <w:rPr>
                <w:rFonts w:ascii="Verdana" w:hAnsi="Verdana" w:cs="Times New Roman Bold"/>
                <w:b/>
                <w:sz w:val="26"/>
                <w:szCs w:val="26"/>
              </w:rPr>
              <w:t>radiocommunications</w:t>
            </w:r>
            <w:r>
              <w:rPr>
                <w:rFonts w:ascii="Verdana" w:hAnsi="Verdana" w:cs="Times New Roman Bold"/>
                <w:b/>
                <w:sz w:val="26"/>
                <w:szCs w:val="26"/>
              </w:rPr>
              <w:br/>
            </w:r>
            <w:r w:rsidRPr="001D281C">
              <w:rPr>
                <w:rFonts w:ascii="Verdana" w:hAnsi="Verdana"/>
                <w:b/>
                <w:bCs/>
                <w:sz w:val="20"/>
              </w:rPr>
              <w:t xml:space="preserve">Genève, </w:t>
            </w:r>
            <w:r w:rsidR="0070144E">
              <w:rPr>
                <w:rFonts w:ascii="Verdana" w:hAnsi="Verdana"/>
                <w:b/>
                <w:bCs/>
                <w:sz w:val="20"/>
              </w:rPr>
              <w:t>1</w:t>
            </w:r>
            <w:r w:rsidR="00960B40">
              <w:rPr>
                <w:rFonts w:ascii="Verdana" w:hAnsi="Verdana"/>
                <w:b/>
                <w:bCs/>
                <w:sz w:val="20"/>
              </w:rPr>
              <w:t>9</w:t>
            </w:r>
            <w:r>
              <w:rPr>
                <w:rFonts w:ascii="Verdana" w:hAnsi="Verdana"/>
                <w:b/>
                <w:bCs/>
                <w:sz w:val="20"/>
              </w:rPr>
              <w:t>-2</w:t>
            </w:r>
            <w:r w:rsidR="00960B40">
              <w:rPr>
                <w:rFonts w:ascii="Verdana" w:hAnsi="Verdana"/>
                <w:b/>
                <w:bCs/>
                <w:sz w:val="20"/>
              </w:rPr>
              <w:t>3</w:t>
            </w:r>
            <w:r>
              <w:rPr>
                <w:rFonts w:ascii="Verdana" w:hAnsi="Verdana"/>
                <w:b/>
                <w:bCs/>
                <w:sz w:val="20"/>
              </w:rPr>
              <w:t xml:space="preserve"> </w:t>
            </w:r>
            <w:r w:rsidR="00960B40">
              <w:rPr>
                <w:rFonts w:ascii="Verdana" w:hAnsi="Verdana"/>
                <w:b/>
                <w:bCs/>
                <w:sz w:val="20"/>
              </w:rPr>
              <w:t>mars</w:t>
            </w:r>
            <w:r>
              <w:rPr>
                <w:rFonts w:ascii="Verdana" w:hAnsi="Verdana"/>
                <w:b/>
                <w:bCs/>
                <w:sz w:val="20"/>
              </w:rPr>
              <w:t xml:space="preserve"> </w:t>
            </w:r>
            <w:r w:rsidRPr="001D281C">
              <w:rPr>
                <w:rFonts w:ascii="Verdana" w:hAnsi="Verdana"/>
                <w:b/>
                <w:bCs/>
                <w:sz w:val="20"/>
              </w:rPr>
              <w:t>20</w:t>
            </w:r>
            <w:r>
              <w:rPr>
                <w:rFonts w:ascii="Verdana" w:hAnsi="Verdana"/>
                <w:b/>
                <w:bCs/>
                <w:sz w:val="20"/>
              </w:rPr>
              <w:t>1</w:t>
            </w:r>
            <w:r w:rsidR="00960B40">
              <w:rPr>
                <w:rFonts w:ascii="Verdana" w:hAnsi="Verdana"/>
                <w:b/>
                <w:bCs/>
                <w:sz w:val="20"/>
              </w:rPr>
              <w:t>8</w:t>
            </w:r>
          </w:p>
        </w:tc>
        <w:tc>
          <w:tcPr>
            <w:tcW w:w="3346" w:type="dxa"/>
          </w:tcPr>
          <w:p w:rsidR="009D4A49" w:rsidRPr="00DC09F4" w:rsidRDefault="00C34ACD" w:rsidP="00C67361">
            <w:pPr>
              <w:shd w:val="solid" w:color="FFFFFF" w:fill="FFFFFF"/>
              <w:spacing w:before="0"/>
            </w:pPr>
            <w:bookmarkStart w:id="0" w:name="ditulogo"/>
            <w:bookmarkEnd w:id="0"/>
            <w:r w:rsidRPr="008C10D9">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DC09F4" w:rsidTr="008073FF">
        <w:trPr>
          <w:cantSplit/>
        </w:trPr>
        <w:tc>
          <w:tcPr>
            <w:tcW w:w="6629" w:type="dxa"/>
            <w:tcBorders>
              <w:bottom w:val="single" w:sz="12" w:space="0" w:color="auto"/>
            </w:tcBorders>
          </w:tcPr>
          <w:p w:rsidR="005E787A" w:rsidRPr="00DC09F4" w:rsidRDefault="005E787A" w:rsidP="00C67361">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rsidR="005E787A" w:rsidRPr="00DC09F4" w:rsidRDefault="005E787A" w:rsidP="00C67361">
            <w:pPr>
              <w:shd w:val="solid" w:color="FFFFFF" w:fill="FFFFFF"/>
              <w:spacing w:before="0" w:after="48"/>
              <w:rPr>
                <w:sz w:val="22"/>
                <w:szCs w:val="22"/>
              </w:rPr>
            </w:pPr>
          </w:p>
        </w:tc>
      </w:tr>
      <w:tr w:rsidR="005E787A" w:rsidRPr="00DC09F4" w:rsidTr="008073FF">
        <w:trPr>
          <w:cantSplit/>
        </w:trPr>
        <w:tc>
          <w:tcPr>
            <w:tcW w:w="6629" w:type="dxa"/>
            <w:tcBorders>
              <w:top w:val="single" w:sz="12" w:space="0" w:color="auto"/>
            </w:tcBorders>
          </w:tcPr>
          <w:p w:rsidR="005E787A" w:rsidRPr="00DC09F4" w:rsidRDefault="005E787A" w:rsidP="00C67361">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rsidR="005E787A" w:rsidRPr="00DC09F4" w:rsidRDefault="005E787A" w:rsidP="00C67361">
            <w:pPr>
              <w:shd w:val="solid" w:color="FFFFFF" w:fill="FFFFFF"/>
              <w:spacing w:before="0" w:after="48"/>
            </w:pPr>
          </w:p>
        </w:tc>
      </w:tr>
      <w:tr w:rsidR="005E787A" w:rsidRPr="00DC09F4" w:rsidTr="008073FF">
        <w:trPr>
          <w:cantSplit/>
        </w:trPr>
        <w:tc>
          <w:tcPr>
            <w:tcW w:w="6629" w:type="dxa"/>
            <w:vMerge w:val="restart"/>
          </w:tcPr>
          <w:p w:rsidR="005E787A" w:rsidRPr="00C811C0" w:rsidRDefault="005E787A" w:rsidP="00C67361">
            <w:pPr>
              <w:shd w:val="solid" w:color="FFFFFF" w:fill="FFFFFF"/>
              <w:spacing w:before="0" w:after="240"/>
              <w:rPr>
                <w:rFonts w:ascii="Verdana" w:hAnsi="Verdana"/>
                <w:sz w:val="20"/>
              </w:rPr>
            </w:pPr>
            <w:bookmarkStart w:id="1" w:name="recibido"/>
            <w:bookmarkStart w:id="2" w:name="dnum" w:colFirst="1" w:colLast="1"/>
            <w:bookmarkEnd w:id="1"/>
          </w:p>
        </w:tc>
        <w:tc>
          <w:tcPr>
            <w:tcW w:w="3346" w:type="dxa"/>
          </w:tcPr>
          <w:p w:rsidR="005E787A" w:rsidRPr="00C34ACD" w:rsidRDefault="00C34ACD" w:rsidP="00C67361">
            <w:pPr>
              <w:shd w:val="solid" w:color="FFFFFF" w:fill="FFFFFF"/>
              <w:spacing w:before="0"/>
              <w:rPr>
                <w:rFonts w:ascii="Verdana" w:hAnsi="Verdana"/>
                <w:sz w:val="20"/>
              </w:rPr>
            </w:pPr>
            <w:r>
              <w:rPr>
                <w:rFonts w:ascii="Verdana" w:hAnsi="Verdana"/>
                <w:b/>
                <w:sz w:val="20"/>
              </w:rPr>
              <w:t>Document RRB18-1/10-F</w:t>
            </w:r>
          </w:p>
        </w:tc>
      </w:tr>
      <w:tr w:rsidR="005E787A" w:rsidRPr="00DC09F4" w:rsidTr="008073FF">
        <w:trPr>
          <w:cantSplit/>
        </w:trPr>
        <w:tc>
          <w:tcPr>
            <w:tcW w:w="6629" w:type="dxa"/>
            <w:vMerge/>
          </w:tcPr>
          <w:p w:rsidR="005E787A" w:rsidRPr="00DC09F4" w:rsidRDefault="005E787A" w:rsidP="00C67361">
            <w:pPr>
              <w:spacing w:before="60"/>
              <w:jc w:val="center"/>
              <w:rPr>
                <w:b/>
                <w:smallCaps/>
                <w:sz w:val="32"/>
              </w:rPr>
            </w:pPr>
            <w:bookmarkStart w:id="3" w:name="ddate" w:colFirst="1" w:colLast="1"/>
            <w:bookmarkEnd w:id="2"/>
          </w:p>
        </w:tc>
        <w:tc>
          <w:tcPr>
            <w:tcW w:w="3346" w:type="dxa"/>
          </w:tcPr>
          <w:p w:rsidR="005E787A" w:rsidRPr="00C34ACD" w:rsidRDefault="00C34ACD" w:rsidP="00C67361">
            <w:pPr>
              <w:shd w:val="solid" w:color="FFFFFF" w:fill="FFFFFF"/>
              <w:spacing w:before="0"/>
              <w:rPr>
                <w:rFonts w:ascii="Verdana" w:hAnsi="Verdana"/>
                <w:sz w:val="20"/>
              </w:rPr>
            </w:pPr>
            <w:r>
              <w:rPr>
                <w:rFonts w:ascii="Verdana" w:hAnsi="Verdana"/>
                <w:b/>
                <w:sz w:val="20"/>
              </w:rPr>
              <w:t>23 mars 2018</w:t>
            </w:r>
          </w:p>
        </w:tc>
      </w:tr>
      <w:tr w:rsidR="005E787A" w:rsidRPr="00DC09F4" w:rsidTr="008073FF">
        <w:trPr>
          <w:cantSplit/>
        </w:trPr>
        <w:tc>
          <w:tcPr>
            <w:tcW w:w="6629" w:type="dxa"/>
            <w:vMerge/>
          </w:tcPr>
          <w:p w:rsidR="005E787A" w:rsidRPr="00DC09F4" w:rsidRDefault="005E787A" w:rsidP="00C67361">
            <w:pPr>
              <w:spacing w:before="60"/>
              <w:jc w:val="center"/>
              <w:rPr>
                <w:b/>
                <w:smallCaps/>
                <w:sz w:val="32"/>
              </w:rPr>
            </w:pPr>
            <w:bookmarkStart w:id="4" w:name="dorlang" w:colFirst="1" w:colLast="1"/>
            <w:bookmarkEnd w:id="3"/>
          </w:p>
        </w:tc>
        <w:tc>
          <w:tcPr>
            <w:tcW w:w="3346" w:type="dxa"/>
          </w:tcPr>
          <w:p w:rsidR="005E787A" w:rsidRPr="00C34ACD" w:rsidRDefault="00C34ACD" w:rsidP="00C67361">
            <w:pPr>
              <w:shd w:val="solid" w:color="FFFFFF" w:fill="FFFFFF"/>
              <w:spacing w:before="0"/>
              <w:rPr>
                <w:rFonts w:ascii="Verdana" w:hAnsi="Verdana"/>
                <w:sz w:val="20"/>
              </w:rPr>
            </w:pPr>
            <w:r>
              <w:rPr>
                <w:rFonts w:ascii="Verdana" w:hAnsi="Verdana"/>
                <w:b/>
                <w:sz w:val="20"/>
              </w:rPr>
              <w:t>Original: anglais</w:t>
            </w:r>
          </w:p>
        </w:tc>
      </w:tr>
      <w:tr w:rsidR="005E787A" w:rsidRPr="00075A30" w:rsidTr="008073FF">
        <w:trPr>
          <w:cantSplit/>
        </w:trPr>
        <w:tc>
          <w:tcPr>
            <w:tcW w:w="9975" w:type="dxa"/>
            <w:gridSpan w:val="2"/>
          </w:tcPr>
          <w:p w:rsidR="008452DF" w:rsidRPr="00075A30" w:rsidRDefault="008452DF" w:rsidP="00C67361">
            <w:pPr>
              <w:pStyle w:val="Title1"/>
              <w:spacing w:before="600"/>
              <w:rPr>
                <w:rFonts w:asciiTheme="minorHAnsi" w:hAnsiTheme="minorHAnsi" w:cstheme="majorBidi"/>
                <w:lang w:val="fr-CH" w:eastAsia="fr-FR"/>
              </w:rPr>
            </w:pPr>
            <w:bookmarkStart w:id="5" w:name="dsource" w:colFirst="0" w:colLast="0"/>
            <w:bookmarkEnd w:id="4"/>
            <w:r w:rsidRPr="00075A30">
              <w:rPr>
                <w:rFonts w:asciiTheme="minorHAnsi" w:hAnsiTheme="minorHAnsi" w:cstheme="majorBidi"/>
                <w:lang w:val="fr-CH" w:eastAsia="fr-FR"/>
              </w:rPr>
              <w:t>RÉSUMÉ DES DÉCISIONS</w:t>
            </w:r>
          </w:p>
          <w:p w:rsidR="008452DF" w:rsidRPr="00075A30" w:rsidRDefault="008452DF" w:rsidP="00C67361">
            <w:pPr>
              <w:pStyle w:val="Title1"/>
              <w:spacing w:before="360"/>
              <w:rPr>
                <w:rFonts w:asciiTheme="minorHAnsi" w:hAnsiTheme="minorHAnsi" w:cstheme="majorBidi"/>
                <w:lang w:val="fr-CH" w:eastAsia="fr-FR"/>
              </w:rPr>
            </w:pPr>
            <w:r w:rsidRPr="00075A30">
              <w:rPr>
                <w:rFonts w:asciiTheme="minorHAnsi" w:hAnsiTheme="minorHAnsi" w:cstheme="majorBidi"/>
                <w:lang w:val="fr-CH" w:eastAsia="fr-FR"/>
              </w:rPr>
              <w:t xml:space="preserve">DE LA </w:t>
            </w:r>
          </w:p>
          <w:p w:rsidR="005E787A" w:rsidRPr="00075A30" w:rsidRDefault="008452DF" w:rsidP="00C67361">
            <w:pPr>
              <w:pStyle w:val="Title1"/>
              <w:spacing w:before="360"/>
              <w:rPr>
                <w:rFonts w:asciiTheme="minorHAnsi" w:hAnsiTheme="minorHAnsi" w:cstheme="majorBidi"/>
              </w:rPr>
            </w:pPr>
            <w:r w:rsidRPr="00075A30">
              <w:rPr>
                <w:rFonts w:asciiTheme="minorHAnsi" w:hAnsiTheme="minorHAnsi" w:cstheme="majorBidi"/>
                <w:lang w:val="fr-CH" w:eastAsia="fr-FR"/>
              </w:rPr>
              <w:t>77</w:t>
            </w:r>
            <w:r w:rsidRPr="00075A30">
              <w:rPr>
                <w:rFonts w:asciiTheme="minorHAnsi" w:hAnsiTheme="minorHAnsi" w:cstheme="majorBidi"/>
                <w:caps w:val="0"/>
                <w:lang w:val="fr-CH" w:eastAsia="fr-FR"/>
              </w:rPr>
              <w:t>ème</w:t>
            </w:r>
            <w:r w:rsidRPr="00075A30">
              <w:rPr>
                <w:rFonts w:asciiTheme="minorHAnsi" w:hAnsiTheme="minorHAnsi" w:cstheme="majorBidi"/>
                <w:lang w:val="fr-CH" w:eastAsia="fr-FR"/>
              </w:rPr>
              <w:t xml:space="preserve"> réunion du comité du règlement </w:t>
            </w:r>
            <w:r w:rsidRPr="00075A30">
              <w:rPr>
                <w:rFonts w:asciiTheme="minorHAnsi" w:hAnsiTheme="minorHAnsi" w:cstheme="majorBidi"/>
                <w:lang w:val="fr-CH" w:eastAsia="fr-FR"/>
              </w:rPr>
              <w:br/>
              <w:t>des radiocommunications</w:t>
            </w:r>
          </w:p>
        </w:tc>
      </w:tr>
      <w:tr w:rsidR="005E787A" w:rsidRPr="00075A30" w:rsidTr="008073FF">
        <w:trPr>
          <w:cantSplit/>
        </w:trPr>
        <w:tc>
          <w:tcPr>
            <w:tcW w:w="9975" w:type="dxa"/>
            <w:gridSpan w:val="2"/>
          </w:tcPr>
          <w:p w:rsidR="005E787A" w:rsidRPr="00075A30" w:rsidRDefault="008452DF" w:rsidP="00C67361">
            <w:pPr>
              <w:jc w:val="center"/>
              <w:rPr>
                <w:rFonts w:asciiTheme="minorHAnsi" w:hAnsiTheme="minorHAnsi" w:cstheme="majorBidi"/>
                <w:szCs w:val="24"/>
              </w:rPr>
            </w:pPr>
            <w:bookmarkStart w:id="6" w:name="drec" w:colFirst="0" w:colLast="0"/>
            <w:bookmarkStart w:id="7" w:name="dtitle1" w:colFirst="0" w:colLast="0"/>
            <w:bookmarkEnd w:id="5"/>
            <w:r w:rsidRPr="00075A30">
              <w:rPr>
                <w:rFonts w:asciiTheme="minorHAnsi" w:hAnsiTheme="minorHAnsi" w:cstheme="majorBidi"/>
                <w:szCs w:val="24"/>
              </w:rPr>
              <w:t>19-23 mars 2018</w:t>
            </w:r>
          </w:p>
        </w:tc>
      </w:tr>
    </w:tbl>
    <w:p w:rsidR="008452DF" w:rsidRPr="00075A30" w:rsidRDefault="008452DF" w:rsidP="00C67361">
      <w:pPr>
        <w:spacing w:before="480"/>
        <w:ind w:left="1588" w:hanging="1588"/>
        <w:rPr>
          <w:rFonts w:asciiTheme="minorHAnsi" w:hAnsiTheme="minorHAnsi" w:cstheme="majorBidi"/>
          <w:u w:val="single"/>
          <w:lang w:val="fr-CH"/>
        </w:rPr>
      </w:pPr>
      <w:bookmarkStart w:id="8" w:name="dbreak"/>
      <w:bookmarkEnd w:id="6"/>
      <w:bookmarkEnd w:id="7"/>
      <w:bookmarkEnd w:id="8"/>
      <w:r w:rsidRPr="00075A30">
        <w:rPr>
          <w:rFonts w:asciiTheme="minorHAnsi" w:hAnsiTheme="minorHAnsi" w:cstheme="majorBidi"/>
          <w:u w:val="single"/>
          <w:lang w:val="fr-CH"/>
        </w:rPr>
        <w:t>Présents</w:t>
      </w:r>
      <w:r w:rsidRPr="00075A30">
        <w:rPr>
          <w:rFonts w:asciiTheme="minorHAnsi" w:hAnsiTheme="minorHAnsi" w:cstheme="majorBidi"/>
          <w:lang w:val="fr-CH"/>
        </w:rPr>
        <w:t>:</w:t>
      </w: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u w:val="single"/>
          <w:lang w:val="fr-CH"/>
        </w:rPr>
        <w:t>Membres du RRB</w:t>
      </w:r>
    </w:p>
    <w:p w:rsidR="008452DF" w:rsidRPr="00075A30" w:rsidRDefault="008452DF" w:rsidP="00C67361">
      <w:pPr>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M. M. BESSI, Président</w:t>
      </w:r>
    </w:p>
    <w:p w:rsidR="008452DF" w:rsidRPr="00075A30" w:rsidRDefault="008452DF" w:rsidP="00C67361">
      <w:pPr>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Mme J. C. WILSON, Vice-Présidente</w:t>
      </w:r>
    </w:p>
    <w:p w:rsidR="008452DF" w:rsidRPr="00075A30" w:rsidRDefault="008452DF" w:rsidP="00C67361">
      <w:pPr>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N. AL HAMMADI, M. D. Q. HOAN, M. Y. ITO, Mme L. JEANTY, </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I. KHAIROV, M. S. K. KIBE, M. S. KOFFI, M. A. MAGENTA, </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 xml:space="preserve"> </w:t>
      </w: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rPr>
        <w:t xml:space="preserve">M. V. STRELETS, M. </w:t>
      </w:r>
      <w:r w:rsidR="008073FF" w:rsidRPr="00075A30">
        <w:rPr>
          <w:rFonts w:asciiTheme="minorHAnsi" w:hAnsiTheme="minorHAnsi" w:cstheme="majorBidi"/>
          <w:lang w:val="fr-CH"/>
        </w:rPr>
        <w:t>R. L. TERÁN</w:t>
      </w:r>
      <w:r w:rsidRPr="00075A30">
        <w:rPr>
          <w:rFonts w:asciiTheme="minorHAnsi" w:hAnsiTheme="minorHAnsi" w:cstheme="majorBidi"/>
          <w:lang w:val="fr-CH"/>
        </w:rPr>
        <w:t xml:space="preserve"> </w:t>
      </w:r>
    </w:p>
    <w:p w:rsidR="008073FF" w:rsidRPr="00075A30" w:rsidRDefault="008452DF" w:rsidP="00C67361">
      <w:pPr>
        <w:tabs>
          <w:tab w:val="clear" w:pos="1985"/>
          <w:tab w:val="left" w:pos="2170"/>
          <w:tab w:val="left" w:pos="7365"/>
        </w:tabs>
        <w:spacing w:before="24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u w:val="single"/>
          <w:lang w:val="fr-CH"/>
        </w:rPr>
        <w:t>Secrétaire exécutif du RRB</w:t>
      </w:r>
    </w:p>
    <w:p w:rsidR="008452DF" w:rsidRPr="00075A30" w:rsidRDefault="008073FF" w:rsidP="00C67361">
      <w:pPr>
        <w:tabs>
          <w:tab w:val="clear" w:pos="1985"/>
          <w:tab w:val="left" w:pos="2170"/>
          <w:tab w:val="left" w:pos="7365"/>
        </w:tabs>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452DF" w:rsidRPr="00075A30">
        <w:rPr>
          <w:rFonts w:asciiTheme="minorHAnsi" w:hAnsiTheme="minorHAnsi" w:cstheme="majorBidi"/>
          <w:lang w:val="fr-CH"/>
        </w:rPr>
        <w:tab/>
        <w:t>M. F. RANCY, Directeur du BR</w:t>
      </w:r>
    </w:p>
    <w:p w:rsidR="008073FF" w:rsidRPr="00075A30" w:rsidRDefault="008452DF" w:rsidP="00C67361">
      <w:pPr>
        <w:spacing w:before="240"/>
        <w:ind w:left="1588" w:hanging="1588"/>
        <w:rPr>
          <w:rFonts w:asciiTheme="minorHAnsi" w:hAnsiTheme="minorHAnsi" w:cstheme="majorBidi"/>
          <w:u w:val="single"/>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u w:val="single"/>
          <w:lang w:val="fr-CH"/>
        </w:rPr>
        <w:t>Procès-verbalistes</w:t>
      </w:r>
    </w:p>
    <w:p w:rsidR="008452DF" w:rsidRPr="00075A30" w:rsidRDefault="008073FF" w:rsidP="00C67361">
      <w:pPr>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452DF" w:rsidRPr="00075A30">
        <w:rPr>
          <w:rFonts w:asciiTheme="minorHAnsi" w:hAnsiTheme="minorHAnsi" w:cstheme="majorBidi"/>
          <w:lang w:val="fr-CH"/>
        </w:rPr>
        <w:tab/>
      </w:r>
      <w:r w:rsidRPr="00075A30">
        <w:rPr>
          <w:rFonts w:asciiTheme="minorHAnsi" w:hAnsiTheme="minorHAnsi" w:cstheme="majorBidi"/>
          <w:lang w:val="fr-CH"/>
        </w:rPr>
        <w:tab/>
      </w:r>
      <w:r w:rsidR="008452DF" w:rsidRPr="00075A30">
        <w:rPr>
          <w:rFonts w:asciiTheme="minorHAnsi" w:hAnsiTheme="minorHAnsi" w:cstheme="majorBidi"/>
          <w:lang w:val="fr-CH"/>
        </w:rPr>
        <w:t>M. T. ELDRIDGE et Mme S. MUTTI</w:t>
      </w:r>
    </w:p>
    <w:p w:rsidR="008452DF" w:rsidRPr="00075A30" w:rsidRDefault="008452DF" w:rsidP="00C67361">
      <w:pPr>
        <w:pStyle w:val="Heading1"/>
        <w:rPr>
          <w:rFonts w:asciiTheme="minorHAnsi" w:hAnsiTheme="minorHAnsi" w:cstheme="majorBidi"/>
          <w:b w:val="0"/>
          <w:lang w:val="fr-CH"/>
        </w:rPr>
      </w:pPr>
      <w:r w:rsidRPr="00075A30">
        <w:rPr>
          <w:rFonts w:asciiTheme="minorHAnsi" w:hAnsiTheme="minorHAnsi" w:cstheme="majorBidi"/>
          <w:b w:val="0"/>
          <w:bCs/>
          <w:u w:val="single"/>
          <w:lang w:val="fr-CH"/>
        </w:rPr>
        <w:t>Egalement présents</w:t>
      </w:r>
      <w:r w:rsidRPr="00075A30">
        <w:rPr>
          <w:rFonts w:asciiTheme="minorHAnsi" w:hAnsiTheme="minorHAnsi" w:cstheme="majorBidi"/>
          <w:b w:val="0"/>
          <w:bCs/>
          <w:lang w:val="fr-CH"/>
        </w:rPr>
        <w:t>:</w:t>
      </w:r>
      <w:r w:rsidRPr="00075A30">
        <w:rPr>
          <w:rFonts w:asciiTheme="minorHAnsi" w:hAnsiTheme="minorHAnsi" w:cstheme="majorBidi"/>
          <w:lang w:val="fr-CH"/>
        </w:rPr>
        <w:tab/>
      </w:r>
      <w:r w:rsidRPr="00075A30">
        <w:rPr>
          <w:rFonts w:asciiTheme="minorHAnsi" w:hAnsiTheme="minorHAnsi" w:cstheme="majorBidi"/>
          <w:b w:val="0"/>
          <w:lang w:val="fr-CH"/>
        </w:rPr>
        <w:t>M. A. VALLET, Chef du SSD</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M. SAKAMOTO, </w:t>
      </w:r>
      <w:r w:rsidRPr="00075A30">
        <w:rPr>
          <w:rFonts w:asciiTheme="minorHAnsi" w:hAnsiTheme="minorHAnsi" w:cstheme="majorBidi"/>
          <w:bCs/>
          <w:lang w:val="fr-CH"/>
        </w:rPr>
        <w:t xml:space="preserve">Chef du </w:t>
      </w:r>
      <w:r w:rsidRPr="00075A30">
        <w:rPr>
          <w:rFonts w:asciiTheme="minorHAnsi" w:hAnsiTheme="minorHAnsi" w:cstheme="majorBidi"/>
          <w:lang w:val="fr-CH"/>
        </w:rPr>
        <w:t>SSD/SSC</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J. WANG, </w:t>
      </w:r>
      <w:r w:rsidRPr="00075A30">
        <w:rPr>
          <w:rFonts w:asciiTheme="minorHAnsi" w:hAnsiTheme="minorHAnsi" w:cstheme="majorBidi"/>
          <w:bCs/>
          <w:lang w:val="fr-CH"/>
        </w:rPr>
        <w:t xml:space="preserve">Chef du </w:t>
      </w:r>
      <w:r w:rsidRPr="00075A30">
        <w:rPr>
          <w:rFonts w:asciiTheme="minorHAnsi" w:hAnsiTheme="minorHAnsi" w:cstheme="majorBidi"/>
          <w:lang w:val="fr-CH"/>
        </w:rPr>
        <w:t>SSD/SNP</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t>M.</w:t>
      </w:r>
      <w:r w:rsidRPr="00075A30">
        <w:rPr>
          <w:rFonts w:asciiTheme="minorHAnsi" w:hAnsiTheme="minorHAnsi" w:cstheme="majorBidi"/>
          <w:lang w:val="fr-CH"/>
        </w:rPr>
        <w:t xml:space="preserve"> C.C. LOO, </w:t>
      </w:r>
      <w:r w:rsidRPr="00075A30">
        <w:rPr>
          <w:rFonts w:asciiTheme="minorHAnsi" w:hAnsiTheme="minorHAnsi" w:cstheme="majorBidi"/>
          <w:bCs/>
          <w:lang w:val="fr-CH"/>
        </w:rPr>
        <w:t xml:space="preserve">Chef du </w:t>
      </w:r>
      <w:r w:rsidRPr="00075A30">
        <w:rPr>
          <w:rFonts w:asciiTheme="minorHAnsi" w:hAnsiTheme="minorHAnsi" w:cstheme="majorBidi"/>
          <w:lang w:val="fr-CH"/>
        </w:rPr>
        <w:t>SSD/SPR</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N. VASSILIEV, </w:t>
      </w:r>
      <w:r w:rsidRPr="00075A30">
        <w:rPr>
          <w:rFonts w:asciiTheme="minorHAnsi" w:hAnsiTheme="minorHAnsi" w:cstheme="majorBidi"/>
          <w:bCs/>
          <w:lang w:val="fr-CH"/>
        </w:rPr>
        <w:t xml:space="preserve">Chef du </w:t>
      </w:r>
      <w:r w:rsidRPr="00075A30">
        <w:rPr>
          <w:rFonts w:asciiTheme="minorHAnsi" w:hAnsiTheme="minorHAnsi" w:cstheme="majorBidi"/>
          <w:lang w:val="fr-CH"/>
        </w:rPr>
        <w:t>TSD</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 xml:space="preserve">M. B. BA, </w:t>
      </w:r>
      <w:r w:rsidRPr="00075A30">
        <w:rPr>
          <w:rFonts w:asciiTheme="minorHAnsi" w:hAnsiTheme="minorHAnsi" w:cstheme="majorBidi"/>
          <w:bCs/>
          <w:lang w:val="fr-CH"/>
        </w:rPr>
        <w:t xml:space="preserve">Chef du </w:t>
      </w:r>
      <w:r w:rsidRPr="00075A30">
        <w:rPr>
          <w:rFonts w:asciiTheme="minorHAnsi" w:hAnsiTheme="minorHAnsi" w:cstheme="majorBidi"/>
          <w:lang w:val="fr-CH"/>
        </w:rPr>
        <w:t>TSD/TPR</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t>Mme</w:t>
      </w:r>
      <w:r w:rsidRPr="00075A30">
        <w:rPr>
          <w:rFonts w:asciiTheme="minorHAnsi" w:hAnsiTheme="minorHAnsi" w:cstheme="majorBidi"/>
          <w:lang w:val="fr-CH"/>
        </w:rPr>
        <w:t xml:space="preserve"> I. GHAZI, </w:t>
      </w:r>
      <w:r w:rsidRPr="00075A30">
        <w:rPr>
          <w:rFonts w:asciiTheme="minorHAnsi" w:hAnsiTheme="minorHAnsi" w:cstheme="majorBidi"/>
          <w:bCs/>
          <w:lang w:val="fr-CH"/>
        </w:rPr>
        <w:t xml:space="preserve">Chef du </w:t>
      </w:r>
      <w:r w:rsidRPr="00075A30">
        <w:rPr>
          <w:rFonts w:asciiTheme="minorHAnsi" w:hAnsiTheme="minorHAnsi" w:cstheme="majorBidi"/>
          <w:lang w:val="fr-CH"/>
        </w:rPr>
        <w:t>TSD/BCD</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M. W. IJEH, Administrateur du BR</w:t>
      </w:r>
    </w:p>
    <w:p w:rsidR="008452DF" w:rsidRPr="00075A30" w:rsidRDefault="008452DF" w:rsidP="00C67361">
      <w:pPr>
        <w:spacing w:before="0"/>
        <w:ind w:left="1588" w:hanging="1588"/>
        <w:rPr>
          <w:rFonts w:asciiTheme="minorHAnsi" w:hAnsiTheme="minorHAnsi" w:cstheme="majorBidi"/>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rPr>
        <w:t>M. D. BOTHA, SGD</w:t>
      </w:r>
    </w:p>
    <w:p w:rsidR="008452DF" w:rsidRPr="00075A30" w:rsidRDefault="008452DF" w:rsidP="00C67361">
      <w:pPr>
        <w:spacing w:before="0"/>
        <w:ind w:left="1588" w:hanging="1588"/>
        <w:rPr>
          <w:rFonts w:asciiTheme="minorHAnsi" w:hAnsiTheme="minorHAnsi" w:cstheme="majorBidi"/>
          <w:lang w:val="fr-CH"/>
        </w:rPr>
      </w:pPr>
      <w:r w:rsidRPr="00075A30">
        <w:rPr>
          <w:rFonts w:asciiTheme="minorHAnsi" w:hAnsiTheme="minorHAnsi" w:cstheme="majorBidi"/>
          <w:lang w:val="fr-CH"/>
        </w:rPr>
        <w:tab/>
      </w:r>
      <w:r w:rsidRPr="00075A30">
        <w:rPr>
          <w:rFonts w:asciiTheme="minorHAnsi" w:hAnsiTheme="minorHAnsi" w:cstheme="majorBidi"/>
          <w:lang w:val="fr-CH"/>
        </w:rPr>
        <w:tab/>
      </w:r>
      <w:r w:rsidRPr="00075A30">
        <w:rPr>
          <w:rFonts w:asciiTheme="minorHAnsi" w:hAnsiTheme="minorHAnsi" w:cstheme="majorBidi"/>
          <w:lang w:val="fr-CH"/>
        </w:rPr>
        <w:tab/>
      </w:r>
      <w:r w:rsidR="008073FF" w:rsidRPr="00075A30">
        <w:rPr>
          <w:rFonts w:asciiTheme="minorHAnsi" w:hAnsiTheme="minorHAnsi" w:cstheme="majorBidi"/>
          <w:lang w:val="fr-CH"/>
        </w:rPr>
        <w:tab/>
      </w:r>
      <w:r w:rsidR="008073FF" w:rsidRPr="00075A30">
        <w:rPr>
          <w:rFonts w:asciiTheme="minorHAnsi" w:hAnsiTheme="minorHAnsi" w:cstheme="majorBidi"/>
          <w:lang w:val="fr-CH"/>
        </w:rPr>
        <w:tab/>
      </w:r>
      <w:r w:rsidRPr="00075A30">
        <w:rPr>
          <w:rFonts w:asciiTheme="minorHAnsi" w:hAnsiTheme="minorHAnsi" w:cstheme="majorBidi"/>
          <w:lang w:val="fr-CH"/>
        </w:rPr>
        <w:t>Mme K. GOZAL, Assistante administrative</w:t>
      </w:r>
    </w:p>
    <w:p w:rsidR="008452DF" w:rsidRPr="00075A30" w:rsidRDefault="008452DF" w:rsidP="00C67361">
      <w:pPr>
        <w:rPr>
          <w:rFonts w:asciiTheme="minorHAnsi" w:hAnsiTheme="minorHAnsi" w:cstheme="majorBidi"/>
          <w:lang w:val="fr-CH" w:eastAsia="zh-CN"/>
        </w:rPr>
      </w:pPr>
    </w:p>
    <w:p w:rsidR="008073FF" w:rsidRPr="008452DF" w:rsidRDefault="008073FF" w:rsidP="00C67361">
      <w:pPr>
        <w:rPr>
          <w:rFonts w:asciiTheme="majorBidi" w:hAnsiTheme="majorBidi" w:cstheme="majorBidi"/>
          <w:lang w:val="fr-CH" w:eastAsia="zh-CN"/>
        </w:rPr>
        <w:sectPr w:rsidR="008073FF" w:rsidRPr="008452DF" w:rsidSect="008073FF">
          <w:headerReference w:type="default" r:id="rId8"/>
          <w:footerReference w:type="default" r:id="rId9"/>
          <w:footerReference w:type="first" r:id="rId10"/>
          <w:pgSz w:w="11907" w:h="16834" w:code="9"/>
          <w:pgMar w:top="1418" w:right="1134" w:bottom="1418" w:left="1134" w:header="720" w:footer="720" w:gutter="0"/>
          <w:paperSrc w:first="15" w:other="15"/>
          <w:pgNumType w:start="2"/>
          <w:cols w:space="720"/>
          <w:titlePg/>
          <w:docGrid w:linePitch="326"/>
        </w:sectPr>
      </w:pPr>
    </w:p>
    <w:tbl>
      <w:tblPr>
        <w:tblStyle w:val="ListTable4-Accent11"/>
        <w:tblW w:w="14029"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849"/>
        <w:gridCol w:w="3823"/>
        <w:gridCol w:w="16"/>
        <w:gridCol w:w="6929"/>
        <w:gridCol w:w="2412"/>
      </w:tblGrid>
      <w:tr w:rsidR="008452DF" w:rsidRPr="00075A30" w:rsidTr="006657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tcPr>
          <w:p w:rsidR="008452DF" w:rsidRPr="00075A30" w:rsidRDefault="008452DF" w:rsidP="00C67361">
            <w:pPr>
              <w:pStyle w:val="Tablehead"/>
              <w:rPr>
                <w:rFonts w:asciiTheme="minorHAnsi" w:hAnsiTheme="minorHAnsi" w:cstheme="majorBidi"/>
                <w:b/>
                <w:bCs w:val="0"/>
                <w:color w:val="auto"/>
                <w:szCs w:val="22"/>
              </w:rPr>
            </w:pPr>
            <w:r w:rsidRPr="00075A30">
              <w:rPr>
                <w:rFonts w:asciiTheme="minorHAnsi" w:hAnsiTheme="minorHAnsi" w:cstheme="majorBidi"/>
                <w:b/>
                <w:bCs w:val="0"/>
                <w:szCs w:val="22"/>
                <w:lang w:val="fr-CH"/>
              </w:rPr>
              <w:lastRenderedPageBreak/>
              <w:br w:type="page"/>
            </w:r>
            <w:r w:rsidR="000E0869" w:rsidRPr="00075A30">
              <w:rPr>
                <w:rFonts w:asciiTheme="minorHAnsi" w:hAnsiTheme="minorHAnsi" w:cstheme="majorBidi"/>
                <w:b/>
                <w:bCs w:val="0"/>
                <w:szCs w:val="22"/>
              </w:rPr>
              <w:t>Point N°</w:t>
            </w:r>
          </w:p>
        </w:tc>
        <w:tc>
          <w:tcPr>
            <w:tcW w:w="3822" w:type="dxa"/>
            <w:tcBorders>
              <w:top w:val="none" w:sz="0" w:space="0" w:color="auto"/>
              <w:bottom w:val="none" w:sz="0" w:space="0" w:color="auto"/>
            </w:tcBorders>
          </w:tcPr>
          <w:p w:rsidR="008452DF" w:rsidRPr="00075A30" w:rsidRDefault="008452DF" w:rsidP="00C67361">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szCs w:val="22"/>
              </w:rPr>
            </w:pPr>
            <w:r w:rsidRPr="00075A30">
              <w:rPr>
                <w:rFonts w:asciiTheme="minorHAnsi" w:hAnsiTheme="minorHAnsi" w:cstheme="majorBidi"/>
                <w:b/>
                <w:bCs w:val="0"/>
                <w:szCs w:val="22"/>
              </w:rPr>
              <w:t>Objet</w:t>
            </w:r>
          </w:p>
        </w:tc>
        <w:tc>
          <w:tcPr>
            <w:tcW w:w="6947" w:type="dxa"/>
            <w:gridSpan w:val="2"/>
            <w:tcBorders>
              <w:top w:val="none" w:sz="0" w:space="0" w:color="auto"/>
              <w:bottom w:val="none" w:sz="0" w:space="0" w:color="auto"/>
            </w:tcBorders>
          </w:tcPr>
          <w:p w:rsidR="008452DF" w:rsidRPr="00075A30" w:rsidRDefault="008452DF" w:rsidP="00C67361">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szCs w:val="22"/>
              </w:rPr>
            </w:pPr>
            <w:r w:rsidRPr="00075A30">
              <w:rPr>
                <w:rFonts w:asciiTheme="minorHAnsi" w:hAnsiTheme="minorHAnsi" w:cstheme="majorBidi"/>
                <w:b/>
                <w:bCs w:val="0"/>
                <w:szCs w:val="22"/>
              </w:rPr>
              <w:t>Action/décision et motifs</w:t>
            </w:r>
          </w:p>
        </w:tc>
        <w:tc>
          <w:tcPr>
            <w:tcW w:w="2411" w:type="dxa"/>
            <w:tcBorders>
              <w:top w:val="none" w:sz="0" w:space="0" w:color="auto"/>
              <w:bottom w:val="none" w:sz="0" w:space="0" w:color="auto"/>
              <w:right w:val="none" w:sz="0" w:space="0" w:color="auto"/>
            </w:tcBorders>
          </w:tcPr>
          <w:p w:rsidR="008452DF" w:rsidRPr="00075A30" w:rsidRDefault="008452DF" w:rsidP="00C67361">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color w:val="auto"/>
                <w:szCs w:val="22"/>
              </w:rPr>
            </w:pPr>
            <w:r w:rsidRPr="00075A30">
              <w:rPr>
                <w:rFonts w:asciiTheme="minorHAnsi" w:hAnsiTheme="minorHAnsi" w:cstheme="majorBidi"/>
                <w:b/>
                <w:bCs w:val="0"/>
                <w:szCs w:val="22"/>
              </w:rPr>
              <w:t xml:space="preserve">Suivi </w:t>
            </w:r>
          </w:p>
        </w:tc>
      </w:tr>
      <w:tr w:rsidR="008452DF" w:rsidRPr="00075A30" w:rsidTr="006657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dxa"/>
          </w:tcPr>
          <w:p w:rsidR="008452DF" w:rsidRPr="00075A30" w:rsidRDefault="008452DF" w:rsidP="00C67361">
            <w:pPr>
              <w:pStyle w:val="Tabletext"/>
              <w:spacing w:before="120" w:after="120"/>
              <w:jc w:val="center"/>
              <w:rPr>
                <w:rFonts w:asciiTheme="minorHAnsi" w:hAnsiTheme="minorHAnsi" w:cstheme="majorBidi"/>
                <w:bCs w:val="0"/>
                <w:szCs w:val="22"/>
              </w:rPr>
            </w:pPr>
            <w:r w:rsidRPr="00075A30">
              <w:rPr>
                <w:rFonts w:asciiTheme="minorHAnsi" w:hAnsiTheme="minorHAnsi" w:cstheme="majorBidi"/>
                <w:szCs w:val="22"/>
              </w:rPr>
              <w:t>1</w:t>
            </w:r>
          </w:p>
        </w:tc>
        <w:tc>
          <w:tcPr>
            <w:tcW w:w="3822" w:type="dxa"/>
          </w:tcPr>
          <w:p w:rsidR="008452DF" w:rsidRPr="00075A30" w:rsidRDefault="008452DF" w:rsidP="00C6736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bCs/>
                <w:szCs w:val="22"/>
              </w:rPr>
              <w:t>Ouverture de la réunion</w:t>
            </w:r>
          </w:p>
        </w:tc>
        <w:tc>
          <w:tcPr>
            <w:tcW w:w="6947" w:type="dxa"/>
            <w:gridSpan w:val="2"/>
          </w:tcPr>
          <w:p w:rsidR="008452DF" w:rsidRPr="00075A30" w:rsidRDefault="008452DF" w:rsidP="00C67361">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Président, M. M. BESSI, a souhaité la bienvenue aux membres du Comité assistant à la 77ème réunion. </w:t>
            </w:r>
          </w:p>
          <w:p w:rsidR="008452DF" w:rsidRPr="00075A30" w:rsidRDefault="008452DF" w:rsidP="00C67361">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Directeur du Bureau des radiocommunications, M. F. RANCY, au nom du Secrétaire général, M. H. ZHAO, a lui aussi souhaité la bienvenue aux membres du Comité à la réunion et a noté que </w:t>
            </w:r>
            <w:r w:rsidR="000E0869" w:rsidRPr="00075A30">
              <w:rPr>
                <w:rFonts w:asciiTheme="minorHAnsi" w:hAnsiTheme="minorHAnsi" w:cstheme="majorBidi"/>
                <w:szCs w:val="22"/>
                <w:lang w:val="fr-CH"/>
              </w:rPr>
              <w:t>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examen de certains points de </w:t>
            </w:r>
            <w:r w:rsidR="000E0869" w:rsidRPr="00075A30">
              <w:rPr>
                <w:rFonts w:asciiTheme="minorHAnsi" w:hAnsiTheme="minorHAnsi" w:cstheme="majorBidi"/>
                <w:szCs w:val="22"/>
                <w:lang w:val="fr-CH"/>
              </w:rPr>
              <w:t>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ordre du jour, en raison de leur complexité</w:t>
            </w:r>
            <w:r w:rsidR="00813B8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 prendr</w:t>
            </w:r>
            <w:r w:rsidR="000E0869" w:rsidRPr="00075A30">
              <w:rPr>
                <w:rFonts w:asciiTheme="minorHAnsi" w:hAnsiTheme="minorHAnsi" w:cstheme="majorBidi"/>
                <w:szCs w:val="22"/>
                <w:lang w:val="fr-CH"/>
              </w:rPr>
              <w:t>ait peut-être beaucoup de temps.</w:t>
            </w:r>
            <w:r w:rsidRPr="00075A30">
              <w:rPr>
                <w:rFonts w:asciiTheme="minorHAnsi" w:hAnsiTheme="minorHAnsi" w:cstheme="majorBidi"/>
                <w:szCs w:val="22"/>
                <w:lang w:val="fr-CH"/>
              </w:rPr>
              <w:t xml:space="preserve"> </w:t>
            </w:r>
          </w:p>
        </w:tc>
        <w:tc>
          <w:tcPr>
            <w:tcW w:w="2411" w:type="dxa"/>
          </w:tcPr>
          <w:p w:rsidR="008452DF" w:rsidRPr="00075A30" w:rsidRDefault="00C67361" w:rsidP="00C67361">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8452DF" w:rsidRPr="00075A30" w:rsidTr="00DB50F9">
        <w:trPr>
          <w:jc w:val="center"/>
        </w:trPr>
        <w:tc>
          <w:tcPr>
            <w:cnfStyle w:val="001000000000" w:firstRow="0" w:lastRow="0" w:firstColumn="1" w:lastColumn="0" w:oddVBand="0" w:evenVBand="0" w:oddHBand="0" w:evenHBand="0" w:firstRowFirstColumn="0" w:firstRowLastColumn="0" w:lastRowFirstColumn="0" w:lastRowLastColumn="0"/>
            <w:tcW w:w="849" w:type="dxa"/>
            <w:tcBorders>
              <w:bottom w:val="nil"/>
            </w:tcBorders>
          </w:tcPr>
          <w:p w:rsidR="008452DF" w:rsidRPr="00075A30" w:rsidRDefault="008452DF" w:rsidP="00C67361">
            <w:pPr>
              <w:pStyle w:val="Tabletext"/>
              <w:spacing w:before="120" w:after="120"/>
              <w:jc w:val="center"/>
              <w:rPr>
                <w:rFonts w:asciiTheme="minorHAnsi" w:hAnsiTheme="minorHAnsi" w:cstheme="majorBidi"/>
                <w:bCs w:val="0"/>
                <w:szCs w:val="22"/>
              </w:rPr>
            </w:pPr>
            <w:r w:rsidRPr="00075A30">
              <w:rPr>
                <w:rFonts w:asciiTheme="minorHAnsi" w:hAnsiTheme="minorHAnsi" w:cstheme="majorBidi"/>
                <w:szCs w:val="22"/>
              </w:rPr>
              <w:t>2</w:t>
            </w:r>
          </w:p>
        </w:tc>
        <w:tc>
          <w:tcPr>
            <w:tcW w:w="3822" w:type="dxa"/>
            <w:tcBorders>
              <w:bottom w:val="nil"/>
            </w:tcBorders>
          </w:tcPr>
          <w:p w:rsidR="008452DF" w:rsidRPr="00075A30" w:rsidRDefault="008452DF" w:rsidP="00C67361">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bCs/>
                <w:szCs w:val="22"/>
                <w:lang w:val="fr-CH"/>
              </w:rPr>
              <w:t>Adoption de l</w:t>
            </w:r>
            <w:r w:rsidR="00D92F23" w:rsidRPr="00075A30">
              <w:rPr>
                <w:rFonts w:asciiTheme="minorHAnsi" w:hAnsiTheme="minorHAnsi" w:cstheme="majorBidi"/>
                <w:bCs/>
                <w:szCs w:val="22"/>
                <w:lang w:val="fr-CH"/>
              </w:rPr>
              <w:t>'</w:t>
            </w:r>
            <w:r w:rsidRPr="00075A30">
              <w:rPr>
                <w:rFonts w:asciiTheme="minorHAnsi" w:hAnsiTheme="minorHAnsi" w:cstheme="majorBidi"/>
                <w:bCs/>
                <w:szCs w:val="22"/>
                <w:lang w:val="fr-CH"/>
              </w:rPr>
              <w:t>ordre du jour</w:t>
            </w:r>
            <w:r w:rsidRPr="00075A30">
              <w:rPr>
                <w:rFonts w:asciiTheme="minorHAnsi" w:hAnsiTheme="minorHAnsi" w:cstheme="majorBidi"/>
                <w:szCs w:val="22"/>
                <w:lang w:val="fr-CH"/>
              </w:rPr>
              <w:br/>
            </w:r>
            <w:hyperlink r:id="rId11" w:history="1">
              <w:r w:rsidRPr="00075A30">
                <w:rPr>
                  <w:rStyle w:val="Hyperlink"/>
                  <w:rFonts w:asciiTheme="minorHAnsi" w:hAnsiTheme="minorHAnsi" w:cstheme="majorBidi"/>
                  <w:szCs w:val="22"/>
                  <w:lang w:val="fr-CH"/>
                </w:rPr>
                <w:t>(RRB18-1/OJ/1)(R</w:t>
              </w:r>
              <w:r w:rsidR="00813B83" w:rsidRPr="00075A30">
                <w:rPr>
                  <w:rStyle w:val="Hyperlink"/>
                  <w:rFonts w:asciiTheme="minorHAnsi" w:hAnsiTheme="minorHAnsi" w:cstheme="majorBidi"/>
                  <w:szCs w:val="22"/>
                  <w:lang w:val="fr-CH"/>
                </w:rPr>
                <w:t>é</w:t>
              </w:r>
              <w:r w:rsidRPr="00075A30">
                <w:rPr>
                  <w:rStyle w:val="Hyperlink"/>
                  <w:rFonts w:asciiTheme="minorHAnsi" w:hAnsiTheme="minorHAnsi" w:cstheme="majorBidi"/>
                  <w:szCs w:val="22"/>
                  <w:lang w:val="fr-CH"/>
                </w:rPr>
                <w:t>v.1)</w:t>
              </w:r>
            </w:hyperlink>
          </w:p>
        </w:tc>
        <w:tc>
          <w:tcPr>
            <w:tcW w:w="6947" w:type="dxa"/>
            <w:gridSpan w:val="2"/>
            <w:tcBorders>
              <w:bottom w:val="nil"/>
            </w:tcBorders>
          </w:tcPr>
          <w:p w:rsidR="008452DF" w:rsidRPr="00075A30" w:rsidRDefault="008452DF" w:rsidP="00C6736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 xml:space="preserve">Le projet </w:t>
            </w:r>
            <w:r w:rsidR="000E0869" w:rsidRPr="00075A30">
              <w:rPr>
                <w:rFonts w:asciiTheme="minorHAnsi" w:hAnsiTheme="minorHAnsi" w:cstheme="majorBidi"/>
                <w:sz w:val="22"/>
                <w:szCs w:val="22"/>
                <w:lang w:val="fr-CH"/>
              </w:rPr>
              <w:t>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ordre du jour a été adopté moyennant les modifications indiquées dans le Document RRB18-1/OJ/1(R</w:t>
            </w:r>
            <w:r w:rsidR="000E0869" w:rsidRPr="00075A30">
              <w:rPr>
                <w:rFonts w:asciiTheme="minorHAnsi" w:hAnsiTheme="minorHAnsi" w:cstheme="majorBidi"/>
                <w:sz w:val="22"/>
                <w:szCs w:val="22"/>
                <w:lang w:val="fr-CH"/>
              </w:rPr>
              <w:t>é</w:t>
            </w:r>
            <w:r w:rsidRPr="00075A30">
              <w:rPr>
                <w:rFonts w:asciiTheme="minorHAnsi" w:hAnsiTheme="minorHAnsi" w:cstheme="majorBidi"/>
                <w:sz w:val="22"/>
                <w:szCs w:val="22"/>
                <w:lang w:val="fr-CH"/>
              </w:rPr>
              <w:t>v.1). Le Comité a décidé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inscrire à </w:t>
            </w:r>
            <w:r w:rsidR="000E0869" w:rsidRPr="00075A30">
              <w:rPr>
                <w:rFonts w:asciiTheme="minorHAnsi" w:hAnsiTheme="minorHAnsi" w:cstheme="majorBidi"/>
                <w:sz w:val="22"/>
                <w:szCs w:val="22"/>
                <w:lang w:val="fr-CH"/>
              </w:rPr>
              <w:t>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ordre du jour les Documents </w:t>
            </w:r>
            <w:r w:rsidR="000E0869" w:rsidRPr="00075A30">
              <w:rPr>
                <w:rFonts w:asciiTheme="minorHAnsi" w:hAnsiTheme="minorHAnsi" w:cstheme="majorBidi"/>
                <w:sz w:val="22"/>
                <w:szCs w:val="22"/>
                <w:lang w:val="fr-CH"/>
              </w:rPr>
              <w:t>RRB18</w:t>
            </w:r>
            <w:r w:rsidR="000E0869" w:rsidRPr="00075A30">
              <w:rPr>
                <w:rFonts w:asciiTheme="minorHAnsi" w:hAnsiTheme="minorHAnsi" w:cstheme="majorBidi"/>
                <w:sz w:val="22"/>
                <w:szCs w:val="22"/>
                <w:lang w:val="fr-CH"/>
              </w:rPr>
              <w:noBreakHyphen/>
              <w:t>1/DELAYED/1 et </w:t>
            </w:r>
            <w:r w:rsidRPr="00075A30">
              <w:rPr>
                <w:rFonts w:asciiTheme="minorHAnsi" w:hAnsiTheme="minorHAnsi" w:cstheme="majorBidi"/>
                <w:sz w:val="22"/>
                <w:szCs w:val="22"/>
                <w:lang w:val="fr-CH"/>
              </w:rPr>
              <w:t>RRB18</w:t>
            </w:r>
            <w:r w:rsidRPr="00075A30">
              <w:rPr>
                <w:rFonts w:asciiTheme="minorHAnsi" w:hAnsiTheme="minorHAnsi" w:cstheme="majorBidi"/>
                <w:sz w:val="22"/>
                <w:szCs w:val="22"/>
                <w:lang w:val="fr-CH"/>
              </w:rPr>
              <w:noBreakHyphen/>
              <w:t>1/DELAYED/2 au titre du point 8.1 pour information.</w:t>
            </w:r>
          </w:p>
        </w:tc>
        <w:tc>
          <w:tcPr>
            <w:tcW w:w="2411" w:type="dxa"/>
            <w:tcBorders>
              <w:bottom w:val="nil"/>
            </w:tcBorders>
          </w:tcPr>
          <w:p w:rsidR="008452DF" w:rsidRPr="00075A30" w:rsidRDefault="00C67361" w:rsidP="00C67361">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4F235D" w:rsidRPr="00075A30" w:rsidTr="006657B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49" w:type="dxa"/>
            <w:vMerge w:val="restart"/>
            <w:tcBorders>
              <w:top w:val="nil"/>
              <w:bottom w:val="nil"/>
            </w:tcBorders>
          </w:tcPr>
          <w:p w:rsidR="004F235D" w:rsidRPr="00075A30" w:rsidRDefault="004F235D" w:rsidP="005E7AA6">
            <w:pPr>
              <w:pStyle w:val="Tabletext"/>
              <w:spacing w:before="120" w:after="120" w:line="260" w:lineRule="auto"/>
              <w:jc w:val="center"/>
              <w:rPr>
                <w:rFonts w:asciiTheme="minorHAnsi" w:hAnsiTheme="minorHAnsi" w:cstheme="majorBidi"/>
                <w:bCs w:val="0"/>
                <w:szCs w:val="22"/>
              </w:rPr>
            </w:pPr>
            <w:r w:rsidRPr="00075A30">
              <w:rPr>
                <w:rFonts w:asciiTheme="minorHAnsi" w:hAnsiTheme="minorHAnsi" w:cstheme="majorBidi"/>
                <w:szCs w:val="22"/>
              </w:rPr>
              <w:t>3</w:t>
            </w:r>
          </w:p>
        </w:tc>
        <w:tc>
          <w:tcPr>
            <w:tcW w:w="3840" w:type="dxa"/>
            <w:gridSpan w:val="2"/>
            <w:vMerge w:val="restart"/>
            <w:tcBorders>
              <w:top w:val="nil"/>
              <w:bottom w:val="nil"/>
            </w:tcBorders>
          </w:tcPr>
          <w:p w:rsidR="004F235D" w:rsidRPr="00075A30" w:rsidRDefault="004F235D" w:rsidP="005E7AA6">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bCs/>
                <w:szCs w:val="22"/>
              </w:rPr>
              <w:t>Rapport du Directeur du BR</w:t>
            </w:r>
            <w:r w:rsidRPr="00075A30">
              <w:rPr>
                <w:rFonts w:asciiTheme="minorHAnsi" w:hAnsiTheme="minorHAnsi" w:cstheme="majorBidi"/>
                <w:szCs w:val="22"/>
              </w:rPr>
              <w:br/>
            </w:r>
            <w:hyperlink r:id="rId12" w:history="1">
              <w:r w:rsidR="00075A30">
                <w:rPr>
                  <w:rStyle w:val="Hyperlink"/>
                  <w:rFonts w:asciiTheme="minorHAnsi" w:hAnsiTheme="minorHAnsi" w:cstheme="majorBidi"/>
                  <w:szCs w:val="22"/>
                </w:rPr>
                <w:t>(RRB18-1/2</w:t>
              </w:r>
            </w:hyperlink>
            <w:r w:rsidRPr="00075A30">
              <w:rPr>
                <w:rStyle w:val="Hyperlink"/>
                <w:rFonts w:asciiTheme="minorHAnsi" w:hAnsiTheme="minorHAnsi" w:cstheme="majorBidi"/>
                <w:szCs w:val="22"/>
              </w:rPr>
              <w:t xml:space="preserve">; </w:t>
            </w:r>
            <w:r w:rsidRPr="00075A30">
              <w:rPr>
                <w:rStyle w:val="Hyperlink"/>
                <w:rFonts w:asciiTheme="minorHAnsi" w:hAnsiTheme="minorHAnsi" w:cstheme="majorBidi"/>
                <w:szCs w:val="22"/>
              </w:rPr>
              <w:br/>
            </w:r>
            <w:hyperlink r:id="rId13" w:history="1">
              <w:r w:rsidRPr="00075A30">
                <w:rPr>
                  <w:rStyle w:val="Hyperlink"/>
                  <w:rFonts w:asciiTheme="minorHAnsi" w:hAnsiTheme="minorHAnsi" w:cstheme="majorBidi"/>
                  <w:szCs w:val="22"/>
                </w:rPr>
                <w:t>RRB18-1/2(Add.1)(Rév.1)</w:t>
              </w:r>
            </w:hyperlink>
            <w:r w:rsidRPr="00075A30">
              <w:rPr>
                <w:rStyle w:val="Hyperlink"/>
                <w:rFonts w:asciiTheme="minorHAnsi" w:hAnsiTheme="minorHAnsi" w:cstheme="majorBidi"/>
                <w:szCs w:val="22"/>
              </w:rPr>
              <w:br/>
            </w:r>
            <w:hyperlink r:id="rId14" w:history="1">
              <w:r w:rsidRPr="00075A30">
                <w:rPr>
                  <w:rStyle w:val="Hyperlink"/>
                  <w:rFonts w:asciiTheme="minorHAnsi" w:hAnsiTheme="minorHAnsi" w:cstheme="majorBidi"/>
                  <w:szCs w:val="22"/>
                </w:rPr>
                <w:t>RRB18-1/2(Add.2)</w:t>
              </w:r>
            </w:hyperlink>
            <w:r w:rsidRPr="00075A30">
              <w:rPr>
                <w:rStyle w:val="Hyperlink"/>
                <w:rFonts w:asciiTheme="minorHAnsi" w:hAnsiTheme="minorHAnsi" w:cstheme="majorBidi"/>
                <w:szCs w:val="22"/>
              </w:rPr>
              <w:t>;</w:t>
            </w:r>
            <w:r w:rsidRPr="00075A30">
              <w:rPr>
                <w:rStyle w:val="Hyperlink"/>
                <w:rFonts w:asciiTheme="minorHAnsi" w:hAnsiTheme="minorHAnsi" w:cstheme="majorBidi"/>
                <w:szCs w:val="22"/>
              </w:rPr>
              <w:br/>
            </w:r>
            <w:hyperlink r:id="rId15" w:history="1">
              <w:r w:rsidRPr="00075A30">
                <w:rPr>
                  <w:rStyle w:val="Hyperlink"/>
                  <w:rFonts w:asciiTheme="minorHAnsi" w:hAnsiTheme="minorHAnsi" w:cstheme="majorBidi"/>
                  <w:szCs w:val="22"/>
                </w:rPr>
                <w:t>RRB18-1/2(Add.2)(Add.1);</w:t>
              </w:r>
            </w:hyperlink>
            <w:r w:rsidRPr="00075A30">
              <w:rPr>
                <w:rStyle w:val="Hyperlink"/>
                <w:rFonts w:asciiTheme="minorHAnsi" w:hAnsiTheme="minorHAnsi" w:cstheme="majorBidi"/>
                <w:szCs w:val="22"/>
              </w:rPr>
              <w:br/>
            </w:r>
            <w:hyperlink r:id="rId16" w:history="1">
              <w:r w:rsidRPr="00075A30">
                <w:rPr>
                  <w:rStyle w:val="Hyperlink"/>
                  <w:rFonts w:asciiTheme="minorHAnsi" w:hAnsiTheme="minorHAnsi" w:cstheme="majorBidi"/>
                  <w:szCs w:val="22"/>
                </w:rPr>
                <w:t>RRB18-1/2(Add.3)</w:t>
              </w:r>
            </w:hyperlink>
            <w:r w:rsidRPr="00075A30">
              <w:rPr>
                <w:rStyle w:val="Hyperlink"/>
                <w:rFonts w:asciiTheme="minorHAnsi" w:hAnsiTheme="minorHAnsi" w:cstheme="majorBidi"/>
                <w:szCs w:val="22"/>
              </w:rPr>
              <w:t>;</w:t>
            </w:r>
            <w:r w:rsidRPr="00075A30">
              <w:rPr>
                <w:rStyle w:val="Hyperlink"/>
                <w:rFonts w:asciiTheme="minorHAnsi" w:hAnsiTheme="minorHAnsi" w:cstheme="majorBidi"/>
                <w:szCs w:val="22"/>
              </w:rPr>
              <w:br/>
            </w:r>
            <w:hyperlink r:id="rId17" w:history="1">
              <w:r w:rsidRPr="00075A30">
                <w:rPr>
                  <w:rStyle w:val="Hyperlink"/>
                  <w:rFonts w:asciiTheme="minorHAnsi" w:hAnsiTheme="minorHAnsi" w:cstheme="majorBidi"/>
                  <w:szCs w:val="22"/>
                </w:rPr>
                <w:t>RRB18-1/2(Add.4)</w:t>
              </w:r>
            </w:hyperlink>
            <w:r w:rsidRPr="00075A30">
              <w:rPr>
                <w:rStyle w:val="Hyperlink"/>
                <w:rFonts w:asciiTheme="minorHAnsi" w:hAnsiTheme="minorHAnsi" w:cstheme="majorBidi"/>
                <w:szCs w:val="22"/>
              </w:rPr>
              <w:t xml:space="preserve">; </w:t>
            </w:r>
            <w:hyperlink r:id="rId18" w:history="1">
              <w:r w:rsidRPr="00075A30">
                <w:rPr>
                  <w:rStyle w:val="Hyperlink"/>
                  <w:rFonts w:asciiTheme="minorHAnsi" w:hAnsiTheme="minorHAnsi" w:cstheme="majorBidi"/>
                  <w:szCs w:val="22"/>
                </w:rPr>
                <w:t>RRB18-1/2(Add.5)</w:t>
              </w:r>
            </w:hyperlink>
            <w:r w:rsidRPr="00075A30">
              <w:rPr>
                <w:rStyle w:val="Hyperlink"/>
                <w:rFonts w:asciiTheme="minorHAnsi" w:hAnsiTheme="minorHAnsi" w:cstheme="majorBidi"/>
                <w:szCs w:val="22"/>
              </w:rPr>
              <w:br/>
            </w:r>
            <w:hyperlink r:id="rId19" w:history="1">
              <w:r w:rsidRPr="00075A30">
                <w:rPr>
                  <w:rStyle w:val="Hyperlink"/>
                  <w:rFonts w:asciiTheme="minorHAnsi" w:hAnsiTheme="minorHAnsi" w:cstheme="majorBidi"/>
                  <w:szCs w:val="22"/>
                </w:rPr>
                <w:t>RRB18-1/2(Add.6); RRB18-1/2(Add.7)</w:t>
              </w:r>
            </w:hyperlink>
            <w:r w:rsidRPr="00075A30">
              <w:rPr>
                <w:rStyle w:val="Hyperlink"/>
                <w:rFonts w:asciiTheme="minorHAnsi" w:hAnsiTheme="minorHAnsi" w:cstheme="majorBidi"/>
                <w:szCs w:val="22"/>
              </w:rPr>
              <w:t xml:space="preserve">; </w:t>
            </w:r>
            <w:hyperlink r:id="rId20" w:history="1">
              <w:r w:rsidRPr="00075A30">
                <w:rPr>
                  <w:rStyle w:val="Hyperlink"/>
                  <w:rFonts w:asciiTheme="minorHAnsi" w:hAnsiTheme="minorHAnsi" w:cstheme="majorBidi"/>
                  <w:szCs w:val="22"/>
                </w:rPr>
                <w:t>RRB18-1/2(Add.8))</w:t>
              </w:r>
            </w:hyperlink>
          </w:p>
        </w:tc>
        <w:tc>
          <w:tcPr>
            <w:tcW w:w="6929" w:type="dxa"/>
            <w:tcBorders>
              <w:top w:val="nil"/>
              <w:bottom w:val="dashed" w:sz="4" w:space="0" w:color="8DB3E2" w:themeColor="text2" w:themeTint="66"/>
            </w:tcBorders>
          </w:tcPr>
          <w:p w:rsidR="004F235D" w:rsidRPr="00075A30" w:rsidRDefault="004F235D" w:rsidP="004F235D">
            <w:pPr>
              <w:pStyle w:val="ListParagraph"/>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cstheme="majorBidi"/>
                <w:lang w:val="fr-CH"/>
              </w:rPr>
            </w:pPr>
            <w:r w:rsidRPr="00075A30">
              <w:rPr>
                <w:rFonts w:cstheme="majorBidi"/>
                <w:lang w:val="fr-CH"/>
              </w:rPr>
              <w:t>Le Comité a examiné de manière détaillée le rapport du Directeur du Bureau des radiocommunications, tel qu</w:t>
            </w:r>
            <w:r w:rsidR="00D92F23" w:rsidRPr="00075A30">
              <w:rPr>
                <w:rFonts w:cstheme="majorBidi"/>
                <w:lang w:val="fr-CH"/>
              </w:rPr>
              <w:t>'</w:t>
            </w:r>
            <w:r w:rsidRPr="00075A30">
              <w:rPr>
                <w:rFonts w:cstheme="majorBidi"/>
                <w:lang w:val="fr-CH"/>
              </w:rPr>
              <w:t>il figure dans le Document RRB18-1/2, et a remercié le Directeur pour les renseignements exhaustifs et détaillés fournis dans le rapport et ses Addenda.</w:t>
            </w:r>
          </w:p>
        </w:tc>
        <w:tc>
          <w:tcPr>
            <w:tcW w:w="2411" w:type="dxa"/>
            <w:tcBorders>
              <w:top w:val="nil"/>
              <w:bottom w:val="dashed" w:sz="4" w:space="0" w:color="8DB3E2" w:themeColor="text2" w:themeTint="66"/>
            </w:tcBorders>
          </w:tcPr>
          <w:p w:rsidR="004F235D" w:rsidRPr="00075A30" w:rsidRDefault="004F235D" w:rsidP="005E7AA6">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p>
        </w:tc>
      </w:tr>
      <w:tr w:rsidR="004F235D" w:rsidRPr="00075A30" w:rsidTr="00701D98">
        <w:trPr>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single" w:sz="4" w:space="0" w:color="auto"/>
            </w:tcBorders>
            <w:shd w:val="clear" w:color="auto" w:fill="DBE5F1" w:themeFill="accent1" w:themeFillTint="33"/>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single" w:sz="4" w:space="0" w:color="auto"/>
            </w:tcBorders>
            <w:shd w:val="clear" w:color="auto" w:fill="DBE5F1" w:themeFill="accent1" w:themeFillTint="33"/>
          </w:tcPr>
          <w:p w:rsidR="004F235D" w:rsidRPr="00075A30" w:rsidRDefault="004F235D" w:rsidP="005E7AA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4F235D" w:rsidP="004F235D">
            <w:pPr>
              <w:tabs>
                <w:tab w:val="left" w:pos="417"/>
              </w:tabs>
              <w:spacing w:after="120"/>
              <w:ind w:left="417" w:hanging="417"/>
              <w:cnfStyle w:val="000000000000" w:firstRow="0" w:lastRow="0" w:firstColumn="0" w:lastColumn="0" w:oddVBand="0" w:evenVBand="0" w:oddHBand="0" w:evenHBand="0" w:firstRowFirstColumn="0" w:firstRowLastColumn="0" w:lastRowFirstColumn="0" w:lastRowLastColumn="0"/>
              <w:rPr>
                <w:rFonts w:asciiTheme="minorHAnsi" w:hAnsiTheme="minorHAnsi"/>
                <w:lang w:val="fr-CH"/>
              </w:rPr>
            </w:pPr>
            <w:r w:rsidRPr="00075A30">
              <w:rPr>
                <w:rFonts w:asciiTheme="minorHAnsi" w:hAnsiTheme="minorHAnsi" w:cstheme="majorBidi"/>
                <w:sz w:val="22"/>
                <w:szCs w:val="22"/>
                <w:lang w:val="fr-CH"/>
              </w:rPr>
              <w:t>a)</w:t>
            </w:r>
            <w:r w:rsidRPr="00075A30">
              <w:rPr>
                <w:rFonts w:asciiTheme="minorHAnsi" w:hAnsiTheme="minorHAnsi" w:cstheme="majorBidi"/>
                <w:sz w:val="22"/>
                <w:szCs w:val="22"/>
                <w:lang w:val="fr-CH"/>
              </w:rPr>
              <w:tab/>
              <w:t>En ce qui concerne le § 2 du Document RRB18-1/2, le Comité a pris note avec préoccupation de la persistance des retards pris dans le traitement de certains types de fiches de notification et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est félicité des mesures prises pour réduire le temps de traitement des fiches de notification, afin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elles soient conformes aux délais réglementaires. Le Comité a encouragé le Bureau à tout mettre en oeuvre pour améliorer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efficacité du traitement des fiches de notification et a décidé de charger le Directeur de présenter un rapport plus détaillé sur les raisons exactes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origine des retards pris dans des cas particuliers. En outre, le Comité a chargé le Bureau de procéder à des consultations avec les administrations au sujet des conséquences importantes du temps de traitement des fiches de notification de réseaux à satellite complexes et nombreuses et de les inviter à respecter les dispositions du numéro </w:t>
            </w:r>
            <w:r w:rsidRPr="00075A30">
              <w:rPr>
                <w:rFonts w:asciiTheme="minorHAnsi" w:hAnsiTheme="minorHAnsi" w:cstheme="majorBidi"/>
                <w:b/>
                <w:bCs/>
                <w:sz w:val="22"/>
                <w:szCs w:val="22"/>
                <w:lang w:val="fr-CH"/>
              </w:rPr>
              <w:t>4.1</w:t>
            </w:r>
            <w:r w:rsidRPr="00075A30">
              <w:rPr>
                <w:rFonts w:asciiTheme="minorHAnsi" w:hAnsiTheme="minorHAnsi" w:cstheme="majorBidi"/>
                <w:sz w:val="22"/>
                <w:szCs w:val="22"/>
                <w:lang w:val="fr-CH"/>
              </w:rPr>
              <w:t xml:space="preserve"> du RR lorsqu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elles notifient les besoins de fréquences pour leurs réseaux à satellite.</w:t>
            </w:r>
          </w:p>
        </w:tc>
        <w:tc>
          <w:tcPr>
            <w:tcW w:w="2411"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4F235D" w:rsidP="004F235D">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Directeur présentera un rapport détaillé sur les raisons à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origine des retards.</w:t>
            </w:r>
          </w:p>
          <w:p w:rsidR="004F235D" w:rsidRPr="00075A30" w:rsidRDefault="004F235D" w:rsidP="005E7AA6">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se mettra en rapport avec les administrations pour les informer des incidences du temps de traitement des fiches de notification de réseaux à satellite complexes.</w:t>
            </w:r>
          </w:p>
        </w:tc>
      </w:tr>
      <w:tr w:rsidR="004F235D" w:rsidRPr="00075A30" w:rsidTr="00701D98">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tcPr>
          <w:p w:rsidR="004F235D" w:rsidRPr="00075A30" w:rsidRDefault="004F235D" w:rsidP="00D92F23">
            <w:pPr>
              <w:tabs>
                <w:tab w:val="left" w:pos="417"/>
              </w:tabs>
              <w:spacing w:before="80" w:after="120"/>
              <w:ind w:left="420" w:hanging="4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b)</w:t>
            </w:r>
            <w:r w:rsidRPr="00075A30">
              <w:rPr>
                <w:rFonts w:asciiTheme="minorHAnsi" w:hAnsiTheme="minorHAnsi" w:cstheme="majorBidi"/>
                <w:sz w:val="22"/>
                <w:szCs w:val="22"/>
                <w:lang w:val="fr-CH"/>
              </w:rPr>
              <w:tab/>
              <w:t>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agissant de la question du recouvrement des coûts traitée dans les Documents RRB18</w:t>
            </w:r>
            <w:r w:rsidRPr="00075A30">
              <w:rPr>
                <w:rFonts w:asciiTheme="minorHAnsi" w:hAnsiTheme="minorHAnsi" w:cstheme="majorBidi"/>
                <w:sz w:val="22"/>
                <w:szCs w:val="22"/>
                <w:lang w:val="fr-CH"/>
              </w:rPr>
              <w:noBreakHyphen/>
              <w:t>1/2(Add.2) et RRB18</w:t>
            </w:r>
            <w:r w:rsidRPr="00075A30">
              <w:rPr>
                <w:rFonts w:asciiTheme="minorHAnsi" w:hAnsiTheme="minorHAnsi" w:cstheme="majorBidi"/>
                <w:sz w:val="22"/>
                <w:szCs w:val="22"/>
                <w:lang w:val="fr-CH"/>
              </w:rPr>
              <w:noBreakHyphen/>
              <w:t>1/2(Add.2)(Add.1), le Comité a reconnu les incidences que pourrait avoir le mécanisme de recouvrement des coûts sur la solution au problème du retard pris dans le traitement des fiches de notification de réseaux à satellite non OSG. En conséquence, le Comité a chargé le Bureau de porter à la connaissance du Conseil à sa session de 2018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il faut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urgence prendre une décision sur cette question. En outre, le Comité a pris note des trois procédures proposées par le Bureau et a estimé que la Procédure A préserverait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intégrité réglementaire de la fiche de notification. Les deux autres procédures ne traitent pas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aspects réglementaires au sujet desquels le Comité serait appelé à faire connaître son avis.</w:t>
            </w:r>
          </w:p>
        </w:tc>
        <w:tc>
          <w:tcPr>
            <w:tcW w:w="2411" w:type="dxa"/>
            <w:tcBorders>
              <w:top w:val="dashed" w:sz="4" w:space="0" w:color="8DB3E2" w:themeColor="text2" w:themeTint="66"/>
              <w:bottom w:val="dashed" w:sz="4" w:space="0" w:color="8DB3E2" w:themeColor="text2" w:themeTint="66"/>
            </w:tcBorders>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présentera un rapport à la prochaine réunion du Comité sur les progrès accomplis à cet égard.</w:t>
            </w:r>
          </w:p>
        </w:tc>
      </w:tr>
      <w:tr w:rsidR="004F235D" w:rsidRPr="00075A30" w:rsidTr="00701D98">
        <w:trPr>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shd w:val="clear" w:color="auto" w:fill="DBE5F1" w:themeFill="accent1" w:themeFillTint="33"/>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shd w:val="clear" w:color="auto" w:fill="DBE5F1" w:themeFill="accent1" w:themeFillTint="33"/>
          </w:tcPr>
          <w:p w:rsidR="004F235D" w:rsidRPr="00075A30" w:rsidRDefault="004F235D" w:rsidP="005E7AA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shd w:val="clear" w:color="auto" w:fill="DBE5F1" w:themeFill="accent1" w:themeFillTint="33"/>
          </w:tcPr>
          <w:p w:rsidR="006657B5" w:rsidRPr="00075A30" w:rsidRDefault="006657B5" w:rsidP="00D92F23">
            <w:pPr>
              <w:tabs>
                <w:tab w:val="left" w:pos="417"/>
              </w:tabs>
              <w:spacing w:before="80"/>
              <w:ind w:left="420" w:hanging="4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c)</w:t>
            </w:r>
            <w:r w:rsidRPr="00075A30">
              <w:rPr>
                <w:rFonts w:asciiTheme="minorHAnsi" w:hAnsiTheme="minorHAnsi" w:cstheme="majorBidi"/>
                <w:sz w:val="22"/>
                <w:szCs w:val="22"/>
                <w:lang w:val="fr-CH"/>
              </w:rPr>
              <w:tab/>
              <w:t>Lorsqu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il a examiné le §</w:t>
            </w:r>
            <w:r w:rsidR="00DB50F9" w:rsidRPr="00075A30">
              <w:rPr>
                <w:rFonts w:asciiTheme="minorHAnsi" w:hAnsiTheme="minorHAnsi" w:cstheme="majorBidi"/>
                <w:sz w:val="22"/>
                <w:szCs w:val="22"/>
                <w:lang w:val="fr-CH"/>
              </w:rPr>
              <w:t xml:space="preserve"> </w:t>
            </w:r>
            <w:r w:rsidRPr="00075A30">
              <w:rPr>
                <w:rFonts w:asciiTheme="minorHAnsi" w:hAnsiTheme="minorHAnsi" w:cstheme="majorBidi"/>
                <w:sz w:val="22"/>
                <w:szCs w:val="22"/>
                <w:lang w:val="fr-CH"/>
              </w:rPr>
              <w:t>4 du Document RRB18-1/2, le Comité a relevé que la situation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était améliorée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agissant des brouillages causés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Italie aux stations de radiodiffusion télévisuelle de la plupart des pays voisins, et a encouragé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italienne à poursuivre la coordination avec les administrations concernées, afin de résoudre les cas de brouillages persistants relatifs aux stations de radiodiffusion télévisuelle.</w:t>
            </w:r>
          </w:p>
          <w:p w:rsidR="004F235D" w:rsidRPr="00075A30" w:rsidRDefault="006657B5" w:rsidP="00D92F23">
            <w:pPr>
              <w:pStyle w:val="ListParagraph"/>
              <w:tabs>
                <w:tab w:val="left" w:pos="320"/>
              </w:tabs>
              <w:spacing w:before="80" w:after="120" w:line="240" w:lineRule="auto"/>
              <w:ind w:left="431" w:hanging="11"/>
              <w:cnfStyle w:val="000000000000" w:firstRow="0" w:lastRow="0" w:firstColumn="0" w:lastColumn="0" w:oddVBand="0" w:evenVBand="0" w:oddHBand="0" w:evenHBand="0" w:firstRowFirstColumn="0" w:firstRowLastColumn="0" w:lastRowFirstColumn="0" w:lastRowLastColumn="0"/>
              <w:rPr>
                <w:rFonts w:cstheme="majorBidi"/>
                <w:lang w:val="fr-CH" w:eastAsia="en-US"/>
              </w:rPr>
            </w:pPr>
            <w:r w:rsidRPr="00075A30">
              <w:rPr>
                <w:rFonts w:cstheme="majorBidi"/>
                <w:lang w:val="fr-CH" w:eastAsia="en-US"/>
              </w:rPr>
              <w:t>Le Comité a examiné de manière approfondie le Document RRB18</w:t>
            </w:r>
            <w:r w:rsidRPr="00075A30">
              <w:rPr>
                <w:rFonts w:cstheme="majorBidi"/>
                <w:lang w:val="fr-CH" w:eastAsia="en-US"/>
              </w:rPr>
              <w:noBreakHyphen/>
              <w:t>1/2(Add.8), qui est une feuille de route sur les mesures prises par l</w:t>
            </w:r>
            <w:r w:rsidR="00D92F23" w:rsidRPr="00075A30">
              <w:rPr>
                <w:rFonts w:cstheme="majorBidi"/>
                <w:lang w:val="fr-CH" w:eastAsia="en-US"/>
              </w:rPr>
              <w:t>'</w:t>
            </w:r>
            <w:r w:rsidRPr="00075A30">
              <w:rPr>
                <w:rFonts w:cstheme="majorBidi"/>
                <w:lang w:val="fr-CH" w:eastAsia="en-US"/>
              </w:rPr>
              <w:t>Administration italienne pour résoudre les cas de brouillages préjudiciables causés aux pays voisins, et a remercié cette Administration pour le caractère très détaillé de cette feuille de route. Le Comité a noté avec préoccupation que le document avait été présenté tardivement et a invité l</w:t>
            </w:r>
            <w:r w:rsidR="00D92F23" w:rsidRPr="00075A30">
              <w:rPr>
                <w:rFonts w:cstheme="majorBidi"/>
                <w:lang w:val="fr-CH" w:eastAsia="en-US"/>
              </w:rPr>
              <w:t>'</w:t>
            </w:r>
            <w:r w:rsidRPr="00075A30">
              <w:rPr>
                <w:rFonts w:cstheme="majorBidi"/>
                <w:lang w:val="fr-CH" w:eastAsia="en-US"/>
              </w:rPr>
              <w:t>Administration italienne à soumettre ses contributions à temps pour les réunions futures. De surcroît, le Comité a noté avec satisfaction que certains progrès avaient été accomplis en vue de résoudre un certain nombre de cas de brouillages préjudiciables relatifs à des stations de radiodiffusion sonore, mais qu</w:t>
            </w:r>
            <w:r w:rsidR="00D92F23" w:rsidRPr="00075A30">
              <w:rPr>
                <w:rFonts w:cstheme="majorBidi"/>
                <w:lang w:val="fr-CH" w:eastAsia="en-US"/>
              </w:rPr>
              <w:t>'</w:t>
            </w:r>
            <w:r w:rsidRPr="00075A30">
              <w:rPr>
                <w:rFonts w:cstheme="majorBidi"/>
                <w:lang w:val="fr-CH" w:eastAsia="en-US"/>
              </w:rPr>
              <w:t>en revanche, aucun progrès n</w:t>
            </w:r>
            <w:r w:rsidR="00D92F23" w:rsidRPr="00075A30">
              <w:rPr>
                <w:rFonts w:cstheme="majorBidi"/>
                <w:lang w:val="fr-CH" w:eastAsia="en-US"/>
              </w:rPr>
              <w:t>'</w:t>
            </w:r>
            <w:r w:rsidRPr="00075A30">
              <w:rPr>
                <w:rFonts w:cstheme="majorBidi"/>
                <w:lang w:val="fr-CH" w:eastAsia="en-US"/>
              </w:rPr>
              <w:t>avait été réalisé en ce qui concerne les stations de radiodiffusion sonore des Administrations de la Croatie et de la Slovénie. Le Comité a exhorté l</w:t>
            </w:r>
            <w:r w:rsidR="00D92F23" w:rsidRPr="00075A30">
              <w:rPr>
                <w:rFonts w:cstheme="majorBidi"/>
                <w:lang w:val="fr-CH" w:eastAsia="en-US"/>
              </w:rPr>
              <w:t>'</w:t>
            </w:r>
            <w:r w:rsidRPr="00075A30">
              <w:rPr>
                <w:rFonts w:cstheme="majorBidi"/>
                <w:lang w:val="fr-CH" w:eastAsia="en-US"/>
              </w:rPr>
              <w:t>Administration italienne à poursuivre ses efforts de coordination et à organiser, au besoin, des réunions multilatérales et bilatérales, en particulier avec les Administrations de la Croatie et de la Slovénie, auxquelles participeraient si possible les radiodiffuseurs de ces Administrations. Le Comité a décidé de charger le Bureau de continuer d</w:t>
            </w:r>
            <w:r w:rsidR="00D92F23" w:rsidRPr="00075A30">
              <w:rPr>
                <w:rFonts w:cstheme="majorBidi"/>
                <w:lang w:val="fr-CH" w:eastAsia="en-US"/>
              </w:rPr>
              <w:t>'</w:t>
            </w:r>
            <w:r w:rsidRPr="00075A30">
              <w:rPr>
                <w:rFonts w:cstheme="majorBidi"/>
                <w:lang w:val="fr-CH" w:eastAsia="en-US"/>
              </w:rPr>
              <w:t>apporter l</w:t>
            </w:r>
            <w:r w:rsidR="00D92F23" w:rsidRPr="00075A30">
              <w:rPr>
                <w:rFonts w:cstheme="majorBidi"/>
                <w:lang w:val="fr-CH" w:eastAsia="en-US"/>
              </w:rPr>
              <w:t>'</w:t>
            </w:r>
            <w:r w:rsidRPr="00075A30">
              <w:rPr>
                <w:rFonts w:cstheme="majorBidi"/>
                <w:lang w:val="fr-CH" w:eastAsia="en-US"/>
              </w:rPr>
              <w:t>appui nécessaire aux administrations dans le cadre de leurs efforts de coordination.</w:t>
            </w:r>
          </w:p>
        </w:tc>
        <w:tc>
          <w:tcPr>
            <w:tcW w:w="2411"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apportera un appui aux administrations dans le cadre de leurs efforts de coordination.</w:t>
            </w:r>
          </w:p>
        </w:tc>
      </w:tr>
      <w:tr w:rsidR="004F235D" w:rsidRPr="00075A30" w:rsidTr="006657B5">
        <w:trPr>
          <w:cnfStyle w:val="000000100000" w:firstRow="0" w:lastRow="0" w:firstColumn="0" w:lastColumn="0" w:oddVBand="0" w:evenVBand="0" w:oddHBand="1" w:evenHBand="0" w:firstRowFirstColumn="0" w:firstRowLastColumn="0" w:lastRowFirstColumn="0" w:lastRowLastColumn="0"/>
          <w:trHeight w:val="1973"/>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tcPr>
          <w:p w:rsidR="004F235D" w:rsidRPr="00075A30" w:rsidRDefault="006657B5" w:rsidP="00D92F23">
            <w:pPr>
              <w:tabs>
                <w:tab w:val="left" w:pos="417"/>
              </w:tabs>
              <w:spacing w:before="80"/>
              <w:ind w:left="420" w:hanging="4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d)</w:t>
            </w:r>
            <w:r w:rsidRPr="00075A30">
              <w:rPr>
                <w:rFonts w:asciiTheme="minorHAnsi" w:hAnsiTheme="minorHAnsi" w:cstheme="majorBidi"/>
                <w:sz w:val="22"/>
                <w:szCs w:val="22"/>
                <w:lang w:val="fr-CH"/>
              </w:rPr>
              <w:tab/>
              <w:t>Le Comité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est félicité des renseignements détaillés fournis au § 6 du Document RRB18-1/2 et dans le Document RRB18</w:t>
            </w:r>
            <w:r w:rsidRPr="00075A30">
              <w:rPr>
                <w:rFonts w:asciiTheme="minorHAnsi" w:hAnsiTheme="minorHAnsi" w:cstheme="majorBidi"/>
                <w:sz w:val="22"/>
                <w:szCs w:val="22"/>
                <w:lang w:val="fr-CH"/>
              </w:rPr>
              <w:noBreakHyphen/>
              <w:t xml:space="preserve">1/2(Add.4). Le Comité a chargé le Bureau de communiquer un projet de Règle de procédure relative au numéro </w:t>
            </w:r>
            <w:r w:rsidRPr="00075A30">
              <w:rPr>
                <w:rFonts w:asciiTheme="minorHAnsi" w:hAnsiTheme="minorHAnsi" w:cstheme="majorBidi"/>
                <w:b/>
                <w:bCs/>
                <w:sz w:val="22"/>
                <w:szCs w:val="22"/>
                <w:lang w:val="fr-CH"/>
              </w:rPr>
              <w:t>4.4</w:t>
            </w:r>
            <w:r w:rsidRPr="00075A30">
              <w:rPr>
                <w:rFonts w:asciiTheme="minorHAnsi" w:hAnsiTheme="minorHAnsi" w:cstheme="majorBidi"/>
                <w:sz w:val="22"/>
                <w:szCs w:val="22"/>
                <w:lang w:val="fr-CH"/>
              </w:rPr>
              <w:t xml:space="preserve"> du RR aux administrations pour observations, en vue de son approbation à la 78ème réunion, et de joindre au projet de Règle de procédure, pour information, un rappel des faits concernant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application du numéro </w:t>
            </w:r>
            <w:r w:rsidRPr="00075A30">
              <w:rPr>
                <w:rFonts w:asciiTheme="minorHAnsi" w:hAnsiTheme="minorHAnsi" w:cstheme="majorBidi"/>
                <w:b/>
                <w:bCs/>
                <w:sz w:val="22"/>
                <w:szCs w:val="22"/>
                <w:lang w:val="fr-CH"/>
              </w:rPr>
              <w:t>4.4</w:t>
            </w:r>
            <w:r w:rsidRPr="00075A30">
              <w:rPr>
                <w:rFonts w:asciiTheme="minorHAnsi" w:hAnsiTheme="minorHAnsi" w:cstheme="majorBidi"/>
                <w:sz w:val="22"/>
                <w:szCs w:val="22"/>
                <w:lang w:val="fr-CH"/>
              </w:rPr>
              <w:t xml:space="preserve"> du RR.</w:t>
            </w:r>
          </w:p>
        </w:tc>
        <w:tc>
          <w:tcPr>
            <w:tcW w:w="2411" w:type="dxa"/>
            <w:tcBorders>
              <w:top w:val="dashed" w:sz="4" w:space="0" w:color="8DB3E2" w:themeColor="text2" w:themeTint="66"/>
              <w:bottom w:val="dashed" w:sz="4" w:space="0" w:color="8DB3E2" w:themeColor="text2" w:themeTint="66"/>
            </w:tcBorders>
          </w:tcPr>
          <w:p w:rsidR="004F235D" w:rsidRPr="00075A30" w:rsidRDefault="006657B5" w:rsidP="00D92F23">
            <w:pPr>
              <w:pStyle w:val="Tabletext"/>
              <w:tabs>
                <w:tab w:val="left" w:pos="2195"/>
              </w:tabs>
              <w:spacing w:before="8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Bureau élaborera un projet de Règle de procédure relative au numéro </w:t>
            </w:r>
            <w:r w:rsidRPr="00075A30">
              <w:rPr>
                <w:rFonts w:asciiTheme="minorHAnsi" w:hAnsiTheme="minorHAnsi" w:cstheme="majorBidi"/>
                <w:b/>
                <w:bCs/>
                <w:szCs w:val="22"/>
                <w:lang w:val="fr-CH"/>
              </w:rPr>
              <w:t>4.4</w:t>
            </w:r>
            <w:r w:rsidRPr="00075A30">
              <w:rPr>
                <w:rFonts w:asciiTheme="minorHAnsi" w:hAnsiTheme="minorHAnsi" w:cstheme="majorBidi"/>
                <w:szCs w:val="22"/>
                <w:lang w:val="fr-CH"/>
              </w:rPr>
              <w:t xml:space="preserve"> du RR et le communiquera aux administrations, assorti d</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un rappel des faits concernant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application du numéro </w:t>
            </w:r>
            <w:r w:rsidRPr="00075A30">
              <w:rPr>
                <w:rFonts w:asciiTheme="minorHAnsi" w:hAnsiTheme="minorHAnsi" w:cstheme="majorBidi"/>
                <w:b/>
                <w:bCs/>
                <w:szCs w:val="22"/>
                <w:lang w:val="fr-CH"/>
              </w:rPr>
              <w:t>4.4</w:t>
            </w:r>
            <w:r w:rsidRPr="00075A30">
              <w:rPr>
                <w:rFonts w:asciiTheme="minorHAnsi" w:hAnsiTheme="minorHAnsi" w:cstheme="majorBidi"/>
                <w:szCs w:val="22"/>
                <w:lang w:val="fr-CH"/>
              </w:rPr>
              <w:t xml:space="preserve"> du RR.</w:t>
            </w:r>
          </w:p>
        </w:tc>
      </w:tr>
      <w:tr w:rsidR="004F235D" w:rsidRPr="00075A30" w:rsidTr="006657B5">
        <w:trPr>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6657B5" w:rsidP="00D92F23">
            <w:pPr>
              <w:tabs>
                <w:tab w:val="left" w:pos="417"/>
              </w:tabs>
              <w:spacing w:before="80"/>
              <w:ind w:left="420" w:hanging="4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e)</w:t>
            </w:r>
            <w:r w:rsidRPr="00075A30">
              <w:rPr>
                <w:rFonts w:asciiTheme="minorHAnsi" w:hAnsiTheme="minorHAnsi" w:cstheme="majorBidi"/>
                <w:sz w:val="22"/>
                <w:szCs w:val="22"/>
                <w:lang w:val="fr-CH"/>
              </w:rPr>
              <w:tab/>
              <w:t>Le Comité a pris note des mesures proposées par le Bureau au §</w:t>
            </w:r>
            <w:r w:rsidR="00DB50F9" w:rsidRPr="00075A30">
              <w:rPr>
                <w:rFonts w:asciiTheme="minorHAnsi" w:hAnsiTheme="minorHAnsi" w:cstheme="majorBidi"/>
                <w:sz w:val="22"/>
                <w:szCs w:val="22"/>
                <w:lang w:val="fr-CH"/>
              </w:rPr>
              <w:t xml:space="preserve"> </w:t>
            </w:r>
            <w:r w:rsidRPr="00075A30">
              <w:rPr>
                <w:rFonts w:asciiTheme="minorHAnsi" w:hAnsiTheme="minorHAnsi" w:cstheme="majorBidi"/>
                <w:sz w:val="22"/>
                <w:szCs w:val="22"/>
                <w:lang w:val="fr-CH"/>
              </w:rPr>
              <w:t>7 du Document RRB18-1/2 lors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application de la Résolution </w:t>
            </w:r>
            <w:r w:rsidRPr="00075A30">
              <w:rPr>
                <w:rFonts w:asciiTheme="minorHAnsi" w:hAnsiTheme="minorHAnsi" w:cstheme="majorBidi"/>
                <w:b/>
                <w:bCs/>
                <w:sz w:val="22"/>
                <w:szCs w:val="22"/>
                <w:lang w:val="fr-CH"/>
              </w:rPr>
              <w:t>85 (CMR-03)</w:t>
            </w:r>
            <w:r w:rsidRPr="00075A30">
              <w:rPr>
                <w:rFonts w:asciiTheme="minorHAnsi" w:hAnsiTheme="minorHAnsi" w:cstheme="majorBidi"/>
                <w:sz w:val="22"/>
                <w:szCs w:val="22"/>
                <w:lang w:val="fr-CH"/>
              </w:rPr>
              <w:t xml:space="preserve"> et a chargé le Bureau de rendre compte des progrès accomplis à la prochaine réunion.</w:t>
            </w:r>
          </w:p>
        </w:tc>
        <w:tc>
          <w:tcPr>
            <w:tcW w:w="2411"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présentera un rapport sur les progrès accomplis.</w:t>
            </w:r>
          </w:p>
        </w:tc>
      </w:tr>
      <w:tr w:rsidR="004F235D" w:rsidRPr="00075A30" w:rsidTr="006657B5">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tcPr>
          <w:p w:rsidR="004F235D" w:rsidRPr="00075A30" w:rsidRDefault="006657B5" w:rsidP="00D92F23">
            <w:pPr>
              <w:tabs>
                <w:tab w:val="left" w:pos="417"/>
              </w:tabs>
              <w:spacing w:before="80"/>
              <w:ind w:left="420" w:hanging="4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f)</w:t>
            </w:r>
            <w:r w:rsidRPr="00075A30">
              <w:rPr>
                <w:rFonts w:asciiTheme="minorHAnsi" w:hAnsiTheme="minorHAnsi" w:cstheme="majorBidi"/>
                <w:sz w:val="22"/>
                <w:szCs w:val="22"/>
                <w:lang w:val="fr-CH"/>
              </w:rPr>
              <w:tab/>
              <w:t>Le Comité a pris acte des mesures prises par le Bureau au § 8.1 ainsi que des questions soulevées au § 8.2 du Document RRB18-1/2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agissant de la prorogation du délai réglementaire applicable à la mise en service des assignations de fréquence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un réseau à satellite. Le Comité a souligné que les renseignements de notification au titre du numéro </w:t>
            </w:r>
            <w:r w:rsidRPr="00075A30">
              <w:rPr>
                <w:rFonts w:asciiTheme="minorHAnsi" w:hAnsiTheme="minorHAnsi" w:cstheme="majorBidi"/>
                <w:b/>
                <w:bCs/>
                <w:sz w:val="22"/>
                <w:szCs w:val="22"/>
                <w:lang w:val="fr-CH"/>
              </w:rPr>
              <w:t>11.15</w:t>
            </w:r>
            <w:r w:rsidRPr="00075A30">
              <w:rPr>
                <w:rFonts w:asciiTheme="minorHAnsi" w:hAnsiTheme="minorHAnsi" w:cstheme="majorBidi"/>
                <w:sz w:val="22"/>
                <w:szCs w:val="22"/>
                <w:lang w:val="fr-CH"/>
              </w:rPr>
              <w:t xml:space="preserve"> du RR et les renseignements relatifs au principe de diligence due au titre de la Résolution </w:t>
            </w:r>
            <w:r w:rsidRPr="00075A30">
              <w:rPr>
                <w:rFonts w:asciiTheme="minorHAnsi" w:hAnsiTheme="minorHAnsi" w:cstheme="majorBidi"/>
                <w:b/>
                <w:bCs/>
                <w:sz w:val="22"/>
                <w:szCs w:val="22"/>
                <w:lang w:val="fr-CH"/>
              </w:rPr>
              <w:t>49 (Rév.CMR-15)</w:t>
            </w:r>
            <w:r w:rsidRPr="00075A30">
              <w:rPr>
                <w:rFonts w:asciiTheme="minorHAnsi" w:hAnsiTheme="minorHAnsi" w:cstheme="majorBidi"/>
                <w:sz w:val="22"/>
                <w:szCs w:val="22"/>
                <w:lang w:val="fr-CH"/>
              </w:rPr>
              <w:t xml:space="preserve"> devaient être fournis conformément au Règlement des radiocommunications. Cependant, le Comité a considéré que, lorsqu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une prorogation du délai réglementaire applicable à la mise en service des assignations de fréquence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 réseau à satellite est accordée, une telle décision soulève la question de savoir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il convient de proroger </w:t>
            </w:r>
            <w:r w:rsidRPr="00075A30">
              <w:rPr>
                <w:rFonts w:asciiTheme="minorHAnsi" w:hAnsiTheme="minorHAnsi" w:cstheme="majorBidi"/>
                <w:sz w:val="22"/>
                <w:szCs w:val="22"/>
                <w:lang w:val="fr-CH"/>
              </w:rPr>
              <w:lastRenderedPageBreak/>
              <w:t>aussi le délai applicable à la soumission des renseignements au titre de la Résolution </w:t>
            </w:r>
            <w:r w:rsidRPr="00075A30">
              <w:rPr>
                <w:rFonts w:asciiTheme="minorHAnsi" w:hAnsiTheme="minorHAnsi" w:cstheme="majorBidi"/>
                <w:b/>
                <w:bCs/>
                <w:sz w:val="22"/>
                <w:szCs w:val="22"/>
                <w:lang w:val="fr-CH"/>
              </w:rPr>
              <w:t>49 (Rév.CMR-15)</w:t>
            </w:r>
            <w:r w:rsidRPr="00075A30">
              <w:rPr>
                <w:rFonts w:asciiTheme="minorHAnsi" w:hAnsiTheme="minorHAnsi" w:cstheme="majorBidi"/>
                <w:sz w:val="22"/>
                <w:szCs w:val="22"/>
                <w:lang w:val="fr-CH"/>
              </w:rPr>
              <w:t xml:space="preserve"> ainsi que des renseignements de notification. Le Comité a chargé le Bureau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établir un projet de Règle de procédure et de le communiquer aux administrations, pour approbation à la 78ème réunion.</w:t>
            </w:r>
          </w:p>
        </w:tc>
        <w:tc>
          <w:tcPr>
            <w:tcW w:w="2411" w:type="dxa"/>
            <w:tcBorders>
              <w:top w:val="dashed" w:sz="4" w:space="0" w:color="8DB3E2" w:themeColor="text2" w:themeTint="66"/>
              <w:bottom w:val="dashed" w:sz="4" w:space="0" w:color="8DB3E2" w:themeColor="text2" w:themeTint="66"/>
            </w:tcBorders>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lastRenderedPageBreak/>
              <w:t>Le Bureau élaborera un projet de Règle de procédure et le communiquera aux administrations.</w:t>
            </w:r>
          </w:p>
        </w:tc>
      </w:tr>
      <w:tr w:rsidR="004F235D" w:rsidRPr="00075A30" w:rsidTr="006657B5">
        <w:trPr>
          <w:trHeight w:val="348"/>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lang w:val="fr-CH"/>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c>
          <w:tcPr>
            <w:tcW w:w="6929"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6657B5" w:rsidP="00D92F23">
            <w:pPr>
              <w:tabs>
                <w:tab w:val="left" w:pos="417"/>
              </w:tabs>
              <w:spacing w:before="80"/>
              <w:ind w:left="420" w:hanging="4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g)</w:t>
            </w:r>
            <w:r w:rsidRPr="00075A30">
              <w:rPr>
                <w:rFonts w:asciiTheme="minorHAnsi" w:hAnsiTheme="minorHAnsi" w:cstheme="majorBidi"/>
                <w:sz w:val="22"/>
                <w:szCs w:val="22"/>
                <w:lang w:val="fr-CH"/>
              </w:rPr>
              <w:tab/>
              <w:t>Le Comité a examiné le § 9 du Document RRB18-1/2 et a encouragé le Bureau à appliquer les mesures proposées, qui consistent à envoyer des rappels aux administrations pour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elles fournissent les renseignements pertinents dans le cadre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application du numéro </w:t>
            </w:r>
            <w:r w:rsidRPr="00075A30">
              <w:rPr>
                <w:rFonts w:asciiTheme="minorHAnsi" w:hAnsiTheme="minorHAnsi" w:cstheme="majorBidi"/>
                <w:b/>
                <w:bCs/>
                <w:sz w:val="22"/>
                <w:szCs w:val="22"/>
                <w:lang w:val="fr-CH"/>
              </w:rPr>
              <w:t>11.46</w:t>
            </w:r>
            <w:r w:rsidRPr="00075A30">
              <w:rPr>
                <w:rFonts w:asciiTheme="minorHAnsi" w:hAnsiTheme="minorHAnsi" w:cstheme="majorBidi"/>
                <w:sz w:val="22"/>
                <w:szCs w:val="22"/>
                <w:lang w:val="fr-CH"/>
              </w:rPr>
              <w:t xml:space="preserve"> du RR.</w:t>
            </w:r>
          </w:p>
        </w:tc>
        <w:tc>
          <w:tcPr>
            <w:tcW w:w="2411" w:type="dxa"/>
            <w:tcBorders>
              <w:top w:val="dashed" w:sz="4" w:space="0" w:color="8DB3E2" w:themeColor="text2" w:themeTint="66"/>
              <w:bottom w:val="dashed" w:sz="4" w:space="0" w:color="8DB3E2" w:themeColor="text2" w:themeTint="66"/>
            </w:tcBorders>
            <w:shd w:val="clear" w:color="auto" w:fill="DBE5F1" w:themeFill="accent1" w:themeFillTint="33"/>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4F235D" w:rsidRPr="00075A30" w:rsidTr="006657B5">
        <w:trPr>
          <w:cnfStyle w:val="000000100000" w:firstRow="0" w:lastRow="0" w:firstColumn="0" w:lastColumn="0" w:oddVBand="0" w:evenVBand="0" w:oddHBand="1" w:evenHBand="0" w:firstRowFirstColumn="0" w:firstRowLastColumn="0" w:lastRowFirstColumn="0" w:lastRowLastColumn="0"/>
          <w:trHeight w:val="1266"/>
          <w:jc w:val="center"/>
        </w:trPr>
        <w:tc>
          <w:tcPr>
            <w:cnfStyle w:val="001000000000" w:firstRow="0" w:lastRow="0" w:firstColumn="1" w:lastColumn="0" w:oddVBand="0" w:evenVBand="0" w:oddHBand="0" w:evenHBand="0" w:firstRowFirstColumn="0" w:firstRowLastColumn="0" w:lastRowFirstColumn="0" w:lastRowLastColumn="0"/>
            <w:tcW w:w="849" w:type="dxa"/>
            <w:vMerge/>
            <w:tcBorders>
              <w:top w:val="single" w:sz="4" w:space="0" w:color="auto"/>
              <w:bottom w:val="nil"/>
            </w:tcBorders>
          </w:tcPr>
          <w:p w:rsidR="004F235D" w:rsidRPr="00075A30" w:rsidRDefault="004F235D" w:rsidP="005E7AA6">
            <w:pPr>
              <w:pStyle w:val="Tabletext"/>
              <w:spacing w:before="120" w:after="120" w:line="260" w:lineRule="auto"/>
              <w:jc w:val="center"/>
              <w:rPr>
                <w:rFonts w:asciiTheme="minorHAnsi" w:hAnsiTheme="minorHAnsi" w:cstheme="majorBidi"/>
                <w:szCs w:val="22"/>
              </w:rPr>
            </w:pPr>
          </w:p>
        </w:tc>
        <w:tc>
          <w:tcPr>
            <w:tcW w:w="3840" w:type="dxa"/>
            <w:gridSpan w:val="2"/>
            <w:vMerge/>
            <w:tcBorders>
              <w:top w:val="single" w:sz="4" w:space="0" w:color="auto"/>
              <w:bottom w:val="nil"/>
            </w:tcBorders>
          </w:tcPr>
          <w:p w:rsidR="004F235D" w:rsidRPr="00075A30" w:rsidRDefault="004F235D" w:rsidP="005E7AA6">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p>
        </w:tc>
        <w:tc>
          <w:tcPr>
            <w:tcW w:w="6929" w:type="dxa"/>
            <w:tcBorders>
              <w:top w:val="dashed" w:sz="4" w:space="0" w:color="8DB3E2" w:themeColor="text2" w:themeTint="66"/>
              <w:bottom w:val="dashed" w:sz="4" w:space="0" w:color="8DB3E2" w:themeColor="text2" w:themeTint="66"/>
            </w:tcBorders>
          </w:tcPr>
          <w:p w:rsidR="004F235D" w:rsidRPr="00075A30" w:rsidRDefault="006657B5" w:rsidP="00D92F23">
            <w:pPr>
              <w:tabs>
                <w:tab w:val="left" w:pos="417"/>
              </w:tabs>
              <w:spacing w:before="80"/>
              <w:ind w:left="420" w:hanging="4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lang w:val="fr-CH"/>
              </w:rPr>
            </w:pPr>
            <w:r w:rsidRPr="00075A30">
              <w:rPr>
                <w:rFonts w:asciiTheme="minorHAnsi" w:hAnsiTheme="minorHAnsi" w:cstheme="majorBidi"/>
                <w:sz w:val="22"/>
                <w:szCs w:val="22"/>
                <w:lang w:val="fr-CH"/>
              </w:rPr>
              <w:t>h)</w:t>
            </w:r>
            <w:r w:rsidRPr="00075A30">
              <w:rPr>
                <w:rFonts w:asciiTheme="minorHAnsi" w:hAnsiTheme="minorHAnsi" w:cstheme="majorBidi"/>
                <w:sz w:val="22"/>
                <w:szCs w:val="22"/>
                <w:lang w:val="fr-CH"/>
              </w:rPr>
              <w:tab/>
              <w:t>Après avoir examiné la modification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il est proposé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apporter au numéro </w:t>
            </w:r>
            <w:r w:rsidRPr="00075A30">
              <w:rPr>
                <w:rFonts w:asciiTheme="minorHAnsi" w:hAnsiTheme="minorHAnsi" w:cstheme="majorBidi"/>
                <w:b/>
                <w:bCs/>
                <w:sz w:val="22"/>
                <w:szCs w:val="22"/>
                <w:lang w:val="fr-CH"/>
              </w:rPr>
              <w:t>4.6</w:t>
            </w:r>
            <w:r w:rsidRPr="00075A30">
              <w:rPr>
                <w:rFonts w:asciiTheme="minorHAnsi" w:hAnsiTheme="minorHAnsi" w:cstheme="majorBidi"/>
                <w:sz w:val="22"/>
                <w:szCs w:val="22"/>
                <w:lang w:val="fr-CH"/>
              </w:rPr>
              <w:t xml:space="preserve"> du RR dans le Document RRB18-1/2(Add.1)(Rév.1), le Comité a conclu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une telle modification apportée au Règlement ne relevait pas de sa compétence. Le Comité a chargé le Directeur de faire figurer cette question dans son rapport à la CMR-19.</w:t>
            </w:r>
          </w:p>
        </w:tc>
        <w:tc>
          <w:tcPr>
            <w:tcW w:w="2411" w:type="dxa"/>
            <w:tcBorders>
              <w:top w:val="dashed" w:sz="4" w:space="0" w:color="8DB3E2" w:themeColor="text2" w:themeTint="66"/>
              <w:bottom w:val="dashed" w:sz="4" w:space="0" w:color="8DB3E2" w:themeColor="text2" w:themeTint="66"/>
            </w:tcBorders>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Directeur fera figurer la modification qu</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il est proposé d</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apporter au numéro </w:t>
            </w:r>
            <w:r w:rsidRPr="00075A30">
              <w:rPr>
                <w:rFonts w:asciiTheme="minorHAnsi" w:hAnsiTheme="minorHAnsi" w:cstheme="majorBidi"/>
                <w:b/>
                <w:bCs/>
                <w:szCs w:val="22"/>
                <w:lang w:val="fr-CH"/>
              </w:rPr>
              <w:t>4.6</w:t>
            </w:r>
            <w:r w:rsidRPr="00075A30">
              <w:rPr>
                <w:rFonts w:asciiTheme="minorHAnsi" w:hAnsiTheme="minorHAnsi" w:cstheme="majorBidi"/>
                <w:szCs w:val="22"/>
                <w:lang w:val="fr-CH"/>
              </w:rPr>
              <w:t xml:space="preserve"> du RR dans son rapport à la CMR</w:t>
            </w:r>
            <w:r w:rsidRPr="00075A30">
              <w:rPr>
                <w:rFonts w:asciiTheme="minorHAnsi" w:hAnsiTheme="minorHAnsi" w:cstheme="majorBidi"/>
                <w:szCs w:val="22"/>
                <w:lang w:val="fr-CH"/>
              </w:rPr>
              <w:noBreakHyphen/>
              <w:t>19.</w:t>
            </w:r>
          </w:p>
        </w:tc>
      </w:tr>
      <w:tr w:rsidR="004F235D" w:rsidRPr="00075A30" w:rsidTr="00DB50F9">
        <w:trPr>
          <w:trHeight w:val="348"/>
          <w:jc w:val="center"/>
        </w:trPr>
        <w:tc>
          <w:tcPr>
            <w:cnfStyle w:val="001000000000" w:firstRow="0" w:lastRow="0" w:firstColumn="1" w:lastColumn="0" w:oddVBand="0" w:evenVBand="0" w:oddHBand="0" w:evenHBand="0" w:firstRowFirstColumn="0" w:firstRowLastColumn="0" w:lastRowFirstColumn="0" w:lastRowLastColumn="0"/>
            <w:tcW w:w="4689" w:type="dxa"/>
            <w:gridSpan w:val="3"/>
            <w:tcBorders>
              <w:bottom w:val="nil"/>
            </w:tcBorders>
            <w:shd w:val="clear" w:color="auto" w:fill="DBE5F1" w:themeFill="accent1" w:themeFillTint="33"/>
          </w:tcPr>
          <w:p w:rsidR="004F235D" w:rsidRPr="00075A30" w:rsidRDefault="004F235D" w:rsidP="005E7AA6">
            <w:pPr>
              <w:pStyle w:val="Tabletext"/>
              <w:spacing w:before="120" w:after="120" w:line="260" w:lineRule="auto"/>
              <w:rPr>
                <w:rFonts w:asciiTheme="minorHAnsi" w:hAnsiTheme="minorHAnsi" w:cstheme="majorBidi"/>
                <w:szCs w:val="22"/>
                <w:lang w:val="fr-CH"/>
              </w:rPr>
            </w:pPr>
          </w:p>
        </w:tc>
        <w:tc>
          <w:tcPr>
            <w:tcW w:w="6929" w:type="dxa"/>
            <w:tcBorders>
              <w:top w:val="dashed" w:sz="4" w:space="0" w:color="8DB3E2" w:themeColor="text2" w:themeTint="66"/>
              <w:bottom w:val="nil"/>
            </w:tcBorders>
            <w:shd w:val="clear" w:color="auto" w:fill="DBE5F1" w:themeFill="accent1" w:themeFillTint="33"/>
          </w:tcPr>
          <w:p w:rsidR="004F235D" w:rsidRPr="00075A30" w:rsidRDefault="006657B5" w:rsidP="00D92F23">
            <w:pPr>
              <w:tabs>
                <w:tab w:val="left" w:pos="417"/>
              </w:tabs>
              <w:spacing w:before="80"/>
              <w:ind w:left="420" w:hanging="4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i)</w:t>
            </w:r>
            <w:r w:rsidRPr="00075A30">
              <w:rPr>
                <w:rFonts w:asciiTheme="minorHAnsi" w:hAnsiTheme="minorHAnsi" w:cstheme="majorBidi"/>
                <w:sz w:val="22"/>
                <w:szCs w:val="22"/>
                <w:lang w:val="fr-CH"/>
              </w:rPr>
              <w:tab/>
              <w:t>Pour ce qui est de la Résolution 119 (Rév. Antalya, 2006) (Document RRB18-1/2(Add.3)), le Comité a conclu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en vertu de cette Résolution, le Bureau n</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est pas tenu de présenter un rapport à la PP-18 sur les activités du Comité.</w:t>
            </w:r>
          </w:p>
        </w:tc>
        <w:tc>
          <w:tcPr>
            <w:tcW w:w="2411" w:type="dxa"/>
            <w:tcBorders>
              <w:top w:val="dashed" w:sz="4" w:space="0" w:color="8DB3E2" w:themeColor="text2" w:themeTint="66"/>
              <w:bottom w:val="nil"/>
            </w:tcBorders>
            <w:shd w:val="clear" w:color="auto" w:fill="DBE5F1" w:themeFill="accent1" w:themeFillTint="33"/>
          </w:tcPr>
          <w:p w:rsidR="004F235D" w:rsidRPr="00075A30" w:rsidRDefault="006657B5" w:rsidP="00D92F23">
            <w:pPr>
              <w:pStyle w:val="Tabletext"/>
              <w:tabs>
                <w:tab w:val="clear" w:pos="284"/>
                <w:tab w:val="clear" w:pos="567"/>
                <w:tab w:val="clear" w:pos="851"/>
                <w:tab w:val="clear" w:pos="1134"/>
                <w:tab w:val="clear" w:pos="1418"/>
                <w:tab w:val="clear" w:pos="1701"/>
                <w:tab w:val="clear" w:pos="2268"/>
                <w:tab w:val="left" w:pos="2195"/>
              </w:tabs>
              <w:spacing w:before="80" w:after="0"/>
              <w:ind w:left="420" w:hanging="4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DB50F9" w:rsidRPr="00075A30" w:rsidTr="00701D98">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689" w:type="dxa"/>
            <w:gridSpan w:val="3"/>
            <w:tcBorders>
              <w:top w:val="nil"/>
              <w:bottom w:val="nil"/>
            </w:tcBorders>
          </w:tcPr>
          <w:p w:rsidR="00DB50F9" w:rsidRPr="00075A30" w:rsidRDefault="00DB50F9" w:rsidP="005E7AA6">
            <w:pPr>
              <w:pStyle w:val="Tabletext"/>
              <w:spacing w:before="120" w:after="120" w:line="260" w:lineRule="auto"/>
              <w:rPr>
                <w:rFonts w:asciiTheme="minorHAnsi" w:hAnsiTheme="minorHAnsi" w:cstheme="majorBidi"/>
                <w:szCs w:val="22"/>
                <w:lang w:val="fr-CH"/>
              </w:rPr>
            </w:pPr>
          </w:p>
        </w:tc>
        <w:tc>
          <w:tcPr>
            <w:tcW w:w="6929" w:type="dxa"/>
            <w:tcBorders>
              <w:top w:val="nil"/>
              <w:bottom w:val="nil"/>
            </w:tcBorders>
          </w:tcPr>
          <w:p w:rsidR="00DB50F9" w:rsidRPr="00075A30" w:rsidRDefault="00DB50F9" w:rsidP="00D92F23">
            <w:pPr>
              <w:tabs>
                <w:tab w:val="left" w:pos="417"/>
              </w:tabs>
              <w:spacing w:before="80"/>
              <w:ind w:left="420" w:hanging="4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j)</w:t>
            </w:r>
            <w:r w:rsidRPr="00075A30">
              <w:rPr>
                <w:rFonts w:asciiTheme="minorHAnsi" w:hAnsiTheme="minorHAnsi" w:cstheme="majorBidi"/>
                <w:sz w:val="22"/>
                <w:szCs w:val="22"/>
                <w:lang w:val="fr-CH"/>
              </w:rPr>
              <w:tab/>
            </w:r>
            <w:r w:rsidR="00D92F23" w:rsidRPr="00075A30">
              <w:rPr>
                <w:rFonts w:asciiTheme="minorHAnsi" w:hAnsiTheme="minorHAnsi" w:cstheme="majorBidi"/>
                <w:sz w:val="22"/>
                <w:szCs w:val="22"/>
                <w:lang w:val="fr-CH"/>
              </w:rPr>
              <w:t xml:space="preserve">Le Comité a pris note avec satisfaction des renseignements détaillés fournis dans le Document RRB18-1/2(Add.5), estimant qu'ils aideront les membres du Comité ainsi que les administrations lors de leurs travaux en vue de la CMR-19. Pour ce qui est des améliorations qu'il est proposé d'apporter à la Résolution </w:t>
            </w:r>
            <w:r w:rsidR="00D92F23" w:rsidRPr="00075A30">
              <w:rPr>
                <w:rFonts w:asciiTheme="minorHAnsi" w:hAnsiTheme="minorHAnsi" w:cstheme="majorBidi"/>
                <w:b/>
                <w:bCs/>
                <w:sz w:val="22"/>
                <w:szCs w:val="22"/>
                <w:lang w:val="fr-CH"/>
              </w:rPr>
              <w:t>49 (Rév.CMR-15)</w:t>
            </w:r>
            <w:r w:rsidR="00D92F23" w:rsidRPr="00075A30">
              <w:rPr>
                <w:rFonts w:asciiTheme="minorHAnsi" w:hAnsiTheme="minorHAnsi" w:cstheme="majorBidi"/>
                <w:sz w:val="22"/>
                <w:szCs w:val="22"/>
                <w:lang w:val="fr-CH"/>
              </w:rPr>
              <w:t xml:space="preserve">, le Comité a chargé le Bureau de veiller à ce qu'il soit tenu compte de la Règle de procédure correspondante relative à la Résolution </w:t>
            </w:r>
            <w:r w:rsidR="00D92F23" w:rsidRPr="00075A30">
              <w:rPr>
                <w:rFonts w:asciiTheme="minorHAnsi" w:hAnsiTheme="minorHAnsi" w:cstheme="majorBidi"/>
                <w:b/>
                <w:bCs/>
                <w:sz w:val="22"/>
                <w:szCs w:val="22"/>
                <w:lang w:val="fr-CH"/>
              </w:rPr>
              <w:t>49 (Rév.CMR-15)</w:t>
            </w:r>
            <w:r w:rsidR="00D92F23" w:rsidRPr="00075A30">
              <w:rPr>
                <w:rFonts w:asciiTheme="minorHAnsi" w:hAnsiTheme="minorHAnsi" w:cstheme="majorBidi"/>
                <w:sz w:val="22"/>
                <w:szCs w:val="22"/>
                <w:lang w:val="fr-CH"/>
              </w:rPr>
              <w:t xml:space="preserve"> dans le projet de révision de ce document qui sera soumis à la CMR</w:t>
            </w:r>
            <w:r w:rsidR="00D92F23" w:rsidRPr="00075A30">
              <w:rPr>
                <w:rFonts w:asciiTheme="minorHAnsi" w:hAnsiTheme="minorHAnsi" w:cstheme="majorBidi"/>
                <w:sz w:val="22"/>
                <w:szCs w:val="22"/>
                <w:lang w:val="fr-CH"/>
              </w:rPr>
              <w:noBreakHyphen/>
              <w:t>19.</w:t>
            </w:r>
          </w:p>
        </w:tc>
        <w:tc>
          <w:tcPr>
            <w:tcW w:w="2411" w:type="dxa"/>
            <w:tcBorders>
              <w:top w:val="nil"/>
              <w:bottom w:val="nil"/>
            </w:tcBorders>
          </w:tcPr>
          <w:p w:rsidR="00DB50F9" w:rsidRPr="00075A30" w:rsidRDefault="00D92F23" w:rsidP="005E7AA6">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701D98">
        <w:trPr>
          <w:trHeight w:val="461"/>
          <w:jc w:val="center"/>
        </w:trPr>
        <w:tc>
          <w:tcPr>
            <w:cnfStyle w:val="001000000000" w:firstRow="0" w:lastRow="0" w:firstColumn="1" w:lastColumn="0" w:oddVBand="0" w:evenVBand="0" w:oddHBand="0" w:evenHBand="0" w:firstRowFirstColumn="0" w:firstRowLastColumn="0" w:lastRowFirstColumn="0" w:lastRowLastColumn="0"/>
            <w:tcW w:w="846" w:type="dxa"/>
            <w:tcBorders>
              <w:top w:val="nil"/>
              <w:bottom w:val="nil"/>
            </w:tcBorders>
          </w:tcPr>
          <w:p w:rsidR="006859FC" w:rsidRPr="00075A30" w:rsidRDefault="006859FC" w:rsidP="000339D6">
            <w:pPr>
              <w:pStyle w:val="Tabletext"/>
              <w:keepNext/>
              <w:keepLines/>
              <w:spacing w:before="120" w:after="120"/>
              <w:jc w:val="center"/>
              <w:rPr>
                <w:rFonts w:asciiTheme="minorHAnsi" w:hAnsiTheme="minorHAnsi" w:cstheme="majorBidi"/>
                <w:szCs w:val="22"/>
              </w:rPr>
            </w:pPr>
            <w:r w:rsidRPr="00075A30">
              <w:rPr>
                <w:rFonts w:asciiTheme="minorHAnsi" w:hAnsiTheme="minorHAnsi" w:cstheme="majorBidi"/>
                <w:szCs w:val="22"/>
              </w:rPr>
              <w:t>4</w:t>
            </w:r>
          </w:p>
        </w:tc>
        <w:tc>
          <w:tcPr>
            <w:tcW w:w="3824" w:type="dxa"/>
            <w:tcBorders>
              <w:top w:val="nil"/>
              <w:bottom w:val="nil"/>
            </w:tcBorders>
          </w:tcPr>
          <w:p w:rsidR="006859FC" w:rsidRPr="00075A30" w:rsidRDefault="006859FC" w:rsidP="000339D6">
            <w:pPr>
              <w:pStyle w:val="Tabletext"/>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bCs/>
                <w:szCs w:val="22"/>
              </w:rPr>
              <w:t>Règles de procédure</w:t>
            </w:r>
          </w:p>
        </w:tc>
        <w:tc>
          <w:tcPr>
            <w:tcW w:w="6946" w:type="dxa"/>
            <w:gridSpan w:val="2"/>
            <w:tcBorders>
              <w:top w:val="nil"/>
              <w:bottom w:val="nil"/>
            </w:tcBorders>
          </w:tcPr>
          <w:p w:rsidR="006859FC" w:rsidRPr="00075A30" w:rsidRDefault="006859FC" w:rsidP="000339D6">
            <w:pPr>
              <w:keepNext/>
              <w:keepLines/>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075A30">
              <w:rPr>
                <w:rFonts w:asciiTheme="minorHAnsi" w:hAnsiTheme="minorHAnsi" w:cstheme="majorBidi"/>
                <w:sz w:val="22"/>
                <w:szCs w:val="22"/>
              </w:rPr>
              <w:t>–</w:t>
            </w:r>
          </w:p>
        </w:tc>
        <w:tc>
          <w:tcPr>
            <w:tcW w:w="2413" w:type="dxa"/>
            <w:tcBorders>
              <w:top w:val="nil"/>
              <w:bottom w:val="nil"/>
            </w:tcBorders>
          </w:tcPr>
          <w:p w:rsidR="006859FC" w:rsidRPr="00075A30" w:rsidRDefault="006859FC" w:rsidP="000339D6">
            <w:pPr>
              <w:pStyle w:val="Tabletext"/>
              <w:keepNext/>
              <w:keepLines/>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1590"/>
          <w:jc w:val="center"/>
        </w:trPr>
        <w:tc>
          <w:tcPr>
            <w:cnfStyle w:val="001000000000" w:firstRow="0" w:lastRow="0" w:firstColumn="1" w:lastColumn="0" w:oddVBand="0" w:evenVBand="0" w:oddHBand="0" w:evenHBand="0" w:firstRowFirstColumn="0" w:firstRowLastColumn="0" w:lastRowFirstColumn="0" w:lastRowLastColumn="0"/>
            <w:tcW w:w="846" w:type="dxa"/>
            <w:tcBorders>
              <w:top w:val="nil"/>
              <w:bottom w:val="nil"/>
            </w:tcBorders>
          </w:tcPr>
          <w:p w:rsidR="006859FC" w:rsidRPr="00075A30" w:rsidRDefault="006859FC" w:rsidP="000339D6">
            <w:pPr>
              <w:pStyle w:val="Tabletext"/>
              <w:keepNext/>
              <w:keepLines/>
              <w:spacing w:before="120" w:after="120"/>
              <w:jc w:val="center"/>
              <w:rPr>
                <w:rFonts w:asciiTheme="minorHAnsi" w:hAnsiTheme="minorHAnsi" w:cstheme="majorBidi"/>
                <w:szCs w:val="22"/>
              </w:rPr>
            </w:pPr>
            <w:r w:rsidRPr="00075A30">
              <w:rPr>
                <w:rFonts w:asciiTheme="minorHAnsi" w:hAnsiTheme="minorHAnsi" w:cstheme="majorBidi"/>
                <w:szCs w:val="22"/>
              </w:rPr>
              <w:t>4.1</w:t>
            </w:r>
          </w:p>
        </w:tc>
        <w:tc>
          <w:tcPr>
            <w:tcW w:w="3824" w:type="dxa"/>
            <w:tcBorders>
              <w:top w:val="nil"/>
              <w:bottom w:val="nil"/>
            </w:tcBorders>
          </w:tcPr>
          <w:p w:rsidR="006859FC" w:rsidRPr="00075A30" w:rsidRDefault="006859FC" w:rsidP="000339D6">
            <w:pPr>
              <w:pStyle w:val="Tabletext"/>
              <w:keepNext/>
              <w:keepLines/>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bCs/>
                <w:szCs w:val="22"/>
                <w:lang w:val="fr-CH"/>
              </w:rPr>
              <w:t xml:space="preserve">Liste des Règles de </w:t>
            </w:r>
            <w:proofErr w:type="gramStart"/>
            <w:r w:rsidRPr="00075A30">
              <w:rPr>
                <w:rFonts w:asciiTheme="minorHAnsi" w:hAnsiTheme="minorHAnsi" w:cstheme="majorBidi"/>
                <w:bCs/>
                <w:szCs w:val="22"/>
                <w:lang w:val="fr-CH"/>
              </w:rPr>
              <w:t>procédure</w:t>
            </w:r>
            <w:proofErr w:type="gramEnd"/>
            <w:r w:rsidRPr="00075A30">
              <w:rPr>
                <w:rFonts w:asciiTheme="minorHAnsi" w:hAnsiTheme="minorHAnsi" w:cstheme="majorBidi"/>
                <w:szCs w:val="22"/>
                <w:lang w:val="fr-CH"/>
              </w:rPr>
              <w:br/>
            </w:r>
            <w:hyperlink r:id="rId21" w:history="1">
              <w:r w:rsidRPr="00075A30">
                <w:rPr>
                  <w:rStyle w:val="Hyperlink"/>
                  <w:rFonts w:asciiTheme="minorHAnsi" w:hAnsiTheme="minorHAnsi" w:cstheme="majorBidi"/>
                  <w:color w:val="auto"/>
                  <w:szCs w:val="22"/>
                  <w:u w:val="none"/>
                  <w:lang w:val="fr-CH" w:eastAsia="zh-CN"/>
                </w:rPr>
                <w:t>(</w:t>
              </w:r>
              <w:r w:rsidRPr="00075A30">
                <w:rPr>
                  <w:rStyle w:val="Hyperlink"/>
                  <w:rFonts w:asciiTheme="minorHAnsi" w:hAnsiTheme="minorHAnsi" w:cstheme="majorBidi"/>
                  <w:szCs w:val="22"/>
                  <w:lang w:val="fr-CH" w:eastAsia="zh-CN"/>
                </w:rPr>
                <w:t xml:space="preserve">RRB18-1/1; </w:t>
              </w:r>
            </w:hyperlink>
            <w:hyperlink r:id="rId22" w:history="1">
              <w:r w:rsidRPr="00075A30">
                <w:rPr>
                  <w:rStyle w:val="Hyperlink"/>
                  <w:rFonts w:asciiTheme="minorHAnsi" w:hAnsiTheme="minorHAnsi" w:cstheme="majorBidi"/>
                  <w:szCs w:val="22"/>
                  <w:lang w:val="fr-CH" w:eastAsia="zh-CN"/>
                </w:rPr>
                <w:t>RRB16-2/3(Rev.7)</w:t>
              </w:r>
              <w:r w:rsidRPr="00075A30">
                <w:rPr>
                  <w:rStyle w:val="Hyperlink"/>
                  <w:rFonts w:asciiTheme="minorHAnsi" w:hAnsiTheme="minorHAnsi" w:cstheme="majorBidi"/>
                  <w:color w:val="auto"/>
                  <w:szCs w:val="22"/>
                  <w:u w:val="none"/>
                  <w:lang w:val="fr-CH" w:eastAsia="zh-CN"/>
                </w:rPr>
                <w:t>)</w:t>
              </w:r>
            </w:hyperlink>
          </w:p>
        </w:tc>
        <w:tc>
          <w:tcPr>
            <w:tcW w:w="6946" w:type="dxa"/>
            <w:gridSpan w:val="2"/>
            <w:tcBorders>
              <w:top w:val="nil"/>
              <w:bottom w:val="nil"/>
            </w:tcBorders>
          </w:tcPr>
          <w:p w:rsidR="006859FC" w:rsidRPr="00075A30" w:rsidRDefault="006859FC" w:rsidP="000339D6">
            <w:pPr>
              <w:keepNext/>
              <w:keepLines/>
              <w:tabs>
                <w:tab w:val="clear" w:pos="794"/>
                <w:tab w:val="clear" w:pos="1191"/>
                <w:tab w:val="clear" w:pos="1588"/>
                <w:tab w:val="clear" w:pos="1985"/>
                <w:tab w:val="left" w:pos="662"/>
                <w:tab w:val="left" w:pos="1830"/>
              </w:tabs>
              <w:spacing w:before="4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Sur la base des renseignements fournis par le Bureau, le Comité a décidé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actualiser la liste des Règles de procédure proposées figurant dans le Document RRB18-1/1 (RRB16-2/3(Rév.7)).</w:t>
            </w:r>
          </w:p>
        </w:tc>
        <w:tc>
          <w:tcPr>
            <w:tcW w:w="2413" w:type="dxa"/>
            <w:tcBorders>
              <w:top w:val="nil"/>
              <w:bottom w:val="nil"/>
            </w:tcBorders>
          </w:tcPr>
          <w:p w:rsidR="006859FC" w:rsidRPr="00075A30" w:rsidRDefault="006859FC" w:rsidP="000339D6">
            <w:pPr>
              <w:pStyle w:val="Tabletext"/>
              <w:keepNext/>
              <w:keepLines/>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Secrétaire exécutif publiera sur le site web la liste actualisée des Règles de procédure proposées.</w:t>
            </w:r>
          </w:p>
          <w:p w:rsidR="006859FC" w:rsidRPr="00075A30" w:rsidRDefault="006859FC" w:rsidP="000339D6">
            <w:pPr>
              <w:pStyle w:val="Tabletext"/>
              <w:keepNext/>
              <w:keepLines/>
              <w:tabs>
                <w:tab w:val="left" w:pos="2195"/>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Bureau établira les projets de Règles de procédures pertinents et les communiquera aux administrations </w:t>
            </w:r>
          </w:p>
        </w:tc>
      </w:tr>
      <w:tr w:rsidR="006859FC" w:rsidRPr="00075A30" w:rsidTr="000E0869">
        <w:trPr>
          <w:trHeight w:val="1206"/>
          <w:jc w:val="center"/>
        </w:trPr>
        <w:tc>
          <w:tcPr>
            <w:cnfStyle w:val="001000000000" w:firstRow="0" w:lastRow="0" w:firstColumn="1" w:lastColumn="0" w:oddVBand="0" w:evenVBand="0" w:oddHBand="0" w:evenHBand="0" w:firstRowFirstColumn="0" w:firstRowLastColumn="0" w:lastRowFirstColumn="0" w:lastRowLastColumn="0"/>
            <w:tcW w:w="846" w:type="dxa"/>
            <w:tcBorders>
              <w:top w:val="nil"/>
            </w:tcBorders>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5</w:t>
            </w:r>
          </w:p>
        </w:tc>
        <w:tc>
          <w:tcPr>
            <w:tcW w:w="3824" w:type="dxa"/>
            <w:tcBorders>
              <w:top w:val="nil"/>
            </w:tcBorders>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Demandes relatives à des prorogations du délai réglementaire et de la mise en service des assignations de fréquence à des réseaux à satellite</w:t>
            </w:r>
          </w:p>
        </w:tc>
        <w:tc>
          <w:tcPr>
            <w:tcW w:w="6946" w:type="dxa"/>
            <w:gridSpan w:val="2"/>
            <w:tcBorders>
              <w:top w:val="nil"/>
              <w:bottom w:val="nil"/>
            </w:tcBorders>
          </w:tcPr>
          <w:p w:rsidR="006859FC" w:rsidRPr="00075A30" w:rsidRDefault="006859FC" w:rsidP="006859FC">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075A30">
              <w:rPr>
                <w:rFonts w:asciiTheme="minorHAnsi" w:hAnsiTheme="minorHAnsi" w:cstheme="majorBidi"/>
                <w:sz w:val="22"/>
                <w:szCs w:val="22"/>
              </w:rPr>
              <w:t>–</w:t>
            </w:r>
          </w:p>
        </w:tc>
        <w:tc>
          <w:tcPr>
            <w:tcW w:w="2413" w:type="dxa"/>
            <w:tcBorders>
              <w:top w:val="nil"/>
              <w:bottom w:val="nil"/>
            </w:tcBorders>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1143"/>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bCs w:val="0"/>
                <w:szCs w:val="22"/>
              </w:rPr>
            </w:pPr>
            <w:r w:rsidRPr="00075A30">
              <w:rPr>
                <w:rFonts w:asciiTheme="minorHAnsi" w:hAnsiTheme="minorHAnsi" w:cstheme="majorBidi"/>
                <w:szCs w:val="22"/>
              </w:rPr>
              <w:t>5.1</w:t>
            </w:r>
          </w:p>
        </w:tc>
        <w:tc>
          <w:tcPr>
            <w:tcW w:w="3824" w:type="dxa"/>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Communication soumise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du Royaume-Uni de Grande-Bretagne et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Irlande du Nord concernant une demande de traitement de la notification et de la mise en service des assignations de fréquence du réseau à satellite AM</w:t>
            </w:r>
            <w:r w:rsidRPr="00075A30">
              <w:rPr>
                <w:rFonts w:asciiTheme="minorHAnsi" w:hAnsiTheme="minorHAnsi" w:cstheme="majorBidi"/>
                <w:sz w:val="22"/>
                <w:szCs w:val="22"/>
                <w:lang w:val="fr-CH"/>
              </w:rPr>
              <w:noBreakHyphen/>
              <w:t>SAT AF3 BSS MOD-</w:t>
            </w:r>
            <w:proofErr w:type="gramStart"/>
            <w:r w:rsidRPr="00075A30">
              <w:rPr>
                <w:rFonts w:asciiTheme="minorHAnsi" w:hAnsiTheme="minorHAnsi" w:cstheme="majorBidi"/>
                <w:sz w:val="22"/>
                <w:szCs w:val="22"/>
                <w:lang w:val="fr-CH"/>
              </w:rPr>
              <w:t>A</w:t>
            </w:r>
            <w:proofErr w:type="gramEnd"/>
            <w:r w:rsidRPr="00075A30">
              <w:rPr>
                <w:rFonts w:asciiTheme="minorHAnsi" w:hAnsiTheme="minorHAnsi" w:cstheme="majorBidi"/>
                <w:sz w:val="22"/>
                <w:szCs w:val="22"/>
                <w:lang w:val="fr-CH"/>
              </w:rPr>
              <w:br/>
            </w:r>
            <w:hyperlink r:id="rId23" w:history="1">
              <w:r w:rsidRPr="00075A30">
                <w:rPr>
                  <w:rFonts w:asciiTheme="minorHAnsi" w:eastAsia="Times New Roman" w:hAnsiTheme="minorHAnsi" w:cstheme="majorBidi"/>
                  <w:sz w:val="22"/>
                  <w:szCs w:val="22"/>
                  <w:lang w:val="fr-CH"/>
                </w:rPr>
                <w:t>(</w:t>
              </w:r>
              <w:r w:rsidRPr="00075A30">
                <w:rPr>
                  <w:rFonts w:asciiTheme="minorHAnsi" w:eastAsia="Times New Roman" w:hAnsiTheme="minorHAnsi" w:cstheme="majorBidi"/>
                  <w:color w:val="0000FF"/>
                  <w:sz w:val="22"/>
                  <w:szCs w:val="22"/>
                  <w:u w:val="single"/>
                  <w:lang w:val="fr-CH"/>
                </w:rPr>
                <w:t>RRB18-1/4</w:t>
              </w:r>
              <w:r w:rsidRPr="00075A30">
                <w:rPr>
                  <w:rFonts w:asciiTheme="minorHAnsi" w:eastAsia="Times New Roman" w:hAnsiTheme="minorHAnsi" w:cstheme="majorBidi"/>
                  <w:sz w:val="22"/>
                  <w:szCs w:val="22"/>
                  <w:lang w:val="fr-CH"/>
                </w:rPr>
                <w:t>)</w:t>
              </w:r>
            </w:hyperlink>
          </w:p>
        </w:tc>
        <w:tc>
          <w:tcPr>
            <w:tcW w:w="6946" w:type="dxa"/>
            <w:gridSpan w:val="2"/>
            <w:tcBorders>
              <w:top w:val="nil"/>
            </w:tcBorders>
          </w:tcPr>
          <w:p w:rsidR="006859FC" w:rsidRPr="00075A30" w:rsidRDefault="006859FC" w:rsidP="00D92F23">
            <w:pPr>
              <w:tabs>
                <w:tab w:val="clear" w:pos="794"/>
                <w:tab w:val="clear" w:pos="1191"/>
                <w:tab w:val="clear" w:pos="1588"/>
                <w:tab w:val="clear" w:pos="1985"/>
                <w:tab w:val="left" w:pos="662"/>
                <w:tab w:val="left" w:pos="1830"/>
              </w:tabs>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075A30">
              <w:rPr>
                <w:rFonts w:asciiTheme="minorHAnsi" w:hAnsiTheme="minorHAnsi" w:cstheme="majorBidi"/>
                <w:sz w:val="22"/>
                <w:szCs w:val="22"/>
                <w:lang w:val="fr-CH"/>
              </w:rPr>
              <w:t>Le Comité a minutieusement examiné les renseignements fournis et la demande formulée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du Royaume-Uni de Grande-Bretagne et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Irlande du Nord dans le Document RRB18-1/4 concernant le traitement de la notification et de la mise en service des assignations de fréquence du réseau à satellite AM</w:t>
            </w:r>
            <w:r w:rsidRPr="00075A30">
              <w:rPr>
                <w:rFonts w:asciiTheme="minorHAnsi" w:hAnsiTheme="minorHAnsi" w:cstheme="majorBidi"/>
                <w:sz w:val="22"/>
                <w:szCs w:val="22"/>
                <w:lang w:val="fr-CH"/>
              </w:rPr>
              <w:noBreakHyphen/>
              <w:t xml:space="preserve">SAT AF3 BSS MOD-A et a noté que le Bureau avait agi de façon strictement conforme aux dispositions du Règlement des radiocommunications. En outre, le Comité a noté: </w:t>
            </w:r>
          </w:p>
          <w:p w:rsidR="006859FC" w:rsidRPr="00075A30" w:rsidRDefault="006859FC" w:rsidP="00D92F23">
            <w:pPr>
              <w:pStyle w:val="enumlev1"/>
              <w:tabs>
                <w:tab w:val="left" w:pos="320"/>
              </w:tabs>
              <w:ind w:left="318" w:hanging="318"/>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 xml:space="preserve">que le satellite est déjà en service et que la procédure de coordination relative au réseau correspondant </w:t>
            </w:r>
            <w:r w:rsidRPr="00075A30">
              <w:rPr>
                <w:rFonts w:asciiTheme="minorHAnsi" w:hAnsiTheme="minorHAnsi" w:cstheme="majorBidi"/>
                <w:color w:val="000000"/>
                <w:sz w:val="22"/>
                <w:szCs w:val="22"/>
                <w:lang w:val="fr-CH"/>
              </w:rPr>
              <w:t>est déjà bien avancée</w:t>
            </w:r>
            <w:r w:rsidRPr="00075A30">
              <w:rPr>
                <w:rFonts w:asciiTheme="minorHAnsi" w:hAnsiTheme="minorHAnsi" w:cstheme="majorBidi"/>
                <w:sz w:val="22"/>
                <w:szCs w:val="22"/>
                <w:lang w:val="fr-CH"/>
              </w:rPr>
              <w:t>;</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 xml:space="preserve">que le retard pris dans la fourniture des renseignements relatifs au principe de diligence due et les caractéristiques techniques </w:t>
            </w:r>
            <w:r w:rsidRPr="00075A30">
              <w:rPr>
                <w:rFonts w:asciiTheme="minorHAnsi" w:hAnsiTheme="minorHAnsi" w:cstheme="majorBidi"/>
                <w:color w:val="000000"/>
                <w:sz w:val="22"/>
                <w:szCs w:val="22"/>
                <w:lang w:val="fr-CH"/>
              </w:rPr>
              <w:t xml:space="preserve">définitives </w:t>
            </w:r>
            <w:r w:rsidRPr="00075A30">
              <w:rPr>
                <w:rFonts w:asciiTheme="minorHAnsi" w:hAnsiTheme="minorHAnsi" w:cstheme="majorBidi"/>
                <w:sz w:val="22"/>
                <w:szCs w:val="22"/>
                <w:lang w:val="fr-CH"/>
              </w:rPr>
              <w:t>n</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ont aucune incidence négative sur les assignations de fréquence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autres administrations.</w:t>
            </w:r>
          </w:p>
          <w:p w:rsidR="006859FC" w:rsidRPr="00075A30" w:rsidRDefault="006859FC" w:rsidP="006859FC">
            <w:pPr>
              <w:tabs>
                <w:tab w:val="clear" w:pos="794"/>
                <w:tab w:val="clear" w:pos="1191"/>
                <w:tab w:val="clear" w:pos="1588"/>
                <w:tab w:val="clear" w:pos="1985"/>
                <w:tab w:val="left" w:pos="662"/>
                <w:tab w:val="left" w:pos="1830"/>
              </w:tabs>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En conséquence, le Comité a décidé de charger le Bureau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accepter les soumissions au titre du § 4.1.12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Article 4 et du § 5.1.2/5.1.6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Article 5 </w:t>
            </w:r>
            <w:r w:rsidRPr="00075A30">
              <w:rPr>
                <w:rFonts w:asciiTheme="minorHAnsi" w:hAnsiTheme="minorHAnsi" w:cstheme="majorBidi"/>
                <w:color w:val="000000"/>
                <w:sz w:val="22"/>
                <w:szCs w:val="22"/>
                <w:lang w:val="fr-CH"/>
              </w:rPr>
              <w:t>de l</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 xml:space="preserve">Appendice </w:t>
            </w:r>
            <w:r w:rsidRPr="00075A30">
              <w:rPr>
                <w:rFonts w:asciiTheme="minorHAnsi" w:hAnsiTheme="minorHAnsi" w:cstheme="majorBidi"/>
                <w:b/>
                <w:bCs/>
                <w:sz w:val="22"/>
                <w:szCs w:val="22"/>
                <w:lang w:val="fr-CH"/>
              </w:rPr>
              <w:t>30/30A</w:t>
            </w:r>
            <w:r w:rsidRPr="00075A30">
              <w:rPr>
                <w:rFonts w:asciiTheme="minorHAnsi" w:hAnsiTheme="minorHAnsi" w:cstheme="majorBidi"/>
                <w:sz w:val="22"/>
                <w:szCs w:val="22"/>
                <w:lang w:val="fr-CH"/>
              </w:rPr>
              <w:t>, ainsi que les renseignements relatifs au principe de diligence due concernant le réseau à satellite AM</w:t>
            </w:r>
            <w:r w:rsidRPr="00075A30">
              <w:rPr>
                <w:rFonts w:asciiTheme="minorHAnsi" w:hAnsiTheme="minorHAnsi" w:cstheme="majorBidi"/>
                <w:sz w:val="22"/>
                <w:szCs w:val="22"/>
                <w:lang w:val="fr-CH"/>
              </w:rPr>
              <w:noBreakHyphen/>
              <w:t xml:space="preserve">SAT AF3 BSS MOD-A, comme si elles avaient été reçues dans le délai réglementaire, et de traiter en conséquence ces soumissions. En outre, le Comité a chargé le Directeur de soumettre cette question à la CMR-19. </w:t>
            </w:r>
          </w:p>
          <w:p w:rsidR="006859FC" w:rsidRPr="00075A30" w:rsidRDefault="006859FC" w:rsidP="006859FC">
            <w:pPr>
              <w:tabs>
                <w:tab w:val="clear" w:pos="794"/>
                <w:tab w:val="clear" w:pos="1191"/>
                <w:tab w:val="clear" w:pos="1588"/>
                <w:tab w:val="clear" w:pos="1985"/>
                <w:tab w:val="left" w:pos="662"/>
                <w:tab w:val="left" w:pos="1830"/>
              </w:tabs>
              <w:spacing w:before="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Le Comité a également encouragé les administrations à respecter les délais réglementaires indiqués dans le Règlement des radiocommunications.</w:t>
            </w:r>
          </w:p>
        </w:tc>
        <w:tc>
          <w:tcPr>
            <w:tcW w:w="2413" w:type="dxa"/>
            <w:tcBorders>
              <w:top w:val="nil"/>
            </w:tcBorders>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Secrétaire exécutif communiquera ces décisions à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administration concernée. </w:t>
            </w:r>
          </w:p>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acceptera les soumissions et les renseignements relatifs au principe de diligence due concernant le réseau à satellite AM-SAT AF3 BSS MOD-A et procédera à leur traitement.</w:t>
            </w:r>
          </w:p>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Directeur soumettra </w:t>
            </w:r>
            <w:r w:rsidRPr="00075A30">
              <w:rPr>
                <w:rFonts w:asciiTheme="minorHAnsi" w:hAnsiTheme="minorHAnsi" w:cstheme="majorBidi"/>
                <w:color w:val="000000"/>
                <w:szCs w:val="22"/>
                <w:lang w:val="fr-CH"/>
              </w:rPr>
              <w:t>le cas à la CMR</w:t>
            </w:r>
            <w:r w:rsidRPr="00075A30">
              <w:rPr>
                <w:rFonts w:asciiTheme="minorHAnsi" w:hAnsiTheme="minorHAnsi" w:cstheme="majorBidi"/>
                <w:szCs w:val="22"/>
                <w:lang w:val="fr-CH"/>
              </w:rPr>
              <w:t>-19.</w:t>
            </w:r>
          </w:p>
        </w:tc>
      </w:tr>
      <w:tr w:rsidR="006859FC" w:rsidRPr="00075A30" w:rsidTr="000E0869">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5.2</w:t>
            </w:r>
          </w:p>
        </w:tc>
        <w:tc>
          <w:tcPr>
            <w:tcW w:w="3824" w:type="dxa"/>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Communication soumise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la Corée (République de) concernant une demande de prorogation du délai réglementaire applicable à la mise en service des assignations de fréquence du réseau à satellite KOREASAT</w:t>
            </w:r>
            <w:r w:rsidRPr="00075A30">
              <w:rPr>
                <w:rFonts w:asciiTheme="minorHAnsi" w:hAnsiTheme="minorHAnsi" w:cstheme="majorBidi"/>
                <w:sz w:val="22"/>
                <w:szCs w:val="22"/>
                <w:lang w:val="fr-CH"/>
              </w:rPr>
              <w:noBreakHyphen/>
              <w:t>116.0E dans les bandes de fréquences 20,2-21,2 GHz et 30,0-31,0 GHz</w:t>
            </w:r>
            <w:r w:rsidRPr="00075A30">
              <w:rPr>
                <w:rFonts w:asciiTheme="minorHAnsi" w:hAnsiTheme="minorHAnsi" w:cstheme="majorBidi"/>
                <w:sz w:val="22"/>
                <w:szCs w:val="22"/>
                <w:lang w:val="fr-CH"/>
              </w:rPr>
              <w:br/>
            </w:r>
            <w:hyperlink r:id="rId24" w:history="1">
              <w:r w:rsidRPr="00075A30">
                <w:rPr>
                  <w:rFonts w:asciiTheme="minorHAnsi" w:eastAsia="Times New Roman" w:hAnsiTheme="minorHAnsi" w:cstheme="majorBidi"/>
                  <w:color w:val="0000FF"/>
                  <w:sz w:val="22"/>
                  <w:szCs w:val="22"/>
                  <w:u w:val="single"/>
                  <w:lang w:val="fr-CH"/>
                </w:rPr>
                <w:t>(RRB18-1/6)</w:t>
              </w:r>
            </w:hyperlink>
          </w:p>
        </w:tc>
        <w:tc>
          <w:tcPr>
            <w:tcW w:w="6946" w:type="dxa"/>
            <w:gridSpan w:val="2"/>
          </w:tcPr>
          <w:p w:rsidR="006859FC" w:rsidRPr="00075A30" w:rsidRDefault="006859FC" w:rsidP="006859FC">
            <w:pPr>
              <w:tabs>
                <w:tab w:val="clear" w:pos="794"/>
                <w:tab w:val="clear" w:pos="1191"/>
                <w:tab w:val="clear" w:pos="1588"/>
                <w:tab w:val="clear" w:pos="1985"/>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 xml:space="preserve">Le Comité a étudié la demande </w:t>
            </w:r>
            <w:r w:rsidRPr="00075A30">
              <w:rPr>
                <w:rFonts w:asciiTheme="minorHAnsi" w:hAnsiTheme="minorHAnsi" w:cstheme="majorBidi"/>
                <w:color w:val="000000"/>
                <w:sz w:val="22"/>
                <w:szCs w:val="22"/>
                <w:lang w:val="fr-CH"/>
              </w:rPr>
              <w:t xml:space="preserve">ainsi que </w:t>
            </w:r>
            <w:r w:rsidRPr="00075A30">
              <w:rPr>
                <w:rFonts w:asciiTheme="minorHAnsi" w:hAnsiTheme="minorHAnsi" w:cstheme="majorBidi"/>
                <w:sz w:val="22"/>
                <w:szCs w:val="22"/>
                <w:lang w:val="fr-CH"/>
              </w:rPr>
              <w:t>les renseignements présentés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la République de Corée (Document RRB18</w:t>
            </w:r>
            <w:r w:rsidRPr="00075A30">
              <w:rPr>
                <w:rFonts w:asciiTheme="minorHAnsi" w:hAnsiTheme="minorHAnsi" w:cstheme="majorBidi"/>
                <w:sz w:val="22"/>
                <w:szCs w:val="22"/>
                <w:lang w:val="fr-CH"/>
              </w:rPr>
              <w:noBreakHyphen/>
              <w:t xml:space="preserve">1/6). Compte tenu des </w:t>
            </w:r>
            <w:r w:rsidRPr="00075A30">
              <w:rPr>
                <w:rFonts w:asciiTheme="minorHAnsi" w:hAnsiTheme="minorHAnsi" w:cstheme="majorBidi"/>
                <w:color w:val="000000"/>
                <w:sz w:val="22"/>
                <w:szCs w:val="22"/>
                <w:lang w:val="fr-CH"/>
              </w:rPr>
              <w:t>motifs invoqués</w:t>
            </w:r>
            <w:r w:rsidRPr="00075A30">
              <w:rPr>
                <w:rFonts w:asciiTheme="minorHAnsi" w:hAnsiTheme="minorHAnsi" w:cstheme="majorBidi"/>
                <w:sz w:val="22"/>
                <w:szCs w:val="22"/>
                <w:lang w:val="fr-CH"/>
              </w:rPr>
              <w:t>, le Comité a conclu que:</w:t>
            </w:r>
          </w:p>
          <w:p w:rsidR="006859FC" w:rsidRPr="00075A30" w:rsidRDefault="006859FC" w:rsidP="006859FC">
            <w:pPr>
              <w:pStyle w:val="enumlev1"/>
              <w:tabs>
                <w:tab w:val="left" w:pos="320"/>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la situation remplissait toutes les conditions applicables à un cas de force majeure;</w:t>
            </w:r>
          </w:p>
          <w:p w:rsidR="006859FC" w:rsidRPr="00075A30" w:rsidRDefault="006859FC" w:rsidP="006859FC">
            <w:pPr>
              <w:pStyle w:val="enumlev1"/>
              <w:tabs>
                <w:tab w:val="left" w:pos="320"/>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était efforcée de respecter le délai réglementaire; </w:t>
            </w:r>
          </w:p>
          <w:p w:rsidR="006859FC" w:rsidRPr="00075A30" w:rsidRDefault="006859FC" w:rsidP="006859FC">
            <w:pPr>
              <w:pStyle w:val="enumlev1"/>
              <w:tabs>
                <w:tab w:val="left" w:pos="320"/>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s</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était conformée à toutes les autres dispositions du Règlement des radiocommunications; et </w:t>
            </w:r>
          </w:p>
          <w:p w:rsidR="006859FC" w:rsidRPr="00075A30" w:rsidRDefault="006859FC" w:rsidP="006859FC">
            <w:pPr>
              <w:pStyle w:val="enumlev1"/>
              <w:tabs>
                <w:tab w:val="left" w:pos="320"/>
              </w:tabs>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la demande visait à obtenir une prorogation définie et limitée.</w:t>
            </w:r>
          </w:p>
          <w:p w:rsidR="006859FC" w:rsidRPr="00075A30" w:rsidRDefault="006859FC" w:rsidP="00D92F23">
            <w:pPr>
              <w:tabs>
                <w:tab w:val="clear" w:pos="794"/>
                <w:tab w:val="clear" w:pos="1191"/>
                <w:tab w:val="clear" w:pos="1588"/>
                <w:tab w:val="clear" w:pos="1985"/>
                <w:tab w:val="left" w:pos="662"/>
                <w:tab w:val="left" w:pos="1830"/>
              </w:tab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En conséquence, le Comité a décidé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accéder à cette demande, en prorogeant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 mois, jusqu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au 5 juin 2017, le délai réglementaire applicable à la mise en service des assignations de fréquence du réseau à satellite KOREASAT-116.0E dans les bandes de fréquences 20,2-21,2 GHz et 30,0-31,0 GHz </w:t>
            </w:r>
          </w:p>
        </w:tc>
        <w:tc>
          <w:tcPr>
            <w:tcW w:w="2413" w:type="dxa"/>
          </w:tcPr>
          <w:p w:rsidR="006859FC" w:rsidRPr="00075A30" w:rsidRDefault="006859FC" w:rsidP="006859FC">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Le Secrétaire exécutif communiquera ces décisions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administration concernée </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5.3</w:t>
            </w:r>
          </w:p>
        </w:tc>
        <w:tc>
          <w:tcPr>
            <w:tcW w:w="3824" w:type="dxa"/>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Communication soumise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Papouasie</w:t>
            </w:r>
            <w:r w:rsidRPr="00075A30">
              <w:rPr>
                <w:rFonts w:asciiTheme="minorHAnsi" w:hAnsiTheme="minorHAnsi" w:cstheme="majorBidi"/>
                <w:sz w:val="22"/>
                <w:szCs w:val="22"/>
                <w:lang w:val="fr-CH"/>
              </w:rPr>
              <w:noBreakHyphen/>
              <w:t>Nouvelle-Guinée concernant une demande de prorogation du délai réglementaire applicable à la mise en service des assignations de fréquence 20 200-21 200 et 30 000</w:t>
            </w:r>
            <w:r w:rsidRPr="00075A30">
              <w:rPr>
                <w:rFonts w:asciiTheme="minorHAnsi" w:hAnsiTheme="minorHAnsi" w:cstheme="majorBidi"/>
                <w:sz w:val="22"/>
                <w:szCs w:val="22"/>
                <w:lang w:val="fr-CH"/>
              </w:rPr>
              <w:noBreakHyphen/>
              <w:t>31 000 MHz du réseau à satellite NEW DAWN 33</w:t>
            </w:r>
            <w:r w:rsidRPr="00075A30">
              <w:rPr>
                <w:rFonts w:asciiTheme="minorHAnsi" w:hAnsiTheme="minorHAnsi" w:cstheme="majorBidi"/>
                <w:sz w:val="22"/>
                <w:szCs w:val="22"/>
                <w:lang w:val="fr-CH"/>
              </w:rPr>
              <w:br/>
            </w:r>
            <w:hyperlink r:id="rId25" w:history="1">
              <w:r w:rsidRPr="00075A30">
                <w:rPr>
                  <w:rStyle w:val="Hyperlink"/>
                  <w:rFonts w:asciiTheme="minorHAnsi" w:hAnsiTheme="minorHAnsi" w:cstheme="majorBidi"/>
                  <w:color w:val="auto"/>
                  <w:sz w:val="22"/>
                  <w:szCs w:val="22"/>
                  <w:u w:val="none"/>
                  <w:lang w:val="fr-CH"/>
                </w:rPr>
                <w:t>(</w:t>
              </w:r>
              <w:r w:rsidRPr="00075A30">
                <w:rPr>
                  <w:rStyle w:val="Hyperlink"/>
                  <w:rFonts w:asciiTheme="minorHAnsi" w:hAnsiTheme="minorHAnsi" w:cstheme="majorBidi"/>
                  <w:sz w:val="22"/>
                  <w:szCs w:val="22"/>
                  <w:lang w:val="fr-CH"/>
                </w:rPr>
                <w:t>RRB18-1/8</w:t>
              </w:r>
              <w:r w:rsidRPr="00075A30">
                <w:rPr>
                  <w:rStyle w:val="Hyperlink"/>
                  <w:rFonts w:asciiTheme="minorHAnsi" w:hAnsiTheme="minorHAnsi" w:cstheme="majorBidi"/>
                  <w:color w:val="auto"/>
                  <w:sz w:val="22"/>
                  <w:szCs w:val="22"/>
                  <w:u w:val="none"/>
                  <w:lang w:val="fr-CH"/>
                </w:rPr>
                <w:t>)</w:t>
              </w:r>
            </w:hyperlink>
          </w:p>
        </w:tc>
        <w:tc>
          <w:tcPr>
            <w:tcW w:w="6946" w:type="dxa"/>
            <w:gridSpan w:val="2"/>
          </w:tcPr>
          <w:p w:rsidR="006859FC" w:rsidRPr="00075A30" w:rsidRDefault="006859FC" w:rsidP="006859FC">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Bidi"/>
                <w:sz w:val="22"/>
                <w:szCs w:val="22"/>
                <w:lang w:val="fr-CH" w:eastAsia="zh-CN"/>
              </w:rPr>
            </w:pPr>
            <w:r w:rsidRPr="00075A30">
              <w:rPr>
                <w:rFonts w:asciiTheme="minorHAnsi" w:eastAsia="SimSun" w:hAnsiTheme="minorHAnsi" w:cstheme="majorBidi"/>
                <w:sz w:val="22"/>
                <w:szCs w:val="22"/>
                <w:lang w:val="fr-CH" w:eastAsia="zh-CN"/>
              </w:rPr>
              <w:t xml:space="preserve">Le Comité a examiné la </w:t>
            </w:r>
            <w:r w:rsidRPr="00075A30">
              <w:rPr>
                <w:rFonts w:asciiTheme="minorHAnsi" w:hAnsiTheme="minorHAnsi" w:cstheme="majorBidi"/>
                <w:sz w:val="22"/>
                <w:szCs w:val="22"/>
                <w:lang w:val="fr-CH"/>
              </w:rPr>
              <w:t>communication soumise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Papouasie</w:t>
            </w:r>
            <w:r w:rsidRPr="00075A30">
              <w:rPr>
                <w:rFonts w:asciiTheme="minorHAnsi" w:hAnsiTheme="minorHAnsi" w:cstheme="majorBidi"/>
                <w:sz w:val="22"/>
                <w:szCs w:val="22"/>
                <w:lang w:val="fr-CH"/>
              </w:rPr>
              <w:noBreakHyphen/>
              <w:t xml:space="preserve">Nouvelle-Guinée </w:t>
            </w:r>
            <w:proofErr w:type="gramStart"/>
            <w:r w:rsidRPr="00075A30">
              <w:rPr>
                <w:rFonts w:asciiTheme="minorHAnsi" w:eastAsia="SimSun" w:hAnsiTheme="minorHAnsi" w:cstheme="majorBidi"/>
                <w:sz w:val="22"/>
                <w:szCs w:val="22"/>
                <w:lang w:val="fr-CH" w:eastAsia="zh-CN"/>
              </w:rPr>
              <w:t>( Document</w:t>
            </w:r>
            <w:proofErr w:type="gramEnd"/>
            <w:r w:rsidRPr="00075A30">
              <w:rPr>
                <w:rFonts w:asciiTheme="minorHAnsi" w:eastAsia="SimSun" w:hAnsiTheme="minorHAnsi" w:cstheme="majorBidi"/>
                <w:sz w:val="22"/>
                <w:szCs w:val="22"/>
                <w:lang w:val="fr-CH" w:eastAsia="zh-CN"/>
              </w:rPr>
              <w:t xml:space="preserve"> RRB18-1/8), dans lequel cette Administration </w:t>
            </w:r>
            <w:r w:rsidRPr="00075A30">
              <w:rPr>
                <w:rFonts w:asciiTheme="minorHAnsi" w:hAnsiTheme="minorHAnsi" w:cstheme="majorBidi"/>
                <w:sz w:val="22"/>
                <w:szCs w:val="22"/>
                <w:lang w:val="fr-CH"/>
              </w:rPr>
              <w:t>demande une prorogation de trois ans, jusqu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au 12 novembre 2020, du délai réglementaire applicable à la mise en service des assignations de fréquence du réseau à satellite NEW DAWN 33 </w:t>
            </w:r>
            <w:r w:rsidRPr="00075A30">
              <w:rPr>
                <w:rFonts w:asciiTheme="minorHAnsi" w:eastAsia="SimSun" w:hAnsiTheme="minorHAnsi" w:cstheme="majorBidi"/>
                <w:sz w:val="22"/>
                <w:szCs w:val="22"/>
                <w:lang w:val="fr-CH" w:eastAsia="zh-CN"/>
              </w:rPr>
              <w:t xml:space="preserve">à 33° E </w:t>
            </w:r>
            <w:r w:rsidRPr="00075A30">
              <w:rPr>
                <w:rFonts w:asciiTheme="minorHAnsi" w:hAnsiTheme="minorHAnsi" w:cstheme="majorBidi"/>
                <w:sz w:val="22"/>
                <w:szCs w:val="22"/>
                <w:lang w:val="fr-CH"/>
              </w:rPr>
              <w:t xml:space="preserve">dans les bandes de fréquences </w:t>
            </w:r>
            <w:r w:rsidRPr="00075A30">
              <w:rPr>
                <w:rFonts w:asciiTheme="minorHAnsi" w:eastAsia="SimSun" w:hAnsiTheme="minorHAnsi" w:cstheme="majorBidi"/>
                <w:sz w:val="22"/>
                <w:szCs w:val="22"/>
                <w:lang w:val="fr-CH" w:eastAsia="zh-CN"/>
              </w:rPr>
              <w:t>20 200-21 200 et 30 000-31 000 MHz.</w:t>
            </w:r>
          </w:p>
          <w:p w:rsidR="006859FC" w:rsidRPr="00075A30" w:rsidRDefault="006859FC" w:rsidP="006859FC">
            <w:pPr>
              <w:tabs>
                <w:tab w:val="clear" w:pos="794"/>
                <w:tab w:val="clear" w:pos="1191"/>
                <w:tab w:val="clear" w:pos="1588"/>
                <w:tab w:val="clear" w:pos="1985"/>
              </w:tabs>
              <w:overflowPunct/>
              <w:autoSpaceDE/>
              <w:autoSpaceDN/>
              <w:adjustRightInd/>
              <w:spacing w:before="0" w:after="120"/>
              <w:textAlignment w:val="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Bidi"/>
                <w:sz w:val="22"/>
                <w:szCs w:val="22"/>
                <w:lang w:val="fr-CH" w:eastAsia="zh-CN"/>
              </w:rPr>
            </w:pPr>
            <w:r w:rsidRPr="00075A30">
              <w:rPr>
                <w:rFonts w:asciiTheme="minorHAnsi" w:eastAsia="SimSun" w:hAnsiTheme="minorHAnsi" w:cstheme="majorBidi"/>
                <w:sz w:val="22"/>
                <w:szCs w:val="22"/>
                <w:lang w:val="fr-CH" w:eastAsia="zh-CN"/>
              </w:rPr>
              <w:t xml:space="preserve">Le Comité a estimé: </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il était habilité à accorder une prorogation limitée et conditionnelle du délai réglementaire applicable à la mise en service des assignations de </w:t>
            </w:r>
            <w:r w:rsidRPr="00075A30">
              <w:rPr>
                <w:rFonts w:asciiTheme="minorHAnsi" w:hAnsiTheme="minorHAnsi" w:cstheme="majorBidi"/>
                <w:sz w:val="22"/>
                <w:szCs w:val="22"/>
                <w:lang w:val="fr-CH"/>
              </w:rPr>
              <w:lastRenderedPageBreak/>
              <w:t>fréquence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 réseau à satellite, en cas de retard dû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embarquement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 autre satellite sur le même lanceur ou en cas de force majeure;</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que le retard pris dans la mise en service des assignations de fréquence du réseau à satellite NEW DAWN 33 ne pouvait être considéré comme résultant directement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 retard dû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embarquement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un autre satellite sur le même lanceur, sur la base des renseignements fournis. </w:t>
            </w:r>
          </w:p>
          <w:p w:rsidR="006859FC" w:rsidRPr="00075A30" w:rsidRDefault="006859FC" w:rsidP="006859FC">
            <w:pPr>
              <w:tabs>
                <w:tab w:val="clear" w:pos="794"/>
                <w:tab w:val="clear" w:pos="1191"/>
                <w:tab w:val="clear" w:pos="1588"/>
                <w:tab w:val="clear" w:pos="1985"/>
              </w:tabs>
              <w:overflowPunct/>
              <w:autoSpaceDE/>
              <w:autoSpaceDN/>
              <w:adjustRightInd/>
              <w:spacing w:after="12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Bidi"/>
                <w:sz w:val="22"/>
                <w:szCs w:val="22"/>
                <w:lang w:val="fr-CH" w:eastAsia="zh-CN"/>
              </w:rPr>
            </w:pPr>
            <w:r w:rsidRPr="00075A30">
              <w:rPr>
                <w:rFonts w:asciiTheme="minorHAnsi" w:eastAsia="SimSun" w:hAnsiTheme="minorHAnsi" w:cstheme="majorBidi"/>
                <w:sz w:val="22"/>
                <w:szCs w:val="22"/>
                <w:lang w:val="fr-CH" w:eastAsia="zh-CN"/>
              </w:rPr>
              <w:t>En conséquence, le Comité a conclu que le cas n</w:t>
            </w:r>
            <w:r w:rsidR="00D92F23" w:rsidRPr="00075A30">
              <w:rPr>
                <w:rFonts w:asciiTheme="minorHAnsi" w:eastAsia="SimSun" w:hAnsiTheme="minorHAnsi" w:cstheme="majorBidi"/>
                <w:sz w:val="22"/>
                <w:szCs w:val="22"/>
                <w:lang w:val="fr-CH" w:eastAsia="zh-CN"/>
              </w:rPr>
              <w:t>'</w:t>
            </w:r>
            <w:r w:rsidRPr="00075A30">
              <w:rPr>
                <w:rFonts w:asciiTheme="minorHAnsi" w:eastAsia="SimSun" w:hAnsiTheme="minorHAnsi" w:cstheme="majorBidi"/>
                <w:sz w:val="22"/>
                <w:szCs w:val="22"/>
                <w:lang w:val="fr-CH" w:eastAsia="zh-CN"/>
              </w:rPr>
              <w:t xml:space="preserve">entrait pas dans la catégorie des </w:t>
            </w:r>
            <w:r w:rsidRPr="00075A30">
              <w:rPr>
                <w:rFonts w:asciiTheme="minorHAnsi" w:hAnsiTheme="minorHAnsi" w:cstheme="majorBidi"/>
                <w:sz w:val="22"/>
                <w:szCs w:val="22"/>
                <w:lang w:val="fr-CH"/>
              </w:rPr>
              <w:t>retards dus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embarquement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un autre satellite sur le même lanceur et a décidé: </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de ne pas accéder à la demande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Papouasie</w:t>
            </w:r>
            <w:r w:rsidRPr="00075A30">
              <w:rPr>
                <w:rFonts w:asciiTheme="minorHAnsi" w:hAnsiTheme="minorHAnsi" w:cstheme="majorBidi"/>
                <w:sz w:val="22"/>
                <w:szCs w:val="22"/>
                <w:lang w:val="fr-CH"/>
              </w:rPr>
              <w:noBreakHyphen/>
              <w:t>Nouvelle-Guinée;</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de charger le Bureau de supprimer les assignations de fréquence du réseau à satellite NEW DAWN 33 à 33° E.</w:t>
            </w:r>
          </w:p>
        </w:tc>
        <w:tc>
          <w:tcPr>
            <w:tcW w:w="2413" w:type="dxa"/>
          </w:tcPr>
          <w:p w:rsidR="006859FC" w:rsidRPr="00075A30" w:rsidRDefault="006859FC" w:rsidP="006859FC">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lastRenderedPageBreak/>
              <w:t>Le Secrétaire exécutif communiquera ces décisions à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concernée.</w:t>
            </w:r>
          </w:p>
          <w:p w:rsidR="006859FC" w:rsidRPr="00075A30" w:rsidRDefault="006859FC" w:rsidP="006859FC">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Le Bureau supprimera les assignations de fréquence du réseau à satellite NEW DAWN 33.</w:t>
            </w:r>
          </w:p>
        </w:tc>
      </w:tr>
      <w:tr w:rsidR="006859FC" w:rsidRPr="00075A30" w:rsidTr="000E0869">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6</w:t>
            </w:r>
          </w:p>
        </w:tc>
        <w:tc>
          <w:tcPr>
            <w:tcW w:w="3824" w:type="dxa"/>
          </w:tcPr>
          <w:p w:rsidR="006859FC" w:rsidRPr="00075A30" w:rsidRDefault="006859FC" w:rsidP="006859F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 xml:space="preserve">Demandes de nouvelles soumissions au titre du numéro </w:t>
            </w:r>
            <w:r w:rsidRPr="00075A30">
              <w:rPr>
                <w:rFonts w:asciiTheme="minorHAnsi" w:hAnsiTheme="minorHAnsi" w:cstheme="majorBidi"/>
                <w:b/>
                <w:bCs/>
                <w:sz w:val="22"/>
                <w:szCs w:val="22"/>
                <w:lang w:val="fr-CH"/>
              </w:rPr>
              <w:t>11.46</w:t>
            </w:r>
            <w:r w:rsidRPr="00075A30">
              <w:rPr>
                <w:rFonts w:asciiTheme="minorHAnsi" w:hAnsiTheme="minorHAnsi" w:cstheme="majorBidi"/>
                <w:sz w:val="22"/>
                <w:szCs w:val="22"/>
                <w:lang w:val="fr-CH"/>
              </w:rPr>
              <w:t xml:space="preserve"> du RR</w:t>
            </w:r>
          </w:p>
        </w:tc>
        <w:tc>
          <w:tcPr>
            <w:tcW w:w="6946" w:type="dxa"/>
            <w:gridSpan w:val="2"/>
          </w:tcPr>
          <w:p w:rsidR="006859FC" w:rsidRPr="00075A30" w:rsidRDefault="00D92F23" w:rsidP="006859FC">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075A30">
              <w:rPr>
                <w:rFonts w:asciiTheme="minorHAnsi" w:hAnsiTheme="minorHAnsi" w:cstheme="majorBidi"/>
                <w:sz w:val="22"/>
                <w:szCs w:val="22"/>
              </w:rPr>
              <w:t>–</w:t>
            </w:r>
          </w:p>
        </w:tc>
        <w:tc>
          <w:tcPr>
            <w:tcW w:w="2413" w:type="dxa"/>
          </w:tcPr>
          <w:p w:rsidR="006859FC" w:rsidRPr="00075A30" w:rsidRDefault="00D92F23" w:rsidP="006859FC">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en-GB"/>
              </w:rPr>
            </w:pPr>
            <w:r w:rsidRPr="00075A30">
              <w:rPr>
                <w:rFonts w:asciiTheme="minorHAnsi" w:hAnsiTheme="minorHAnsi" w:cstheme="majorBidi"/>
                <w:sz w:val="22"/>
                <w:szCs w:val="22"/>
                <w:lang w:val="en-GB"/>
              </w:rPr>
              <w:t>–</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6.1</w:t>
            </w:r>
          </w:p>
        </w:tc>
        <w:tc>
          <w:tcPr>
            <w:tcW w:w="3824" w:type="dxa"/>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eastAsia="zh-CN"/>
              </w:rPr>
              <w:t>Communication soumise par l</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Administration des Pays-Bas concernant la nouvelle soumission d</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 xml:space="preserve">une fiche de notification au titre du numéro </w:t>
            </w:r>
            <w:r w:rsidRPr="00075A30">
              <w:rPr>
                <w:rFonts w:asciiTheme="minorHAnsi" w:hAnsiTheme="minorHAnsi" w:cstheme="majorBidi"/>
                <w:b/>
                <w:bCs/>
                <w:sz w:val="22"/>
                <w:szCs w:val="22"/>
                <w:lang w:val="fr-CH" w:eastAsia="zh-CN"/>
              </w:rPr>
              <w:t xml:space="preserve">11.46 </w:t>
            </w:r>
            <w:r w:rsidRPr="00075A30">
              <w:rPr>
                <w:rFonts w:asciiTheme="minorHAnsi" w:hAnsiTheme="minorHAnsi" w:cstheme="majorBidi"/>
                <w:sz w:val="22"/>
                <w:szCs w:val="22"/>
                <w:lang w:val="fr-CH" w:eastAsia="zh-CN"/>
              </w:rPr>
              <w:t>concernant le réseau à satellite NSS</w:t>
            </w:r>
            <w:r w:rsidRPr="00075A30">
              <w:rPr>
                <w:rFonts w:asciiTheme="minorHAnsi" w:hAnsiTheme="minorHAnsi" w:cstheme="majorBidi"/>
                <w:sz w:val="22"/>
                <w:szCs w:val="22"/>
                <w:lang w:val="fr-CH" w:eastAsia="zh-CN"/>
              </w:rPr>
              <w:noBreakHyphen/>
              <w:t xml:space="preserve">BSS 95E </w:t>
            </w:r>
            <w:proofErr w:type="gramStart"/>
            <w:r w:rsidRPr="00075A30">
              <w:rPr>
                <w:rFonts w:asciiTheme="minorHAnsi" w:hAnsiTheme="minorHAnsi" w:cstheme="majorBidi"/>
                <w:sz w:val="22"/>
                <w:szCs w:val="22"/>
                <w:lang w:val="fr-CH" w:eastAsia="zh-CN"/>
              </w:rPr>
              <w:t>TTC</w:t>
            </w:r>
            <w:proofErr w:type="gramEnd"/>
            <w:r w:rsidRPr="00075A30">
              <w:rPr>
                <w:rFonts w:asciiTheme="minorHAnsi" w:hAnsiTheme="minorHAnsi" w:cstheme="majorBidi"/>
                <w:sz w:val="22"/>
                <w:szCs w:val="22"/>
                <w:lang w:val="fr-CH" w:eastAsia="zh-CN"/>
              </w:rPr>
              <w:br/>
            </w:r>
            <w:hyperlink r:id="rId26" w:history="1">
              <w:r w:rsidRPr="00075A30">
                <w:rPr>
                  <w:rStyle w:val="Hyperlink"/>
                  <w:rFonts w:asciiTheme="minorHAnsi" w:hAnsiTheme="minorHAnsi" w:cstheme="majorBidi"/>
                  <w:sz w:val="22"/>
                  <w:szCs w:val="22"/>
                  <w:lang w:val="fr-CH"/>
                </w:rPr>
                <w:t>(RRB18-1/5</w:t>
              </w:r>
            </w:hyperlink>
            <w:r w:rsidRPr="00075A30">
              <w:rPr>
                <w:rStyle w:val="Hyperlink"/>
                <w:rFonts w:asciiTheme="minorHAnsi" w:hAnsiTheme="minorHAnsi" w:cstheme="majorBidi"/>
                <w:sz w:val="22"/>
                <w:szCs w:val="22"/>
                <w:lang w:val="fr-CH"/>
              </w:rPr>
              <w:t xml:space="preserve">; </w:t>
            </w:r>
            <w:hyperlink r:id="rId27" w:history="1">
              <w:r w:rsidRPr="00075A30">
                <w:rPr>
                  <w:rStyle w:val="Hyperlink"/>
                  <w:rFonts w:asciiTheme="minorHAnsi" w:hAnsiTheme="minorHAnsi" w:cstheme="majorBidi"/>
                  <w:sz w:val="22"/>
                  <w:szCs w:val="22"/>
                  <w:lang w:val="fr-CH"/>
                </w:rPr>
                <w:t>RRB18-1/5(Add.1))</w:t>
              </w:r>
            </w:hyperlink>
          </w:p>
        </w:tc>
        <w:tc>
          <w:tcPr>
            <w:tcW w:w="6946" w:type="dxa"/>
            <w:gridSpan w:val="2"/>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eastAsia="zh-CN"/>
              </w:rPr>
            </w:pPr>
            <w:r w:rsidRPr="00075A30">
              <w:rPr>
                <w:rFonts w:asciiTheme="minorHAnsi" w:hAnsiTheme="minorHAnsi" w:cstheme="majorBidi"/>
                <w:sz w:val="22"/>
                <w:szCs w:val="22"/>
                <w:lang w:val="fr-CH"/>
              </w:rPr>
              <w:t xml:space="preserve">Le Comité a étudié de manière détaillée la communication soumise par </w:t>
            </w:r>
            <w:r w:rsidRPr="00075A30">
              <w:rPr>
                <w:rFonts w:asciiTheme="minorHAnsi" w:hAnsiTheme="minorHAnsi" w:cstheme="majorBidi"/>
                <w:sz w:val="22"/>
                <w:szCs w:val="22"/>
                <w:lang w:val="fr-CH" w:eastAsia="zh-CN"/>
              </w:rPr>
              <w:t>l</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Administration des Pays-Bas concernant la nouvelle soumission d</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 xml:space="preserve">une fiche de notification au titre du numéro </w:t>
            </w:r>
            <w:r w:rsidRPr="00075A30">
              <w:rPr>
                <w:rFonts w:asciiTheme="minorHAnsi" w:hAnsiTheme="minorHAnsi" w:cstheme="majorBidi"/>
                <w:b/>
                <w:bCs/>
                <w:sz w:val="22"/>
                <w:szCs w:val="22"/>
                <w:lang w:val="fr-CH" w:eastAsia="zh-CN"/>
              </w:rPr>
              <w:t xml:space="preserve">11.46 </w:t>
            </w:r>
            <w:r w:rsidRPr="00075A30">
              <w:rPr>
                <w:rFonts w:asciiTheme="minorHAnsi" w:hAnsiTheme="minorHAnsi" w:cstheme="majorBidi"/>
                <w:sz w:val="22"/>
                <w:szCs w:val="22"/>
                <w:lang w:val="fr-CH" w:eastAsia="zh-CN"/>
              </w:rPr>
              <w:t>concernant les assignations de fréquence du réseau à satellite NSS</w:t>
            </w:r>
            <w:r w:rsidRPr="00075A30">
              <w:rPr>
                <w:rFonts w:asciiTheme="minorHAnsi" w:hAnsiTheme="minorHAnsi" w:cstheme="majorBidi"/>
                <w:sz w:val="22"/>
                <w:szCs w:val="22"/>
                <w:lang w:val="fr-CH" w:eastAsia="zh-CN"/>
              </w:rPr>
              <w:noBreakHyphen/>
              <w:t>BSS 95E TTC</w:t>
            </w:r>
            <w:r w:rsidRPr="00075A30">
              <w:rPr>
                <w:rFonts w:asciiTheme="minorHAnsi" w:hAnsiTheme="minorHAnsi" w:cstheme="majorBidi"/>
                <w:sz w:val="22"/>
                <w:szCs w:val="22"/>
                <w:lang w:val="fr-CH"/>
              </w:rPr>
              <w:t xml:space="preserve"> (</w:t>
            </w:r>
            <w:r w:rsidRPr="00075A30">
              <w:rPr>
                <w:rFonts w:asciiTheme="minorHAnsi" w:hAnsiTheme="minorHAnsi" w:cstheme="majorBidi"/>
                <w:sz w:val="22"/>
                <w:szCs w:val="22"/>
                <w:lang w:val="fr-CH" w:eastAsia="zh-CN"/>
              </w:rPr>
              <w:t>Documents RRB18-1/5 et RRB18-1/5(Add.1))</w:t>
            </w:r>
            <w:r w:rsidRPr="00075A30">
              <w:rPr>
                <w:rFonts w:asciiTheme="minorHAnsi" w:hAnsiTheme="minorHAnsi" w:cstheme="majorBidi"/>
                <w:sz w:val="22"/>
                <w:szCs w:val="22"/>
                <w:lang w:val="fr-CH"/>
              </w:rPr>
              <w:t xml:space="preserve"> et a noté que le Bureau avait agi de façon strictement conforme aux dispositions du Règlement des radiocommunications. </w:t>
            </w:r>
          </w:p>
          <w:p w:rsidR="006859FC" w:rsidRPr="00075A30" w:rsidRDefault="006859FC" w:rsidP="006859F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eastAsia="zh-CN"/>
              </w:rPr>
            </w:pPr>
            <w:r w:rsidRPr="00075A30">
              <w:rPr>
                <w:rFonts w:asciiTheme="minorHAnsi" w:hAnsiTheme="minorHAnsi" w:cstheme="majorBidi"/>
                <w:sz w:val="22"/>
                <w:szCs w:val="22"/>
                <w:lang w:val="fr-CH" w:eastAsia="zh-CN"/>
              </w:rPr>
              <w:t>En outre, le Comité a noté:</w:t>
            </w:r>
          </w:p>
          <w:p w:rsidR="006859FC" w:rsidRPr="00075A30" w:rsidRDefault="006859FC" w:rsidP="00D92F23">
            <w:pPr>
              <w:pStyle w:val="enumlev1"/>
              <w:tabs>
                <w:tab w:val="left" w:pos="320"/>
              </w:tabs>
              <w:ind w:left="318" w:hanging="318"/>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que le satellite est en service et fournit un service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une importance cruciale pour assurer la commande du satellite à 95° E;</w:t>
            </w:r>
          </w:p>
          <w:p w:rsidR="006859FC" w:rsidRPr="00075A30" w:rsidRDefault="006859FC" w:rsidP="006859FC">
            <w:pPr>
              <w:pStyle w:val="enumlev1"/>
              <w:tabs>
                <w:tab w:val="left" w:pos="320"/>
              </w:tabs>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b/>
              <w:t>que les procédures de coordination relatives au satellite ont été menées à bonne fin et que le système n</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occupe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une largeur de bande de 1 MHz, de sorte que les incidences sur les services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autres administrations sont minimes.</w:t>
            </w:r>
          </w:p>
          <w:p w:rsidR="006859FC" w:rsidRPr="00075A30" w:rsidRDefault="006859FC" w:rsidP="007D1FD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En conséquence, le Comité a décidé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accéder à la demande de </w:t>
            </w:r>
            <w:r w:rsidRPr="00075A30">
              <w:rPr>
                <w:rFonts w:asciiTheme="minorHAnsi" w:hAnsiTheme="minorHAnsi" w:cstheme="majorBidi"/>
                <w:sz w:val="22"/>
                <w:szCs w:val="22"/>
                <w:lang w:val="fr-CH" w:eastAsia="zh-CN"/>
              </w:rPr>
              <w:t>l</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Administration des Pays-Bas. Le Comité a chargé le Bureau d</w:t>
            </w:r>
            <w:r w:rsidR="00D92F23" w:rsidRPr="00075A30">
              <w:rPr>
                <w:rFonts w:asciiTheme="minorHAnsi" w:hAnsiTheme="minorHAnsi" w:cstheme="majorBidi"/>
                <w:sz w:val="22"/>
                <w:szCs w:val="22"/>
                <w:lang w:val="fr-CH" w:eastAsia="zh-CN"/>
              </w:rPr>
              <w:t>'</w:t>
            </w:r>
            <w:r w:rsidRPr="00075A30">
              <w:rPr>
                <w:rFonts w:asciiTheme="minorHAnsi" w:hAnsiTheme="minorHAnsi" w:cstheme="majorBidi"/>
                <w:sz w:val="22"/>
                <w:szCs w:val="22"/>
                <w:lang w:val="fr-CH" w:eastAsia="zh-CN"/>
              </w:rPr>
              <w:t xml:space="preserve">accepter la notification des assignations de fréquence du réseau à satellite NSS-BSS 95E TTC comme si elle avait été soumise à nouveau dans le délai de six mois prescrit au numéro </w:t>
            </w:r>
            <w:r w:rsidRPr="00075A30">
              <w:rPr>
                <w:rFonts w:asciiTheme="minorHAnsi" w:hAnsiTheme="minorHAnsi" w:cstheme="majorBidi"/>
                <w:b/>
                <w:bCs/>
                <w:sz w:val="22"/>
                <w:szCs w:val="22"/>
                <w:lang w:val="fr-CH" w:eastAsia="zh-CN"/>
              </w:rPr>
              <w:t>11.46</w:t>
            </w:r>
            <w:r w:rsidRPr="00075A30">
              <w:rPr>
                <w:rFonts w:asciiTheme="minorHAnsi" w:hAnsiTheme="minorHAnsi" w:cstheme="majorBidi"/>
                <w:sz w:val="22"/>
                <w:szCs w:val="22"/>
                <w:lang w:val="fr-CH" w:eastAsia="zh-CN"/>
              </w:rPr>
              <w:t xml:space="preserve"> du RR et de procéder en conséquence au trait</w:t>
            </w:r>
            <w:r w:rsidR="007D1FDA" w:rsidRPr="00075A30">
              <w:rPr>
                <w:rFonts w:asciiTheme="minorHAnsi" w:hAnsiTheme="minorHAnsi" w:cstheme="majorBidi"/>
                <w:sz w:val="22"/>
                <w:szCs w:val="22"/>
                <w:lang w:val="fr-CH" w:eastAsia="zh-CN"/>
              </w:rPr>
              <w:t>ement de la nouvelle soumission</w:t>
            </w:r>
            <w:r w:rsidRPr="00075A30">
              <w:rPr>
                <w:rFonts w:asciiTheme="minorHAnsi" w:hAnsiTheme="minorHAnsi" w:cstheme="majorBidi"/>
                <w:sz w:val="22"/>
                <w:szCs w:val="22"/>
                <w:lang w:val="fr-CH" w:eastAsia="zh-CN"/>
              </w:rPr>
              <w:t>. De plus, le Comité a chargé le Directeur du Bureau des radiocommunicatio</w:t>
            </w:r>
            <w:r w:rsidR="00D92F23" w:rsidRPr="00075A30">
              <w:rPr>
                <w:rFonts w:asciiTheme="minorHAnsi" w:hAnsiTheme="minorHAnsi" w:cstheme="majorBidi"/>
                <w:sz w:val="22"/>
                <w:szCs w:val="22"/>
                <w:lang w:val="fr-CH" w:eastAsia="zh-CN"/>
              </w:rPr>
              <w:t>ns de soumettre ce cas à la </w:t>
            </w:r>
            <w:r w:rsidRPr="00075A30">
              <w:rPr>
                <w:rFonts w:asciiTheme="minorHAnsi" w:hAnsiTheme="minorHAnsi" w:cstheme="majorBidi"/>
                <w:sz w:val="22"/>
                <w:szCs w:val="22"/>
                <w:lang w:val="fr-CH" w:eastAsia="zh-CN"/>
              </w:rPr>
              <w:t>CMR-19.</w:t>
            </w:r>
          </w:p>
        </w:tc>
        <w:tc>
          <w:tcPr>
            <w:tcW w:w="2413" w:type="dxa"/>
          </w:tcPr>
          <w:p w:rsidR="006859FC" w:rsidRPr="00075A30" w:rsidRDefault="006859FC" w:rsidP="007D1FDA">
            <w:pPr>
              <w:pStyle w:val="Tabletext"/>
              <w:tabs>
                <w:tab w:val="left" w:pos="2195"/>
              </w:tabs>
              <w:spacing w:before="120" w:after="60"/>
              <w:ind w:righ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Secrétaire exécutif communiquera cette décision à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administration concernée.</w:t>
            </w:r>
          </w:p>
          <w:p w:rsidR="006859FC" w:rsidRPr="00075A30" w:rsidRDefault="006859FC" w:rsidP="006859FC">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eastAsia="zh-CN"/>
              </w:rPr>
            </w:pPr>
            <w:r w:rsidRPr="00075A30">
              <w:rPr>
                <w:rFonts w:asciiTheme="minorHAnsi" w:hAnsiTheme="minorHAnsi" w:cstheme="majorBidi"/>
                <w:szCs w:val="22"/>
                <w:lang w:val="fr-CH"/>
              </w:rPr>
              <w:t xml:space="preserve">Le Bureau acceptera la notification des assignations de fréquence du réseau à satellite </w:t>
            </w:r>
            <w:r w:rsidRPr="00075A30">
              <w:rPr>
                <w:rFonts w:asciiTheme="minorHAnsi" w:hAnsiTheme="minorHAnsi" w:cstheme="majorBidi"/>
                <w:szCs w:val="22"/>
                <w:lang w:val="fr-CH" w:eastAsia="zh-CN"/>
              </w:rPr>
              <w:t xml:space="preserve">NSS-BSS 95E TTC </w:t>
            </w:r>
            <w:r w:rsidRPr="00075A30">
              <w:rPr>
                <w:rFonts w:asciiTheme="minorHAnsi" w:hAnsiTheme="minorHAnsi" w:cstheme="majorBidi"/>
                <w:szCs w:val="22"/>
                <w:lang w:val="fr-CH"/>
              </w:rPr>
              <w:t xml:space="preserve">et procédera au traitement de la nouvelle soumission. </w:t>
            </w:r>
          </w:p>
          <w:p w:rsidR="006859FC" w:rsidRPr="00075A30" w:rsidRDefault="006859FC" w:rsidP="006859FC">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eastAsia="zh-CN"/>
              </w:rPr>
              <w:t xml:space="preserve">Le Directeur soumettra le cas à la CMR-19. </w:t>
            </w:r>
          </w:p>
        </w:tc>
      </w:tr>
      <w:tr w:rsidR="006859FC" w:rsidRPr="00075A30" w:rsidTr="000E0869">
        <w:trPr>
          <w:trHeight w:val="988"/>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7</w:t>
            </w:r>
          </w:p>
        </w:tc>
        <w:tc>
          <w:tcPr>
            <w:tcW w:w="3824" w:type="dxa"/>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Brouillages causés par le système à satellites Iridium (HIBLEO</w:t>
            </w:r>
            <w:r w:rsidRPr="00075A30">
              <w:rPr>
                <w:rFonts w:asciiTheme="minorHAnsi" w:hAnsiTheme="minorHAnsi" w:cstheme="majorBidi"/>
                <w:sz w:val="22"/>
                <w:szCs w:val="22"/>
                <w:lang w:val="fr-CH"/>
              </w:rPr>
              <w:noBreakHyphen/>
              <w:t>2) au service de radioastronomie</w:t>
            </w:r>
          </w:p>
        </w:tc>
        <w:tc>
          <w:tcPr>
            <w:tcW w:w="6946" w:type="dxa"/>
            <w:gridSpan w:val="2"/>
          </w:tcPr>
          <w:p w:rsidR="006859FC" w:rsidRPr="00075A30" w:rsidRDefault="006859FC" w:rsidP="006859F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p>
        </w:tc>
        <w:tc>
          <w:tcPr>
            <w:tcW w:w="2413" w:type="dxa"/>
          </w:tcPr>
          <w:p w:rsidR="006859FC" w:rsidRPr="00075A30" w:rsidRDefault="006859FC" w:rsidP="006859FC">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7.1</w:t>
            </w:r>
          </w:p>
        </w:tc>
        <w:tc>
          <w:tcPr>
            <w:tcW w:w="3824" w:type="dxa"/>
          </w:tcPr>
          <w:p w:rsidR="006859FC" w:rsidRPr="00075A30" w:rsidRDefault="006859FC" w:rsidP="006859F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Communication soumise par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Administration des Etats-Unis concernant les brouillages préjudiciables causés par le système à satellites Iridium (HIBLEO-2) au service de radioastronomie dans la bande de fréquences 1 610,6-1 613,8 </w:t>
            </w:r>
            <w:proofErr w:type="gramStart"/>
            <w:r w:rsidRPr="00075A30">
              <w:rPr>
                <w:rFonts w:asciiTheme="minorHAnsi" w:hAnsiTheme="minorHAnsi" w:cstheme="majorBidi"/>
                <w:szCs w:val="22"/>
                <w:lang w:val="fr-CH"/>
              </w:rPr>
              <w:t>MHz</w:t>
            </w:r>
            <w:proofErr w:type="gramEnd"/>
            <w:r w:rsidRPr="00075A30">
              <w:rPr>
                <w:rFonts w:asciiTheme="minorHAnsi" w:hAnsiTheme="minorHAnsi" w:cstheme="majorBidi"/>
                <w:szCs w:val="22"/>
                <w:lang w:val="fr-CH"/>
              </w:rPr>
              <w:br/>
            </w:r>
            <w:hyperlink r:id="rId28" w:history="1">
              <w:r w:rsidRPr="00075A30">
                <w:rPr>
                  <w:rFonts w:asciiTheme="minorHAnsi" w:eastAsia="Times New Roman" w:hAnsiTheme="minorHAnsi" w:cstheme="majorBidi"/>
                  <w:color w:val="0000FF"/>
                  <w:szCs w:val="22"/>
                  <w:u w:val="single"/>
                  <w:lang w:val="fr-CH"/>
                </w:rPr>
                <w:t>(RRB18-1/3)</w:t>
              </w:r>
            </w:hyperlink>
          </w:p>
        </w:tc>
        <w:tc>
          <w:tcPr>
            <w:tcW w:w="6946" w:type="dxa"/>
            <w:gridSpan w:val="2"/>
            <w:vMerge w:val="restart"/>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sz w:val="22"/>
                <w:szCs w:val="22"/>
                <w:lang w:val="fr-CH"/>
              </w:rPr>
              <w:t>Le Comité a minutieusement examiné les communications soumises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des Etats-Unis (Document RRB18-1/3) et par les Administrations de la République tchèque, de la Lituanie, des Pays</w:t>
            </w:r>
            <w:r w:rsidRPr="00075A30">
              <w:rPr>
                <w:rFonts w:asciiTheme="minorHAnsi" w:hAnsiTheme="minorHAnsi" w:cstheme="majorBidi"/>
                <w:sz w:val="22"/>
                <w:szCs w:val="22"/>
                <w:lang w:val="fr-CH"/>
              </w:rPr>
              <w:noBreakHyphen/>
              <w:t>Bas,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Espagne et de la Suisse (Document RRB18-1/9). </w:t>
            </w:r>
            <w:r w:rsidRPr="00075A30">
              <w:rPr>
                <w:rFonts w:asciiTheme="minorHAnsi" w:hAnsiTheme="minorHAnsi" w:cstheme="majorBidi"/>
                <w:color w:val="000000"/>
                <w:sz w:val="22"/>
                <w:szCs w:val="22"/>
                <w:lang w:val="fr-CH"/>
              </w:rPr>
              <w:t>Le Comité a pris note avec satisfaction de la poursuite du dialogue et de la coopération entre les administrations sur cette question</w:t>
            </w:r>
            <w:r w:rsidRPr="00075A30">
              <w:rPr>
                <w:rFonts w:asciiTheme="minorHAnsi" w:hAnsiTheme="minorHAnsi" w:cstheme="majorBidi"/>
                <w:sz w:val="22"/>
                <w:szCs w:val="22"/>
                <w:lang w:val="fr-CH"/>
              </w:rPr>
              <w:t xml:space="preserve">. En outre, il a pris note avec préoccupation des divergences entre les conclusions des deux parties concernant la situation des brouillages causés par les satellites Iridium de nouvelle génération aux stations de radioastronomie. Le Comité a instamment prié les administrations </w:t>
            </w:r>
            <w:r w:rsidRPr="00075A30">
              <w:rPr>
                <w:rFonts w:asciiTheme="minorHAnsi" w:hAnsiTheme="minorHAnsi" w:cstheme="majorBidi"/>
                <w:color w:val="000000"/>
                <w:sz w:val="22"/>
                <w:szCs w:val="22"/>
                <w:lang w:val="fr-CH"/>
              </w:rPr>
              <w:t>de poursuivre ces efforts et de coordonner leurs mesures des brouillages, afin de fournir des résultats viables et convergents</w:t>
            </w:r>
            <w:r w:rsidRPr="00075A30">
              <w:rPr>
                <w:rFonts w:asciiTheme="minorHAnsi" w:hAnsiTheme="minorHAnsi" w:cstheme="majorBidi"/>
                <w:sz w:val="22"/>
                <w:szCs w:val="22"/>
                <w:lang w:val="fr-CH"/>
              </w:rPr>
              <w:t xml:space="preserve">. </w:t>
            </w:r>
            <w:r w:rsidRPr="00075A30">
              <w:rPr>
                <w:rFonts w:asciiTheme="minorHAnsi" w:hAnsiTheme="minorHAnsi" w:cstheme="majorBidi"/>
                <w:color w:val="000000"/>
                <w:sz w:val="22"/>
                <w:szCs w:val="22"/>
                <w:lang w:val="fr-CH"/>
              </w:rPr>
              <w:t>En outre, le Comité a invité les administrations à rendre compte des progrès accomplis.</w:t>
            </w:r>
          </w:p>
        </w:tc>
        <w:tc>
          <w:tcPr>
            <w:tcW w:w="2413" w:type="dxa"/>
            <w:vMerge w:val="restart"/>
          </w:tcPr>
          <w:p w:rsidR="006859FC" w:rsidRPr="00075A30" w:rsidRDefault="006859FC" w:rsidP="007D1FDA">
            <w:pPr>
              <w:pStyle w:val="Tabletext"/>
              <w:tabs>
                <w:tab w:val="left" w:pos="2195"/>
              </w:tabs>
              <w:spacing w:before="120" w:after="60"/>
              <w:ind w:righ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 xml:space="preserve">Le Secrétaire exécutif communiquera cette décision aux administrations concernées. </w:t>
            </w:r>
          </w:p>
        </w:tc>
      </w:tr>
      <w:tr w:rsidR="006859FC" w:rsidRPr="00075A30" w:rsidTr="000E0869">
        <w:trPr>
          <w:trHeight w:val="649"/>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7.2</w:t>
            </w:r>
          </w:p>
        </w:tc>
        <w:tc>
          <w:tcPr>
            <w:tcW w:w="3824" w:type="dxa"/>
          </w:tcPr>
          <w:p w:rsidR="006859FC" w:rsidRPr="00075A30" w:rsidRDefault="006859FC" w:rsidP="00701D98">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Communication soumise par les Administrations de la République tchèque, d</w:t>
            </w:r>
            <w:r w:rsidR="007D1FDA" w:rsidRPr="00075A30">
              <w:rPr>
                <w:rFonts w:asciiTheme="minorHAnsi" w:hAnsiTheme="minorHAnsi" w:cstheme="majorBidi"/>
                <w:szCs w:val="22"/>
                <w:lang w:val="fr-CH"/>
              </w:rPr>
              <w:t>e la Lituanie, des Pays-Bas, de </w:t>
            </w:r>
            <w:r w:rsidRPr="00075A30">
              <w:rPr>
                <w:rFonts w:asciiTheme="minorHAnsi" w:hAnsiTheme="minorHAnsi" w:cstheme="majorBidi"/>
                <w:szCs w:val="22"/>
                <w:lang w:val="fr-CH"/>
              </w:rPr>
              <w:t>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Espagne et de la Suisse concernant les brouillages préjudiciables causés par le système à satellites Iridium (HIBLEO-2) au service de radioastronomie dans la bande de fréquences 1 610,6-1</w:t>
            </w:r>
            <w:r w:rsidR="00701D98">
              <w:rPr>
                <w:rFonts w:asciiTheme="minorHAnsi" w:hAnsiTheme="minorHAnsi" w:cstheme="majorBidi"/>
                <w:szCs w:val="22"/>
                <w:lang w:val="fr-CH"/>
              </w:rPr>
              <w:t> </w:t>
            </w:r>
            <w:r w:rsidRPr="00075A30">
              <w:rPr>
                <w:rFonts w:asciiTheme="minorHAnsi" w:hAnsiTheme="minorHAnsi" w:cstheme="majorBidi"/>
                <w:szCs w:val="22"/>
                <w:lang w:val="fr-CH"/>
              </w:rPr>
              <w:t>613,8</w:t>
            </w:r>
            <w:r w:rsidR="00701D98">
              <w:rPr>
                <w:rFonts w:asciiTheme="minorHAnsi" w:hAnsiTheme="minorHAnsi" w:cstheme="majorBidi"/>
                <w:szCs w:val="22"/>
                <w:lang w:val="fr-CH"/>
              </w:rPr>
              <w:t> </w:t>
            </w:r>
            <w:r w:rsidRPr="00075A30">
              <w:rPr>
                <w:rFonts w:asciiTheme="minorHAnsi" w:hAnsiTheme="minorHAnsi" w:cstheme="majorBidi"/>
                <w:szCs w:val="22"/>
                <w:lang w:val="fr-CH"/>
              </w:rPr>
              <w:t xml:space="preserve">MHz </w:t>
            </w:r>
            <w:r w:rsidRPr="00075A30">
              <w:rPr>
                <w:rFonts w:asciiTheme="minorHAnsi" w:hAnsiTheme="minorHAnsi" w:cstheme="majorBidi"/>
                <w:szCs w:val="22"/>
                <w:lang w:val="fr-CH"/>
              </w:rPr>
              <w:br/>
            </w:r>
            <w:hyperlink r:id="rId29" w:history="1">
              <w:r w:rsidRPr="00075A30">
                <w:rPr>
                  <w:rStyle w:val="Hyperlink"/>
                  <w:rFonts w:asciiTheme="minorHAnsi" w:hAnsiTheme="minorHAnsi" w:cstheme="majorBidi"/>
                  <w:color w:val="auto"/>
                  <w:szCs w:val="22"/>
                  <w:u w:val="none"/>
                  <w:lang w:val="fr-CH"/>
                </w:rPr>
                <w:t>(</w:t>
              </w:r>
              <w:r w:rsidRPr="00075A30">
                <w:rPr>
                  <w:rStyle w:val="Hyperlink"/>
                  <w:rFonts w:asciiTheme="minorHAnsi" w:hAnsiTheme="minorHAnsi" w:cstheme="majorBidi"/>
                  <w:szCs w:val="22"/>
                  <w:lang w:val="fr-CH"/>
                </w:rPr>
                <w:t>RRB18-1/9</w:t>
              </w:r>
              <w:r w:rsidRPr="00075A30">
                <w:rPr>
                  <w:rStyle w:val="Hyperlink"/>
                  <w:rFonts w:asciiTheme="minorHAnsi" w:hAnsiTheme="minorHAnsi" w:cstheme="majorBidi"/>
                  <w:color w:val="auto"/>
                  <w:szCs w:val="22"/>
                  <w:u w:val="none"/>
                  <w:lang w:val="fr-CH"/>
                </w:rPr>
                <w:t>)</w:t>
              </w:r>
            </w:hyperlink>
          </w:p>
        </w:tc>
        <w:tc>
          <w:tcPr>
            <w:tcW w:w="6946" w:type="dxa"/>
            <w:gridSpan w:val="2"/>
            <w:vMerge/>
          </w:tcPr>
          <w:p w:rsidR="006859FC" w:rsidRPr="00075A30" w:rsidRDefault="006859FC" w:rsidP="006859F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p>
        </w:tc>
        <w:tc>
          <w:tcPr>
            <w:tcW w:w="2413" w:type="dxa"/>
            <w:vMerge/>
          </w:tcPr>
          <w:p w:rsidR="006859FC" w:rsidRPr="00075A30" w:rsidRDefault="006859FC" w:rsidP="006859FC">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8</w:t>
            </w:r>
          </w:p>
        </w:tc>
        <w:tc>
          <w:tcPr>
            <w:tcW w:w="3824" w:type="dxa"/>
          </w:tcPr>
          <w:p w:rsidR="006859FC" w:rsidRPr="00075A30" w:rsidRDefault="006859FC" w:rsidP="006859F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Statut des réseaux à satellite</w:t>
            </w:r>
          </w:p>
        </w:tc>
        <w:tc>
          <w:tcPr>
            <w:tcW w:w="6946" w:type="dxa"/>
            <w:gridSpan w:val="2"/>
          </w:tcPr>
          <w:p w:rsidR="006859FC" w:rsidRPr="00075A30" w:rsidRDefault="007D1FDA"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075A30">
              <w:rPr>
                <w:rFonts w:asciiTheme="minorHAnsi" w:hAnsiTheme="minorHAnsi" w:cstheme="majorBidi"/>
                <w:color w:val="000000"/>
                <w:sz w:val="22"/>
                <w:szCs w:val="22"/>
              </w:rPr>
              <w:t>–</w:t>
            </w:r>
          </w:p>
        </w:tc>
        <w:tc>
          <w:tcPr>
            <w:tcW w:w="2413" w:type="dxa"/>
          </w:tcPr>
          <w:p w:rsidR="006859FC" w:rsidRPr="00075A30" w:rsidRDefault="007D1FDA" w:rsidP="006859FC">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8.1</w:t>
            </w:r>
          </w:p>
        </w:tc>
        <w:tc>
          <w:tcPr>
            <w:tcW w:w="3824" w:type="dxa"/>
          </w:tcPr>
          <w:p w:rsidR="006859FC" w:rsidRPr="00075A30" w:rsidRDefault="006859FC" w:rsidP="006859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Communication soumise par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Admi</w:t>
            </w:r>
            <w:r w:rsidR="007D1FDA" w:rsidRPr="00075A30">
              <w:rPr>
                <w:rFonts w:asciiTheme="minorHAnsi" w:hAnsiTheme="minorHAnsi" w:cstheme="majorBidi"/>
                <w:szCs w:val="22"/>
                <w:lang w:val="fr-CH"/>
              </w:rPr>
              <w:t>nistration allemande concernant </w:t>
            </w:r>
            <w:r w:rsidRPr="00075A30">
              <w:rPr>
                <w:rFonts w:asciiTheme="minorHAnsi" w:hAnsiTheme="minorHAnsi" w:cstheme="majorBidi"/>
                <w:szCs w:val="22"/>
                <w:lang w:val="fr-CH"/>
              </w:rPr>
              <w:t>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application de l</w:t>
            </w:r>
            <w:r w:rsidR="00D92F23" w:rsidRPr="00075A30">
              <w:rPr>
                <w:rFonts w:asciiTheme="minorHAnsi" w:hAnsiTheme="minorHAnsi" w:cstheme="majorBidi"/>
                <w:szCs w:val="22"/>
                <w:lang w:val="fr-CH"/>
              </w:rPr>
              <w:t>'</w:t>
            </w:r>
            <w:r w:rsidR="007D1FDA" w:rsidRPr="00075A30">
              <w:rPr>
                <w:rFonts w:asciiTheme="minorHAnsi" w:hAnsiTheme="minorHAnsi" w:cstheme="majorBidi"/>
                <w:szCs w:val="22"/>
                <w:lang w:val="fr-CH"/>
              </w:rPr>
              <w:t>article 48 de </w:t>
            </w:r>
            <w:r w:rsidRPr="00075A30">
              <w:rPr>
                <w:rFonts w:asciiTheme="minorHAnsi" w:hAnsiTheme="minorHAnsi" w:cstheme="majorBidi"/>
                <w:szCs w:val="22"/>
                <w:lang w:val="fr-CH"/>
              </w:rPr>
              <w:t>la Constitution de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UIT aux assignations de fréquence inscrites des réseaux à satellite INSAT-2(48), INSAT-2M(48),</w:t>
            </w:r>
            <w:r w:rsidR="007D1FDA" w:rsidRPr="00075A30">
              <w:rPr>
                <w:rFonts w:asciiTheme="minorHAnsi" w:hAnsiTheme="minorHAnsi" w:cstheme="majorBidi"/>
                <w:szCs w:val="22"/>
                <w:lang w:val="fr-CH"/>
              </w:rPr>
              <w:t xml:space="preserve"> INSAT-2T (48) et INSAT</w:t>
            </w:r>
            <w:r w:rsidR="007D1FDA" w:rsidRPr="00075A30">
              <w:rPr>
                <w:rFonts w:asciiTheme="minorHAnsi" w:hAnsiTheme="minorHAnsi" w:cstheme="majorBidi"/>
                <w:szCs w:val="22"/>
                <w:lang w:val="fr-CH"/>
              </w:rPr>
              <w:noBreakHyphen/>
              <w:t>EK48R à </w:t>
            </w:r>
            <w:r w:rsidRPr="00075A30">
              <w:rPr>
                <w:rFonts w:asciiTheme="minorHAnsi" w:hAnsiTheme="minorHAnsi" w:cstheme="majorBidi"/>
                <w:szCs w:val="22"/>
                <w:lang w:val="fr-CH"/>
              </w:rPr>
              <w:t>48° </w:t>
            </w:r>
            <w:proofErr w:type="gramStart"/>
            <w:r w:rsidRPr="00075A30">
              <w:rPr>
                <w:rFonts w:asciiTheme="minorHAnsi" w:hAnsiTheme="minorHAnsi" w:cstheme="majorBidi"/>
                <w:szCs w:val="22"/>
                <w:lang w:val="fr-CH"/>
              </w:rPr>
              <w:t>E</w:t>
            </w:r>
            <w:proofErr w:type="gramEnd"/>
            <w:r w:rsidRPr="00075A30">
              <w:rPr>
                <w:rFonts w:asciiTheme="minorHAnsi" w:hAnsiTheme="minorHAnsi" w:cstheme="majorBidi"/>
                <w:szCs w:val="22"/>
                <w:lang w:val="fr-CH"/>
              </w:rPr>
              <w:br/>
            </w:r>
            <w:hyperlink r:id="rId30" w:history="1">
              <w:r w:rsidRPr="00075A30">
                <w:rPr>
                  <w:rStyle w:val="Hyperlink"/>
                  <w:rFonts w:asciiTheme="minorHAnsi" w:hAnsiTheme="minorHAnsi" w:cstheme="majorBidi"/>
                  <w:szCs w:val="22"/>
                  <w:lang w:val="fr-CH"/>
                </w:rPr>
                <w:t>(RRB18-1/7)</w:t>
              </w:r>
            </w:hyperlink>
            <w:r w:rsidRPr="00075A30">
              <w:rPr>
                <w:rStyle w:val="Hyperlink"/>
                <w:rFonts w:asciiTheme="minorHAnsi" w:hAnsiTheme="minorHAnsi" w:cstheme="majorBidi"/>
                <w:szCs w:val="22"/>
                <w:lang w:val="fr-CH"/>
              </w:rPr>
              <w:t xml:space="preserve">; </w:t>
            </w:r>
            <w:hyperlink r:id="rId31" w:history="1">
              <w:r w:rsidRPr="00075A30">
                <w:rPr>
                  <w:rStyle w:val="Hyperlink"/>
                  <w:rFonts w:asciiTheme="minorHAnsi" w:hAnsiTheme="minorHAnsi" w:cstheme="majorBidi"/>
                  <w:szCs w:val="22"/>
                  <w:lang w:val="fr-CH"/>
                </w:rPr>
                <w:t>(RRB18-1/DELAYED/1)</w:t>
              </w:r>
            </w:hyperlink>
            <w:r w:rsidRPr="00075A30">
              <w:rPr>
                <w:rStyle w:val="Hyperlink"/>
                <w:rFonts w:asciiTheme="minorHAnsi" w:hAnsiTheme="minorHAnsi" w:cstheme="majorBidi"/>
                <w:szCs w:val="22"/>
                <w:lang w:val="fr-CH"/>
              </w:rPr>
              <w:t>; (</w:t>
            </w:r>
            <w:hyperlink r:id="rId32" w:history="1">
              <w:r w:rsidRPr="00075A30">
                <w:rPr>
                  <w:rStyle w:val="Hyperlink"/>
                  <w:rFonts w:asciiTheme="minorHAnsi" w:hAnsiTheme="minorHAnsi" w:cstheme="majorBidi"/>
                  <w:szCs w:val="22"/>
                  <w:lang w:val="fr-CH"/>
                </w:rPr>
                <w:t>RRB18-1/DELAYED/2</w:t>
              </w:r>
            </w:hyperlink>
            <w:r w:rsidRPr="00075A30">
              <w:rPr>
                <w:rStyle w:val="Hyperlink"/>
                <w:rFonts w:asciiTheme="minorHAnsi" w:hAnsiTheme="minorHAnsi" w:cstheme="majorBidi"/>
                <w:szCs w:val="22"/>
                <w:lang w:val="fr-CH"/>
              </w:rPr>
              <w:t>)</w:t>
            </w:r>
          </w:p>
        </w:tc>
        <w:tc>
          <w:tcPr>
            <w:tcW w:w="6946" w:type="dxa"/>
            <w:gridSpan w:val="2"/>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Après avoir examiné de manière détaillée la communication soumise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Allemagne concernant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application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article 48 de la Constitution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UIT, telle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elle figure dans le Document RRB18-1/7, et étudié pour information les Documents RRB18-1/DELAYED/1 et RRB18-1/DELAYED/2, le Comité a noté que le Bureau avait agi correctement. Le Comité a reconnu que la CMR-12 et la CMR-15 avaient pris des décisions concernant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application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article 48 de la Constitution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UIT, et a également pris note de la disposition 3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article 48.</w:t>
            </w:r>
          </w:p>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Compte tenu des renseignements fournis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de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Allemagne, le Comité a décidé de charger le Bureau d</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inviter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Administration indienne à apporter des réponses aux questions qui ont été soulevées par l</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Administration allemande. </w:t>
            </w:r>
          </w:p>
        </w:tc>
        <w:tc>
          <w:tcPr>
            <w:tcW w:w="2413" w:type="dxa"/>
          </w:tcPr>
          <w:p w:rsidR="006859FC" w:rsidRPr="00075A30" w:rsidRDefault="006859FC" w:rsidP="006859FC">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Secrétaire exécutif communiquera cette décision aux administrations concernées.</w:t>
            </w:r>
          </w:p>
          <w:p w:rsidR="006859FC" w:rsidRPr="00075A30" w:rsidRDefault="006859FC" w:rsidP="006859FC">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Le Bureau communiquera les questions soulevées à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Administration de l</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Inde.</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9</w:t>
            </w:r>
          </w:p>
        </w:tc>
        <w:tc>
          <w:tcPr>
            <w:tcW w:w="3824" w:type="dxa"/>
          </w:tcPr>
          <w:p w:rsidR="006859FC" w:rsidRPr="00075A30" w:rsidRDefault="006859FC" w:rsidP="006859F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color w:val="000000"/>
                <w:szCs w:val="22"/>
                <w:lang w:val="fr-CH"/>
              </w:rPr>
              <w:t xml:space="preserve">Examen des questions se rapportant à la Résolution </w:t>
            </w:r>
            <w:r w:rsidR="007D1FDA" w:rsidRPr="00075A30">
              <w:rPr>
                <w:rFonts w:asciiTheme="minorHAnsi" w:hAnsiTheme="minorHAnsi" w:cstheme="majorBidi"/>
                <w:b/>
                <w:bCs/>
                <w:color w:val="000000"/>
                <w:szCs w:val="22"/>
                <w:lang w:val="fr-CH"/>
              </w:rPr>
              <w:t>80 (Rév.CMR</w:t>
            </w:r>
            <w:r w:rsidRPr="00075A30">
              <w:rPr>
                <w:rFonts w:asciiTheme="minorHAnsi" w:hAnsiTheme="minorHAnsi" w:cstheme="majorBidi"/>
                <w:b/>
                <w:bCs/>
                <w:color w:val="000000"/>
                <w:szCs w:val="22"/>
                <w:lang w:val="fr-CH"/>
              </w:rPr>
              <w:t>-07</w:t>
            </w:r>
            <w:proofErr w:type="gramStart"/>
            <w:r w:rsidRPr="00075A30">
              <w:rPr>
                <w:rFonts w:asciiTheme="minorHAnsi" w:hAnsiTheme="minorHAnsi" w:cstheme="majorBidi"/>
                <w:b/>
                <w:bCs/>
                <w:color w:val="000000"/>
                <w:szCs w:val="22"/>
                <w:lang w:val="fr-CH"/>
              </w:rPr>
              <w:t>)</w:t>
            </w:r>
            <w:proofErr w:type="gramEnd"/>
            <w:r w:rsidRPr="00075A30">
              <w:rPr>
                <w:rFonts w:asciiTheme="minorHAnsi" w:hAnsiTheme="minorHAnsi" w:cstheme="majorBidi"/>
                <w:b/>
                <w:bCs/>
                <w:szCs w:val="22"/>
                <w:lang w:val="fr-CH"/>
              </w:rPr>
              <w:br/>
            </w:r>
            <w:hyperlink r:id="rId33" w:history="1">
              <w:r w:rsidRPr="00075A30">
                <w:rPr>
                  <w:rStyle w:val="Hyperlink"/>
                  <w:rFonts w:asciiTheme="minorHAnsi" w:hAnsiTheme="minorHAnsi" w:cstheme="majorBidi"/>
                  <w:szCs w:val="22"/>
                  <w:lang w:val="fr-CH"/>
                </w:rPr>
                <w:t>(RRB18-1/INFO/1)</w:t>
              </w:r>
            </w:hyperlink>
          </w:p>
        </w:tc>
        <w:tc>
          <w:tcPr>
            <w:tcW w:w="6946" w:type="dxa"/>
            <w:gridSpan w:val="2"/>
          </w:tcPr>
          <w:p w:rsidR="006859FC" w:rsidRPr="00075A30" w:rsidRDefault="006859FC" w:rsidP="007D1FD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color w:val="000000"/>
                <w:sz w:val="22"/>
                <w:szCs w:val="22"/>
                <w:lang w:val="fr-CH"/>
              </w:rPr>
              <w:t>Le Comité a décidé que le Groupe de travail chargé d</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examiner la Résolution</w:t>
            </w:r>
            <w:r w:rsidR="007D1FDA" w:rsidRPr="00075A30">
              <w:rPr>
                <w:rFonts w:asciiTheme="minorHAnsi" w:hAnsiTheme="minorHAnsi" w:cstheme="majorBidi"/>
                <w:color w:val="000000"/>
                <w:sz w:val="22"/>
                <w:szCs w:val="22"/>
                <w:lang w:val="fr-CH"/>
              </w:rPr>
              <w:t> </w:t>
            </w:r>
            <w:r w:rsidRPr="00075A30">
              <w:rPr>
                <w:rFonts w:asciiTheme="minorHAnsi" w:hAnsiTheme="minorHAnsi" w:cstheme="majorBidi"/>
                <w:b/>
                <w:bCs/>
                <w:color w:val="000000"/>
                <w:sz w:val="22"/>
                <w:szCs w:val="22"/>
                <w:lang w:val="fr-CH"/>
              </w:rPr>
              <w:t>80 (Rév.CMR-07)</w:t>
            </w:r>
            <w:r w:rsidRPr="00075A30">
              <w:rPr>
                <w:rFonts w:asciiTheme="minorHAnsi" w:hAnsiTheme="minorHAnsi" w:cstheme="majorBidi"/>
                <w:color w:val="000000"/>
                <w:sz w:val="22"/>
                <w:szCs w:val="22"/>
                <w:lang w:val="fr-CH"/>
              </w:rPr>
              <w:t xml:space="preserve"> établirait un avant-projet du rapport qui sera soumis à la CMR-19 au titre de la Résolution </w:t>
            </w:r>
            <w:r w:rsidRPr="00075A30">
              <w:rPr>
                <w:rFonts w:asciiTheme="minorHAnsi" w:hAnsiTheme="minorHAnsi" w:cstheme="majorBidi"/>
                <w:b/>
                <w:bCs/>
                <w:color w:val="000000"/>
                <w:sz w:val="22"/>
                <w:szCs w:val="22"/>
                <w:lang w:val="fr-CH"/>
              </w:rPr>
              <w:t>80 (Rév.CMR-07)</w:t>
            </w:r>
            <w:r w:rsidRPr="00075A30">
              <w:rPr>
                <w:rFonts w:asciiTheme="minorHAnsi" w:hAnsiTheme="minorHAnsi" w:cstheme="majorBidi"/>
                <w:color w:val="000000"/>
                <w:sz w:val="22"/>
                <w:szCs w:val="22"/>
                <w:lang w:val="fr-CH"/>
              </w:rPr>
              <w:t xml:space="preserve"> pour examen à la 79ème réunion. Le Comité a décidé de mener ses travaux par correspondance et de continuer d</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appliquer l</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approche qui consiste à analyser systématiquement les questions qu</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il est amené à étudier depuis la CMR-15 et qui influent sur le respect des principes énoncés dans l</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 xml:space="preserve">article 44 de la Constitution et au numéro </w:t>
            </w:r>
            <w:r w:rsidRPr="00075A30">
              <w:rPr>
                <w:rFonts w:asciiTheme="minorHAnsi" w:hAnsiTheme="minorHAnsi" w:cstheme="majorBidi"/>
                <w:b/>
                <w:bCs/>
                <w:color w:val="000000"/>
                <w:sz w:val="22"/>
                <w:szCs w:val="22"/>
                <w:lang w:val="fr-CH"/>
              </w:rPr>
              <w:t>0.3</w:t>
            </w:r>
            <w:r w:rsidRPr="00075A30">
              <w:rPr>
                <w:rFonts w:asciiTheme="minorHAnsi" w:hAnsiTheme="minorHAnsi" w:cstheme="majorBidi"/>
                <w:color w:val="000000"/>
                <w:sz w:val="22"/>
                <w:szCs w:val="22"/>
                <w:lang w:val="fr-CH"/>
              </w:rPr>
              <w:t xml:space="preserve"> du Préambule du Règlement des radiocommunications et d</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 xml:space="preserve">identifier des solutions possibles. Le Comité a remercié </w:t>
            </w:r>
            <w:r w:rsidRPr="00075A30">
              <w:rPr>
                <w:rFonts w:asciiTheme="minorHAnsi" w:hAnsiTheme="minorHAnsi" w:cstheme="majorBidi"/>
                <w:sz w:val="22"/>
                <w:szCs w:val="22"/>
                <w:lang w:val="fr-CH"/>
              </w:rPr>
              <w:t>Mme J. WILSON pour le travail qu</w:t>
            </w:r>
            <w:r w:rsidR="00D92F23" w:rsidRPr="00075A30">
              <w:rPr>
                <w:rFonts w:asciiTheme="minorHAnsi" w:hAnsiTheme="minorHAnsi" w:cstheme="majorBidi"/>
                <w:sz w:val="22"/>
                <w:szCs w:val="22"/>
                <w:lang w:val="fr-CH"/>
              </w:rPr>
              <w:t>'</w:t>
            </w:r>
            <w:r w:rsidRPr="00075A30">
              <w:rPr>
                <w:rFonts w:asciiTheme="minorHAnsi" w:hAnsiTheme="minorHAnsi" w:cstheme="majorBidi"/>
                <w:sz w:val="22"/>
                <w:szCs w:val="22"/>
                <w:lang w:val="fr-CH"/>
              </w:rPr>
              <w:t xml:space="preserve">elle avait accompli sur cette question. </w:t>
            </w:r>
          </w:p>
        </w:tc>
        <w:tc>
          <w:tcPr>
            <w:tcW w:w="2413" w:type="dxa"/>
          </w:tcPr>
          <w:p w:rsidR="006859FC" w:rsidRPr="00075A30" w:rsidRDefault="007D1FDA" w:rsidP="006859FC">
            <w:pPr>
              <w:pStyle w:val="Tabletext"/>
              <w:tabs>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10</w:t>
            </w:r>
          </w:p>
        </w:tc>
        <w:tc>
          <w:tcPr>
            <w:tcW w:w="3824" w:type="dxa"/>
          </w:tcPr>
          <w:p w:rsidR="006859FC" w:rsidRPr="00075A30" w:rsidRDefault="006859FC" w:rsidP="006859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szCs w:val="22"/>
                <w:lang w:val="fr-CH"/>
              </w:rPr>
              <w:t>Participation du RRB à la Conférence de plénipot</w:t>
            </w:r>
            <w:r w:rsidR="007D1FDA" w:rsidRPr="00075A30">
              <w:rPr>
                <w:rFonts w:asciiTheme="minorHAnsi" w:hAnsiTheme="minorHAnsi" w:cstheme="majorBidi"/>
                <w:szCs w:val="22"/>
                <w:lang w:val="fr-CH"/>
              </w:rPr>
              <w:t>entiaires de 2018 (PP-18) et au </w:t>
            </w:r>
            <w:r w:rsidRPr="00075A30">
              <w:rPr>
                <w:rFonts w:asciiTheme="minorHAnsi" w:hAnsiTheme="minorHAnsi" w:cstheme="majorBidi"/>
                <w:szCs w:val="22"/>
                <w:lang w:val="fr-CH"/>
              </w:rPr>
              <w:t>Séminaire mondial des r</w:t>
            </w:r>
            <w:r w:rsidR="007D1FDA" w:rsidRPr="00075A30">
              <w:rPr>
                <w:rFonts w:asciiTheme="minorHAnsi" w:hAnsiTheme="minorHAnsi" w:cstheme="majorBidi"/>
                <w:szCs w:val="22"/>
                <w:lang w:val="fr-CH"/>
              </w:rPr>
              <w:t>adiocommunications de 2018 (WRS</w:t>
            </w:r>
            <w:r w:rsidR="007D1FDA" w:rsidRPr="00075A30">
              <w:rPr>
                <w:rFonts w:asciiTheme="minorHAnsi" w:hAnsiTheme="minorHAnsi" w:cstheme="majorBidi"/>
                <w:szCs w:val="22"/>
                <w:lang w:val="fr-CH"/>
              </w:rPr>
              <w:noBreakHyphen/>
            </w:r>
            <w:r w:rsidRPr="00075A30">
              <w:rPr>
                <w:rFonts w:asciiTheme="minorHAnsi" w:hAnsiTheme="minorHAnsi" w:cstheme="majorBidi"/>
                <w:szCs w:val="22"/>
                <w:lang w:val="fr-CH"/>
              </w:rPr>
              <w:t>18)</w:t>
            </w:r>
          </w:p>
        </w:tc>
        <w:tc>
          <w:tcPr>
            <w:tcW w:w="6946" w:type="dxa"/>
            <w:gridSpan w:val="2"/>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 xml:space="preserve">Compte tenu du </w:t>
            </w:r>
            <w:r w:rsidRPr="00075A30">
              <w:rPr>
                <w:rFonts w:asciiTheme="minorHAnsi" w:hAnsiTheme="minorHAnsi" w:cstheme="majorBidi"/>
                <w:color w:val="000000"/>
                <w:sz w:val="22"/>
                <w:szCs w:val="22"/>
                <w:lang w:val="fr-CH"/>
              </w:rPr>
              <w:t xml:space="preserve">numéro 141A de la Convention, </w:t>
            </w:r>
            <w:r w:rsidRPr="00075A30">
              <w:rPr>
                <w:rFonts w:asciiTheme="minorHAnsi" w:hAnsiTheme="minorHAnsi" w:cstheme="majorBidi"/>
                <w:sz w:val="22"/>
                <w:szCs w:val="22"/>
                <w:lang w:val="fr-CH"/>
              </w:rPr>
              <w:t xml:space="preserve">le Comité </w:t>
            </w:r>
            <w:r w:rsidRPr="00075A30">
              <w:rPr>
                <w:rFonts w:asciiTheme="minorHAnsi" w:hAnsiTheme="minorHAnsi" w:cstheme="majorBidi"/>
                <w:color w:val="000000"/>
                <w:sz w:val="22"/>
                <w:szCs w:val="22"/>
                <w:lang w:val="fr-CH"/>
              </w:rPr>
              <w:t>a décidé que</w:t>
            </w:r>
            <w:r w:rsidR="007D1FDA" w:rsidRPr="00075A30">
              <w:rPr>
                <w:rFonts w:asciiTheme="minorHAnsi" w:hAnsiTheme="minorHAnsi" w:cstheme="majorBidi"/>
                <w:sz w:val="22"/>
                <w:szCs w:val="22"/>
                <w:lang w:val="fr-CH"/>
              </w:rPr>
              <w:t xml:space="preserve"> M. </w:t>
            </w:r>
            <w:r w:rsidRPr="00075A30">
              <w:rPr>
                <w:rFonts w:asciiTheme="minorHAnsi" w:hAnsiTheme="minorHAnsi" w:cstheme="majorBidi"/>
                <w:sz w:val="22"/>
                <w:szCs w:val="22"/>
                <w:lang w:val="fr-CH"/>
              </w:rPr>
              <w:t xml:space="preserve">M. BESSI et M.V. STRELETS </w:t>
            </w:r>
            <w:r w:rsidRPr="00075A30">
              <w:rPr>
                <w:rFonts w:asciiTheme="minorHAnsi" w:hAnsiTheme="minorHAnsi" w:cstheme="majorBidi"/>
                <w:color w:val="000000"/>
                <w:sz w:val="22"/>
                <w:szCs w:val="22"/>
                <w:lang w:val="fr-CH"/>
              </w:rPr>
              <w:t>représenteraient le Comité à la Conférence de plénipotentiaires de</w:t>
            </w:r>
            <w:r w:rsidRPr="00075A30">
              <w:rPr>
                <w:rFonts w:asciiTheme="minorHAnsi" w:hAnsiTheme="minorHAnsi" w:cstheme="majorBidi"/>
                <w:sz w:val="22"/>
                <w:szCs w:val="22"/>
                <w:lang w:val="fr-CH"/>
              </w:rPr>
              <w:t xml:space="preserve"> 2018 (PP-18).</w:t>
            </w:r>
          </w:p>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 xml:space="preserve">En outre, le Comité a décidé que M. S. KIBE </w:t>
            </w:r>
            <w:r w:rsidRPr="00075A30">
              <w:rPr>
                <w:rFonts w:asciiTheme="minorHAnsi" w:hAnsiTheme="minorHAnsi" w:cstheme="majorBidi"/>
                <w:color w:val="000000"/>
                <w:sz w:val="22"/>
                <w:szCs w:val="22"/>
                <w:lang w:val="fr-CH"/>
              </w:rPr>
              <w:t>représenterait le RRB au Séminaire mondial des radiocommunications de 2018 (WRS-18).</w:t>
            </w:r>
            <w:r w:rsidRPr="00075A30">
              <w:rPr>
                <w:rFonts w:asciiTheme="minorHAnsi" w:hAnsiTheme="minorHAnsi" w:cstheme="majorBidi"/>
                <w:sz w:val="22"/>
                <w:szCs w:val="22"/>
                <w:lang w:val="fr-CH"/>
              </w:rPr>
              <w:t xml:space="preserve"> </w:t>
            </w:r>
          </w:p>
        </w:tc>
        <w:tc>
          <w:tcPr>
            <w:tcW w:w="2413" w:type="dxa"/>
          </w:tcPr>
          <w:p w:rsidR="006859FC" w:rsidRPr="00075A30" w:rsidRDefault="007D1FDA" w:rsidP="006859FC">
            <w:pPr>
              <w:pStyle w:val="Tabletext"/>
              <w:tabs>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lastRenderedPageBreak/>
              <w:t>11</w:t>
            </w:r>
          </w:p>
        </w:tc>
        <w:tc>
          <w:tcPr>
            <w:tcW w:w="3824" w:type="dxa"/>
          </w:tcPr>
          <w:p w:rsidR="006859FC" w:rsidRPr="00075A30" w:rsidRDefault="006859FC" w:rsidP="006859F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color w:val="000000"/>
                <w:szCs w:val="22"/>
                <w:lang w:val="fr-CH"/>
              </w:rPr>
              <w:t xml:space="preserve">Confirmation de la date de la prochaine réunion de </w:t>
            </w:r>
            <w:r w:rsidRPr="00075A30">
              <w:rPr>
                <w:rFonts w:asciiTheme="minorHAnsi" w:hAnsiTheme="minorHAnsi" w:cstheme="majorBidi"/>
                <w:szCs w:val="22"/>
                <w:lang w:val="fr-CH"/>
              </w:rPr>
              <w:t>2018</w:t>
            </w:r>
            <w:r w:rsidRPr="00075A30">
              <w:rPr>
                <w:rFonts w:asciiTheme="minorHAnsi" w:hAnsiTheme="minorHAnsi" w:cstheme="majorBidi"/>
                <w:color w:val="000000"/>
                <w:szCs w:val="22"/>
                <w:lang w:val="fr-CH"/>
              </w:rPr>
              <w:t xml:space="preserve"> et dates indicatives des réunions futures</w:t>
            </w:r>
          </w:p>
        </w:tc>
        <w:tc>
          <w:tcPr>
            <w:tcW w:w="6946" w:type="dxa"/>
            <w:gridSpan w:val="2"/>
          </w:tcPr>
          <w:p w:rsidR="006859FC" w:rsidRPr="00075A30" w:rsidRDefault="006859FC" w:rsidP="007D1FDA">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Cs w:val="22"/>
                <w:lang w:val="fr-CH"/>
              </w:rPr>
            </w:pPr>
            <w:r w:rsidRPr="00075A30">
              <w:rPr>
                <w:rFonts w:asciiTheme="minorHAnsi" w:hAnsiTheme="minorHAnsi" w:cstheme="majorBidi"/>
                <w:szCs w:val="22"/>
                <w:lang w:val="fr-CH"/>
              </w:rPr>
              <w:t>Le Comité a confirmé qu</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il tiendrait sa 78ème réunion du 16 au 20 juillet 2018 dans la </w:t>
            </w:r>
            <w:r w:rsidR="007D1FDA" w:rsidRPr="00075A30">
              <w:rPr>
                <w:rFonts w:asciiTheme="minorHAnsi" w:hAnsiTheme="minorHAnsi" w:cstheme="majorBidi"/>
                <w:szCs w:val="22"/>
                <w:lang w:val="fr-CH"/>
              </w:rPr>
              <w:t>S</w:t>
            </w:r>
            <w:r w:rsidRPr="00075A30">
              <w:rPr>
                <w:rFonts w:asciiTheme="minorHAnsi" w:hAnsiTheme="minorHAnsi" w:cstheme="majorBidi"/>
                <w:szCs w:val="22"/>
                <w:lang w:val="fr-CH"/>
              </w:rPr>
              <w:t>alle L et a également confirmé provisoirement qu</w:t>
            </w:r>
            <w:r w:rsidR="00D92F23" w:rsidRPr="00075A30">
              <w:rPr>
                <w:rFonts w:asciiTheme="minorHAnsi" w:hAnsiTheme="minorHAnsi" w:cstheme="majorBidi"/>
                <w:szCs w:val="22"/>
                <w:lang w:val="fr-CH"/>
              </w:rPr>
              <w:t>'</w:t>
            </w:r>
            <w:r w:rsidRPr="00075A30">
              <w:rPr>
                <w:rFonts w:asciiTheme="minorHAnsi" w:hAnsiTheme="minorHAnsi" w:cstheme="majorBidi"/>
                <w:szCs w:val="22"/>
                <w:lang w:val="fr-CH"/>
              </w:rPr>
              <w:t xml:space="preserve">il tiendrait sa troisième réunion de 2018 à la date suivante: </w:t>
            </w:r>
          </w:p>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sz w:val="22"/>
                <w:szCs w:val="22"/>
                <w:lang w:val="fr-CH"/>
              </w:rPr>
              <w:t>79ème réunion: 26-30 novembre 2018</w:t>
            </w:r>
            <w:r w:rsidR="007D1FDA" w:rsidRPr="00075A30">
              <w:rPr>
                <w:rFonts w:asciiTheme="minorHAnsi" w:hAnsiTheme="minorHAnsi" w:cstheme="majorBidi"/>
                <w:color w:val="000000"/>
                <w:sz w:val="22"/>
                <w:szCs w:val="22"/>
                <w:lang w:val="fr-CH"/>
              </w:rPr>
              <w:t>.</w:t>
            </w:r>
          </w:p>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color w:val="000000"/>
                <w:sz w:val="22"/>
                <w:szCs w:val="22"/>
                <w:lang w:val="fr-CH"/>
              </w:rPr>
              <w:t>Le Bureau a également confirmé provisoirement qu</w:t>
            </w:r>
            <w:r w:rsidR="00D92F23" w:rsidRPr="00075A30">
              <w:rPr>
                <w:rFonts w:asciiTheme="minorHAnsi" w:hAnsiTheme="minorHAnsi" w:cstheme="majorBidi"/>
                <w:color w:val="000000"/>
                <w:sz w:val="22"/>
                <w:szCs w:val="22"/>
                <w:lang w:val="fr-CH"/>
              </w:rPr>
              <w:t>'</w:t>
            </w:r>
            <w:r w:rsidRPr="00075A30">
              <w:rPr>
                <w:rFonts w:asciiTheme="minorHAnsi" w:hAnsiTheme="minorHAnsi" w:cstheme="majorBidi"/>
                <w:color w:val="000000"/>
                <w:sz w:val="22"/>
                <w:szCs w:val="22"/>
                <w:lang w:val="fr-CH"/>
              </w:rPr>
              <w:t xml:space="preserve">il tiendrait ses prochaines réunions de 2019 aux dates suivantes: </w:t>
            </w:r>
          </w:p>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color w:val="000000"/>
                <w:sz w:val="22"/>
                <w:szCs w:val="22"/>
                <w:lang w:val="fr-CH"/>
              </w:rPr>
              <w:t xml:space="preserve">80ème </w:t>
            </w:r>
            <w:r w:rsidRPr="00075A30">
              <w:rPr>
                <w:rFonts w:asciiTheme="minorHAnsi" w:hAnsiTheme="minorHAnsi" w:cstheme="majorBidi"/>
                <w:sz w:val="22"/>
                <w:szCs w:val="22"/>
                <w:lang w:val="fr-CH"/>
              </w:rPr>
              <w:t xml:space="preserve">réunion </w:t>
            </w:r>
            <w:r w:rsidRPr="00075A30">
              <w:rPr>
                <w:rFonts w:asciiTheme="minorHAnsi" w:hAnsiTheme="minorHAnsi" w:cstheme="majorBidi"/>
                <w:color w:val="000000"/>
                <w:sz w:val="22"/>
                <w:szCs w:val="22"/>
                <w:lang w:val="fr-CH"/>
              </w:rPr>
              <w:tab/>
            </w:r>
            <w:r w:rsidRPr="00075A30">
              <w:rPr>
                <w:rFonts w:asciiTheme="minorHAnsi" w:hAnsiTheme="minorHAnsi" w:cstheme="majorBidi"/>
                <w:color w:val="000000"/>
                <w:sz w:val="22"/>
                <w:szCs w:val="22"/>
                <w:lang w:val="fr-CH"/>
              </w:rPr>
              <w:tab/>
              <w:t>18-22 mars 2019</w:t>
            </w:r>
          </w:p>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color w:val="000000"/>
                <w:sz w:val="22"/>
                <w:szCs w:val="22"/>
                <w:lang w:val="fr-CH"/>
              </w:rPr>
              <w:t xml:space="preserve">81ème </w:t>
            </w:r>
            <w:r w:rsidRPr="00075A30">
              <w:rPr>
                <w:rFonts w:asciiTheme="minorHAnsi" w:hAnsiTheme="minorHAnsi" w:cstheme="majorBidi"/>
                <w:sz w:val="22"/>
                <w:szCs w:val="22"/>
                <w:lang w:val="fr-CH"/>
              </w:rPr>
              <w:t xml:space="preserve">réunion </w:t>
            </w:r>
            <w:r w:rsidRPr="00075A30">
              <w:rPr>
                <w:rFonts w:asciiTheme="minorHAnsi" w:hAnsiTheme="minorHAnsi" w:cstheme="majorBidi"/>
                <w:color w:val="000000"/>
                <w:sz w:val="22"/>
                <w:szCs w:val="22"/>
                <w:lang w:val="fr-CH"/>
              </w:rPr>
              <w:tab/>
            </w:r>
            <w:r w:rsidRPr="00075A30">
              <w:rPr>
                <w:rFonts w:asciiTheme="minorHAnsi" w:hAnsiTheme="minorHAnsi" w:cstheme="majorBidi"/>
                <w:color w:val="000000"/>
                <w:sz w:val="22"/>
                <w:szCs w:val="22"/>
                <w:lang w:val="fr-CH"/>
              </w:rPr>
              <w:tab/>
              <w:t>1</w:t>
            </w:r>
            <w:r w:rsidRPr="00075A30">
              <w:rPr>
                <w:rFonts w:asciiTheme="minorHAnsi" w:hAnsiTheme="minorHAnsi" w:cstheme="majorBidi"/>
                <w:sz w:val="22"/>
                <w:szCs w:val="22"/>
              </w:rPr>
              <w:t>er</w:t>
            </w:r>
            <w:r w:rsidRPr="00075A30">
              <w:rPr>
                <w:rFonts w:asciiTheme="minorHAnsi" w:hAnsiTheme="minorHAnsi" w:cstheme="majorBidi"/>
                <w:color w:val="000000"/>
                <w:sz w:val="22"/>
                <w:szCs w:val="22"/>
                <w:lang w:val="fr-CH"/>
              </w:rPr>
              <w:t xml:space="preserve">-10 </w:t>
            </w:r>
            <w:r w:rsidRPr="00075A30">
              <w:rPr>
                <w:rFonts w:asciiTheme="minorHAnsi" w:hAnsiTheme="minorHAnsi" w:cstheme="majorBidi"/>
                <w:sz w:val="22"/>
                <w:szCs w:val="22"/>
                <w:lang w:val="fr-CH"/>
              </w:rPr>
              <w:t>juillet</w:t>
            </w:r>
            <w:r w:rsidRPr="00075A30">
              <w:rPr>
                <w:rFonts w:asciiTheme="minorHAnsi" w:hAnsiTheme="minorHAnsi" w:cstheme="majorBidi"/>
                <w:color w:val="000000"/>
                <w:sz w:val="22"/>
                <w:szCs w:val="22"/>
                <w:lang w:val="fr-CH"/>
              </w:rPr>
              <w:t xml:space="preserve"> 2019</w:t>
            </w:r>
          </w:p>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075A30">
              <w:rPr>
                <w:rFonts w:asciiTheme="minorHAnsi" w:hAnsiTheme="minorHAnsi" w:cstheme="majorBidi"/>
                <w:color w:val="000000"/>
                <w:sz w:val="22"/>
                <w:szCs w:val="22"/>
              </w:rPr>
              <w:t xml:space="preserve">82ème </w:t>
            </w:r>
            <w:r w:rsidRPr="00075A30">
              <w:rPr>
                <w:rFonts w:asciiTheme="minorHAnsi" w:hAnsiTheme="minorHAnsi" w:cstheme="majorBidi"/>
                <w:sz w:val="22"/>
                <w:szCs w:val="22"/>
                <w:lang w:val="fr-CH"/>
              </w:rPr>
              <w:t xml:space="preserve">réunion </w:t>
            </w:r>
            <w:r w:rsidRPr="00075A30">
              <w:rPr>
                <w:rFonts w:asciiTheme="minorHAnsi" w:hAnsiTheme="minorHAnsi" w:cstheme="majorBidi"/>
                <w:color w:val="000000"/>
                <w:sz w:val="22"/>
                <w:szCs w:val="22"/>
              </w:rPr>
              <w:tab/>
            </w:r>
            <w:r w:rsidRPr="00075A30">
              <w:rPr>
                <w:rFonts w:asciiTheme="minorHAnsi" w:hAnsiTheme="minorHAnsi" w:cstheme="majorBidi"/>
                <w:color w:val="000000"/>
                <w:sz w:val="22"/>
                <w:szCs w:val="22"/>
              </w:rPr>
              <w:tab/>
              <w:t>7-11 octobre 2019</w:t>
            </w:r>
          </w:p>
        </w:tc>
        <w:tc>
          <w:tcPr>
            <w:tcW w:w="2413" w:type="dxa"/>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trHeight w:val="576"/>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12</w:t>
            </w:r>
          </w:p>
        </w:tc>
        <w:tc>
          <w:tcPr>
            <w:tcW w:w="3824" w:type="dxa"/>
          </w:tcPr>
          <w:p w:rsidR="006859FC" w:rsidRPr="00075A30" w:rsidRDefault="006859FC" w:rsidP="006859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Divers</w:t>
            </w:r>
          </w:p>
        </w:tc>
        <w:tc>
          <w:tcPr>
            <w:tcW w:w="6946" w:type="dxa"/>
            <w:gridSpan w:val="2"/>
          </w:tcPr>
          <w:p w:rsidR="006859FC" w:rsidRPr="00075A30" w:rsidRDefault="006859FC" w:rsidP="006859F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75A30">
              <w:rPr>
                <w:rFonts w:asciiTheme="minorHAnsi" w:hAnsiTheme="minorHAnsi" w:cstheme="majorBidi"/>
                <w:color w:val="000000"/>
                <w:sz w:val="22"/>
                <w:szCs w:val="22"/>
              </w:rPr>
              <w:t>–</w:t>
            </w:r>
          </w:p>
        </w:tc>
        <w:tc>
          <w:tcPr>
            <w:tcW w:w="2413" w:type="dxa"/>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13</w:t>
            </w:r>
          </w:p>
        </w:tc>
        <w:tc>
          <w:tcPr>
            <w:tcW w:w="3824" w:type="dxa"/>
          </w:tcPr>
          <w:p w:rsidR="006859FC" w:rsidRPr="00075A30" w:rsidRDefault="006859FC" w:rsidP="006859FC">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CH"/>
              </w:rPr>
            </w:pPr>
            <w:r w:rsidRPr="00075A30">
              <w:rPr>
                <w:rFonts w:asciiTheme="minorHAnsi" w:hAnsiTheme="minorHAnsi" w:cstheme="majorBidi"/>
                <w:bCs/>
                <w:szCs w:val="22"/>
                <w:lang w:val="fr-CH"/>
              </w:rPr>
              <w:t xml:space="preserve">Approbation du résumé des </w:t>
            </w:r>
            <w:proofErr w:type="gramStart"/>
            <w:r w:rsidRPr="00075A30">
              <w:rPr>
                <w:rFonts w:asciiTheme="minorHAnsi" w:hAnsiTheme="minorHAnsi" w:cstheme="majorBidi"/>
                <w:bCs/>
                <w:szCs w:val="22"/>
                <w:lang w:val="fr-CH"/>
              </w:rPr>
              <w:t>décisions</w:t>
            </w:r>
            <w:proofErr w:type="gramEnd"/>
            <w:r w:rsidRPr="00075A30">
              <w:rPr>
                <w:rFonts w:asciiTheme="minorHAnsi" w:hAnsiTheme="minorHAnsi" w:cstheme="majorBidi"/>
                <w:szCs w:val="22"/>
                <w:lang w:val="fr-CH"/>
              </w:rPr>
              <w:br/>
            </w:r>
            <w:hyperlink r:id="rId34" w:history="1">
              <w:r w:rsidRPr="00075A30">
                <w:rPr>
                  <w:rStyle w:val="Hyperlink"/>
                  <w:rFonts w:asciiTheme="minorHAnsi" w:hAnsiTheme="minorHAnsi" w:cstheme="majorBidi"/>
                  <w:szCs w:val="22"/>
                  <w:lang w:val="fr-CH"/>
                </w:rPr>
                <w:t>(RRB18-1/10)</w:t>
              </w:r>
            </w:hyperlink>
            <w:bookmarkStart w:id="9" w:name="_GoBack"/>
            <w:bookmarkEnd w:id="9"/>
          </w:p>
        </w:tc>
        <w:tc>
          <w:tcPr>
            <w:tcW w:w="6946" w:type="dxa"/>
            <w:gridSpan w:val="2"/>
          </w:tcPr>
          <w:p w:rsidR="006859FC" w:rsidRPr="00075A30" w:rsidRDefault="006859FC" w:rsidP="006859F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lang w:val="fr-CH"/>
              </w:rPr>
            </w:pPr>
            <w:r w:rsidRPr="00075A30">
              <w:rPr>
                <w:rFonts w:asciiTheme="minorHAnsi" w:hAnsiTheme="minorHAnsi" w:cstheme="majorBidi"/>
                <w:sz w:val="22"/>
                <w:szCs w:val="22"/>
                <w:lang w:val="fr-CH"/>
              </w:rPr>
              <w:t xml:space="preserve">Le Comité a approuvé le résumé des décisions figurant dans le </w:t>
            </w:r>
            <w:r w:rsidRPr="00075A30">
              <w:rPr>
                <w:rFonts w:asciiTheme="minorHAnsi" w:hAnsiTheme="minorHAnsi" w:cstheme="majorBidi"/>
                <w:color w:val="000000"/>
                <w:sz w:val="22"/>
                <w:szCs w:val="22"/>
                <w:lang w:val="fr-CH"/>
              </w:rPr>
              <w:t>Document RRB18-1/10.</w:t>
            </w:r>
          </w:p>
        </w:tc>
        <w:tc>
          <w:tcPr>
            <w:tcW w:w="2413" w:type="dxa"/>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60" w:after="60"/>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r w:rsidR="006859FC" w:rsidRPr="00075A30" w:rsidTr="000E0869">
        <w:trPr>
          <w:trHeight w:val="620"/>
          <w:jc w:val="center"/>
        </w:trPr>
        <w:tc>
          <w:tcPr>
            <w:cnfStyle w:val="001000000000" w:firstRow="0" w:lastRow="0" w:firstColumn="1" w:lastColumn="0" w:oddVBand="0" w:evenVBand="0" w:oddHBand="0" w:evenHBand="0" w:firstRowFirstColumn="0" w:firstRowLastColumn="0" w:lastRowFirstColumn="0" w:lastRowLastColumn="0"/>
            <w:tcW w:w="846" w:type="dxa"/>
          </w:tcPr>
          <w:p w:rsidR="006859FC" w:rsidRPr="00075A30" w:rsidRDefault="006859FC" w:rsidP="006859FC">
            <w:pPr>
              <w:pStyle w:val="Tabletext"/>
              <w:spacing w:before="120" w:after="120"/>
              <w:jc w:val="center"/>
              <w:rPr>
                <w:rFonts w:asciiTheme="minorHAnsi" w:hAnsiTheme="minorHAnsi" w:cstheme="majorBidi"/>
                <w:szCs w:val="22"/>
              </w:rPr>
            </w:pPr>
            <w:r w:rsidRPr="00075A30">
              <w:rPr>
                <w:rFonts w:asciiTheme="minorHAnsi" w:hAnsiTheme="minorHAnsi" w:cstheme="majorBidi"/>
                <w:szCs w:val="22"/>
              </w:rPr>
              <w:t>14</w:t>
            </w:r>
          </w:p>
        </w:tc>
        <w:tc>
          <w:tcPr>
            <w:tcW w:w="3824" w:type="dxa"/>
          </w:tcPr>
          <w:p w:rsidR="006859FC" w:rsidRPr="00075A30" w:rsidRDefault="006859FC" w:rsidP="006859FC">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bCs/>
                <w:szCs w:val="22"/>
              </w:rPr>
              <w:t>Clôture de la réunion</w:t>
            </w:r>
          </w:p>
        </w:tc>
        <w:tc>
          <w:tcPr>
            <w:tcW w:w="6946" w:type="dxa"/>
            <w:gridSpan w:val="2"/>
          </w:tcPr>
          <w:p w:rsidR="006859FC" w:rsidRPr="00075A30" w:rsidRDefault="006859FC" w:rsidP="006859F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fr-CH"/>
              </w:rPr>
            </w:pPr>
            <w:r w:rsidRPr="00075A30">
              <w:rPr>
                <w:rFonts w:asciiTheme="minorHAnsi" w:hAnsiTheme="minorHAnsi" w:cstheme="majorBidi"/>
                <w:sz w:val="22"/>
                <w:szCs w:val="22"/>
                <w:lang w:val="fr-CH"/>
              </w:rPr>
              <w:t>La réunion a été déclarée close à 11 h 30.</w:t>
            </w:r>
          </w:p>
        </w:tc>
        <w:tc>
          <w:tcPr>
            <w:tcW w:w="2413" w:type="dxa"/>
          </w:tcPr>
          <w:p w:rsidR="006859FC" w:rsidRPr="00075A30" w:rsidRDefault="006859FC" w:rsidP="006859FC">
            <w:pPr>
              <w:pStyle w:val="Tabletext"/>
              <w:tabs>
                <w:tab w:val="clear" w:pos="567"/>
                <w:tab w:val="clear" w:pos="851"/>
                <w:tab w:val="clear" w:pos="1134"/>
                <w:tab w:val="clear" w:pos="1418"/>
                <w:tab w:val="clear" w:pos="1701"/>
                <w:tab w:val="clear" w:pos="2268"/>
                <w:tab w:val="left" w:pos="2195"/>
              </w:tabs>
              <w:spacing w:before="60" w:after="60"/>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075A30">
              <w:rPr>
                <w:rFonts w:asciiTheme="minorHAnsi" w:hAnsiTheme="minorHAnsi" w:cstheme="majorBidi"/>
                <w:szCs w:val="22"/>
              </w:rPr>
              <w:t>–</w:t>
            </w:r>
          </w:p>
        </w:tc>
      </w:tr>
    </w:tbl>
    <w:p w:rsidR="00FB2ED0" w:rsidRDefault="00FB2ED0" w:rsidP="00C67361"/>
    <w:p w:rsidR="00E62EF5" w:rsidRDefault="00FB2ED0" w:rsidP="00C67361">
      <w:pPr>
        <w:jc w:val="center"/>
      </w:pPr>
      <w:r>
        <w:t>______________</w:t>
      </w:r>
    </w:p>
    <w:sectPr w:rsidR="00E62EF5" w:rsidSect="00813B83">
      <w:headerReference w:type="default" r:id="rId35"/>
      <w:footerReference w:type="even" r:id="rId36"/>
      <w:footerReference w:type="default" r:id="rId37"/>
      <w:headerReference w:type="first" r:id="rId38"/>
      <w:footerReference w:type="first" r:id="rId39"/>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FF" w:rsidRDefault="008073FF">
      <w:r>
        <w:separator/>
      </w:r>
    </w:p>
  </w:endnote>
  <w:endnote w:type="continuationSeparator" w:id="0">
    <w:p w:rsidR="008073FF" w:rsidRDefault="0080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Pr="00865CDF" w:rsidRDefault="008073FF" w:rsidP="008073FF">
    <w:pPr>
      <w:pStyle w:val="Footer"/>
      <w:rPr>
        <w:lang w:val="en-US"/>
      </w:rPr>
    </w:pPr>
    <w:r>
      <w:rPr>
        <w:lang w:val="en-US"/>
      </w:rPr>
      <w:t>(407302)</w:t>
    </w:r>
  </w:p>
  <w:p w:rsidR="008073FF" w:rsidRDefault="0080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Pr="008073FF" w:rsidRDefault="008073FF" w:rsidP="008073FF">
    <w:pPr>
      <w:pStyle w:val="Footer"/>
    </w:pPr>
    <w:r>
      <w:t xml:space="preserve"> (434046)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Default="008073FF">
    <w:pPr>
      <w:pStyle w:val="Footer"/>
      <w:rPr>
        <w:lang w:val="en-US"/>
      </w:rPr>
    </w:pPr>
    <w:r>
      <w:fldChar w:fldCharType="begin"/>
    </w:r>
    <w:r w:rsidRPr="00E95901">
      <w:rPr>
        <w:lang w:val="en-US"/>
      </w:rPr>
      <w:instrText xml:space="preserve"> FILENAME \p \* MERGEFORMAT </w:instrText>
    </w:r>
    <w:r>
      <w:fldChar w:fldCharType="separate"/>
    </w:r>
    <w:r w:rsidR="002231EA">
      <w:rPr>
        <w:lang w:val="en-US"/>
      </w:rPr>
      <w:t>M:\RRB\RRB18\RRB18-1\Summary\010F.docx</w:t>
    </w:r>
    <w:r>
      <w:rPr>
        <w:lang w:val="en-US"/>
      </w:rPr>
      <w:fldChar w:fldCharType="end"/>
    </w:r>
    <w:r>
      <w:rPr>
        <w:lang w:val="en-US"/>
      </w:rPr>
      <w:tab/>
    </w:r>
    <w:r>
      <w:fldChar w:fldCharType="begin"/>
    </w:r>
    <w:r>
      <w:instrText xml:space="preserve"> savedate \@ dd.MM.yy </w:instrText>
    </w:r>
    <w:r>
      <w:fldChar w:fldCharType="separate"/>
    </w:r>
    <w:r w:rsidR="002231EA">
      <w:t>29.03.18</w:t>
    </w:r>
    <w:r>
      <w:fldChar w:fldCharType="end"/>
    </w:r>
    <w:r>
      <w:rPr>
        <w:lang w:val="en-US"/>
      </w:rPr>
      <w:tab/>
    </w:r>
    <w:r>
      <w:fldChar w:fldCharType="begin"/>
    </w:r>
    <w:r>
      <w:instrText xml:space="preserve"> printdate \@ dd.MM.yy </w:instrText>
    </w:r>
    <w:r>
      <w:fldChar w:fldCharType="separate"/>
    </w:r>
    <w:r w:rsidR="002231EA">
      <w:t>29.03.18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Default="00A211C4" w:rsidP="00C26B12">
    <w:pPr>
      <w:pStyle w:val="Footer"/>
      <w:rPr>
        <w:lang w:val="en-US"/>
      </w:rPr>
    </w:pPr>
    <w:r>
      <w:rPr>
        <w:lang w:val="en-US"/>
      </w:rPr>
      <w:t>(434046</w:t>
    </w:r>
    <w:r w:rsidR="008073FF" w:rsidRPr="00E95901">
      <w:rPr>
        <w:lang w:val="en-US"/>
      </w:rPr>
      <w:t>)</w:t>
    </w:r>
    <w:r w:rsidR="00C26B12">
      <w:rPr>
        <w:lang w:val="en-U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Default="00813B83" w:rsidP="00075A30">
    <w:pPr>
      <w:pStyle w:val="Footer"/>
      <w:jc w:val="both"/>
      <w:rPr>
        <w:lang w:val="en-US"/>
      </w:rPr>
    </w:pPr>
    <w:r>
      <w:rPr>
        <w:lang w:val="en-US"/>
      </w:rPr>
      <w:t>(434046)</w:t>
    </w:r>
    <w:r w:rsidR="00075A30">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FF" w:rsidRDefault="008073FF">
      <w:r>
        <w:t>____________________</w:t>
      </w:r>
    </w:p>
  </w:footnote>
  <w:footnote w:type="continuationSeparator" w:id="0">
    <w:p w:rsidR="008073FF" w:rsidRDefault="0080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4135"/>
      <w:docPartObj>
        <w:docPartGallery w:val="Page Numbers (Top of Page)"/>
        <w:docPartUnique/>
      </w:docPartObj>
    </w:sdtPr>
    <w:sdtEndPr>
      <w:rPr>
        <w:noProof/>
      </w:rPr>
    </w:sdtEndPr>
    <w:sdtContent>
      <w:p w:rsidR="008073FF" w:rsidRDefault="008073FF" w:rsidP="008073FF">
        <w:pPr>
          <w:pStyle w:val="Header"/>
        </w:pPr>
        <w:r>
          <w:fldChar w:fldCharType="begin"/>
        </w:r>
        <w:r>
          <w:instrText xml:space="preserve"> PAGE   \* MERGEFORMAT </w:instrText>
        </w:r>
        <w:r>
          <w:fldChar w:fldCharType="separate"/>
        </w:r>
        <w:r>
          <w:rPr>
            <w:noProof/>
          </w:rPr>
          <w:t>3</w:t>
        </w:r>
        <w:r>
          <w:rPr>
            <w:noProof/>
          </w:rPr>
          <w:fldChar w:fldCharType="end"/>
        </w:r>
        <w:r>
          <w:rPr>
            <w:noProof/>
          </w:rPr>
          <w:br/>
          <w:t>RRB18-1/10-E</w:t>
        </w:r>
      </w:p>
    </w:sdtContent>
  </w:sdt>
  <w:p w:rsidR="008073FF" w:rsidRPr="002E5BC7" w:rsidRDefault="008073FF" w:rsidP="00807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FF" w:rsidRDefault="008073FF">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31EA">
      <w:rPr>
        <w:rStyle w:val="PageNumber"/>
        <w:noProof/>
      </w:rPr>
      <w:t>13</w:t>
    </w:r>
    <w:r>
      <w:rPr>
        <w:rStyle w:val="PageNumber"/>
      </w:rPr>
      <w:fldChar w:fldCharType="end"/>
    </w:r>
    <w:r>
      <w:rPr>
        <w:rStyle w:val="PageNumber"/>
      </w:rPr>
      <w:t xml:space="preserve"> -</w:t>
    </w:r>
  </w:p>
  <w:p w:rsidR="008073FF" w:rsidRDefault="008073FF" w:rsidP="000E0869">
    <w:pPr>
      <w:pStyle w:val="Header"/>
      <w:spacing w:after="120"/>
      <w:rPr>
        <w:rStyle w:val="PageNumber"/>
      </w:rPr>
    </w:pPr>
    <w:r>
      <w:rPr>
        <w:rStyle w:val="PageNumber"/>
      </w:rPr>
      <w:t>RRB18-1/10-F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82291"/>
      <w:docPartObj>
        <w:docPartGallery w:val="Page Numbers (Top of Page)"/>
        <w:docPartUnique/>
      </w:docPartObj>
    </w:sdtPr>
    <w:sdtEndPr>
      <w:rPr>
        <w:noProof/>
      </w:rPr>
    </w:sdtEndPr>
    <w:sdtContent>
      <w:p w:rsidR="00813B83" w:rsidRDefault="00813B83" w:rsidP="00813B83">
        <w:pPr>
          <w:pStyle w:val="Header"/>
        </w:pPr>
        <w:r>
          <w:fldChar w:fldCharType="begin"/>
        </w:r>
        <w:r>
          <w:instrText xml:space="preserve"> PAGE   \* MERGEFORMAT </w:instrText>
        </w:r>
        <w:r>
          <w:fldChar w:fldCharType="separate"/>
        </w:r>
        <w:r w:rsidR="002231EA">
          <w:rPr>
            <w:noProof/>
          </w:rPr>
          <w:t>3</w:t>
        </w:r>
        <w:r>
          <w:rPr>
            <w:noProof/>
          </w:rPr>
          <w:fldChar w:fldCharType="end"/>
        </w:r>
        <w:r>
          <w:rPr>
            <w:noProof/>
          </w:rPr>
          <w:br/>
          <w:t>RRB18-1/10-F</w:t>
        </w:r>
      </w:p>
    </w:sdtContent>
  </w:sdt>
  <w:p w:rsidR="00813B83" w:rsidRDefault="0081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57A8"/>
    <w:multiLevelType w:val="hybridMultilevel"/>
    <w:tmpl w:val="044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5A0C"/>
    <w:multiLevelType w:val="hybridMultilevel"/>
    <w:tmpl w:val="095A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A3141"/>
    <w:multiLevelType w:val="hybridMultilevel"/>
    <w:tmpl w:val="ADE0E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D07F0"/>
    <w:multiLevelType w:val="hybridMultilevel"/>
    <w:tmpl w:val="07C8E716"/>
    <w:lvl w:ilvl="0" w:tplc="08090017">
      <w:start w:val="1"/>
      <w:numFmt w:val="lowerLetter"/>
      <w:lvlText w:val="%1)"/>
      <w:lvlJc w:val="left"/>
      <w:pPr>
        <w:ind w:left="22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3C570E"/>
    <w:multiLevelType w:val="hybridMultilevel"/>
    <w:tmpl w:val="FD6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CD"/>
    <w:rsid w:val="000339D6"/>
    <w:rsid w:val="00045B9D"/>
    <w:rsid w:val="00051C7E"/>
    <w:rsid w:val="00053BFA"/>
    <w:rsid w:val="00075A30"/>
    <w:rsid w:val="00090E2B"/>
    <w:rsid w:val="000E0869"/>
    <w:rsid w:val="000E451C"/>
    <w:rsid w:val="00170516"/>
    <w:rsid w:val="001A13E5"/>
    <w:rsid w:val="001E3104"/>
    <w:rsid w:val="001E7A27"/>
    <w:rsid w:val="001F3032"/>
    <w:rsid w:val="00214DE6"/>
    <w:rsid w:val="00215E09"/>
    <w:rsid w:val="00217705"/>
    <w:rsid w:val="002231EA"/>
    <w:rsid w:val="00252719"/>
    <w:rsid w:val="0029217E"/>
    <w:rsid w:val="00293E9C"/>
    <w:rsid w:val="002F63D7"/>
    <w:rsid w:val="003121DA"/>
    <w:rsid w:val="00320648"/>
    <w:rsid w:val="003772E9"/>
    <w:rsid w:val="00406EB5"/>
    <w:rsid w:val="00415FB1"/>
    <w:rsid w:val="00421325"/>
    <w:rsid w:val="004661FF"/>
    <w:rsid w:val="004F235D"/>
    <w:rsid w:val="00513B5C"/>
    <w:rsid w:val="0055741F"/>
    <w:rsid w:val="005616B0"/>
    <w:rsid w:val="005C3F21"/>
    <w:rsid w:val="005E787A"/>
    <w:rsid w:val="006657B5"/>
    <w:rsid w:val="006859FC"/>
    <w:rsid w:val="006926EF"/>
    <w:rsid w:val="006E10AD"/>
    <w:rsid w:val="0070144E"/>
    <w:rsid w:val="00701D98"/>
    <w:rsid w:val="00707C32"/>
    <w:rsid w:val="00780DF4"/>
    <w:rsid w:val="007B6A97"/>
    <w:rsid w:val="007C38EA"/>
    <w:rsid w:val="007D1FDA"/>
    <w:rsid w:val="007F00A9"/>
    <w:rsid w:val="00802EA7"/>
    <w:rsid w:val="008073FF"/>
    <w:rsid w:val="00813B83"/>
    <w:rsid w:val="008452DF"/>
    <w:rsid w:val="00860074"/>
    <w:rsid w:val="008C345A"/>
    <w:rsid w:val="008F7058"/>
    <w:rsid w:val="00910697"/>
    <w:rsid w:val="00960B40"/>
    <w:rsid w:val="009837B7"/>
    <w:rsid w:val="009A538B"/>
    <w:rsid w:val="009B6C04"/>
    <w:rsid w:val="009C4FD4"/>
    <w:rsid w:val="009D0416"/>
    <w:rsid w:val="009D4A49"/>
    <w:rsid w:val="00A211C4"/>
    <w:rsid w:val="00A47990"/>
    <w:rsid w:val="00A54E48"/>
    <w:rsid w:val="00AB34F8"/>
    <w:rsid w:val="00AC31B0"/>
    <w:rsid w:val="00AF4C9A"/>
    <w:rsid w:val="00B052A8"/>
    <w:rsid w:val="00B46779"/>
    <w:rsid w:val="00BA524A"/>
    <w:rsid w:val="00C26B12"/>
    <w:rsid w:val="00C27328"/>
    <w:rsid w:val="00C34ACD"/>
    <w:rsid w:val="00C51C61"/>
    <w:rsid w:val="00C67361"/>
    <w:rsid w:val="00C82663"/>
    <w:rsid w:val="00C90A0E"/>
    <w:rsid w:val="00D141AE"/>
    <w:rsid w:val="00D207A1"/>
    <w:rsid w:val="00D92F23"/>
    <w:rsid w:val="00DB4FF7"/>
    <w:rsid w:val="00DB50F9"/>
    <w:rsid w:val="00DC7268"/>
    <w:rsid w:val="00E05784"/>
    <w:rsid w:val="00E43B19"/>
    <w:rsid w:val="00E62EF5"/>
    <w:rsid w:val="00E95901"/>
    <w:rsid w:val="00EB35AA"/>
    <w:rsid w:val="00EE46E5"/>
    <w:rsid w:val="00F827AB"/>
    <w:rsid w:val="00FB2ED0"/>
    <w:rsid w:val="00FB6433"/>
    <w:rsid w:val="00FD09B7"/>
    <w:rsid w:val="00FE2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C94C06-F6C8-4B3A-A382-4DA8F975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aliases w:val="pie de página"/>
    <w:basedOn w:val="Normal"/>
    <w:link w:val="FooterChar"/>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70516"/>
    <w:rPr>
      <w:position w:val="6"/>
      <w:sz w:val="18"/>
    </w:rPr>
  </w:style>
  <w:style w:type="paragraph" w:styleId="FootnoteText">
    <w:name w:val="footnote text"/>
    <w:basedOn w:val="Note"/>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aliases w:val="encabezado,Page No,header odd,header odd1,header odd2,header,he"/>
    <w:basedOn w:val="Normal"/>
    <w:link w:val="HeaderChar"/>
    <w:uiPriority w:val="99"/>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character" w:styleId="Hyperlink">
    <w:name w:val="Hyperlink"/>
    <w:basedOn w:val="DefaultParagraphFont"/>
    <w:uiPriority w:val="99"/>
    <w:unhideWhenUsed/>
    <w:rsid w:val="008452DF"/>
    <w:rPr>
      <w:color w:val="0000FF" w:themeColor="hyperlink"/>
      <w:u w:val="single"/>
    </w:rPr>
  </w:style>
  <w:style w:type="character" w:customStyle="1" w:styleId="Heading1Char">
    <w:name w:val="Heading 1 Char"/>
    <w:link w:val="Heading1"/>
    <w:rsid w:val="008452DF"/>
    <w:rPr>
      <w:rFonts w:ascii="Times New Roman" w:hAnsi="Times New Roman"/>
      <w:b/>
      <w:sz w:val="24"/>
      <w:lang w:val="fr-FR" w:eastAsia="en-US"/>
    </w:rPr>
  </w:style>
  <w:style w:type="character" w:customStyle="1" w:styleId="TabletextChar">
    <w:name w:val="Table_text Char"/>
    <w:basedOn w:val="DefaultParagraphFont"/>
    <w:link w:val="Tabletext"/>
    <w:locked/>
    <w:rsid w:val="008452DF"/>
    <w:rPr>
      <w:rFonts w:ascii="Times New Roman" w:hAnsi="Times New Roman"/>
      <w:sz w:val="22"/>
      <w:lang w:val="fr-FR" w:eastAsia="en-US"/>
    </w:rPr>
  </w:style>
  <w:style w:type="character" w:customStyle="1" w:styleId="FooterChar">
    <w:name w:val="Footer Char"/>
    <w:aliases w:val="pie de página Char"/>
    <w:basedOn w:val="DefaultParagraphFont"/>
    <w:link w:val="Footer"/>
    <w:locked/>
    <w:rsid w:val="008452DF"/>
    <w:rPr>
      <w:rFonts w:ascii="Times New Roman" w:hAnsi="Times New Roman"/>
      <w:caps/>
      <w:noProof/>
      <w:sz w:val="16"/>
      <w:lang w:val="fr-FR"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8452DF"/>
    <w:rPr>
      <w:rFonts w:ascii="Times New Roman" w:hAnsi="Times New Roman"/>
      <w:sz w:val="18"/>
      <w:lang w:val="fr-FR" w:eastAsia="en-US"/>
    </w:rPr>
  </w:style>
  <w:style w:type="paragraph" w:styleId="ListParagraph">
    <w:name w:val="List Paragraph"/>
    <w:basedOn w:val="Normal"/>
    <w:uiPriority w:val="34"/>
    <w:qFormat/>
    <w:rsid w:val="008452D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8452DF"/>
    <w:pPr>
      <w:autoSpaceDE w:val="0"/>
      <w:autoSpaceDN w:val="0"/>
      <w:adjustRightInd w:val="0"/>
    </w:pPr>
    <w:rPr>
      <w:rFonts w:ascii="Arial" w:eastAsiaTheme="minorEastAsia" w:hAnsi="Arial" w:cs="Arial"/>
      <w:color w:val="000000"/>
      <w:sz w:val="24"/>
      <w:szCs w:val="24"/>
    </w:rPr>
  </w:style>
  <w:style w:type="table" w:customStyle="1" w:styleId="ListTable4-Accent11">
    <w:name w:val="List Table 4 - Accent 11"/>
    <w:basedOn w:val="TableNormal"/>
    <w:uiPriority w:val="49"/>
    <w:rsid w:val="008452DF"/>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asons">
    <w:name w:val="Reasons"/>
    <w:basedOn w:val="Normal"/>
    <w:qFormat/>
    <w:rsid w:val="00FB2ED0"/>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md/R18-RRB18.1-C-0002/fr" TargetMode="External"/><Relationship Id="rId18" Type="http://schemas.openxmlformats.org/officeDocument/2006/relationships/hyperlink" Target="https://www.itu.int/md/R18-RRB18.1-C-0002/fr" TargetMode="External"/><Relationship Id="rId26" Type="http://schemas.openxmlformats.org/officeDocument/2006/relationships/hyperlink" Target="https://www.itu.int/md/R18-RRB18.1-C-0005/fr"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itu.int/md/R18-RRB18.1-C-0001/fr" TargetMode="External"/><Relationship Id="rId34" Type="http://schemas.openxmlformats.org/officeDocument/2006/relationships/hyperlink" Target="https://www.itu.int/md/R18-RRB18.1-C-0010/fr" TargetMode="External"/><Relationship Id="rId7" Type="http://schemas.openxmlformats.org/officeDocument/2006/relationships/image" Target="media/image1.jpeg"/><Relationship Id="rId12" Type="http://schemas.openxmlformats.org/officeDocument/2006/relationships/hyperlink" Target="https://www.itu.int/md/R18-RRB18.1-C-0002/fr" TargetMode="External"/><Relationship Id="rId17" Type="http://schemas.openxmlformats.org/officeDocument/2006/relationships/hyperlink" Target="https://www.itu.int/md/R18-RRB18.1-C-0002/fr" TargetMode="External"/><Relationship Id="rId25" Type="http://schemas.openxmlformats.org/officeDocument/2006/relationships/hyperlink" Target="https://www.itu.int/md/R18-RRB18.1-C-0008/fr" TargetMode="External"/><Relationship Id="rId33" Type="http://schemas.openxmlformats.org/officeDocument/2006/relationships/hyperlink" Target="https://www.itu.int/md/R18-RRB18.1-INF-0001/fr"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tu.int/md/R18-RRB18.1-C-0002/fr" TargetMode="External"/><Relationship Id="rId20" Type="http://schemas.openxmlformats.org/officeDocument/2006/relationships/hyperlink" Target="https://www.itu.int/md/R18-RRB18.1-C-0002/fr" TargetMode="External"/><Relationship Id="rId29" Type="http://schemas.openxmlformats.org/officeDocument/2006/relationships/hyperlink" Target="https://www.itu.int/md/R18-RRB18.1-C-0009/f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8-RRB18.1-OJ/fr" TargetMode="External"/><Relationship Id="rId24" Type="http://schemas.openxmlformats.org/officeDocument/2006/relationships/hyperlink" Target="https://www.itu.int/md/R18-RRB18.1-C-0006/fr" TargetMode="External"/><Relationship Id="rId32" Type="http://schemas.openxmlformats.org/officeDocument/2006/relationships/hyperlink" Target="https://www.itu.int/md/R18-RRB18.1-SP-0002/fr"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R18-RRB18.1-C-0002/fr" TargetMode="External"/><Relationship Id="rId23" Type="http://schemas.openxmlformats.org/officeDocument/2006/relationships/hyperlink" Target="https://www.itu.int/md/R18-RRB18.1-C-0004/fr" TargetMode="External"/><Relationship Id="rId28" Type="http://schemas.openxmlformats.org/officeDocument/2006/relationships/hyperlink" Target="https://www.itu.int/md/R18-RRB18.1-C-0003/fr"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itu.int/md/R18-RRB18.1-C-0002/fr" TargetMode="External"/><Relationship Id="rId31" Type="http://schemas.openxmlformats.org/officeDocument/2006/relationships/hyperlink" Target="https://www.itu.int/md/R18-RRB18.1-SP-0001/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md/R18-RRB18.1-C-0002/fr" TargetMode="External"/><Relationship Id="rId22" Type="http://schemas.openxmlformats.org/officeDocument/2006/relationships/hyperlink" Target="https://www.itu.int/md/R16-RRB16.2-C-0003/en" TargetMode="External"/><Relationship Id="rId27" Type="http://schemas.openxmlformats.org/officeDocument/2006/relationships/hyperlink" Target="https://www.itu.int/md/R18-RRB18.1-C-0005/fr" TargetMode="External"/><Relationship Id="rId30" Type="http://schemas.openxmlformats.org/officeDocument/2006/relationships/hyperlink" Target="https://www.itu.int/md/R18-RRB18.1-C-0007/fr"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RRB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PF_RRB18.dotm</Template>
  <TotalTime>9</TotalTime>
  <Pages>12</Pages>
  <Words>3457</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Résumé des Décisions e la 77ème réunion du RRB (19-23 mars 2018)</vt:lpstr>
    </vt:vector>
  </TitlesOfParts>
  <Manager>General Secretariat - Pool</Manager>
  <Company>International Telecommunication Union (ITU)</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Décisions e la 77ème réunion du RRB (19-23 mars 2018)</dc:title>
  <dc:subject>COMITÉ DU RÈGLEMENT DES RADIOCOMMUNICATIONS</dc:subject>
  <dc:creator>Royer, Veronique</dc:creator>
  <cp:keywords/>
  <dc:description>PF_RRB08.DOT  For: _x000d_Document date: _x000d_Saved by TRA44246 at 15:28:08 on 30.07.2008</dc:description>
  <cp:lastModifiedBy>Gozal, Karine</cp:lastModifiedBy>
  <cp:revision>5</cp:revision>
  <cp:lastPrinted>2018-03-29T08:06:00Z</cp:lastPrinted>
  <dcterms:created xsi:type="dcterms:W3CDTF">2018-03-29T07:58:00Z</dcterms:created>
  <dcterms:modified xsi:type="dcterms:W3CDTF">2018-03-29T08:06:00Z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