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236F" w:rsidRPr="006D4B72" w14:paraId="29AE0A64" w14:textId="77777777">
        <w:trPr>
          <w:cantSplit/>
        </w:trPr>
        <w:tc>
          <w:tcPr>
            <w:tcW w:w="6629" w:type="dxa"/>
          </w:tcPr>
          <w:p w14:paraId="38A35CCD" w14:textId="77777777" w:rsidR="0056236F" w:rsidRPr="006D4B72" w:rsidRDefault="0056236F" w:rsidP="00FA6784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6D4B72">
              <w:rPr>
                <w:rFonts w:ascii="Verdana" w:hAnsi="Verdana" w:cs="Times New Roman Bold"/>
                <w:b/>
                <w:szCs w:val="24"/>
              </w:rPr>
              <w:t>Assemblée des Radiocommunications (AR-19)</w:t>
            </w:r>
            <w:r w:rsidRPr="006D4B72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6D4B72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60664A" w:rsidRPr="006D4B72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Pr="006D4B72">
              <w:rPr>
                <w:rFonts w:ascii="Verdana" w:hAnsi="Verdana"/>
                <w:b/>
                <w:bCs/>
                <w:sz w:val="18"/>
                <w:szCs w:val="18"/>
              </w:rPr>
              <w:t>gypte, 21-25 octobre 2019</w:t>
            </w:r>
          </w:p>
        </w:tc>
        <w:tc>
          <w:tcPr>
            <w:tcW w:w="3402" w:type="dxa"/>
          </w:tcPr>
          <w:p w14:paraId="6E2C044E" w14:textId="77777777" w:rsidR="0056236F" w:rsidRPr="006D4B72" w:rsidRDefault="0056236F" w:rsidP="00FA6784">
            <w:pPr>
              <w:jc w:val="right"/>
            </w:pPr>
            <w:bookmarkStart w:id="0" w:name="ditulogo"/>
            <w:bookmarkEnd w:id="0"/>
            <w:r w:rsidRPr="006D4B72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4F63D968" wp14:editId="44983A48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6F" w:rsidRPr="006D4B72" w14:paraId="26613F50" w14:textId="7777777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14D16118" w14:textId="77777777" w:rsidR="0056236F" w:rsidRPr="006D4B72" w:rsidRDefault="0056236F" w:rsidP="00FA6784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F868320" w14:textId="77777777" w:rsidR="0056236F" w:rsidRPr="006D4B72" w:rsidRDefault="0056236F" w:rsidP="00FA678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6236F" w:rsidRPr="006D4B72" w14:paraId="74B949B4" w14:textId="7777777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7BC6ADFC" w14:textId="77777777" w:rsidR="0056236F" w:rsidRPr="006D4B72" w:rsidRDefault="0056236F" w:rsidP="00FA678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00D9928" w14:textId="77777777" w:rsidR="0056236F" w:rsidRPr="006D4B72" w:rsidRDefault="0056236F" w:rsidP="00FA678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56236F" w:rsidRPr="006D4B72" w14:paraId="7AD0AB30" w14:textId="77777777">
        <w:trPr>
          <w:cantSplit/>
          <w:trHeight w:val="23"/>
        </w:trPr>
        <w:tc>
          <w:tcPr>
            <w:tcW w:w="6629" w:type="dxa"/>
            <w:vMerge w:val="restart"/>
          </w:tcPr>
          <w:p w14:paraId="034D64BF" w14:textId="77777777" w:rsidR="006506F4" w:rsidRPr="006D4B72" w:rsidRDefault="006506F4" w:rsidP="00FA678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 w:rsidRPr="006D4B72">
              <w:rPr>
                <w:rFonts w:ascii="Verdana" w:hAnsi="Verdana"/>
                <w:b/>
                <w:sz w:val="20"/>
              </w:rPr>
              <w:t>SÉANCE PLÉNIÈRE</w:t>
            </w:r>
          </w:p>
          <w:p w14:paraId="72AC35AE" w14:textId="77777777" w:rsidR="0056236F" w:rsidRPr="006D4B72" w:rsidRDefault="0056236F" w:rsidP="00FA6784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14:paraId="53944966" w14:textId="77777777" w:rsidR="0056236F" w:rsidRPr="006D4B72" w:rsidRDefault="0056236F" w:rsidP="00FA6784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 w:rsidRPr="006D4B72">
              <w:rPr>
                <w:rFonts w:ascii="Verdana" w:hAnsi="Verdana"/>
                <w:b/>
                <w:sz w:val="20"/>
              </w:rPr>
              <w:t>Document RA19/</w:t>
            </w:r>
            <w:r w:rsidR="00C059D2" w:rsidRPr="006D4B72">
              <w:rPr>
                <w:rFonts w:ascii="Verdana" w:hAnsi="Verdana"/>
                <w:b/>
                <w:sz w:val="20"/>
              </w:rPr>
              <w:t>PLEN/2</w:t>
            </w:r>
            <w:r w:rsidRPr="006D4B72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6236F" w:rsidRPr="006D4B72" w14:paraId="6E4DF3BC" w14:textId="77777777">
        <w:trPr>
          <w:cantSplit/>
          <w:trHeight w:val="23"/>
        </w:trPr>
        <w:tc>
          <w:tcPr>
            <w:tcW w:w="6629" w:type="dxa"/>
            <w:vMerge/>
          </w:tcPr>
          <w:p w14:paraId="3244482D" w14:textId="77777777" w:rsidR="0056236F" w:rsidRPr="006D4B72" w:rsidRDefault="0056236F" w:rsidP="00FA6784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14:paraId="0091A405" w14:textId="77777777" w:rsidR="0056236F" w:rsidRPr="006D4B72" w:rsidRDefault="00C059D2" w:rsidP="00FA6784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6D4B72">
              <w:rPr>
                <w:rFonts w:ascii="Verdana" w:hAnsi="Verdana"/>
                <w:b/>
                <w:sz w:val="20"/>
              </w:rPr>
              <w:t>17 septembre</w:t>
            </w:r>
            <w:r w:rsidR="0056236F" w:rsidRPr="006D4B72">
              <w:rPr>
                <w:rFonts w:ascii="Verdana" w:hAnsi="Verdana"/>
                <w:b/>
                <w:sz w:val="20"/>
              </w:rPr>
              <w:t xml:space="preserve"> 201</w:t>
            </w:r>
            <w:r w:rsidR="0060664A" w:rsidRPr="006D4B72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6236F" w:rsidRPr="006D4B72" w14:paraId="1F26BF1A" w14:textId="77777777">
        <w:trPr>
          <w:cantSplit/>
          <w:trHeight w:val="23"/>
        </w:trPr>
        <w:tc>
          <w:tcPr>
            <w:tcW w:w="6629" w:type="dxa"/>
            <w:vMerge/>
          </w:tcPr>
          <w:p w14:paraId="3F8C5BAC" w14:textId="77777777" w:rsidR="0056236F" w:rsidRPr="006D4B72" w:rsidRDefault="0056236F" w:rsidP="00FA6784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06A5BBEA" w14:textId="77777777" w:rsidR="0056236F" w:rsidRPr="006D4B72" w:rsidRDefault="0056236F" w:rsidP="00FA6784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6D4B72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C059D2" w:rsidRPr="006D4B72" w14:paraId="77E02248" w14:textId="77777777" w:rsidTr="00493A69">
        <w:trPr>
          <w:cantSplit/>
          <w:trHeight w:val="23"/>
        </w:trPr>
        <w:tc>
          <w:tcPr>
            <w:tcW w:w="10031" w:type="dxa"/>
            <w:gridSpan w:val="2"/>
          </w:tcPr>
          <w:p w14:paraId="2C7DF9AD" w14:textId="4755E826" w:rsidR="00C059D2" w:rsidRPr="006D4B72" w:rsidRDefault="00C059D2" w:rsidP="00FA6784">
            <w:pPr>
              <w:pStyle w:val="Source"/>
            </w:pPr>
            <w:bookmarkStart w:id="7" w:name="lt_pId007"/>
            <w:r w:rsidRPr="006D4B72">
              <w:t xml:space="preserve">Président de la Réunion de préparation à la Conférence </w:t>
            </w:r>
            <w:r w:rsidR="00A93B81" w:rsidRPr="006D4B72">
              <w:t>pour</w:t>
            </w:r>
            <w:r w:rsidRPr="006D4B72">
              <w:t xml:space="preserve"> la CMR-1</w:t>
            </w:r>
            <w:bookmarkEnd w:id="7"/>
            <w:r w:rsidRPr="006D4B72">
              <w:t>9</w:t>
            </w:r>
          </w:p>
        </w:tc>
      </w:tr>
      <w:tr w:rsidR="00C059D2" w:rsidRPr="006D4B72" w14:paraId="72062133" w14:textId="77777777" w:rsidTr="00CC498A">
        <w:trPr>
          <w:cantSplit/>
          <w:trHeight w:val="23"/>
        </w:trPr>
        <w:tc>
          <w:tcPr>
            <w:tcW w:w="10031" w:type="dxa"/>
            <w:gridSpan w:val="2"/>
          </w:tcPr>
          <w:p w14:paraId="6C902C73" w14:textId="448464A0" w:rsidR="00C059D2" w:rsidRPr="006D4B72" w:rsidRDefault="00C059D2" w:rsidP="00FA6784">
            <w:pPr>
              <w:pStyle w:val="Title1"/>
            </w:pPr>
            <w:bookmarkStart w:id="8" w:name="lt_pId008"/>
            <w:r w:rsidRPr="006D4B72">
              <w:t>rapport du président de la rpc pour la cMR-1</w:t>
            </w:r>
            <w:bookmarkEnd w:id="8"/>
            <w:r w:rsidRPr="006D4B72">
              <w:t>9</w:t>
            </w:r>
          </w:p>
        </w:tc>
      </w:tr>
      <w:tr w:rsidR="00B9065A" w:rsidRPr="006D4B72" w14:paraId="2BB4F122" w14:textId="77777777" w:rsidTr="00631A5C">
        <w:trPr>
          <w:cantSplit/>
          <w:trHeight w:val="23"/>
        </w:trPr>
        <w:tc>
          <w:tcPr>
            <w:tcW w:w="10031" w:type="dxa"/>
            <w:gridSpan w:val="2"/>
          </w:tcPr>
          <w:p w14:paraId="7034913E" w14:textId="77777777" w:rsidR="00B9065A" w:rsidRPr="006D4B72" w:rsidRDefault="00B9065A" w:rsidP="00FA6784">
            <w:pPr>
              <w:pStyle w:val="Title2"/>
            </w:pPr>
          </w:p>
        </w:tc>
      </w:tr>
    </w:tbl>
    <w:bookmarkEnd w:id="4"/>
    <w:bookmarkEnd w:id="6"/>
    <w:p w14:paraId="136AAE4D" w14:textId="77777777" w:rsidR="00C059D2" w:rsidRPr="006D4B72" w:rsidRDefault="00C059D2" w:rsidP="00FA6784">
      <w:pPr>
        <w:pStyle w:val="Heading1"/>
      </w:pPr>
      <w:r w:rsidRPr="006D4B72">
        <w:t>1</w:t>
      </w:r>
      <w:r w:rsidRPr="006D4B72">
        <w:tab/>
      </w:r>
      <w:bookmarkStart w:id="9" w:name="lt_pId010"/>
      <w:r w:rsidRPr="006D4B72">
        <w:t>Introduction</w:t>
      </w:r>
      <w:bookmarkEnd w:id="9"/>
    </w:p>
    <w:p w14:paraId="7EAD6AC1" w14:textId="709169FD" w:rsidR="00C059D2" w:rsidRPr="006D4B72" w:rsidRDefault="00C059D2" w:rsidP="00FA6784">
      <w:bookmarkStart w:id="10" w:name="lt_pId011"/>
      <w:r w:rsidRPr="006D4B72">
        <w:t xml:space="preserve">La Conférence mondiale des radiocommunications </w:t>
      </w:r>
      <w:r w:rsidR="006C47C2" w:rsidRPr="006D4B72">
        <w:t xml:space="preserve">de 2019 </w:t>
      </w:r>
      <w:r w:rsidRPr="006D4B72">
        <w:t>(CMR-19) aura lieu du 28 octobre au 22 novembre 2019, immédiatement après l'Assemblée des radiocommunications</w:t>
      </w:r>
      <w:r w:rsidR="006C47C2" w:rsidRPr="006D4B72">
        <w:t xml:space="preserve"> de 2019</w:t>
      </w:r>
      <w:r w:rsidRPr="006D4B72">
        <w:t xml:space="preserve"> (AR-19)</w:t>
      </w:r>
      <w:r w:rsidR="006C47C2" w:rsidRPr="006D4B72">
        <w:t xml:space="preserve">, qui aura lieu </w:t>
      </w:r>
      <w:r w:rsidRPr="006D4B72">
        <w:t>du 21 au 25 octobre 2019 (voir la Résolution 1380 (</w:t>
      </w:r>
      <w:r w:rsidR="00A93B81" w:rsidRPr="006D4B72">
        <w:t xml:space="preserve">modifiée </w:t>
      </w:r>
      <w:r w:rsidR="00D47558" w:rsidRPr="006D4B72">
        <w:t>par le Conseil de l'UIT à sa session de 2017</w:t>
      </w:r>
      <w:r w:rsidRPr="006D4B72">
        <w:t>)</w:t>
      </w:r>
      <w:r w:rsidR="00ED283C">
        <w:t>)</w:t>
      </w:r>
      <w:r w:rsidRPr="006D4B72">
        <w:t>.</w:t>
      </w:r>
      <w:bookmarkEnd w:id="10"/>
    </w:p>
    <w:p w14:paraId="5DE56373" w14:textId="00D824CF" w:rsidR="00C059D2" w:rsidRPr="006D4B72" w:rsidRDefault="00C059D2" w:rsidP="00FA6784">
      <w:bookmarkStart w:id="11" w:name="lt_pId012"/>
      <w:r w:rsidRPr="006D4B72">
        <w:t>L'ordre du jour de la CMR-19, qui figure dans cette même Résolution du Conseil, a été établi sur la base de la Résolution 809 (CMR-15).</w:t>
      </w:r>
      <w:bookmarkEnd w:id="11"/>
    </w:p>
    <w:p w14:paraId="44251E00" w14:textId="6B8C4CF1" w:rsidR="00C059D2" w:rsidRPr="006D4B72" w:rsidRDefault="00C059D2" w:rsidP="00FA6784">
      <w:bookmarkStart w:id="12" w:name="lt_pId014"/>
      <w:r w:rsidRPr="006D4B72">
        <w:t>L'Assemblée des radiocommunications de 2015 (AR</w:t>
      </w:r>
      <w:r w:rsidRPr="006D4B72">
        <w:noBreakHyphen/>
        <w:t>15) a reconfirmé, par sa Résolution UIT</w:t>
      </w:r>
      <w:r w:rsidRPr="006D4B72">
        <w:noBreakHyphen/>
        <w:t>R 2</w:t>
      </w:r>
      <w:r w:rsidRPr="006D4B72">
        <w:noBreakHyphen/>
        <w:t>7, que les études préparatoires à la CMR-19 devaient être effectuées par une Réunion de préparation à la Conférence (RPC) et a désigné</w:t>
      </w:r>
      <w:r w:rsidR="00A93B81" w:rsidRPr="006D4B72">
        <w:t xml:space="preserve"> </w:t>
      </w:r>
      <w:r w:rsidRPr="006D4B72">
        <w:t>M. Khalid Al-Awadi (Émirats arabes unis)</w:t>
      </w:r>
      <w:r w:rsidR="00A93B81" w:rsidRPr="006D4B72">
        <w:t xml:space="preserve"> à la fonction de Président de la RPC-19</w:t>
      </w:r>
      <w:r w:rsidRPr="006D4B72">
        <w:t xml:space="preserve"> et </w:t>
      </w:r>
      <w:bookmarkEnd w:id="12"/>
      <w:r w:rsidRPr="006D4B72">
        <w:t>M. Mohammed Al Badi (</w:t>
      </w:r>
      <w:r w:rsidR="00590361" w:rsidRPr="006D4B72">
        <w:t>Oman (Sultanat d')</w:t>
      </w:r>
      <w:r w:rsidRPr="006D4B72">
        <w:t>), M</w:t>
      </w:r>
      <w:r w:rsidR="00590361" w:rsidRPr="006D4B72">
        <w:t>me</w:t>
      </w:r>
      <w:r w:rsidRPr="006D4B72">
        <w:t> Chantal Beaumier (Canada), M</w:t>
      </w:r>
      <w:r w:rsidR="00590361" w:rsidRPr="006D4B72">
        <w:t>.</w:t>
      </w:r>
      <w:r w:rsidRPr="006D4B72">
        <w:t xml:space="preserve"> Xiaoyang Gao (</w:t>
      </w:r>
      <w:r w:rsidR="00590361" w:rsidRPr="006D4B72">
        <w:t>Chine (République populaire de)</w:t>
      </w:r>
      <w:r w:rsidRPr="006D4B72">
        <w:t>), M</w:t>
      </w:r>
      <w:r w:rsidR="00590361" w:rsidRPr="006D4B72">
        <w:t>.</w:t>
      </w:r>
      <w:r w:rsidRPr="006D4B72">
        <w:t xml:space="preserve"> Viresh Goel (</w:t>
      </w:r>
      <w:r w:rsidR="00590361" w:rsidRPr="006D4B72">
        <w:t>Inde (République de l')</w:t>
      </w:r>
      <w:r w:rsidRPr="006D4B72">
        <w:t>), M</w:t>
      </w:r>
      <w:r w:rsidR="00590361" w:rsidRPr="006D4B72">
        <w:t>.</w:t>
      </w:r>
      <w:r w:rsidRPr="006D4B72">
        <w:t xml:space="preserve"> Alexander Kuehn (</w:t>
      </w:r>
      <w:r w:rsidR="00590361" w:rsidRPr="006D4B72">
        <w:t>Allemagne (République fédérale d')</w:t>
      </w:r>
      <w:r w:rsidRPr="006D4B72">
        <w:t xml:space="preserve">), </w:t>
      </w:r>
      <w:r w:rsidR="00590361" w:rsidRPr="006D4B72">
        <w:t>M.</w:t>
      </w:r>
      <w:r w:rsidRPr="006D4B72">
        <w:t xml:space="preserve"> H. Seong (</w:t>
      </w:r>
      <w:r w:rsidR="00590361" w:rsidRPr="006D4B72">
        <w:t>Corée (République de)</w:t>
      </w:r>
      <w:r w:rsidRPr="006D4B72">
        <w:t>), M</w:t>
      </w:r>
      <w:r w:rsidR="00590361" w:rsidRPr="006D4B72">
        <w:t>.</w:t>
      </w:r>
      <w:r w:rsidRPr="006D4B72">
        <w:t xml:space="preserve"> T. Shafiee (</w:t>
      </w:r>
      <w:r w:rsidR="00590361" w:rsidRPr="006D4B72">
        <w:t>Iran (République islamique d')</w:t>
      </w:r>
      <w:r w:rsidRPr="006D4B72">
        <w:t xml:space="preserve">) </w:t>
      </w:r>
      <w:r w:rsidR="00590361" w:rsidRPr="006D4B72">
        <w:t>et</w:t>
      </w:r>
      <w:r w:rsidRPr="006D4B72">
        <w:t xml:space="preserve"> M</w:t>
      </w:r>
      <w:r w:rsidR="00590361" w:rsidRPr="006D4B72">
        <w:t>.</w:t>
      </w:r>
      <w:r w:rsidRPr="006D4B72">
        <w:t xml:space="preserve"> A.V. Vassiliev (</w:t>
      </w:r>
      <w:r w:rsidR="00590361" w:rsidRPr="006D4B72">
        <w:t>Fédération de Russie</w:t>
      </w:r>
      <w:r w:rsidRPr="006D4B72">
        <w:t>)</w:t>
      </w:r>
      <w:r w:rsidR="00A93B81" w:rsidRPr="006D4B72">
        <w:t xml:space="preserve"> à la fonction de Vice</w:t>
      </w:r>
      <w:r w:rsidR="00A93B81" w:rsidRPr="006D4B72">
        <w:noBreakHyphen/>
        <w:t>Présidents.</w:t>
      </w:r>
    </w:p>
    <w:p w14:paraId="5EFCBD11" w14:textId="7ED1F8E0" w:rsidR="00C059D2" w:rsidRPr="006D4B72" w:rsidRDefault="00C059D2" w:rsidP="00FA6784">
      <w:bookmarkStart w:id="13" w:name="lt_pId015"/>
      <w:r w:rsidRPr="006D4B72">
        <w:t xml:space="preserve">Toutes les administrations des </w:t>
      </w:r>
      <w:r w:rsidR="006D4B72" w:rsidRPr="006D4B72">
        <w:t>États</w:t>
      </w:r>
      <w:r w:rsidRPr="006D4B72">
        <w:t xml:space="preserve"> Membres de l'UIT et les Membres du Secteur des radiocommunications ont été invités à participer à la préparation du Rapport de la RPC à la CMR</w:t>
      </w:r>
      <w:r w:rsidRPr="006D4B72">
        <w:noBreakHyphen/>
        <w:t>1</w:t>
      </w:r>
      <w:r w:rsidR="00590361" w:rsidRPr="006D4B72">
        <w:t>9</w:t>
      </w:r>
      <w:r w:rsidRPr="006D4B72">
        <w:t>.</w:t>
      </w:r>
      <w:bookmarkStart w:id="14" w:name="lt_pId016"/>
      <w:bookmarkEnd w:id="13"/>
    </w:p>
    <w:p w14:paraId="20EE1191" w14:textId="6572B200" w:rsidR="00C059D2" w:rsidRPr="006D4B72" w:rsidRDefault="00C059D2" w:rsidP="00FA6784">
      <w:r w:rsidRPr="006D4B72">
        <w:t>La RPC a préparé son Rapport à la CMR-1</w:t>
      </w:r>
      <w:r w:rsidR="00852EBF" w:rsidRPr="006D4B72">
        <w:t>9</w:t>
      </w:r>
      <w:r w:rsidRPr="006D4B72">
        <w:t xml:space="preserve"> conformément à la Résolution UIT-R 2-</w:t>
      </w:r>
      <w:r w:rsidR="00852EBF" w:rsidRPr="006D4B72">
        <w:t>7</w:t>
      </w:r>
      <w:r w:rsidRPr="006D4B72">
        <w:t>, sur la base de contributions soumises par les Membres de l'UIT</w:t>
      </w:r>
      <w:r w:rsidR="00A93B81" w:rsidRPr="006D4B72">
        <w:t xml:space="preserve"> et</w:t>
      </w:r>
      <w:r w:rsidRPr="006D4B72">
        <w:t xml:space="preserve"> les </w:t>
      </w:r>
      <w:r w:rsidR="00D47558" w:rsidRPr="006D4B72">
        <w:t>C</w:t>
      </w:r>
      <w:r w:rsidRPr="006D4B72">
        <w:t xml:space="preserve">ommissions d'études des radiocommunications concernant les questions techniques, d'exploitation, réglementaires et de procédure que </w:t>
      </w:r>
      <w:r w:rsidR="00D47558" w:rsidRPr="006D4B72">
        <w:t>la CMR-19</w:t>
      </w:r>
      <w:r w:rsidRPr="006D4B72">
        <w:t xml:space="preserve"> sera appelée à examiner.</w:t>
      </w:r>
      <w:bookmarkEnd w:id="14"/>
    </w:p>
    <w:p w14:paraId="682499BA" w14:textId="4C393795" w:rsidR="00C059D2" w:rsidRPr="006D4B72" w:rsidRDefault="00C059D2" w:rsidP="00FA6784">
      <w:pPr>
        <w:pStyle w:val="Heading1"/>
      </w:pPr>
      <w:r w:rsidRPr="006D4B72">
        <w:t>2</w:t>
      </w:r>
      <w:r w:rsidRPr="006D4B72">
        <w:tab/>
      </w:r>
      <w:bookmarkStart w:id="15" w:name="lt_pId018"/>
      <w:r w:rsidRPr="006D4B72">
        <w:t>Première session de la Réunion de préparation à la Conférence de 201</w:t>
      </w:r>
      <w:bookmarkEnd w:id="15"/>
      <w:r w:rsidR="00852EBF" w:rsidRPr="006D4B72">
        <w:t>9</w:t>
      </w:r>
    </w:p>
    <w:p w14:paraId="5F2A5B4C" w14:textId="44DAD36F" w:rsidR="00C059D2" w:rsidRPr="006D4B72" w:rsidRDefault="00C059D2" w:rsidP="00FA6784">
      <w:bookmarkStart w:id="16" w:name="lt_pId019"/>
      <w:r w:rsidRPr="006D4B72">
        <w:t xml:space="preserve">La première session de la Réunion de préparation </w:t>
      </w:r>
      <w:r w:rsidR="00D47558" w:rsidRPr="006D4B72">
        <w:t>à</w:t>
      </w:r>
      <w:r w:rsidRPr="006D4B72">
        <w:t xml:space="preserve"> la Conférence de 201</w:t>
      </w:r>
      <w:r w:rsidR="00852EBF" w:rsidRPr="006D4B72">
        <w:t>9</w:t>
      </w:r>
      <w:r w:rsidRPr="006D4B72">
        <w:t xml:space="preserve"> (RPC1</w:t>
      </w:r>
      <w:r w:rsidR="00852EBF" w:rsidRPr="006D4B72">
        <w:t>9</w:t>
      </w:r>
      <w:r w:rsidRPr="006D4B72">
        <w:t xml:space="preserve">-1), qui a eu lieu à Genève </w:t>
      </w:r>
      <w:r w:rsidR="00852EBF" w:rsidRPr="006D4B72">
        <w:t>du 30 novembre au 1er décembre 2015</w:t>
      </w:r>
      <w:r w:rsidRPr="006D4B72">
        <w:t>, a organisé les études préparatoires pour la CMR</w:t>
      </w:r>
      <w:r w:rsidR="00FA6784" w:rsidRPr="006D4B72">
        <w:noBreakHyphen/>
      </w:r>
      <w:r w:rsidRPr="006D4B72">
        <w:t>1</w:t>
      </w:r>
      <w:r w:rsidR="00852EBF" w:rsidRPr="006D4B72">
        <w:t>9</w:t>
      </w:r>
      <w:r w:rsidRPr="006D4B72">
        <w:t>.</w:t>
      </w:r>
      <w:bookmarkEnd w:id="16"/>
    </w:p>
    <w:p w14:paraId="76FD4D92" w14:textId="696A616D" w:rsidR="00C059D2" w:rsidRPr="006D4B72" w:rsidRDefault="00C059D2" w:rsidP="00FA6784">
      <w:pPr>
        <w:keepLines/>
      </w:pPr>
      <w:bookmarkStart w:id="17" w:name="lt_pId020"/>
      <w:r w:rsidRPr="006D4B72">
        <w:lastRenderedPageBreak/>
        <w:t>Elle a approuvé une structure pour le projet de Rapport de la RPC à la CMR-1</w:t>
      </w:r>
      <w:r w:rsidR="00852EBF" w:rsidRPr="006D4B72">
        <w:t>9</w:t>
      </w:r>
      <w:r w:rsidRPr="006D4B72">
        <w:t xml:space="preserve"> ainsi qu'un processus préparatoire, des procédures de travail et une structure par chapitre.</w:t>
      </w:r>
      <w:bookmarkEnd w:id="17"/>
      <w:r w:rsidRPr="006D4B72">
        <w:t xml:space="preserve"> </w:t>
      </w:r>
      <w:bookmarkStart w:id="18" w:name="lt_pId021"/>
      <w:r w:rsidRPr="006D4B72">
        <w:t>Elle a en outre nommé un Rapporteur pour chaque chapitre, afin d'aider le Président à gérer l'élaboration du projet de rapport et le flux des contributions.</w:t>
      </w:r>
      <w:bookmarkEnd w:id="18"/>
      <w:r w:rsidRPr="006D4B72">
        <w:t xml:space="preserve"> </w:t>
      </w:r>
      <w:bookmarkStart w:id="19" w:name="lt_pId022"/>
      <w:r w:rsidRPr="006D4B72">
        <w:t>Les résultats de la RPC1</w:t>
      </w:r>
      <w:r w:rsidR="00852EBF" w:rsidRPr="006D4B72">
        <w:t>9</w:t>
      </w:r>
      <w:r w:rsidRPr="006D4B72">
        <w:t xml:space="preserve">-1 ont été publiés dans la Circulaire administrative </w:t>
      </w:r>
      <w:hyperlink r:id="rId8" w:history="1">
        <w:r w:rsidRPr="006D4B72">
          <w:rPr>
            <w:rStyle w:val="Hyperlink"/>
          </w:rPr>
          <w:t>CA/2</w:t>
        </w:r>
        <w:r w:rsidR="00852EBF" w:rsidRPr="006D4B72">
          <w:rPr>
            <w:rStyle w:val="Hyperlink"/>
          </w:rPr>
          <w:t>26</w:t>
        </w:r>
      </w:hyperlink>
      <w:r w:rsidRPr="006D4B72">
        <w:t xml:space="preserve"> du Bureau des radiocommunications en date du </w:t>
      </w:r>
      <w:r w:rsidR="00852EBF" w:rsidRPr="006D4B72">
        <w:t>23 décembre 2015</w:t>
      </w:r>
      <w:r w:rsidRPr="006D4B72">
        <w:t>.</w:t>
      </w:r>
      <w:bookmarkEnd w:id="19"/>
    </w:p>
    <w:p w14:paraId="6E95C782" w14:textId="76CFE0B8" w:rsidR="00C059D2" w:rsidRPr="006D4B72" w:rsidRDefault="00C059D2" w:rsidP="00FA6784">
      <w:pPr>
        <w:rPr>
          <w:bCs/>
        </w:rPr>
      </w:pPr>
      <w:bookmarkStart w:id="20" w:name="lt_pId023"/>
      <w:r w:rsidRPr="006D4B72">
        <w:t>Les études préparatoires de l'UIT-R relatives aux points de l'ordre du jour de la CMR-1</w:t>
      </w:r>
      <w:r w:rsidR="00852EBF" w:rsidRPr="006D4B72">
        <w:t>9</w:t>
      </w:r>
      <w:r w:rsidRPr="006D4B72">
        <w:t xml:space="preserve"> ont été confiées aux </w:t>
      </w:r>
      <w:r w:rsidR="00852EBF" w:rsidRPr="006D4B72">
        <w:t>onze</w:t>
      </w:r>
      <w:r w:rsidRPr="006D4B72">
        <w:t xml:space="preserve"> groupes responsables suivants: Groupe</w:t>
      </w:r>
      <w:r w:rsidR="00D47558" w:rsidRPr="006D4B72">
        <w:t>s</w:t>
      </w:r>
      <w:r w:rsidRPr="006D4B72">
        <w:t xml:space="preserve"> de travail</w:t>
      </w:r>
      <w:r w:rsidR="00D47558" w:rsidRPr="006D4B72">
        <w:t xml:space="preserve"> (GT)</w:t>
      </w:r>
      <w:r w:rsidRPr="006D4B72">
        <w:t xml:space="preserve"> </w:t>
      </w:r>
      <w:r w:rsidR="0058558D" w:rsidRPr="006D4B72">
        <w:t xml:space="preserve">1A et </w:t>
      </w:r>
      <w:r w:rsidRPr="006D4B72">
        <w:t xml:space="preserve">1B (Commission d'études 1); </w:t>
      </w:r>
      <w:r w:rsidR="00D47558" w:rsidRPr="006D4B72">
        <w:t>GT</w:t>
      </w:r>
      <w:r w:rsidRPr="006D4B72">
        <w:t xml:space="preserve"> 4A et 4C (Commission d'études 4); </w:t>
      </w:r>
      <w:r w:rsidR="00D47558" w:rsidRPr="006D4B72">
        <w:t>GT</w:t>
      </w:r>
      <w:r w:rsidRPr="006D4B72">
        <w:t xml:space="preserve"> 5A</w:t>
      </w:r>
      <w:r w:rsidR="0058558D" w:rsidRPr="006D4B72">
        <w:t>,</w:t>
      </w:r>
      <w:r w:rsidRPr="006D4B72">
        <w:t xml:space="preserve"> 5B</w:t>
      </w:r>
      <w:r w:rsidR="0058558D" w:rsidRPr="006D4B72">
        <w:t>, 5C et 5D</w:t>
      </w:r>
      <w:r w:rsidRPr="006D4B72">
        <w:t xml:space="preserve"> (Commission d'études 5); </w:t>
      </w:r>
      <w:r w:rsidR="00D47558" w:rsidRPr="006D4B72">
        <w:t>GT</w:t>
      </w:r>
      <w:r w:rsidRPr="006D4B72">
        <w:t xml:space="preserve"> 7B et 7C (Commission d'études 7); en outre, un Groupe d'action </w:t>
      </w:r>
      <w:r w:rsidR="0058558D" w:rsidRPr="006D4B72">
        <w:t>5/1</w:t>
      </w:r>
      <w:r w:rsidRPr="006D4B72">
        <w:t xml:space="preserve"> (Commission d'études 5) a été établi (voir </w:t>
      </w:r>
      <w:r w:rsidR="00D47558" w:rsidRPr="006D4B72">
        <w:t>l'</w:t>
      </w:r>
      <w:r w:rsidRPr="006D4B72">
        <w:t xml:space="preserve">Annexe </w:t>
      </w:r>
      <w:r w:rsidR="0058558D" w:rsidRPr="006D4B72">
        <w:t>9</w:t>
      </w:r>
      <w:r w:rsidRPr="006D4B72">
        <w:t xml:space="preserve"> de la Circulaire </w:t>
      </w:r>
      <w:hyperlink r:id="rId9" w:history="1">
        <w:r w:rsidR="00FA6784" w:rsidRPr="006D4B72">
          <w:rPr>
            <w:rStyle w:val="Hyperlink"/>
          </w:rPr>
          <w:t>CA/226</w:t>
        </w:r>
      </w:hyperlink>
      <w:r w:rsidRPr="006D4B72">
        <w:t>).</w:t>
      </w:r>
      <w:bookmarkStart w:id="21" w:name="lt_pId028"/>
      <w:bookmarkEnd w:id="20"/>
      <w:r w:rsidRPr="006D4B72">
        <w:t xml:space="preserve"> </w:t>
      </w:r>
      <w:r w:rsidRPr="006D4B72">
        <w:rPr>
          <w:bCs/>
        </w:rPr>
        <w:t>La Commission d'études 3 a également pris part aux études préparatoires.</w:t>
      </w:r>
      <w:bookmarkEnd w:id="21"/>
    </w:p>
    <w:p w14:paraId="7DF61120" w14:textId="1FD100D1" w:rsidR="00830FD6" w:rsidRPr="006D4B72" w:rsidRDefault="00515167" w:rsidP="00FA6784">
      <w:r w:rsidRPr="006D4B72">
        <w:t xml:space="preserve">La RPC19-1 a recensé </w:t>
      </w:r>
      <w:r w:rsidR="00D47558" w:rsidRPr="006D4B72">
        <w:t xml:space="preserve">plusieurs </w:t>
      </w:r>
      <w:r w:rsidRPr="006D4B72">
        <w:t xml:space="preserve">chevauchements de bandes de fréquences au titre </w:t>
      </w:r>
      <w:r w:rsidR="00FA6784" w:rsidRPr="006D4B72">
        <w:t xml:space="preserve">de différents </w:t>
      </w:r>
      <w:r w:rsidRPr="006D4B72">
        <w:t xml:space="preserve">points </w:t>
      </w:r>
      <w:r w:rsidR="00FA6784" w:rsidRPr="006D4B72">
        <w:t xml:space="preserve">ou questions à </w:t>
      </w:r>
      <w:r w:rsidRPr="006D4B72">
        <w:t>l'ordre du jour de la CMR</w:t>
      </w:r>
      <w:r w:rsidR="00FA6784" w:rsidRPr="006D4B72">
        <w:t>-</w:t>
      </w:r>
      <w:r w:rsidRPr="006D4B72">
        <w:t>19 (voir le Tableau 1</w:t>
      </w:r>
      <w:r w:rsidR="00830FD6" w:rsidRPr="006D4B72">
        <w:t xml:space="preserve"> figurant dans l'Annexe 5 de la Circulaire </w:t>
      </w:r>
      <w:hyperlink r:id="rId10" w:history="1">
        <w:r w:rsidR="00FA6784" w:rsidRPr="006D4B72">
          <w:rPr>
            <w:rStyle w:val="Hyperlink"/>
          </w:rPr>
          <w:t>CA/226</w:t>
        </w:r>
      </w:hyperlink>
      <w:r w:rsidRPr="006D4B72">
        <w:t xml:space="preserve">). </w:t>
      </w:r>
      <w:r w:rsidR="00830FD6" w:rsidRPr="006D4B72">
        <w:t xml:space="preserve">Il a été demandé aux </w:t>
      </w:r>
      <w:r w:rsidRPr="006D4B72">
        <w:t xml:space="preserve">groupes responsables </w:t>
      </w:r>
      <w:r w:rsidR="00830FD6" w:rsidRPr="006D4B72">
        <w:t>d'</w:t>
      </w:r>
      <w:r w:rsidRPr="006D4B72">
        <w:t xml:space="preserve">en tenir compte au cours de leurs études, lors de la coordination entre les divers groupes concernés. Le but de cette coordination </w:t>
      </w:r>
      <w:r w:rsidR="00830FD6" w:rsidRPr="006D4B72">
        <w:t>était</w:t>
      </w:r>
      <w:r w:rsidRPr="006D4B72">
        <w:t xml:space="preserve"> d'étudier la compatibilité mutuelle et la possibilité de partage entre les services/applications pour lesquels une attribution/identification est envisagée, conformément aux Résolutions correspondant aux points de l'ordre du jour, dans les bandes de fréquences qui se chevauchent. </w:t>
      </w:r>
      <w:r w:rsidR="00830FD6" w:rsidRPr="006D4B72">
        <w:t xml:space="preserve">Les Présidents des trois groupes responsables concernés </w:t>
      </w:r>
      <w:r w:rsidR="00FE10DA" w:rsidRPr="006D4B72">
        <w:t>ont échangé des vues sur cette question et sont parvenus à un accord sur la marche à suivre, en tenant compte du mandat du Groupe d'action 5/1 et du texte des Résolutions pour tous les points de l'ordre du jour concernés par les chevauchements de bandes de fréquences. Leurs groupes respectifs en ont été informés (voir le</w:t>
      </w:r>
      <w:r w:rsidR="001C5762" w:rsidRPr="006D4B72">
        <w:t>s</w:t>
      </w:r>
      <w:r w:rsidR="00FE10DA" w:rsidRPr="006D4B72">
        <w:t xml:space="preserve"> Document</w:t>
      </w:r>
      <w:r w:rsidR="001C5762" w:rsidRPr="006D4B72">
        <w:t>s</w:t>
      </w:r>
      <w:r w:rsidR="00FE10DA" w:rsidRPr="006D4B72">
        <w:t xml:space="preserve"> </w:t>
      </w:r>
      <w:hyperlink r:id="rId11" w:history="1">
        <w:r w:rsidR="00FE10DA" w:rsidRPr="006D4B72">
          <w:rPr>
            <w:rStyle w:val="Hyperlink"/>
          </w:rPr>
          <w:t>4A/386</w:t>
        </w:r>
      </w:hyperlink>
      <w:r w:rsidR="00FE10DA" w:rsidRPr="006D4B72">
        <w:t>-</w:t>
      </w:r>
      <w:hyperlink r:id="rId12" w:history="1">
        <w:r w:rsidR="00FE10DA" w:rsidRPr="006D4B72">
          <w:rPr>
            <w:rStyle w:val="Hyperlink"/>
          </w:rPr>
          <w:t>5C/310</w:t>
        </w:r>
      </w:hyperlink>
      <w:r w:rsidR="00FE10DA" w:rsidRPr="006D4B72">
        <w:t>-</w:t>
      </w:r>
      <w:hyperlink r:id="rId13" w:history="1">
        <w:r w:rsidR="00FE10DA" w:rsidRPr="006D4B72">
          <w:rPr>
            <w:rStyle w:val="Hyperlink"/>
          </w:rPr>
          <w:t>5</w:t>
        </w:r>
        <w:r w:rsidR="00ED283C">
          <w:rPr>
            <w:rStyle w:val="Hyperlink"/>
          </w:rPr>
          <w:noBreakHyphen/>
        </w:r>
        <w:r w:rsidR="00FE10DA" w:rsidRPr="006D4B72">
          <w:rPr>
            <w:rStyle w:val="Hyperlink"/>
          </w:rPr>
          <w:t>1</w:t>
        </w:r>
        <w:r w:rsidR="00FE10DA" w:rsidRPr="006D4B72">
          <w:rPr>
            <w:rStyle w:val="Hyperlink"/>
          </w:rPr>
          <w:t>/</w:t>
        </w:r>
        <w:r w:rsidR="00FE10DA" w:rsidRPr="006D4B72">
          <w:rPr>
            <w:rStyle w:val="Hyperlink"/>
          </w:rPr>
          <w:t>103</w:t>
        </w:r>
      </w:hyperlink>
      <w:r w:rsidR="001C5762" w:rsidRPr="006D4B72">
        <w:t>).</w:t>
      </w:r>
    </w:p>
    <w:p w14:paraId="251E24D6" w14:textId="54649F16" w:rsidR="00C059D2" w:rsidRPr="006D4B72" w:rsidRDefault="00C059D2" w:rsidP="00FA6784">
      <w:pPr>
        <w:pStyle w:val="Heading1"/>
      </w:pPr>
      <w:r w:rsidRPr="006D4B72">
        <w:t>3</w:t>
      </w:r>
      <w:r w:rsidRPr="006D4B72">
        <w:tab/>
      </w:r>
      <w:bookmarkStart w:id="22" w:name="lt_pId032"/>
      <w:r w:rsidRPr="006D4B72">
        <w:t>Processus préparatoire entre les sessions de la RPC-1</w:t>
      </w:r>
      <w:bookmarkEnd w:id="22"/>
      <w:r w:rsidR="00515167" w:rsidRPr="006D4B72">
        <w:t>9</w:t>
      </w:r>
    </w:p>
    <w:p w14:paraId="1077E5E3" w14:textId="47AE544D" w:rsidR="00C059D2" w:rsidRPr="006D4B72" w:rsidRDefault="00C059D2" w:rsidP="00FA6784">
      <w:bookmarkStart w:id="23" w:name="lt_pId033"/>
      <w:r w:rsidRPr="006D4B72">
        <w:t>Les dispositions de la Résolution UIT-R 2-</w:t>
      </w:r>
      <w:r w:rsidR="00515167" w:rsidRPr="006D4B72">
        <w:t>7</w:t>
      </w:r>
      <w:r w:rsidRPr="006D4B72">
        <w:t xml:space="preserve"> ont été appliquées pour le processus préparatoire, notamment en ce qui concerne:</w:t>
      </w:r>
      <w:bookmarkEnd w:id="23"/>
      <w:r w:rsidRPr="006D4B72">
        <w:t xml:space="preserve"> </w:t>
      </w:r>
    </w:p>
    <w:p w14:paraId="62BAEC29" w14:textId="14CC4813" w:rsidR="00C059D2" w:rsidRPr="006D4B72" w:rsidRDefault="00C059D2" w:rsidP="00FA6784">
      <w:pPr>
        <w:pStyle w:val="enumlev1"/>
      </w:pPr>
      <w:r w:rsidRPr="006D4B72">
        <w:t>–</w:t>
      </w:r>
      <w:r w:rsidRPr="006D4B72">
        <w:tab/>
      </w:r>
      <w:bookmarkStart w:id="24" w:name="lt_pId035"/>
      <w:r w:rsidRPr="006D4B72">
        <w:t xml:space="preserve">Les réunions </w:t>
      </w:r>
      <w:r w:rsidR="001C5762" w:rsidRPr="006D4B72">
        <w:t xml:space="preserve">et consultations </w:t>
      </w:r>
      <w:r w:rsidRPr="006D4B72">
        <w:t>périodiques de la Commission de direction de la RPC</w:t>
      </w:r>
      <w:r w:rsidR="001C5762" w:rsidRPr="006D4B72">
        <w:t>-19</w:t>
      </w:r>
      <w:r w:rsidRPr="006D4B72">
        <w:t>.</w:t>
      </w:r>
      <w:bookmarkEnd w:id="24"/>
    </w:p>
    <w:p w14:paraId="3802D1AA" w14:textId="3731042B" w:rsidR="00C059D2" w:rsidRPr="006D4B72" w:rsidRDefault="00C059D2" w:rsidP="00FA6784">
      <w:pPr>
        <w:pStyle w:val="enumlev1"/>
      </w:pPr>
      <w:r w:rsidRPr="006D4B72">
        <w:t>–</w:t>
      </w:r>
      <w:r w:rsidRPr="006D4B72">
        <w:tab/>
      </w:r>
      <w:bookmarkStart w:id="25" w:name="lt_pId037"/>
      <w:r w:rsidRPr="006D4B72">
        <w:t>Les programmes de travail pour chaque point de l'ordre du jour de la CMR-1</w:t>
      </w:r>
      <w:r w:rsidR="00515167" w:rsidRPr="006D4B72">
        <w:t>9</w:t>
      </w:r>
      <w:r w:rsidRPr="006D4B72">
        <w:t>.</w:t>
      </w:r>
      <w:bookmarkEnd w:id="25"/>
    </w:p>
    <w:p w14:paraId="5F322865" w14:textId="4CD21705" w:rsidR="00C059D2" w:rsidRPr="006D4B72" w:rsidRDefault="00C059D2" w:rsidP="00FA6784">
      <w:pPr>
        <w:pStyle w:val="enumlev1"/>
      </w:pPr>
      <w:r w:rsidRPr="006D4B72">
        <w:t>–</w:t>
      </w:r>
      <w:r w:rsidRPr="006D4B72">
        <w:tab/>
      </w:r>
      <w:bookmarkStart w:id="26" w:name="lt_pId039"/>
      <w:r w:rsidRPr="006D4B72">
        <w:t>L'échange d'informations lors des Ateliers interrégionaux de l'UIT sur les travaux préparatoires en vue de la CMR-1</w:t>
      </w:r>
      <w:r w:rsidR="00515167" w:rsidRPr="006D4B72">
        <w:t>9</w:t>
      </w:r>
      <w:r w:rsidRPr="006D4B72">
        <w:t>.</w:t>
      </w:r>
      <w:bookmarkEnd w:id="26"/>
    </w:p>
    <w:p w14:paraId="50CC96DD" w14:textId="70575BA2" w:rsidR="00515167" w:rsidRPr="006D4B72" w:rsidRDefault="00515167" w:rsidP="00FA6784">
      <w:pPr>
        <w:pStyle w:val="enumlev1"/>
      </w:pPr>
      <w:r w:rsidRPr="006D4B72">
        <w:t>–</w:t>
      </w:r>
      <w:r w:rsidRPr="006D4B72">
        <w:tab/>
      </w:r>
      <w:r w:rsidR="00A05669" w:rsidRPr="006D4B72">
        <w:t>La réunion de l'</w:t>
      </w:r>
      <w:r w:rsidR="00D47558" w:rsidRPr="006D4B72">
        <w:t>É</w:t>
      </w:r>
      <w:r w:rsidR="00A05669" w:rsidRPr="006D4B72">
        <w:t>qui</w:t>
      </w:r>
      <w:r w:rsidR="00D47558" w:rsidRPr="006D4B72">
        <w:t>p</w:t>
      </w:r>
      <w:r w:rsidR="00A05669" w:rsidRPr="006D4B72">
        <w:t>e de gestion de la RPC-19</w:t>
      </w:r>
      <w:r w:rsidRPr="006D4B72">
        <w:t>.</w:t>
      </w:r>
    </w:p>
    <w:p w14:paraId="22448907" w14:textId="045FC6F9" w:rsidR="00C059D2" w:rsidRPr="006D4B72" w:rsidRDefault="00C059D2" w:rsidP="00FA6784">
      <w:pPr>
        <w:pStyle w:val="Heading2"/>
      </w:pPr>
      <w:r w:rsidRPr="006D4B72">
        <w:t>3.1</w:t>
      </w:r>
      <w:r w:rsidRPr="006D4B72">
        <w:tab/>
      </w:r>
      <w:bookmarkStart w:id="27" w:name="lt_pId041"/>
      <w:r w:rsidRPr="006D4B72">
        <w:t xml:space="preserve">Réunions </w:t>
      </w:r>
      <w:r w:rsidR="00A05669" w:rsidRPr="006D4B72">
        <w:t xml:space="preserve">et consultations </w:t>
      </w:r>
      <w:r w:rsidRPr="006D4B72">
        <w:t>périodiques de la Commission de direction de la RPC</w:t>
      </w:r>
      <w:bookmarkEnd w:id="27"/>
      <w:r w:rsidR="00A05669" w:rsidRPr="006D4B72">
        <w:t>-19</w:t>
      </w:r>
    </w:p>
    <w:p w14:paraId="3A499F52" w14:textId="191BCC0C" w:rsidR="00C059D2" w:rsidRPr="006D4B72" w:rsidRDefault="00C059D2" w:rsidP="00FA6784">
      <w:bookmarkStart w:id="28" w:name="lt_pId042"/>
      <w:r w:rsidRPr="006D4B72">
        <w:t>Au cours de la période préparatoire 201</w:t>
      </w:r>
      <w:r w:rsidR="00515167" w:rsidRPr="006D4B72">
        <w:t>5</w:t>
      </w:r>
      <w:r w:rsidRPr="006D4B72">
        <w:t>-201</w:t>
      </w:r>
      <w:r w:rsidR="00515167" w:rsidRPr="006D4B72">
        <w:t>9</w:t>
      </w:r>
      <w:r w:rsidRPr="006D4B72">
        <w:t xml:space="preserve">, des réunions </w:t>
      </w:r>
      <w:r w:rsidR="00A05669" w:rsidRPr="006D4B72">
        <w:t xml:space="preserve">et des consultations </w:t>
      </w:r>
      <w:r w:rsidRPr="006D4B72">
        <w:t>de la Commission de direction de la RPC</w:t>
      </w:r>
      <w:r w:rsidR="00A05669" w:rsidRPr="006D4B72">
        <w:t>-19</w:t>
      </w:r>
      <w:r w:rsidRPr="006D4B72">
        <w:t xml:space="preserve"> ont été organisées à intervalles réguliers, </w:t>
      </w:r>
      <w:r w:rsidR="00A05669" w:rsidRPr="006D4B72">
        <w:t xml:space="preserve">notamment au moyen de </w:t>
      </w:r>
      <w:r w:rsidR="00D47558" w:rsidRPr="006D4B72">
        <w:t>services de</w:t>
      </w:r>
      <w:r w:rsidR="00A05669" w:rsidRPr="006D4B72">
        <w:t xml:space="preserve"> participation à distance active. Dans ce contexte, </w:t>
      </w:r>
      <w:r w:rsidRPr="006D4B72">
        <w:t>les questions suivantes, importantes pour la préparation de la CMR-1</w:t>
      </w:r>
      <w:r w:rsidR="00A05669" w:rsidRPr="006D4B72">
        <w:t>9</w:t>
      </w:r>
      <w:r w:rsidRPr="006D4B72">
        <w:t>, ont été examinées:</w:t>
      </w:r>
      <w:bookmarkEnd w:id="28"/>
    </w:p>
    <w:p w14:paraId="3571D519" w14:textId="7CD56B8E" w:rsidR="00C059D2" w:rsidRPr="006D4B72" w:rsidRDefault="00C059D2" w:rsidP="00FA6784">
      <w:pPr>
        <w:pStyle w:val="enumlev1"/>
      </w:pPr>
      <w:r w:rsidRPr="006D4B72">
        <w:t>–</w:t>
      </w:r>
      <w:r w:rsidRPr="006D4B72">
        <w:tab/>
      </w:r>
      <w:bookmarkStart w:id="29" w:name="lt_pId045"/>
      <w:r w:rsidRPr="006D4B72">
        <w:t>Le programme de travail pour chaque point de l'ordre du jour de la CMR-1</w:t>
      </w:r>
      <w:bookmarkEnd w:id="29"/>
      <w:r w:rsidR="00515167" w:rsidRPr="006D4B72">
        <w:t>9</w:t>
      </w:r>
      <w:r w:rsidRPr="006D4B72">
        <w:t>.</w:t>
      </w:r>
    </w:p>
    <w:p w14:paraId="6B08DE6C" w14:textId="77777777" w:rsidR="00C059D2" w:rsidRPr="006D4B72" w:rsidRDefault="00C059D2" w:rsidP="00FA6784">
      <w:pPr>
        <w:pStyle w:val="enumlev1"/>
      </w:pPr>
      <w:r w:rsidRPr="006D4B72">
        <w:t>–</w:t>
      </w:r>
      <w:r w:rsidRPr="006D4B72">
        <w:tab/>
      </w:r>
      <w:bookmarkStart w:id="30" w:name="lt_pId047"/>
      <w:r w:rsidRPr="006D4B72">
        <w:t>La coordination entre groupes responsables et groupes concernés</w:t>
      </w:r>
      <w:bookmarkEnd w:id="30"/>
      <w:r w:rsidRPr="006D4B72">
        <w:t>.</w:t>
      </w:r>
    </w:p>
    <w:p w14:paraId="4E49B3DE" w14:textId="2E5E0DCE" w:rsidR="00C059D2" w:rsidRPr="006D4B72" w:rsidRDefault="00C059D2" w:rsidP="00FA6784">
      <w:pPr>
        <w:pStyle w:val="enumlev1"/>
      </w:pPr>
      <w:r w:rsidRPr="006D4B72">
        <w:t>–</w:t>
      </w:r>
      <w:r w:rsidRPr="006D4B72">
        <w:tab/>
      </w:r>
      <w:bookmarkStart w:id="31" w:name="lt_pId049"/>
      <w:r w:rsidRPr="006D4B72">
        <w:t xml:space="preserve">L'élaboration de lignes directrices supplémentaires </w:t>
      </w:r>
      <w:r w:rsidR="00A05669" w:rsidRPr="006D4B72">
        <w:t>visant à compléter les indications données dans l'Annexe 2 de la Résolution UIT-R 2-7 pour</w:t>
      </w:r>
      <w:r w:rsidRPr="006D4B72">
        <w:t xml:space="preserve"> la préparation des projets de texte </w:t>
      </w:r>
      <w:r w:rsidR="00FA6784" w:rsidRPr="006D4B72">
        <w:t xml:space="preserve">de </w:t>
      </w:r>
      <w:r w:rsidRPr="006D4B72">
        <w:t>la RPC:</w:t>
      </w:r>
      <w:bookmarkEnd w:id="31"/>
    </w:p>
    <w:p w14:paraId="7C86355E" w14:textId="219C3977" w:rsidR="00C059D2" w:rsidRPr="006D4B72" w:rsidRDefault="00C059D2" w:rsidP="00FA6784">
      <w:pPr>
        <w:pStyle w:val="enumlev2"/>
        <w:rPr>
          <w:rFonts w:eastAsia="SimSun"/>
        </w:rPr>
      </w:pPr>
      <w:r w:rsidRPr="006D4B72">
        <w:t>•</w:t>
      </w:r>
      <w:r w:rsidRPr="006D4B72">
        <w:tab/>
      </w:r>
      <w:bookmarkStart w:id="32" w:name="lt_pId051"/>
      <w:r w:rsidRPr="006D4B72">
        <w:rPr>
          <w:rFonts w:eastAsia="SimSun"/>
        </w:rPr>
        <w:t>méthodes à appliquer pour traiter les points de l'ordre du jour de la CMR-1</w:t>
      </w:r>
      <w:bookmarkEnd w:id="32"/>
      <w:r w:rsidR="00515167" w:rsidRPr="006D4B72">
        <w:rPr>
          <w:rFonts w:eastAsia="SimSun"/>
        </w:rPr>
        <w:t>9</w:t>
      </w:r>
    </w:p>
    <w:p w14:paraId="43BA62AA" w14:textId="01554068" w:rsidR="00C059D2" w:rsidRPr="006D4B72" w:rsidRDefault="00C059D2" w:rsidP="00FA6784">
      <w:pPr>
        <w:pStyle w:val="enumlev2"/>
      </w:pPr>
      <w:r w:rsidRPr="006D4B72">
        <w:t>•</w:t>
      </w:r>
      <w:r w:rsidRPr="006D4B72">
        <w:tab/>
      </w:r>
      <w:bookmarkStart w:id="33" w:name="lt_pId053"/>
      <w:r w:rsidRPr="006D4B72">
        <w:t>obligation d'utiliser l'édition de 201</w:t>
      </w:r>
      <w:r w:rsidR="00515167" w:rsidRPr="006D4B72">
        <w:t>6</w:t>
      </w:r>
      <w:r w:rsidRPr="006D4B72">
        <w:t xml:space="preserve"> du Règlement des radiocommunications</w:t>
      </w:r>
      <w:bookmarkEnd w:id="33"/>
    </w:p>
    <w:p w14:paraId="6067F5FD" w14:textId="3E9495C5" w:rsidR="00C059D2" w:rsidRPr="006D4B72" w:rsidRDefault="00C059D2" w:rsidP="00FA6784">
      <w:pPr>
        <w:pStyle w:val="enumlev2"/>
        <w:rPr>
          <w:rFonts w:eastAsia="SimSun"/>
        </w:rPr>
      </w:pPr>
      <w:r w:rsidRPr="006D4B72">
        <w:t>•</w:t>
      </w:r>
      <w:r w:rsidRPr="006D4B72">
        <w:tab/>
      </w:r>
      <w:bookmarkStart w:id="34" w:name="lt_pId055"/>
      <w:r w:rsidRPr="006D4B72">
        <w:rPr>
          <w:rFonts w:eastAsia="SimSun"/>
        </w:rPr>
        <w:t>références aux Recommandations, Rapports, etc., de l'UIT-R</w:t>
      </w:r>
      <w:bookmarkEnd w:id="34"/>
    </w:p>
    <w:p w14:paraId="0F54C9C6" w14:textId="6542850D" w:rsidR="00C059D2" w:rsidRPr="006D4B72" w:rsidRDefault="00C059D2" w:rsidP="00FA6784">
      <w:pPr>
        <w:pStyle w:val="enumlev2"/>
        <w:rPr>
          <w:rFonts w:eastAsia="SimSun"/>
        </w:rPr>
      </w:pPr>
      <w:r w:rsidRPr="006D4B72">
        <w:lastRenderedPageBreak/>
        <w:t>•</w:t>
      </w:r>
      <w:r w:rsidRPr="006D4B72">
        <w:tab/>
      </w:r>
      <w:bookmarkStart w:id="35" w:name="lt_pId057"/>
      <w:r w:rsidRPr="006D4B72">
        <w:rPr>
          <w:rFonts w:eastAsia="SimSun"/>
        </w:rPr>
        <w:t>références aux dispositions du RR, aux Résolutions ou Recommandations des C(A)MR</w:t>
      </w:r>
      <w:bookmarkEnd w:id="35"/>
    </w:p>
    <w:p w14:paraId="11CC333F" w14:textId="2EE1F9BE" w:rsidR="00515167" w:rsidRPr="006D4B72" w:rsidRDefault="00515167" w:rsidP="00FA6784">
      <w:pPr>
        <w:pStyle w:val="enumlev2"/>
        <w:rPr>
          <w:rFonts w:eastAsia="SimSun"/>
        </w:rPr>
      </w:pPr>
      <w:r w:rsidRPr="006D4B72">
        <w:rPr>
          <w:rFonts w:eastAsia="SimSun"/>
        </w:rPr>
        <w:t>•</w:t>
      </w:r>
      <w:r w:rsidRPr="006D4B72">
        <w:rPr>
          <w:rFonts w:eastAsia="SimSun"/>
        </w:rPr>
        <w:tab/>
      </w:r>
      <w:r w:rsidR="00C10A17" w:rsidRPr="006D4B72">
        <w:rPr>
          <w:rFonts w:eastAsia="SimSun"/>
        </w:rPr>
        <w:t>p</w:t>
      </w:r>
      <w:r w:rsidR="00A05669" w:rsidRPr="006D4B72">
        <w:rPr>
          <w:rFonts w:eastAsia="SimSun"/>
        </w:rPr>
        <w:t xml:space="preserve">artie </w:t>
      </w:r>
      <w:r w:rsidR="00FA6784" w:rsidRPr="006D4B72">
        <w:rPr>
          <w:rFonts w:eastAsia="SimSun"/>
        </w:rPr>
        <w:t>«</w:t>
      </w:r>
      <w:r w:rsidRPr="006D4B72">
        <w:rPr>
          <w:rFonts w:eastAsia="SimSun"/>
        </w:rPr>
        <w:t>Conclusion</w:t>
      </w:r>
      <w:r w:rsidR="00FA6784" w:rsidRPr="006D4B72">
        <w:rPr>
          <w:rFonts w:eastAsia="SimSun"/>
        </w:rPr>
        <w:t>»</w:t>
      </w:r>
      <w:r w:rsidRPr="006D4B72">
        <w:rPr>
          <w:rFonts w:eastAsia="SimSun"/>
        </w:rPr>
        <w:t xml:space="preserve"> </w:t>
      </w:r>
      <w:r w:rsidR="00C10A17" w:rsidRPr="006D4B72">
        <w:rPr>
          <w:rFonts w:eastAsia="SimSun"/>
        </w:rPr>
        <w:t xml:space="preserve">des projets de texte de la RPC </w:t>
      </w:r>
      <w:r w:rsidR="00315CF6" w:rsidRPr="006D4B72">
        <w:rPr>
          <w:rFonts w:eastAsia="SimSun"/>
        </w:rPr>
        <w:t>sur les 9 questions inscrites au titre du point 9.1 de l'ordre du jour de la CMR-19</w:t>
      </w:r>
    </w:p>
    <w:p w14:paraId="42CD62C2" w14:textId="77777777" w:rsidR="00C059D2" w:rsidRPr="006D4B72" w:rsidRDefault="00C059D2" w:rsidP="00FA6784">
      <w:pPr>
        <w:pStyle w:val="enumlev1"/>
      </w:pPr>
      <w:r w:rsidRPr="006D4B72">
        <w:t>–</w:t>
      </w:r>
      <w:r w:rsidRPr="006D4B72">
        <w:tab/>
      </w:r>
      <w:bookmarkStart w:id="36" w:name="lt_pId059"/>
      <w:r w:rsidRPr="006D4B72">
        <w:t>Les dates limites pour la soumission des projets de texte de la RPC</w:t>
      </w:r>
      <w:bookmarkEnd w:id="36"/>
      <w:r w:rsidRPr="006D4B72">
        <w:t>.</w:t>
      </w:r>
    </w:p>
    <w:p w14:paraId="5C527E4C" w14:textId="77777777" w:rsidR="00C059D2" w:rsidRPr="006D4B72" w:rsidRDefault="00C059D2" w:rsidP="00FA6784">
      <w:pPr>
        <w:pStyle w:val="enumlev1"/>
      </w:pPr>
      <w:r w:rsidRPr="006D4B72">
        <w:t>–</w:t>
      </w:r>
      <w:r w:rsidRPr="006D4B72">
        <w:tab/>
      </w:r>
      <w:bookmarkStart w:id="37" w:name="lt_pId061"/>
      <w:r w:rsidRPr="006D4B72">
        <w:rPr>
          <w:szCs w:val="24"/>
        </w:rPr>
        <w:t>La préparation du projet de Rapport de la RPC</w:t>
      </w:r>
      <w:bookmarkEnd w:id="37"/>
      <w:r w:rsidRPr="006D4B72">
        <w:rPr>
          <w:szCs w:val="24"/>
        </w:rPr>
        <w:t>.</w:t>
      </w:r>
    </w:p>
    <w:p w14:paraId="63C410EF" w14:textId="596933EF" w:rsidR="00C059D2" w:rsidRPr="006D4B72" w:rsidRDefault="00C059D2" w:rsidP="00FA6784">
      <w:pPr>
        <w:pStyle w:val="enumlev1"/>
      </w:pPr>
      <w:r w:rsidRPr="006D4B72">
        <w:t>–</w:t>
      </w:r>
      <w:r w:rsidRPr="006D4B72">
        <w:tab/>
      </w:r>
      <w:bookmarkStart w:id="38" w:name="lt_pId063"/>
      <w:r w:rsidRPr="006D4B72">
        <w:t>L'organisation de la réunion de l'</w:t>
      </w:r>
      <w:r w:rsidR="006D4B72" w:rsidRPr="006D4B72">
        <w:t>Équipe</w:t>
      </w:r>
      <w:r w:rsidRPr="006D4B72">
        <w:t xml:space="preserve"> de gestion de la RPC-1</w:t>
      </w:r>
      <w:r w:rsidR="00515167" w:rsidRPr="006D4B72">
        <w:t>9</w:t>
      </w:r>
      <w:r w:rsidRPr="006D4B72">
        <w:t xml:space="preserve"> et de la seconde session de la RPC-1</w:t>
      </w:r>
      <w:bookmarkEnd w:id="38"/>
      <w:r w:rsidR="00515167" w:rsidRPr="006D4B72">
        <w:t>9</w:t>
      </w:r>
      <w:r w:rsidRPr="006D4B72">
        <w:t>.</w:t>
      </w:r>
    </w:p>
    <w:p w14:paraId="73CA8D2B" w14:textId="41DE67CE" w:rsidR="00C059D2" w:rsidRPr="006D4B72" w:rsidRDefault="00C059D2" w:rsidP="00FA6784">
      <w:pPr>
        <w:pStyle w:val="enumlev1"/>
      </w:pPr>
      <w:r w:rsidRPr="006D4B72">
        <w:t>–</w:t>
      </w:r>
      <w:r w:rsidRPr="006D4B72">
        <w:tab/>
      </w:r>
      <w:bookmarkStart w:id="39" w:name="lt_pId065"/>
      <w:r w:rsidRPr="006D4B72">
        <w:t>Les informations en ligne au sujet des études préparatoires de l'UIT-R en vue de la CMR-1</w:t>
      </w:r>
      <w:r w:rsidR="00515167" w:rsidRPr="006D4B72">
        <w:t>9</w:t>
      </w:r>
      <w:r w:rsidRPr="006D4B72">
        <w:t>.</w:t>
      </w:r>
      <w:bookmarkEnd w:id="39"/>
    </w:p>
    <w:p w14:paraId="3C969D7D" w14:textId="7C3597F6" w:rsidR="00C059D2" w:rsidRPr="006D4B72" w:rsidRDefault="00C059D2" w:rsidP="00FA6784">
      <w:pPr>
        <w:rPr>
          <w:lang w:eastAsia="zh-CN"/>
        </w:rPr>
      </w:pPr>
      <w:bookmarkStart w:id="40" w:name="lt_pId066"/>
      <w:r w:rsidRPr="006D4B72">
        <w:rPr>
          <w:rFonts w:eastAsia="SimSun"/>
        </w:rPr>
        <w:t>Les conclusions de la Commission de direction</w:t>
      </w:r>
      <w:r w:rsidR="0039789F" w:rsidRPr="006D4B72">
        <w:rPr>
          <w:rFonts w:eastAsia="SimSun"/>
        </w:rPr>
        <w:t xml:space="preserve"> de la RPC-19</w:t>
      </w:r>
      <w:r w:rsidRPr="006D4B72">
        <w:rPr>
          <w:rFonts w:eastAsia="SimSun"/>
        </w:rPr>
        <w:t xml:space="preserve"> ont été publiées dans l'Addendum 1 de la </w:t>
      </w:r>
      <w:r w:rsidR="0039789F" w:rsidRPr="006D4B72">
        <w:rPr>
          <w:rFonts w:eastAsia="SimSun"/>
        </w:rPr>
        <w:t xml:space="preserve">Circulaire </w:t>
      </w:r>
      <w:r w:rsidRPr="006D4B72">
        <w:rPr>
          <w:rFonts w:eastAsia="SimSun"/>
        </w:rPr>
        <w:t>CA/2</w:t>
      </w:r>
      <w:r w:rsidR="00515167" w:rsidRPr="006D4B72">
        <w:rPr>
          <w:rFonts w:eastAsia="SimSun"/>
        </w:rPr>
        <w:t>26</w:t>
      </w:r>
      <w:r w:rsidRPr="006D4B72">
        <w:rPr>
          <w:rFonts w:eastAsia="SimSun"/>
        </w:rPr>
        <w:t xml:space="preserve"> </w:t>
      </w:r>
      <w:r w:rsidR="00515167" w:rsidRPr="006D4B72">
        <w:rPr>
          <w:rFonts w:eastAsia="SimSun"/>
        </w:rPr>
        <w:t xml:space="preserve">du 19 septembre 2016 </w:t>
      </w:r>
      <w:r w:rsidRPr="006D4B72">
        <w:rPr>
          <w:rFonts w:eastAsia="SimSun"/>
        </w:rPr>
        <w:t xml:space="preserve">et communiquées à l'ensemble des groupes responsables dans un document intitulé </w:t>
      </w:r>
      <w:r w:rsidR="00FA6784" w:rsidRPr="006D4B72">
        <w:rPr>
          <w:rFonts w:eastAsia="SimSun"/>
        </w:rPr>
        <w:t>«</w:t>
      </w:r>
      <w:r w:rsidRPr="006D4B72">
        <w:rPr>
          <w:lang w:eastAsia="zh-CN"/>
        </w:rPr>
        <w:t>Information on the preparation of texts for the draft CPM Report to WRC-1</w:t>
      </w:r>
      <w:r w:rsidR="00515167" w:rsidRPr="006D4B72">
        <w:rPr>
          <w:lang w:eastAsia="zh-CN"/>
        </w:rPr>
        <w:t>9</w:t>
      </w:r>
      <w:r w:rsidR="00FA6784" w:rsidRPr="006D4B72">
        <w:rPr>
          <w:lang w:eastAsia="zh-CN"/>
        </w:rPr>
        <w:t>»</w:t>
      </w:r>
      <w:r w:rsidRPr="006D4B72">
        <w:rPr>
          <w:lang w:eastAsia="zh-CN"/>
        </w:rPr>
        <w:t xml:space="preserve"> (Informations sur la préparation de textes pour le projet de Rapport de la RPC à la CMR-1</w:t>
      </w:r>
      <w:r w:rsidR="0039789F" w:rsidRPr="006D4B72">
        <w:rPr>
          <w:lang w:eastAsia="zh-CN"/>
        </w:rPr>
        <w:t>9</w:t>
      </w:r>
      <w:r w:rsidRPr="006D4B72">
        <w:rPr>
          <w:lang w:eastAsia="zh-CN"/>
        </w:rPr>
        <w:t xml:space="preserve">) (voir Documents </w:t>
      </w:r>
      <w:r w:rsidR="00515167" w:rsidRPr="006D4B72">
        <w:t>1A/77–1B/64–4A/109–4C/98–5A/169–5B/117–5C/101–5D/251–5</w:t>
      </w:r>
      <w:r w:rsidR="00ED283C">
        <w:noBreakHyphen/>
      </w:r>
      <w:r w:rsidR="00515167" w:rsidRPr="006D4B72">
        <w:t>1/22–7B/59–7C/58</w:t>
      </w:r>
      <w:r w:rsidR="00FA6784" w:rsidRPr="006D4B72">
        <w:t xml:space="preserve"> </w:t>
      </w:r>
      <w:r w:rsidRPr="006D4B72">
        <w:rPr>
          <w:lang w:eastAsia="zh-CN"/>
        </w:rPr>
        <w:t>du 1</w:t>
      </w:r>
      <w:r w:rsidR="00515167" w:rsidRPr="006D4B72">
        <w:rPr>
          <w:lang w:eastAsia="zh-CN"/>
        </w:rPr>
        <w:t>9</w:t>
      </w:r>
      <w:r w:rsidRPr="006D4B72">
        <w:rPr>
          <w:lang w:eastAsia="zh-CN"/>
        </w:rPr>
        <w:t xml:space="preserve"> septembre 20</w:t>
      </w:r>
      <w:r w:rsidR="00515167" w:rsidRPr="006D4B72">
        <w:rPr>
          <w:lang w:eastAsia="zh-CN"/>
        </w:rPr>
        <w:t>16</w:t>
      </w:r>
      <w:r w:rsidRPr="006D4B72">
        <w:rPr>
          <w:lang w:eastAsia="zh-CN"/>
        </w:rPr>
        <w:t>).</w:t>
      </w:r>
    </w:p>
    <w:p w14:paraId="2C665D59" w14:textId="075352D0" w:rsidR="00515167" w:rsidRPr="006D4B72" w:rsidRDefault="0039789F" w:rsidP="00FA6784">
      <w:pPr>
        <w:rPr>
          <w:rFonts w:eastAsia="SimSun"/>
        </w:rPr>
      </w:pPr>
      <w:r w:rsidRPr="006D4B72">
        <w:rPr>
          <w:rFonts w:eastAsia="SimSun"/>
        </w:rPr>
        <w:t>À l'issue des séries de réunion de l'UIT-R tenues entre septembre et novembre 2016, un Corrigendum 1 à l'Addendum 1 de la Circulaire CA/226 a été publié le 20 décembre 2016, en accord avec la Commission de direction de la RPC-19, afin de tenir compte de</w:t>
      </w:r>
      <w:r w:rsidR="00D47558" w:rsidRPr="006D4B72">
        <w:rPr>
          <w:rFonts w:eastAsia="SimSun"/>
        </w:rPr>
        <w:t xml:space="preserve"> certaine</w:t>
      </w:r>
      <w:r w:rsidRPr="006D4B72">
        <w:rPr>
          <w:rFonts w:eastAsia="SimSun"/>
        </w:rPr>
        <w:t>s modifications que les Commissions d'études 4 et 7 ont demandé d'apporter à la liste des groupes de travail concernés. Un Corrigendum 2 à l'Addendum 1 de la Circulaire CA/226 a été publié le 26</w:t>
      </w:r>
      <w:r w:rsidR="00FA6784" w:rsidRPr="006D4B72">
        <w:rPr>
          <w:rFonts w:eastAsia="SimSun"/>
        </w:rPr>
        <w:t> </w:t>
      </w:r>
      <w:r w:rsidRPr="006D4B72">
        <w:rPr>
          <w:rFonts w:eastAsia="SimSun"/>
        </w:rPr>
        <w:t xml:space="preserve">juillet 2017, en accord avec </w:t>
      </w:r>
      <w:r w:rsidR="00FD6EA0" w:rsidRPr="006D4B72">
        <w:rPr>
          <w:rFonts w:eastAsia="SimSun"/>
        </w:rPr>
        <w:t>la Commission de direction de la RPC-19, afin de tenir compte d'une autre modification que le Groupe de travail 4C et la Commission d 'études 4 ont demandé d'apporter à la liste des groupes de travail concernés.</w:t>
      </w:r>
    </w:p>
    <w:p w14:paraId="6E17DA39" w14:textId="41988775" w:rsidR="00515167" w:rsidRPr="006D4B72" w:rsidRDefault="00FD6EA0" w:rsidP="00FA6784">
      <w:pPr>
        <w:rPr>
          <w:rFonts w:eastAsia="SimSun"/>
        </w:rPr>
      </w:pPr>
      <w:r w:rsidRPr="006D4B72">
        <w:rPr>
          <w:rFonts w:eastAsia="SimSun"/>
        </w:rPr>
        <w:t xml:space="preserve">De plus, le Directeur du Bureau des radiocommunications (BR) a donné aux groupes responsables des renseignements supplémentaires sur </w:t>
      </w:r>
      <w:r w:rsidR="00D47558" w:rsidRPr="006D4B72">
        <w:rPr>
          <w:rFonts w:eastAsia="SimSun"/>
        </w:rPr>
        <w:t>l'élaboration</w:t>
      </w:r>
      <w:r w:rsidRPr="006D4B72">
        <w:rPr>
          <w:rFonts w:eastAsia="SimSun"/>
        </w:rPr>
        <w:t xml:space="preserve"> des textes pour le projet de rapport de la RPC </w:t>
      </w:r>
      <w:r w:rsidR="00FA6784" w:rsidRPr="006D4B72">
        <w:rPr>
          <w:rFonts w:eastAsia="SimSun"/>
        </w:rPr>
        <w:t xml:space="preserve">à </w:t>
      </w:r>
      <w:r w:rsidRPr="006D4B72">
        <w:rPr>
          <w:rFonts w:eastAsia="SimSun"/>
        </w:rPr>
        <w:t>la CMR-19</w:t>
      </w:r>
      <w:r w:rsidR="00D47558" w:rsidRPr="006D4B72">
        <w:rPr>
          <w:rFonts w:eastAsia="SimSun"/>
        </w:rPr>
        <w:t xml:space="preserve">, concernant </w:t>
      </w:r>
      <w:r w:rsidRPr="006D4B72">
        <w:rPr>
          <w:rFonts w:eastAsia="SimSun"/>
        </w:rPr>
        <w:t xml:space="preserve">l'utilisation de l'interface pour les propositions aux conférences (CPI) </w:t>
      </w:r>
      <w:r w:rsidR="00FA6784" w:rsidRPr="006D4B72">
        <w:rPr>
          <w:rFonts w:eastAsia="SimSun"/>
        </w:rPr>
        <w:t xml:space="preserve">pour </w:t>
      </w:r>
      <w:r w:rsidRPr="006D4B72">
        <w:rPr>
          <w:rFonts w:eastAsia="SimSun"/>
        </w:rPr>
        <w:t xml:space="preserve">la </w:t>
      </w:r>
      <w:r w:rsidR="00692C8B" w:rsidRPr="006D4B72">
        <w:rPr>
          <w:rFonts w:eastAsia="SimSun"/>
        </w:rPr>
        <w:t>C</w:t>
      </w:r>
      <w:r w:rsidRPr="006D4B72">
        <w:rPr>
          <w:rFonts w:eastAsia="SimSun"/>
        </w:rPr>
        <w:t>MR-19</w:t>
      </w:r>
      <w:r w:rsidR="00692C8B" w:rsidRPr="006D4B72">
        <w:rPr>
          <w:rFonts w:eastAsia="SimSun"/>
        </w:rPr>
        <w:t xml:space="preserve"> pour obtenir les Volumes 1 à 3 de l'édition de 2016 du Règlement des radiocommunications </w:t>
      </w:r>
      <w:r w:rsidR="00515167" w:rsidRPr="006D4B72">
        <w:rPr>
          <w:rFonts w:eastAsia="SimSun"/>
        </w:rPr>
        <w:t>(</w:t>
      </w:r>
      <w:r w:rsidRPr="006D4B72">
        <w:rPr>
          <w:rFonts w:eastAsia="SimSun"/>
        </w:rPr>
        <w:t>voir les documents</w:t>
      </w:r>
      <w:r w:rsidR="00515167" w:rsidRPr="006D4B72">
        <w:rPr>
          <w:rFonts w:eastAsia="SimSun"/>
        </w:rPr>
        <w:t xml:space="preserve"> 1A/160–1B/136–4A/254–4C/154–5A/341–5B/226–5C/216–5D/535–5-1/39–7B/166–7C/143 </w:t>
      </w:r>
      <w:r w:rsidRPr="006D4B72">
        <w:rPr>
          <w:rFonts w:eastAsia="SimSun"/>
        </w:rPr>
        <w:t xml:space="preserve">du 4 avril </w:t>
      </w:r>
      <w:r w:rsidR="00515167" w:rsidRPr="006D4B72">
        <w:rPr>
          <w:rFonts w:eastAsia="SimSun"/>
        </w:rPr>
        <w:t>2017).</w:t>
      </w:r>
    </w:p>
    <w:p w14:paraId="7CA27295" w14:textId="5FDB49B2" w:rsidR="00515167" w:rsidRPr="006D4B72" w:rsidRDefault="00692C8B" w:rsidP="00FA6784">
      <w:pPr>
        <w:rPr>
          <w:rFonts w:eastAsia="SimSun"/>
        </w:rPr>
      </w:pPr>
      <w:r w:rsidRPr="006D4B72">
        <w:rPr>
          <w:rFonts w:eastAsia="SimSun"/>
        </w:rPr>
        <w:t>Le Président de la RPC-19 a également donné aux groupes responsables, en accord avec l'</w:t>
      </w:r>
      <w:r w:rsidR="00D47558" w:rsidRPr="006D4B72">
        <w:rPr>
          <w:rFonts w:eastAsia="SimSun"/>
        </w:rPr>
        <w:t>É</w:t>
      </w:r>
      <w:r w:rsidRPr="006D4B72">
        <w:rPr>
          <w:rFonts w:eastAsia="SimSun"/>
        </w:rPr>
        <w:t xml:space="preserve">quipe de gestion de la RPC-19, des orientations générales concernant </w:t>
      </w:r>
      <w:r w:rsidR="00D47558" w:rsidRPr="006D4B72">
        <w:rPr>
          <w:rFonts w:eastAsia="SimSun"/>
        </w:rPr>
        <w:t>l'élaboration</w:t>
      </w:r>
      <w:r w:rsidRPr="006D4B72">
        <w:rPr>
          <w:rFonts w:eastAsia="SimSun"/>
        </w:rPr>
        <w:t xml:space="preserve"> de la partie </w:t>
      </w:r>
      <w:r w:rsidR="006D4B72">
        <w:rPr>
          <w:rFonts w:eastAsia="SimSun"/>
        </w:rPr>
        <w:t>«</w:t>
      </w:r>
      <w:r w:rsidRPr="006D4B72">
        <w:rPr>
          <w:rFonts w:eastAsia="SimSun"/>
        </w:rPr>
        <w:t>Conclusion</w:t>
      </w:r>
      <w:r w:rsidR="006D4B72">
        <w:rPr>
          <w:rFonts w:eastAsia="SimSun"/>
        </w:rPr>
        <w:t>»</w:t>
      </w:r>
      <w:r w:rsidRPr="006D4B72">
        <w:rPr>
          <w:rFonts w:eastAsia="SimSun"/>
        </w:rPr>
        <w:t xml:space="preserve"> des projets de texte de la RPC sur les 9 questions inscrites au titre du point 9.1 de l'ordre du jour de la CMR-19</w:t>
      </w:r>
      <w:r w:rsidR="00515167" w:rsidRPr="006D4B72">
        <w:rPr>
          <w:rFonts w:eastAsia="SimSun"/>
        </w:rPr>
        <w:t xml:space="preserve"> (</w:t>
      </w:r>
      <w:r w:rsidRPr="006D4B72">
        <w:rPr>
          <w:rFonts w:eastAsia="SimSun"/>
        </w:rPr>
        <w:t xml:space="preserve">voir les documents </w:t>
      </w:r>
      <w:r w:rsidR="00515167" w:rsidRPr="006D4B72">
        <w:rPr>
          <w:rFonts w:eastAsia="SimSun"/>
        </w:rPr>
        <w:t xml:space="preserve">1B/245–4A/677–4C/357–5A/701–5B/454–5D/896–1A/279–5C/443–5-1/403–7B/274–7C/268 </w:t>
      </w:r>
      <w:r w:rsidRPr="006D4B72">
        <w:rPr>
          <w:rFonts w:eastAsia="SimSun"/>
        </w:rPr>
        <w:t xml:space="preserve">du </w:t>
      </w:r>
      <w:r w:rsidR="00FA6784" w:rsidRPr="006D4B72">
        <w:rPr>
          <w:rFonts w:eastAsia="SimSun"/>
        </w:rPr>
        <w:t>1er </w:t>
      </w:r>
      <w:r w:rsidRPr="006D4B72">
        <w:rPr>
          <w:rFonts w:eastAsia="SimSun"/>
        </w:rPr>
        <w:t>mai</w:t>
      </w:r>
      <w:r w:rsidR="00515167" w:rsidRPr="006D4B72">
        <w:rPr>
          <w:rFonts w:eastAsia="SimSun"/>
        </w:rPr>
        <w:t xml:space="preserve"> 2018).</w:t>
      </w:r>
    </w:p>
    <w:p w14:paraId="7924896A" w14:textId="7A01650E" w:rsidR="00C059D2" w:rsidRPr="006D4B72" w:rsidRDefault="00C059D2" w:rsidP="00FA6784">
      <w:bookmarkStart w:id="41" w:name="lt_pId068"/>
      <w:bookmarkEnd w:id="40"/>
      <w:r w:rsidRPr="006D4B72">
        <w:t xml:space="preserve">Les textes pour le projet de Rapport de la RPC ont été préparés par les groupes responsables et ont été fournis </w:t>
      </w:r>
      <w:r w:rsidR="00692C8B" w:rsidRPr="006D4B72">
        <w:t>avant l'échéance fixée au 31 août 2018</w:t>
      </w:r>
      <w:r w:rsidRPr="006D4B72">
        <w:t xml:space="preserve"> par les Présidents de ces groupes aux Rapporteurs chargés des différents Chapitres, qui ont présenté ceux-ci à la réunion de l'</w:t>
      </w:r>
      <w:r w:rsidR="00D47558" w:rsidRPr="006D4B72">
        <w:t>É</w:t>
      </w:r>
      <w:r w:rsidRPr="006D4B72">
        <w:t>quipe de gestion de la RPC-1</w:t>
      </w:r>
      <w:r w:rsidR="00515167" w:rsidRPr="006D4B72">
        <w:t>9</w:t>
      </w:r>
      <w:r w:rsidR="00692C8B" w:rsidRPr="006D4B72">
        <w:t xml:space="preserve"> (voir la section 3.4 ci-dessous)</w:t>
      </w:r>
      <w:r w:rsidRPr="006D4B72">
        <w:t>.</w:t>
      </w:r>
      <w:bookmarkEnd w:id="41"/>
    </w:p>
    <w:p w14:paraId="09B8B2E1" w14:textId="06DD9EC0" w:rsidR="00C059D2" w:rsidRPr="006D4B72" w:rsidRDefault="00C059D2" w:rsidP="00FA6784">
      <w:pPr>
        <w:pStyle w:val="Heading2"/>
      </w:pPr>
      <w:r w:rsidRPr="006D4B72">
        <w:t>3.2</w:t>
      </w:r>
      <w:r w:rsidRPr="006D4B72">
        <w:tab/>
      </w:r>
      <w:bookmarkStart w:id="42" w:name="lt_pId070"/>
      <w:r w:rsidRPr="006D4B72">
        <w:t>Programme de travail pour chaque point de l'ordre du jour de la CMR-1</w:t>
      </w:r>
      <w:bookmarkEnd w:id="42"/>
      <w:r w:rsidR="00515167" w:rsidRPr="006D4B72">
        <w:t>9</w:t>
      </w:r>
    </w:p>
    <w:p w14:paraId="0DB30F86" w14:textId="7E29A266" w:rsidR="00C059D2" w:rsidRPr="006D4B72" w:rsidRDefault="00C059D2" w:rsidP="00FA6784">
      <w:pPr>
        <w:rPr>
          <w:rFonts w:ascii="Times New Roman CYR" w:hAnsi="Times New Roman CYR" w:cs="Times New Roman CYR"/>
        </w:rPr>
      </w:pPr>
      <w:bookmarkStart w:id="43" w:name="lt_pId071"/>
      <w:r w:rsidRPr="006D4B72">
        <w:t>Au début du processus préparatoire, il a été recommandé de déterminer, pour chaque point de l'ordre du jour de la CMR-1</w:t>
      </w:r>
      <w:r w:rsidR="00497DBB" w:rsidRPr="006D4B72">
        <w:t>9</w:t>
      </w:r>
      <w:r w:rsidRPr="006D4B72">
        <w:t xml:space="preserve">, </w:t>
      </w:r>
      <w:r w:rsidR="00497DBB" w:rsidRPr="006D4B72">
        <w:t xml:space="preserve">le programme de travail et </w:t>
      </w:r>
      <w:r w:rsidRPr="006D4B72">
        <w:t>les thèmes d'étude à inscrire, notamment pour les points de l'ordre du jour de nature générale qui pourraient donner lieu à d'éventuelles divergences d'interprétation en ce qui concerne les questions à étudier.</w:t>
      </w:r>
      <w:bookmarkEnd w:id="43"/>
    </w:p>
    <w:p w14:paraId="29673A7C" w14:textId="228ED36E" w:rsidR="00C059D2" w:rsidRPr="006D4B72" w:rsidRDefault="00C059D2" w:rsidP="00FA6784">
      <w:bookmarkStart w:id="44" w:name="lt_pId072"/>
      <w:r w:rsidRPr="006D4B72">
        <w:lastRenderedPageBreak/>
        <w:t>Ces informations ont été jointes aux rapports des Présidents de chaque Groupe responsable, et ont aidé les administrations à préparer chaque point de l'ordre du jour tout en facilitant la réalisation des études préparatoires au niveau régional ainsi que la coordination interrégionale.</w:t>
      </w:r>
      <w:bookmarkEnd w:id="44"/>
    </w:p>
    <w:p w14:paraId="783B605D" w14:textId="77777777" w:rsidR="00C059D2" w:rsidRPr="006D4B72" w:rsidRDefault="00C059D2" w:rsidP="00FA6784">
      <w:bookmarkStart w:id="45" w:name="lt_pId074"/>
      <w:r w:rsidRPr="006D4B72">
        <w:t>L'utilisation de cette méthode pourrait être envisagée pour les prochains cycles des CMR.</w:t>
      </w:r>
      <w:bookmarkEnd w:id="45"/>
    </w:p>
    <w:p w14:paraId="18ECCE44" w14:textId="06A39026" w:rsidR="00C059D2" w:rsidRPr="006D4B72" w:rsidRDefault="00C059D2" w:rsidP="00FA6784">
      <w:pPr>
        <w:pStyle w:val="Heading2"/>
      </w:pPr>
      <w:r w:rsidRPr="006D4B72">
        <w:t>3.3</w:t>
      </w:r>
      <w:r w:rsidRPr="006D4B72">
        <w:tab/>
      </w:r>
      <w:bookmarkStart w:id="46" w:name="lt_pId076"/>
      <w:r w:rsidRPr="006D4B72">
        <w:t>Ateliers interrégionaux de l'UIT sur les travaux préparatoires en vue de la CMR</w:t>
      </w:r>
      <w:r w:rsidRPr="006D4B72">
        <w:noBreakHyphen/>
        <w:t>1</w:t>
      </w:r>
      <w:bookmarkEnd w:id="46"/>
      <w:r w:rsidR="00515167" w:rsidRPr="006D4B72">
        <w:t>9</w:t>
      </w:r>
    </w:p>
    <w:p w14:paraId="4FB1D18E" w14:textId="5C51FADA" w:rsidR="00C059D2" w:rsidRPr="006D4B72" w:rsidRDefault="00C059D2" w:rsidP="006D4B72">
      <w:bookmarkStart w:id="47" w:name="lt_pId077"/>
      <w:r w:rsidRPr="006D4B72">
        <w:t>En réponse aux attentes des membres de l'UIT-R qui souhaitaient recevoir périodiquement des informations au sujet de l'avancement des préparatifs de la CMR-1</w:t>
      </w:r>
      <w:r w:rsidR="00515167" w:rsidRPr="006D4B72">
        <w:t>9</w:t>
      </w:r>
      <w:r w:rsidR="00D47558" w:rsidRPr="006D4B72">
        <w:t>,</w:t>
      </w:r>
      <w:r w:rsidRPr="006D4B72">
        <w:t xml:space="preserve"> (voir la Résolution 80 (Rév. Marrakech, 2002) de la Conférence de plénipotentiaires de l'UIT, la Résolution 72 de la CMR (Rév.CMR-07) et la Résolution UIT-R 2-</w:t>
      </w:r>
      <w:r w:rsidR="00515167" w:rsidRPr="006D4B72">
        <w:t>7</w:t>
      </w:r>
      <w:r w:rsidRPr="006D4B72">
        <w:t>), le BR a organisé (en 201</w:t>
      </w:r>
      <w:r w:rsidR="00515167" w:rsidRPr="006D4B72">
        <w:t>7</w:t>
      </w:r>
      <w:r w:rsidRPr="006D4B72">
        <w:t>, 201</w:t>
      </w:r>
      <w:r w:rsidR="00515167" w:rsidRPr="006D4B72">
        <w:t>8</w:t>
      </w:r>
      <w:r w:rsidRPr="006D4B72">
        <w:t xml:space="preserve"> et 201</w:t>
      </w:r>
      <w:r w:rsidR="00515167" w:rsidRPr="006D4B72">
        <w:t>9</w:t>
      </w:r>
      <w:r w:rsidRPr="006D4B72">
        <w:t>) trois Ateliers interrégionaux de l'UIT en vue de la CMR-1</w:t>
      </w:r>
      <w:r w:rsidR="00515167" w:rsidRPr="006D4B72">
        <w:t>9</w:t>
      </w:r>
      <w:r w:rsidRPr="006D4B72">
        <w:t xml:space="preserve"> auxquels les membres de l'UIT-R et les organisations régionales étaient bien représentés.</w:t>
      </w:r>
      <w:bookmarkEnd w:id="47"/>
    </w:p>
    <w:p w14:paraId="73C12008" w14:textId="36061BAA" w:rsidR="00C059D2" w:rsidRPr="006D4B72" w:rsidRDefault="00C059D2" w:rsidP="00FA6784">
      <w:bookmarkStart w:id="48" w:name="lt_pId078"/>
      <w:r w:rsidRPr="006D4B72">
        <w:t>Les participants à ces trois ateliers ont non seulement été informés des progrès accomplis dans le cadre des études préparatoires de l'UIT-R, conformément aux décisions prises à la première session de la RPC-1</w:t>
      </w:r>
      <w:r w:rsidR="00515167" w:rsidRPr="006D4B72">
        <w:t>9</w:t>
      </w:r>
      <w:r w:rsidRPr="006D4B72">
        <w:t>, mais ont également échangé leurs vues sur:</w:t>
      </w:r>
      <w:bookmarkEnd w:id="48"/>
    </w:p>
    <w:p w14:paraId="23601E54" w14:textId="03CCD60D" w:rsidR="00515167" w:rsidRPr="006D4B72" w:rsidRDefault="00515167" w:rsidP="00FA6784">
      <w:r w:rsidRPr="006D4B72">
        <w:t>–</w:t>
      </w:r>
      <w:r w:rsidRPr="006D4B72">
        <w:tab/>
      </w:r>
      <w:r w:rsidR="00497DBB" w:rsidRPr="006D4B72">
        <w:t>les intérêts des administrations et d'autres parties prenantes</w:t>
      </w:r>
      <w:r w:rsidRPr="006D4B72">
        <w:t>;</w:t>
      </w:r>
    </w:p>
    <w:p w14:paraId="52F6BEE1" w14:textId="77777777" w:rsidR="00C059D2" w:rsidRPr="006D4B72" w:rsidRDefault="00C059D2" w:rsidP="00FA6784">
      <w:pPr>
        <w:pStyle w:val="enumlev1"/>
      </w:pPr>
      <w:r w:rsidRPr="006D4B72">
        <w:t>–</w:t>
      </w:r>
      <w:r w:rsidRPr="006D4B72">
        <w:tab/>
      </w:r>
      <w:bookmarkStart w:id="49" w:name="lt_pId080"/>
      <w:r w:rsidRPr="006D4B72">
        <w:t>les méthodes envisageables pour traiter les différents points de l'ordre du jour en fonction des résultats des études de l'UIT-R menées par les groupes responsables;</w:t>
      </w:r>
      <w:bookmarkEnd w:id="49"/>
      <w:r w:rsidRPr="006D4B72">
        <w:t xml:space="preserve"> </w:t>
      </w:r>
    </w:p>
    <w:p w14:paraId="5F058DD6" w14:textId="07009314" w:rsidR="00C059D2" w:rsidRPr="006D4B72" w:rsidRDefault="00C059D2" w:rsidP="00FA6784">
      <w:pPr>
        <w:pStyle w:val="enumlev1"/>
      </w:pPr>
      <w:r w:rsidRPr="006D4B72">
        <w:t>–</w:t>
      </w:r>
      <w:r w:rsidRPr="006D4B72">
        <w:tab/>
      </w:r>
      <w:bookmarkStart w:id="50" w:name="lt_pId082"/>
      <w:r w:rsidRPr="006D4B72">
        <w:t>la position et les points de vue préliminaires des six grands groupes régionaux préparant la CMR-1</w:t>
      </w:r>
      <w:r w:rsidR="00515167" w:rsidRPr="006D4B72">
        <w:t>9</w:t>
      </w:r>
      <w:r w:rsidRPr="006D4B72">
        <w:t xml:space="preserve"> quant aux différents points de l'ordre du jour de </w:t>
      </w:r>
      <w:r w:rsidR="00D47558" w:rsidRPr="006D4B72">
        <w:t>cette</w:t>
      </w:r>
      <w:r w:rsidRPr="006D4B72">
        <w:t xml:space="preserve"> conférence.</w:t>
      </w:r>
      <w:bookmarkEnd w:id="50"/>
    </w:p>
    <w:p w14:paraId="731F2B3F" w14:textId="77777777" w:rsidR="00C059D2" w:rsidRPr="006D4B72" w:rsidRDefault="00C059D2" w:rsidP="00FA6784">
      <w:bookmarkStart w:id="51" w:name="lt_pId083"/>
      <w:r w:rsidRPr="006D4B72">
        <w:t>Les participants à ces Ateliers interrégionaux de l'UIT ont confirmé l'utilité de ces réunions pour les CMR futures.</w:t>
      </w:r>
      <w:bookmarkEnd w:id="51"/>
    </w:p>
    <w:p w14:paraId="0DCB0E4B" w14:textId="34406F83" w:rsidR="00C059D2" w:rsidRPr="006D4B72" w:rsidRDefault="00C059D2" w:rsidP="00FA6784">
      <w:pPr>
        <w:pStyle w:val="Heading2"/>
      </w:pPr>
      <w:r w:rsidRPr="006D4B72">
        <w:t>3.4</w:t>
      </w:r>
      <w:r w:rsidRPr="006D4B72">
        <w:tab/>
      </w:r>
      <w:bookmarkStart w:id="52" w:name="lt_pId085"/>
      <w:r w:rsidR="000C764F" w:rsidRPr="006D4B72">
        <w:t>É</w:t>
      </w:r>
      <w:r w:rsidRPr="006D4B72">
        <w:t>laboration du projet de Rapport de synthèse de la RPC</w:t>
      </w:r>
      <w:bookmarkEnd w:id="52"/>
    </w:p>
    <w:p w14:paraId="41F01735" w14:textId="6D5772D0" w:rsidR="00C059D2" w:rsidRPr="006D4B72" w:rsidRDefault="00C059D2" w:rsidP="00FA6784">
      <w:pPr>
        <w:keepNext/>
        <w:keepLines/>
      </w:pPr>
      <w:bookmarkStart w:id="53" w:name="lt_pId086"/>
      <w:r w:rsidRPr="006D4B72">
        <w:t>Conformément au § 6 de l'Annexe 1 de la Résolution UIT-R 2-</w:t>
      </w:r>
      <w:r w:rsidR="00515167" w:rsidRPr="006D4B72">
        <w:t>7</w:t>
      </w:r>
      <w:r w:rsidRPr="006D4B72">
        <w:t>, la réunion de l'</w:t>
      </w:r>
      <w:r w:rsidR="00D47558" w:rsidRPr="006D4B72">
        <w:t>É</w:t>
      </w:r>
      <w:r w:rsidRPr="006D4B72">
        <w:t>quipe de gestion de la RPC-1</w:t>
      </w:r>
      <w:r w:rsidR="00515167" w:rsidRPr="006D4B72">
        <w:t>9</w:t>
      </w:r>
      <w:r w:rsidRPr="006D4B72">
        <w:t xml:space="preserve"> a eu lieu </w:t>
      </w:r>
      <w:r w:rsidR="00497DBB" w:rsidRPr="006D4B72">
        <w:t>les</w:t>
      </w:r>
      <w:r w:rsidR="00515167" w:rsidRPr="006D4B72">
        <w:t xml:space="preserve"> 6</w:t>
      </w:r>
      <w:r w:rsidRPr="006D4B72">
        <w:t xml:space="preserve"> </w:t>
      </w:r>
      <w:r w:rsidR="00497DBB" w:rsidRPr="006D4B72">
        <w:t>et</w:t>
      </w:r>
      <w:r w:rsidRPr="006D4B72">
        <w:t xml:space="preserve"> </w:t>
      </w:r>
      <w:r w:rsidR="00515167" w:rsidRPr="006D4B72">
        <w:t>7</w:t>
      </w:r>
      <w:r w:rsidRPr="006D4B72">
        <w:t xml:space="preserve"> septembre 201</w:t>
      </w:r>
      <w:r w:rsidR="00515167" w:rsidRPr="006D4B72">
        <w:t>8</w:t>
      </w:r>
      <w:r w:rsidRPr="006D4B72">
        <w:t xml:space="preserve"> à Genève.</w:t>
      </w:r>
      <w:bookmarkEnd w:id="53"/>
      <w:r w:rsidRPr="006D4B72">
        <w:t xml:space="preserve"> </w:t>
      </w:r>
      <w:bookmarkStart w:id="54" w:name="lt_pId087"/>
      <w:r w:rsidRPr="006D4B72">
        <w:t>Elle a élaboré le projet de Rapport de synthèse de la RPC, qui a été diffusé, sous la cote CPM1</w:t>
      </w:r>
      <w:r w:rsidR="00515167" w:rsidRPr="006D4B72">
        <w:t>9</w:t>
      </w:r>
      <w:r w:rsidRPr="006D4B72">
        <w:t xml:space="preserve">-2/1, à tous les </w:t>
      </w:r>
      <w:r w:rsidR="006D4B72" w:rsidRPr="006D4B72">
        <w:t>États</w:t>
      </w:r>
      <w:r w:rsidRPr="006D4B72">
        <w:t xml:space="preserve"> Membres ainsi qu'aux Membres du Secteur des radiocommunications.</w:t>
      </w:r>
      <w:bookmarkEnd w:id="54"/>
    </w:p>
    <w:p w14:paraId="35CA6913" w14:textId="01E6848B" w:rsidR="00C059D2" w:rsidRPr="006D4B72" w:rsidRDefault="00C059D2" w:rsidP="00FA6784">
      <w:pPr>
        <w:pStyle w:val="Heading1"/>
      </w:pPr>
      <w:r w:rsidRPr="006D4B72">
        <w:t>4</w:t>
      </w:r>
      <w:r w:rsidRPr="006D4B72">
        <w:tab/>
      </w:r>
      <w:bookmarkStart w:id="55" w:name="lt_pId091"/>
      <w:r w:rsidRPr="006D4B72">
        <w:t>Seconde session de la Réunion de préparation à la Conférence de 201</w:t>
      </w:r>
      <w:bookmarkEnd w:id="55"/>
      <w:r w:rsidR="00515167" w:rsidRPr="006D4B72">
        <w:t>9</w:t>
      </w:r>
    </w:p>
    <w:p w14:paraId="312DD1D3" w14:textId="30FE1BA1" w:rsidR="00C059D2" w:rsidRPr="006D4B72" w:rsidRDefault="00C059D2" w:rsidP="00FA6784">
      <w:bookmarkStart w:id="56" w:name="lt_pId092"/>
      <w:r w:rsidRPr="006D4B72">
        <w:t>La seconde session de la RPC-1</w:t>
      </w:r>
      <w:r w:rsidR="00515167" w:rsidRPr="006D4B72">
        <w:t>9</w:t>
      </w:r>
      <w:r w:rsidRPr="006D4B72">
        <w:t xml:space="preserve"> (RPC1</w:t>
      </w:r>
      <w:r w:rsidR="00515167" w:rsidRPr="006D4B72">
        <w:t>9</w:t>
      </w:r>
      <w:r w:rsidRPr="006D4B72">
        <w:t xml:space="preserve">-2) a eu lieu du </w:t>
      </w:r>
      <w:r w:rsidR="00515167" w:rsidRPr="006D4B72">
        <w:t>18 au 28 février 2019</w:t>
      </w:r>
      <w:r w:rsidRPr="006D4B72">
        <w:t xml:space="preserve"> à Genève, sous la présidence de M. </w:t>
      </w:r>
      <w:r w:rsidR="00515167" w:rsidRPr="006D4B72">
        <w:t>Khalid Al-Awadi (Émirats arabes unis)</w:t>
      </w:r>
      <w:r w:rsidRPr="006D4B72">
        <w:t xml:space="preserve">, assisté par les Vice-Présidents de la RPC, pour examiner le projet de Rapport de la RPC, les contributions des Membres de l'UIT et des documents supplémentaires </w:t>
      </w:r>
      <w:r w:rsidR="00F30904" w:rsidRPr="006D4B72">
        <w:t>fournis</w:t>
      </w:r>
      <w:r w:rsidRPr="006D4B72">
        <w:t xml:space="preserve"> par le Bureau des radiocommunications.</w:t>
      </w:r>
      <w:bookmarkEnd w:id="56"/>
    </w:p>
    <w:p w14:paraId="45D74FE9" w14:textId="55E5F25A" w:rsidR="00C059D2" w:rsidRPr="006D4B72" w:rsidRDefault="00C059D2" w:rsidP="00FA6784">
      <w:bookmarkStart w:id="57" w:name="lt_pId093"/>
      <w:r w:rsidRPr="006D4B72">
        <w:t>Environ 1 2</w:t>
      </w:r>
      <w:r w:rsidR="00FA6784" w:rsidRPr="006D4B72">
        <w:t>9</w:t>
      </w:r>
      <w:r w:rsidRPr="006D4B72">
        <w:t xml:space="preserve">4 participants et délégués représentant 106 </w:t>
      </w:r>
      <w:r w:rsidR="00774109" w:rsidRPr="006D4B72">
        <w:t>É</w:t>
      </w:r>
      <w:r w:rsidRPr="006D4B72">
        <w:t>tats Membres</w:t>
      </w:r>
      <w:r w:rsidR="00774109" w:rsidRPr="006D4B72">
        <w:t xml:space="preserve"> </w:t>
      </w:r>
      <w:r w:rsidRPr="006D4B72">
        <w:t>et 8</w:t>
      </w:r>
      <w:r w:rsidR="00774109" w:rsidRPr="006D4B72">
        <w:t>3</w:t>
      </w:r>
      <w:r w:rsidRPr="006D4B72">
        <w:t xml:space="preserve"> Membres du Secteur des radiocommunications, dont des organisations internationales, ont participé à cette réunion.</w:t>
      </w:r>
      <w:bookmarkEnd w:id="57"/>
    </w:p>
    <w:p w14:paraId="702189B0" w14:textId="50115982" w:rsidR="00C059D2" w:rsidRPr="006D4B72" w:rsidRDefault="00C059D2" w:rsidP="00FA6784">
      <w:bookmarkStart w:id="58" w:name="lt_pId094"/>
      <w:r w:rsidRPr="006D4B72">
        <w:t>La RPC1</w:t>
      </w:r>
      <w:r w:rsidR="00774109" w:rsidRPr="006D4B72">
        <w:t>9</w:t>
      </w:r>
      <w:r w:rsidRPr="006D4B72">
        <w:t>-2 a examiné 1</w:t>
      </w:r>
      <w:r w:rsidR="00774109" w:rsidRPr="006D4B72">
        <w:t>98</w:t>
      </w:r>
      <w:r w:rsidRPr="006D4B72">
        <w:t xml:space="preserve"> contributions, y compris le projet de Rapport de la RPC et </w:t>
      </w:r>
      <w:r w:rsidR="006B2057" w:rsidRPr="006D4B72">
        <w:t>les documents du Directeur du Bureau des radiocommunications</w:t>
      </w:r>
      <w:r w:rsidRPr="006D4B72">
        <w:t>.</w:t>
      </w:r>
      <w:bookmarkEnd w:id="58"/>
    </w:p>
    <w:p w14:paraId="51AC224B" w14:textId="35C6EBFE" w:rsidR="00C059D2" w:rsidRPr="006D4B72" w:rsidRDefault="00774109" w:rsidP="00FA6784">
      <w:pPr>
        <w:spacing w:after="240"/>
      </w:pPr>
      <w:bookmarkStart w:id="59" w:name="lt_pId095"/>
      <w:r w:rsidRPr="006D4B72">
        <w:t>À</w:t>
      </w:r>
      <w:r w:rsidR="00C059D2" w:rsidRPr="006D4B72">
        <w:t xml:space="preserve"> la RPC1</w:t>
      </w:r>
      <w:r w:rsidR="006B2057" w:rsidRPr="006D4B72">
        <w:t>9</w:t>
      </w:r>
      <w:r w:rsidR="00C059D2" w:rsidRPr="006D4B72">
        <w:t>-2, les contributions ont été attribuées en vue de l'élaboration du rapport</w:t>
      </w:r>
      <w:r w:rsidR="00D47558" w:rsidRPr="006D4B72">
        <w:t xml:space="preserve"> final</w:t>
      </w:r>
      <w:r w:rsidR="00C059D2" w:rsidRPr="006D4B72">
        <w:t xml:space="preserve"> de la RPC à la CMR-1</w:t>
      </w:r>
      <w:r w:rsidR="006B2057" w:rsidRPr="006D4B72">
        <w:t>9</w:t>
      </w:r>
      <w:r w:rsidR="00C059D2" w:rsidRPr="006D4B72">
        <w:t>, selon la structure adoptée suivante:</w:t>
      </w:r>
      <w:bookmarkEnd w:id="59"/>
    </w:p>
    <w:p w14:paraId="77CC1169" w14:textId="3019028E" w:rsidR="00774109" w:rsidRPr="006D4B72" w:rsidRDefault="00774109" w:rsidP="00ED283C">
      <w:pPr>
        <w:tabs>
          <w:tab w:val="clear" w:pos="2268"/>
          <w:tab w:val="left" w:pos="2977"/>
        </w:tabs>
      </w:pPr>
      <w:bookmarkStart w:id="60" w:name="lt_pId143"/>
      <w:r w:rsidRPr="006D4B72">
        <w:t>Président de la RPC-19</w:t>
      </w:r>
      <w:r w:rsidRPr="006D4B72">
        <w:tab/>
        <w:t>M. K. Al-Awadi (</w:t>
      </w:r>
      <w:r w:rsidR="006B2057" w:rsidRPr="006D4B72">
        <w:t>EAU</w:t>
      </w:r>
      <w:r w:rsidRPr="006D4B72">
        <w:t>)</w:t>
      </w:r>
    </w:p>
    <w:p w14:paraId="7E2A5B73" w14:textId="4A83D701" w:rsidR="00C059D2" w:rsidRPr="006D4B72" w:rsidRDefault="00C059D2" w:rsidP="00ED283C">
      <w:pPr>
        <w:tabs>
          <w:tab w:val="clear" w:pos="2268"/>
          <w:tab w:val="left" w:pos="2977"/>
        </w:tabs>
      </w:pPr>
      <w:r w:rsidRPr="006D4B72">
        <w:t>Rapporteur de la plénière</w:t>
      </w:r>
      <w:bookmarkEnd w:id="60"/>
      <w:r w:rsidRPr="006D4B72">
        <w:tab/>
      </w:r>
      <w:r w:rsidR="00774109" w:rsidRPr="006D4B72">
        <w:t>Mme S.-R. Haskins (USA)</w:t>
      </w:r>
    </w:p>
    <w:p w14:paraId="3A033480" w14:textId="3EDC1DE6" w:rsidR="00C059D2" w:rsidRPr="006D4B72" w:rsidRDefault="00C059D2" w:rsidP="00ED283C">
      <w:pPr>
        <w:tabs>
          <w:tab w:val="clear" w:pos="2268"/>
          <w:tab w:val="left" w:pos="2977"/>
        </w:tabs>
      </w:pPr>
      <w:bookmarkStart w:id="61" w:name="lt_pId145"/>
      <w:r w:rsidRPr="006D4B72">
        <w:t xml:space="preserve">Secrétaire </w:t>
      </w:r>
      <w:bookmarkStart w:id="62" w:name="lt_pId148"/>
      <w:bookmarkEnd w:id="61"/>
      <w:r w:rsidR="00774109" w:rsidRPr="006D4B72">
        <w:t>de la plénière</w:t>
      </w:r>
      <w:r w:rsidRPr="006D4B72">
        <w:tab/>
        <w:t>M. Ph.</w:t>
      </w:r>
      <w:bookmarkEnd w:id="62"/>
      <w:r w:rsidRPr="006D4B72">
        <w:t xml:space="preserve"> </w:t>
      </w:r>
      <w:bookmarkStart w:id="63" w:name="lt_pId149"/>
      <w:r w:rsidRPr="006D4B72">
        <w:t>Aubineau (BR UIT, Conseiller pour la RPC)</w:t>
      </w:r>
      <w:bookmarkEnd w:id="63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68"/>
        <w:gridCol w:w="4394"/>
        <w:gridCol w:w="1984"/>
        <w:gridCol w:w="1977"/>
      </w:tblGrid>
      <w:tr w:rsidR="00134414" w:rsidRPr="006D4B72" w14:paraId="0001AB22" w14:textId="77777777" w:rsidTr="004870BA">
        <w:tc>
          <w:tcPr>
            <w:tcW w:w="659" w:type="pct"/>
          </w:tcPr>
          <w:p w14:paraId="2EC94EC3" w14:textId="77777777" w:rsidR="00134414" w:rsidRPr="006D4B72" w:rsidRDefault="00134414" w:rsidP="00FA6784">
            <w:pPr>
              <w:pStyle w:val="Tablehead"/>
            </w:pPr>
            <w:r w:rsidRPr="006D4B72">
              <w:lastRenderedPageBreak/>
              <w:t>Groupes de la RPC19-2</w:t>
            </w:r>
          </w:p>
        </w:tc>
        <w:tc>
          <w:tcPr>
            <w:tcW w:w="2283" w:type="pct"/>
          </w:tcPr>
          <w:p w14:paraId="7BDF6A40" w14:textId="77777777" w:rsidR="00134414" w:rsidRPr="006D4B72" w:rsidRDefault="00134414" w:rsidP="00FA6784">
            <w:pPr>
              <w:pStyle w:val="Tablehead"/>
            </w:pPr>
            <w:r w:rsidRPr="006D4B72">
              <w:t>Sujet</w:t>
            </w:r>
          </w:p>
        </w:tc>
        <w:tc>
          <w:tcPr>
            <w:tcW w:w="1031" w:type="pct"/>
          </w:tcPr>
          <w:p w14:paraId="44FC0A2B" w14:textId="718F37B1" w:rsidR="00134414" w:rsidRPr="006D4B72" w:rsidRDefault="00134414" w:rsidP="00FA6784">
            <w:pPr>
              <w:pStyle w:val="Tablehead"/>
            </w:pPr>
            <w:r w:rsidRPr="006D4B72">
              <w:t>Président</w:t>
            </w:r>
          </w:p>
        </w:tc>
        <w:tc>
          <w:tcPr>
            <w:tcW w:w="1027" w:type="pct"/>
          </w:tcPr>
          <w:p w14:paraId="141EE346" w14:textId="77777777" w:rsidR="00134414" w:rsidRPr="006D4B72" w:rsidRDefault="00134414" w:rsidP="00FA6784">
            <w:pPr>
              <w:pStyle w:val="Tablehead"/>
            </w:pPr>
            <w:r w:rsidRPr="006D4B72">
              <w:t>(Co-)Secrétaire du BR UIT</w:t>
            </w:r>
          </w:p>
        </w:tc>
      </w:tr>
      <w:tr w:rsidR="00134414" w:rsidRPr="006D4B72" w14:paraId="77F2899B" w14:textId="77777777" w:rsidTr="004870BA">
        <w:tc>
          <w:tcPr>
            <w:tcW w:w="659" w:type="pct"/>
            <w:vAlign w:val="center"/>
          </w:tcPr>
          <w:p w14:paraId="5B0EDB64" w14:textId="77777777" w:rsidR="00134414" w:rsidRPr="006D4B72" w:rsidRDefault="00134414" w:rsidP="00FA6784">
            <w:pPr>
              <w:pStyle w:val="Tabletext"/>
              <w:keepNext/>
              <w:keepLines/>
              <w:spacing w:before="20" w:after="20"/>
              <w:rPr>
                <w:bCs/>
              </w:rPr>
            </w:pPr>
            <w:r w:rsidRPr="006D4B72">
              <w:rPr>
                <w:bCs/>
              </w:rPr>
              <w:t>Groupe de travail 1</w:t>
            </w:r>
          </w:p>
        </w:tc>
        <w:tc>
          <w:tcPr>
            <w:tcW w:w="2283" w:type="pct"/>
            <w:vAlign w:val="center"/>
          </w:tcPr>
          <w:p w14:paraId="64037354" w14:textId="77777777" w:rsidR="00134414" w:rsidRPr="006D4B72" w:rsidRDefault="00134414" w:rsidP="00FA6784">
            <w:pPr>
              <w:pStyle w:val="Tabletext"/>
              <w:keepNext/>
              <w:keepLines/>
              <w:spacing w:before="20" w:after="20"/>
              <w:rPr>
                <w:bCs/>
              </w:rPr>
            </w:pPr>
            <w:r w:rsidRPr="006D4B72">
              <w:rPr>
                <w:bCs/>
              </w:rPr>
              <w:t>Chapitre 1: Services mobile terrestre et fixe; Points 1.11, 1.12, 1.14, 1.15 de l'ordre du jour</w:t>
            </w:r>
          </w:p>
        </w:tc>
        <w:tc>
          <w:tcPr>
            <w:tcW w:w="1031" w:type="pct"/>
            <w:vAlign w:val="center"/>
          </w:tcPr>
          <w:p w14:paraId="736C49B6" w14:textId="77777777" w:rsidR="00134414" w:rsidRPr="006D4B72" w:rsidRDefault="00134414" w:rsidP="00FA6784">
            <w:pPr>
              <w:pStyle w:val="Tabletext"/>
              <w:tabs>
                <w:tab w:val="clear" w:pos="1134"/>
                <w:tab w:val="left" w:pos="1169"/>
              </w:tabs>
              <w:spacing w:before="20" w:after="20"/>
              <w:rPr>
                <w:bCs/>
              </w:rPr>
            </w:pPr>
            <w:r w:rsidRPr="006D4B72">
              <w:rPr>
                <w:bCs/>
              </w:rPr>
              <w:t>Mme K. Zhu (CHN)</w:t>
            </w:r>
          </w:p>
        </w:tc>
        <w:tc>
          <w:tcPr>
            <w:tcW w:w="1027" w:type="pct"/>
            <w:vAlign w:val="center"/>
          </w:tcPr>
          <w:p w14:paraId="1C54B00C" w14:textId="77777777" w:rsidR="00134414" w:rsidRPr="006D4B72" w:rsidRDefault="00134414" w:rsidP="00FA6784">
            <w:pPr>
              <w:pStyle w:val="Tabletext"/>
              <w:tabs>
                <w:tab w:val="clear" w:pos="1134"/>
                <w:tab w:val="left" w:pos="1104"/>
              </w:tabs>
              <w:spacing w:before="20" w:after="20"/>
              <w:rPr>
                <w:bCs/>
              </w:rPr>
            </w:pPr>
            <w:r w:rsidRPr="006D4B72">
              <w:rPr>
                <w:bCs/>
              </w:rPr>
              <w:t xml:space="preserve">M. S. Buonomo </w:t>
            </w:r>
          </w:p>
        </w:tc>
      </w:tr>
      <w:tr w:rsidR="00134414" w:rsidRPr="006D4B72" w14:paraId="1C652E58" w14:textId="77777777" w:rsidTr="004870BA">
        <w:tc>
          <w:tcPr>
            <w:tcW w:w="659" w:type="pct"/>
            <w:vAlign w:val="center"/>
          </w:tcPr>
          <w:p w14:paraId="2E9609ED" w14:textId="77777777" w:rsidR="00134414" w:rsidRPr="006D4B72" w:rsidRDefault="00134414" w:rsidP="00FA6784">
            <w:pPr>
              <w:pStyle w:val="Tabletext"/>
              <w:keepNext/>
              <w:keepLines/>
              <w:spacing w:before="20" w:after="20"/>
              <w:rPr>
                <w:bCs/>
              </w:rPr>
            </w:pPr>
            <w:r w:rsidRPr="006D4B72">
              <w:rPr>
                <w:bCs/>
              </w:rPr>
              <w:t>Groupe de travail 2</w:t>
            </w:r>
          </w:p>
        </w:tc>
        <w:tc>
          <w:tcPr>
            <w:tcW w:w="2283" w:type="pct"/>
            <w:vAlign w:val="center"/>
          </w:tcPr>
          <w:p w14:paraId="4D07A46F" w14:textId="77777777" w:rsidR="00134414" w:rsidRPr="006D4B72" w:rsidRDefault="00134414" w:rsidP="00FA6784">
            <w:pPr>
              <w:pStyle w:val="Tabletext"/>
              <w:keepNext/>
              <w:keepLines/>
              <w:spacing w:before="20" w:after="20"/>
              <w:rPr>
                <w:bCs/>
              </w:rPr>
            </w:pPr>
            <w:r w:rsidRPr="006D4B72">
              <w:rPr>
                <w:bCs/>
              </w:rPr>
              <w:t>Chapitre 2: Applications large bande du service mobile; Points 1.13, 1.16, 9.1 (questions 9.1.1, 9.1.5, 9.1.8) de l'ordre du jour</w:t>
            </w:r>
          </w:p>
        </w:tc>
        <w:tc>
          <w:tcPr>
            <w:tcW w:w="1031" w:type="pct"/>
            <w:vAlign w:val="center"/>
          </w:tcPr>
          <w:p w14:paraId="393C2046" w14:textId="77777777" w:rsidR="00134414" w:rsidRPr="006D4B72" w:rsidRDefault="00134414" w:rsidP="00FA6784">
            <w:pPr>
              <w:pStyle w:val="Tabletext"/>
              <w:keepNext/>
              <w:keepLines/>
              <w:tabs>
                <w:tab w:val="clear" w:pos="1134"/>
                <w:tab w:val="left" w:pos="1169"/>
              </w:tabs>
              <w:spacing w:before="20" w:after="20"/>
              <w:rPr>
                <w:bCs/>
              </w:rPr>
            </w:pPr>
            <w:r w:rsidRPr="006D4B72">
              <w:rPr>
                <w:bCs/>
              </w:rPr>
              <w:t>M. J. Arias Franco (MEX)</w:t>
            </w:r>
          </w:p>
        </w:tc>
        <w:tc>
          <w:tcPr>
            <w:tcW w:w="1027" w:type="pct"/>
            <w:vAlign w:val="center"/>
          </w:tcPr>
          <w:p w14:paraId="52AEF120" w14:textId="77777777" w:rsidR="00134414" w:rsidRPr="006D4B72" w:rsidRDefault="00134414" w:rsidP="00FA6784">
            <w:pPr>
              <w:pStyle w:val="Tabletext"/>
              <w:keepNext/>
              <w:keepLines/>
              <w:tabs>
                <w:tab w:val="clear" w:pos="1134"/>
                <w:tab w:val="left" w:pos="1104"/>
              </w:tabs>
              <w:spacing w:before="20" w:after="20"/>
              <w:rPr>
                <w:bCs/>
              </w:rPr>
            </w:pPr>
            <w:r w:rsidRPr="006D4B72">
              <w:rPr>
                <w:bCs/>
              </w:rPr>
              <w:t>M. D. Botha</w:t>
            </w:r>
          </w:p>
        </w:tc>
      </w:tr>
      <w:tr w:rsidR="00134414" w:rsidRPr="006D4B72" w14:paraId="4A918519" w14:textId="77777777" w:rsidTr="004870BA">
        <w:tc>
          <w:tcPr>
            <w:tcW w:w="659" w:type="pct"/>
            <w:vAlign w:val="center"/>
          </w:tcPr>
          <w:p w14:paraId="70AFB803" w14:textId="77777777" w:rsidR="00134414" w:rsidRPr="006D4B72" w:rsidRDefault="00134414" w:rsidP="00FA6784">
            <w:pPr>
              <w:pStyle w:val="Tabletext"/>
              <w:keepNext/>
              <w:keepLines/>
              <w:spacing w:before="20" w:after="20"/>
              <w:rPr>
                <w:bCs/>
              </w:rPr>
            </w:pPr>
            <w:r w:rsidRPr="006D4B72">
              <w:rPr>
                <w:bCs/>
              </w:rPr>
              <w:t>Groupe de travail 3</w:t>
            </w:r>
          </w:p>
        </w:tc>
        <w:tc>
          <w:tcPr>
            <w:tcW w:w="2283" w:type="pct"/>
            <w:vAlign w:val="center"/>
          </w:tcPr>
          <w:p w14:paraId="20334753" w14:textId="77777777" w:rsidR="00134414" w:rsidRPr="006D4B72" w:rsidRDefault="00134414" w:rsidP="00FA6784">
            <w:pPr>
              <w:pStyle w:val="Tabletext"/>
              <w:keepNext/>
              <w:keepLines/>
              <w:spacing w:before="20" w:after="20"/>
              <w:rPr>
                <w:bCs/>
              </w:rPr>
            </w:pPr>
            <w:r w:rsidRPr="006D4B72">
              <w:rPr>
                <w:bCs/>
              </w:rPr>
              <w:t>Chapitre 3: Services par satellite; Points 1.4, 1.5, 1.6, 7, 9.1 (questions 9.1.2, 9.1.3, 9.1.9) de l'ordre du jour</w:t>
            </w:r>
          </w:p>
        </w:tc>
        <w:tc>
          <w:tcPr>
            <w:tcW w:w="1031" w:type="pct"/>
            <w:vAlign w:val="center"/>
          </w:tcPr>
          <w:p w14:paraId="6A43F4EB" w14:textId="77777777" w:rsidR="00134414" w:rsidRPr="006D4B72" w:rsidRDefault="00134414" w:rsidP="00FA6784">
            <w:pPr>
              <w:pStyle w:val="Tabletext"/>
              <w:keepNext/>
              <w:keepLines/>
              <w:tabs>
                <w:tab w:val="clear" w:pos="1134"/>
                <w:tab w:val="left" w:pos="1169"/>
              </w:tabs>
              <w:spacing w:before="20" w:after="20"/>
              <w:rPr>
                <w:bCs/>
              </w:rPr>
            </w:pPr>
            <w:r w:rsidRPr="006D4B72">
              <w:rPr>
                <w:bCs/>
              </w:rPr>
              <w:t>M. N. VARLAMOV (RUS)</w:t>
            </w:r>
          </w:p>
        </w:tc>
        <w:tc>
          <w:tcPr>
            <w:tcW w:w="1027" w:type="pct"/>
            <w:vAlign w:val="center"/>
          </w:tcPr>
          <w:p w14:paraId="4C17DD4C" w14:textId="77777777" w:rsidR="00134414" w:rsidRPr="006D4B72" w:rsidRDefault="00134414" w:rsidP="00FA6784">
            <w:pPr>
              <w:pStyle w:val="Tabletext"/>
              <w:keepNext/>
              <w:keepLines/>
              <w:tabs>
                <w:tab w:val="clear" w:pos="1134"/>
                <w:tab w:val="left" w:pos="1104"/>
              </w:tabs>
              <w:spacing w:before="20" w:after="20"/>
              <w:rPr>
                <w:bCs/>
              </w:rPr>
            </w:pPr>
            <w:r w:rsidRPr="006D4B72">
              <w:rPr>
                <w:bCs/>
              </w:rPr>
              <w:t>M. N. Malaguti</w:t>
            </w:r>
          </w:p>
        </w:tc>
      </w:tr>
      <w:tr w:rsidR="00134414" w:rsidRPr="006D4B72" w14:paraId="42CB2D3B" w14:textId="77777777" w:rsidTr="004870BA">
        <w:tc>
          <w:tcPr>
            <w:tcW w:w="659" w:type="pct"/>
            <w:vAlign w:val="center"/>
          </w:tcPr>
          <w:p w14:paraId="4BABFDC7" w14:textId="77777777" w:rsidR="00134414" w:rsidRPr="006D4B72" w:rsidRDefault="00134414" w:rsidP="00FA6784">
            <w:pPr>
              <w:pStyle w:val="Tabletext"/>
              <w:keepNext/>
              <w:keepLines/>
              <w:spacing w:before="20" w:after="20"/>
              <w:rPr>
                <w:bCs/>
              </w:rPr>
            </w:pPr>
            <w:r w:rsidRPr="006D4B72">
              <w:rPr>
                <w:bCs/>
              </w:rPr>
              <w:t>Groupe de travail 4</w:t>
            </w:r>
          </w:p>
        </w:tc>
        <w:tc>
          <w:tcPr>
            <w:tcW w:w="2283" w:type="pct"/>
            <w:vAlign w:val="center"/>
          </w:tcPr>
          <w:p w14:paraId="20339223" w14:textId="77777777" w:rsidR="00134414" w:rsidRPr="006D4B72" w:rsidRDefault="00134414" w:rsidP="00FA6784">
            <w:pPr>
              <w:pStyle w:val="Tabletext"/>
              <w:keepNext/>
              <w:keepLines/>
              <w:spacing w:before="20" w:after="20"/>
              <w:rPr>
                <w:bCs/>
              </w:rPr>
            </w:pPr>
            <w:r w:rsidRPr="006D4B72">
              <w:rPr>
                <w:bCs/>
              </w:rPr>
              <w:t>Chapitre 4: Services scientifiques; Points 1.2, 1.3, 1.7 de l'ordre du jour</w:t>
            </w:r>
          </w:p>
        </w:tc>
        <w:tc>
          <w:tcPr>
            <w:tcW w:w="1031" w:type="pct"/>
            <w:vAlign w:val="center"/>
          </w:tcPr>
          <w:p w14:paraId="757A1032" w14:textId="77777777" w:rsidR="00134414" w:rsidRPr="006D4B72" w:rsidRDefault="00134414" w:rsidP="00FA6784">
            <w:pPr>
              <w:pStyle w:val="Tabletext"/>
              <w:keepNext/>
              <w:keepLines/>
              <w:tabs>
                <w:tab w:val="clear" w:pos="1134"/>
                <w:tab w:val="left" w:pos="1169"/>
              </w:tabs>
              <w:spacing w:before="20" w:after="20"/>
              <w:rPr>
                <w:bCs/>
              </w:rPr>
            </w:pPr>
            <w:r w:rsidRPr="006D4B72">
              <w:rPr>
                <w:bCs/>
              </w:rPr>
              <w:t>M. V. Meens (F)</w:t>
            </w:r>
          </w:p>
        </w:tc>
        <w:tc>
          <w:tcPr>
            <w:tcW w:w="1027" w:type="pct"/>
            <w:vAlign w:val="center"/>
          </w:tcPr>
          <w:p w14:paraId="66CC32F1" w14:textId="77777777" w:rsidR="00134414" w:rsidRPr="006D4B72" w:rsidRDefault="00134414" w:rsidP="00FA6784">
            <w:pPr>
              <w:pStyle w:val="Tabletext"/>
              <w:keepNext/>
              <w:keepLines/>
              <w:tabs>
                <w:tab w:val="clear" w:pos="1134"/>
                <w:tab w:val="left" w:pos="1104"/>
              </w:tabs>
              <w:spacing w:before="20" w:after="20"/>
              <w:rPr>
                <w:bCs/>
              </w:rPr>
            </w:pPr>
            <w:r w:rsidRPr="006D4B72">
              <w:rPr>
                <w:bCs/>
              </w:rPr>
              <w:t>M. V. Nozdrin</w:t>
            </w:r>
          </w:p>
        </w:tc>
      </w:tr>
      <w:tr w:rsidR="00134414" w:rsidRPr="006D4B72" w14:paraId="250499CD" w14:textId="77777777" w:rsidTr="004870BA">
        <w:tc>
          <w:tcPr>
            <w:tcW w:w="659" w:type="pct"/>
            <w:vAlign w:val="center"/>
          </w:tcPr>
          <w:p w14:paraId="0792F692" w14:textId="77777777" w:rsidR="00134414" w:rsidRPr="006D4B72" w:rsidRDefault="00134414" w:rsidP="00FA6784">
            <w:pPr>
              <w:pStyle w:val="Tabletext"/>
              <w:keepNext/>
              <w:keepLines/>
              <w:spacing w:before="20" w:after="20"/>
              <w:rPr>
                <w:bCs/>
              </w:rPr>
            </w:pPr>
            <w:r w:rsidRPr="006D4B72">
              <w:rPr>
                <w:bCs/>
              </w:rPr>
              <w:t>Groupe de travail 5</w:t>
            </w:r>
          </w:p>
        </w:tc>
        <w:tc>
          <w:tcPr>
            <w:tcW w:w="2283" w:type="pct"/>
            <w:vAlign w:val="center"/>
          </w:tcPr>
          <w:p w14:paraId="2C09F31E" w14:textId="77777777" w:rsidR="00134414" w:rsidRPr="006D4B72" w:rsidRDefault="00134414" w:rsidP="00FA6784">
            <w:pPr>
              <w:pStyle w:val="Tabletext"/>
              <w:keepNext/>
              <w:keepLines/>
              <w:spacing w:before="20" w:after="20"/>
              <w:rPr>
                <w:bCs/>
              </w:rPr>
            </w:pPr>
            <w:r w:rsidRPr="006D4B72">
              <w:rPr>
                <w:bCs/>
              </w:rPr>
              <w:t xml:space="preserve">Chapitre 5: Services maritime, aéronautique et d'amateur; Points 1.1, 1.8, 1.9 (1.9.1, 1.9.2), 1.10, 9.1 (question 9.1.4) de l'ordre du jour </w:t>
            </w:r>
          </w:p>
        </w:tc>
        <w:tc>
          <w:tcPr>
            <w:tcW w:w="1031" w:type="pct"/>
            <w:vAlign w:val="center"/>
          </w:tcPr>
          <w:p w14:paraId="14C08298" w14:textId="77777777" w:rsidR="00134414" w:rsidRPr="006D4B72" w:rsidRDefault="00134414" w:rsidP="00FA6784">
            <w:pPr>
              <w:pStyle w:val="Tabletext"/>
              <w:keepNext/>
              <w:keepLines/>
              <w:tabs>
                <w:tab w:val="clear" w:pos="1134"/>
                <w:tab w:val="left" w:pos="1169"/>
              </w:tabs>
              <w:spacing w:before="20" w:after="20"/>
              <w:rPr>
                <w:bCs/>
              </w:rPr>
            </w:pPr>
            <w:r w:rsidRPr="006D4B72">
              <w:rPr>
                <w:bCs/>
              </w:rPr>
              <w:t>M. W. SAYED (EGY)</w:t>
            </w:r>
          </w:p>
        </w:tc>
        <w:tc>
          <w:tcPr>
            <w:tcW w:w="1027" w:type="pct"/>
            <w:vAlign w:val="center"/>
          </w:tcPr>
          <w:p w14:paraId="385EB9A4" w14:textId="77777777" w:rsidR="00134414" w:rsidRPr="006D4B72" w:rsidRDefault="00134414" w:rsidP="00FA6784">
            <w:pPr>
              <w:pStyle w:val="Tabletext"/>
              <w:keepNext/>
              <w:keepLines/>
              <w:tabs>
                <w:tab w:val="clear" w:pos="1134"/>
                <w:tab w:val="left" w:pos="1104"/>
              </w:tabs>
              <w:spacing w:before="20" w:after="20"/>
              <w:rPr>
                <w:bCs/>
              </w:rPr>
            </w:pPr>
            <w:r w:rsidRPr="006D4B72">
              <w:rPr>
                <w:bCs/>
              </w:rPr>
              <w:t>M. K. Bogens</w:t>
            </w:r>
          </w:p>
        </w:tc>
      </w:tr>
      <w:tr w:rsidR="00134414" w:rsidRPr="006D4B72" w14:paraId="13B6D7D3" w14:textId="77777777" w:rsidTr="004870BA">
        <w:tc>
          <w:tcPr>
            <w:tcW w:w="659" w:type="pct"/>
            <w:vAlign w:val="center"/>
          </w:tcPr>
          <w:p w14:paraId="3C8D236A" w14:textId="77777777" w:rsidR="00134414" w:rsidRPr="006D4B72" w:rsidRDefault="00134414" w:rsidP="00FA6784">
            <w:pPr>
              <w:pStyle w:val="Tabletext"/>
              <w:keepNext/>
              <w:keepLines/>
              <w:spacing w:before="20" w:after="20"/>
              <w:rPr>
                <w:bCs/>
              </w:rPr>
            </w:pPr>
            <w:r w:rsidRPr="006D4B72">
              <w:rPr>
                <w:bCs/>
              </w:rPr>
              <w:t>Groupe de travail 6</w:t>
            </w:r>
          </w:p>
        </w:tc>
        <w:tc>
          <w:tcPr>
            <w:tcW w:w="2283" w:type="pct"/>
            <w:vAlign w:val="center"/>
          </w:tcPr>
          <w:p w14:paraId="0D948076" w14:textId="77777777" w:rsidR="00134414" w:rsidRPr="006D4B72" w:rsidRDefault="00134414" w:rsidP="00FA6784">
            <w:pPr>
              <w:pStyle w:val="Tabletext"/>
              <w:keepNext/>
              <w:keepLines/>
              <w:spacing w:before="20" w:after="20"/>
              <w:rPr>
                <w:bCs/>
              </w:rPr>
            </w:pPr>
            <w:r w:rsidRPr="006D4B72">
              <w:rPr>
                <w:bCs/>
              </w:rPr>
              <w:t>Chapitre 6: Questions générales; Points 2, 4, 9.1 (questions 9.1.6, 9.1.7), 10 de l'ordre du jour</w:t>
            </w:r>
          </w:p>
        </w:tc>
        <w:tc>
          <w:tcPr>
            <w:tcW w:w="1031" w:type="pct"/>
            <w:vAlign w:val="center"/>
          </w:tcPr>
          <w:p w14:paraId="1510F860" w14:textId="77777777" w:rsidR="00134414" w:rsidRPr="00ED283C" w:rsidRDefault="00134414" w:rsidP="00FA6784">
            <w:pPr>
              <w:pStyle w:val="Tabletext"/>
              <w:keepNext/>
              <w:keepLines/>
              <w:tabs>
                <w:tab w:val="clear" w:pos="1134"/>
                <w:tab w:val="left" w:pos="1169"/>
              </w:tabs>
              <w:spacing w:before="20" w:after="20"/>
              <w:rPr>
                <w:bCs/>
                <w:lang w:val="en-GB"/>
              </w:rPr>
            </w:pPr>
            <w:r w:rsidRPr="00ED283C">
              <w:rPr>
                <w:bCs/>
                <w:lang w:val="en-GB"/>
              </w:rPr>
              <w:t>M. P.N. Ngige (KEN)</w:t>
            </w:r>
          </w:p>
        </w:tc>
        <w:tc>
          <w:tcPr>
            <w:tcW w:w="1027" w:type="pct"/>
            <w:vAlign w:val="center"/>
          </w:tcPr>
          <w:p w14:paraId="4715359E" w14:textId="77777777" w:rsidR="00134414" w:rsidRPr="006D4B72" w:rsidRDefault="00134414" w:rsidP="00FA6784">
            <w:pPr>
              <w:pStyle w:val="Tabletext"/>
              <w:keepNext/>
              <w:keepLines/>
              <w:tabs>
                <w:tab w:val="clear" w:pos="1134"/>
                <w:tab w:val="left" w:pos="1104"/>
              </w:tabs>
              <w:spacing w:before="20" w:after="20"/>
              <w:rPr>
                <w:bCs/>
              </w:rPr>
            </w:pPr>
            <w:r w:rsidRPr="006D4B72">
              <w:rPr>
                <w:bCs/>
              </w:rPr>
              <w:t>M. R. Chang</w:t>
            </w:r>
          </w:p>
        </w:tc>
      </w:tr>
      <w:tr w:rsidR="00134414" w:rsidRPr="006D4B72" w14:paraId="79AE8D28" w14:textId="77777777" w:rsidTr="004870BA">
        <w:tc>
          <w:tcPr>
            <w:tcW w:w="659" w:type="pct"/>
            <w:vAlign w:val="center"/>
          </w:tcPr>
          <w:p w14:paraId="3FF5ED6A" w14:textId="5BC6E7BD" w:rsidR="00134414" w:rsidRPr="006D4B72" w:rsidRDefault="00134414" w:rsidP="00FA6784">
            <w:pPr>
              <w:pStyle w:val="Tabletext"/>
              <w:keepNext/>
              <w:keepLines/>
              <w:spacing w:before="20" w:after="20"/>
              <w:rPr>
                <w:bCs/>
              </w:rPr>
            </w:pPr>
            <w:r w:rsidRPr="006D4B72">
              <w:rPr>
                <w:bCs/>
              </w:rPr>
              <w:t>Groupe de rédaction de la plénière</w:t>
            </w:r>
          </w:p>
        </w:tc>
        <w:tc>
          <w:tcPr>
            <w:tcW w:w="2283" w:type="pct"/>
            <w:vAlign w:val="center"/>
          </w:tcPr>
          <w:p w14:paraId="58A1E0BC" w14:textId="1E5868B4" w:rsidR="00134414" w:rsidRPr="006D4B72" w:rsidRDefault="00655F3F" w:rsidP="00FA6784">
            <w:pPr>
              <w:pStyle w:val="Tabletext"/>
              <w:keepNext/>
              <w:keepLines/>
              <w:spacing w:before="20" w:after="20"/>
              <w:rPr>
                <w:bCs/>
              </w:rPr>
            </w:pPr>
            <w:r w:rsidRPr="006D4B72">
              <w:rPr>
                <w:bCs/>
              </w:rPr>
              <w:t>Renvoi</w:t>
            </w:r>
            <w:r w:rsidR="00134414" w:rsidRPr="006D4B72">
              <w:rPr>
                <w:bCs/>
              </w:rPr>
              <w:t xml:space="preserve"> </w:t>
            </w:r>
            <w:r w:rsidR="00134414" w:rsidRPr="006D4B72">
              <w:rPr>
                <w:b/>
              </w:rPr>
              <w:t>5.441B</w:t>
            </w:r>
            <w:r w:rsidRPr="006D4B72">
              <w:rPr>
                <w:bCs/>
              </w:rPr>
              <w:t>, et insertion en conséquence d'un texte dans le Chapitre 6 au titre du point 9.1 de l'ordre du jour, et de références croisées dans le Chapitre</w:t>
            </w:r>
            <w:r w:rsidR="00134414" w:rsidRPr="006D4B72">
              <w:rPr>
                <w:bCs/>
              </w:rPr>
              <w:t xml:space="preserve"> 2. </w:t>
            </w:r>
          </w:p>
        </w:tc>
        <w:tc>
          <w:tcPr>
            <w:tcW w:w="1031" w:type="pct"/>
            <w:vAlign w:val="center"/>
          </w:tcPr>
          <w:p w14:paraId="55377558" w14:textId="3604B170" w:rsidR="00134414" w:rsidRPr="006D4B72" w:rsidRDefault="00134414" w:rsidP="00FA6784">
            <w:pPr>
              <w:pStyle w:val="Tabletext"/>
              <w:keepNext/>
              <w:keepLines/>
              <w:tabs>
                <w:tab w:val="clear" w:pos="1134"/>
                <w:tab w:val="left" w:pos="1169"/>
              </w:tabs>
              <w:spacing w:before="20" w:after="20"/>
              <w:rPr>
                <w:bCs/>
              </w:rPr>
            </w:pPr>
            <w:r w:rsidRPr="006D4B72">
              <w:rPr>
                <w:bCs/>
              </w:rPr>
              <w:t>M. S. Pastukh (RUS)</w:t>
            </w:r>
          </w:p>
        </w:tc>
        <w:tc>
          <w:tcPr>
            <w:tcW w:w="1027" w:type="pct"/>
            <w:vAlign w:val="center"/>
          </w:tcPr>
          <w:p w14:paraId="4B9DA422" w14:textId="758D42B7" w:rsidR="00134414" w:rsidRPr="006D4B72" w:rsidRDefault="00134414" w:rsidP="00FA6784">
            <w:pPr>
              <w:pStyle w:val="Tabletext"/>
              <w:keepNext/>
              <w:keepLines/>
              <w:tabs>
                <w:tab w:val="clear" w:pos="1134"/>
                <w:tab w:val="left" w:pos="1104"/>
              </w:tabs>
              <w:spacing w:before="20" w:after="20"/>
              <w:rPr>
                <w:bCs/>
              </w:rPr>
            </w:pPr>
            <w:r w:rsidRPr="006D4B72">
              <w:rPr>
                <w:bCs/>
              </w:rPr>
              <w:t>M. Ph. Aubineau</w:t>
            </w:r>
          </w:p>
        </w:tc>
      </w:tr>
    </w:tbl>
    <w:p w14:paraId="2801F7BB" w14:textId="4C531B64" w:rsidR="00C059D2" w:rsidRPr="006D4B72" w:rsidRDefault="00C059D2" w:rsidP="00FA6784">
      <w:bookmarkStart w:id="64" w:name="lt_pId150"/>
      <w:r w:rsidRPr="006D4B72">
        <w:t>Les participants à la réunion ont approuvé le Rapport de la RPC à la CMR-1</w:t>
      </w:r>
      <w:r w:rsidR="00134414" w:rsidRPr="006D4B72">
        <w:t>9</w:t>
      </w:r>
      <w:r w:rsidRPr="006D4B72">
        <w:t>.</w:t>
      </w:r>
      <w:bookmarkEnd w:id="64"/>
    </w:p>
    <w:p w14:paraId="6E89839E" w14:textId="56975B76" w:rsidR="00C059D2" w:rsidRPr="006D4B72" w:rsidRDefault="00C059D2" w:rsidP="00FA6784">
      <w:bookmarkStart w:id="65" w:name="lt_pId151"/>
      <w:r w:rsidRPr="006D4B72">
        <w:t>Le Rapport comprend six Chapitres, définis conformément à la structure approuvée à la première session de la RPC-1</w:t>
      </w:r>
      <w:r w:rsidR="006B2057" w:rsidRPr="006D4B72">
        <w:t>9</w:t>
      </w:r>
      <w:r w:rsidRPr="006D4B72">
        <w:t>.</w:t>
      </w:r>
      <w:bookmarkEnd w:id="65"/>
    </w:p>
    <w:p w14:paraId="2C8B3791" w14:textId="7E2537DF" w:rsidR="00C059D2" w:rsidRPr="006D4B72" w:rsidRDefault="00C059D2" w:rsidP="00FA6784">
      <w:bookmarkStart w:id="66" w:name="lt_pId152"/>
      <w:r w:rsidRPr="006D4B72">
        <w:t xml:space="preserve">En outre, </w:t>
      </w:r>
      <w:bookmarkStart w:id="67" w:name="lt_pId153"/>
      <w:bookmarkEnd w:id="66"/>
      <w:r w:rsidR="00134414" w:rsidRPr="006D4B72">
        <w:t>l</w:t>
      </w:r>
      <w:r w:rsidRPr="006D4B72">
        <w:t>e Rapport de la RPC contient également dans son Annexe une liste de publications de l'UIT-R et d'autres entités, y compris certains projets de versions nouvelles ou révisées de Recommandations et de Rapports de l'UIT-R, qui sont cités dans le texte du Rapport.</w:t>
      </w:r>
      <w:bookmarkEnd w:id="67"/>
      <w:r w:rsidRPr="006D4B72">
        <w:t xml:space="preserve"> </w:t>
      </w:r>
      <w:bookmarkStart w:id="68" w:name="lt_pId154"/>
      <w:r w:rsidRPr="006D4B72">
        <w:t>La version définitive de cette liste, qui tiendra compte des dernières mises à jour de ces publications précédant la CMR-1</w:t>
      </w:r>
      <w:r w:rsidR="00134414" w:rsidRPr="006D4B72">
        <w:t>9</w:t>
      </w:r>
      <w:r w:rsidRPr="006D4B72">
        <w:t xml:space="preserve"> et des décisions pertinentes de l'Assemblée des radiocommunications de 201</w:t>
      </w:r>
      <w:r w:rsidR="00134414" w:rsidRPr="006D4B72">
        <w:t>9</w:t>
      </w:r>
      <w:r w:rsidRPr="006D4B72">
        <w:t>, sera communiquée à la Conférence.</w:t>
      </w:r>
      <w:bookmarkEnd w:id="68"/>
    </w:p>
    <w:p w14:paraId="74DD5C05" w14:textId="6BA95626" w:rsidR="00134414" w:rsidRPr="006D4B72" w:rsidRDefault="006B2057" w:rsidP="00FA6784">
      <w:r w:rsidRPr="006D4B72">
        <w:t>Lors de la session plénière de clôture de la RPC19-2, il a été pris note de certains points concernant des améliorations qui pourraient être apportées au processus de la RPC (voir le document CPM19</w:t>
      </w:r>
      <w:r w:rsidR="00FA6784" w:rsidRPr="006D4B72">
        <w:noBreakHyphen/>
      </w:r>
      <w:r w:rsidRPr="006D4B72">
        <w:t xml:space="preserve">2/248). En outre, il a été observé que le projet de rapport et le rapport final de la RPC comptaient </w:t>
      </w:r>
      <w:r w:rsidR="006D4B72" w:rsidRPr="006D4B72">
        <w:t xml:space="preserve">tous deux </w:t>
      </w:r>
      <w:r w:rsidRPr="006D4B72">
        <w:t>davantage de pages et que plusieurs textes qui ont été examinés et approuvés à la fin de la RPC19-2</w:t>
      </w:r>
      <w:r w:rsidR="000C76E2" w:rsidRPr="006D4B72">
        <w:t xml:space="preserve"> n'étaient disponibles qu'en anglais à ce stade</w:t>
      </w:r>
      <w:r w:rsidR="00134414" w:rsidRPr="006D4B72">
        <w:t>.</w:t>
      </w:r>
    </w:p>
    <w:p w14:paraId="73DF7031" w14:textId="77777777" w:rsidR="00C059D2" w:rsidRPr="006D4B72" w:rsidRDefault="00C059D2" w:rsidP="00FA6784">
      <w:pPr>
        <w:pStyle w:val="Heading1"/>
      </w:pPr>
      <w:r w:rsidRPr="006D4B72">
        <w:t>5</w:t>
      </w:r>
      <w:r w:rsidRPr="006D4B72">
        <w:tab/>
      </w:r>
      <w:bookmarkStart w:id="69" w:name="lt_pId156"/>
      <w:r w:rsidRPr="006D4B72">
        <w:t>Conclusion</w:t>
      </w:r>
      <w:bookmarkEnd w:id="69"/>
    </w:p>
    <w:p w14:paraId="5DE002AF" w14:textId="69D12154" w:rsidR="00C059D2" w:rsidRPr="006D4B72" w:rsidRDefault="00C059D2" w:rsidP="00FA6784">
      <w:bookmarkStart w:id="70" w:name="lt_pId157"/>
      <w:r w:rsidRPr="006D4B72">
        <w:t>Le Rapport de la Réunion de préparation à la Conférence mondiale des radiocommunications de 201</w:t>
      </w:r>
      <w:r w:rsidR="00134414" w:rsidRPr="006D4B72">
        <w:t>9</w:t>
      </w:r>
      <w:r w:rsidRPr="006D4B72">
        <w:t xml:space="preserve"> a été établi conformément à la Résolution UIT-R 2-</w:t>
      </w:r>
      <w:r w:rsidR="00134414" w:rsidRPr="006D4B72">
        <w:t>7</w:t>
      </w:r>
      <w:r w:rsidRPr="006D4B72">
        <w:t>.</w:t>
      </w:r>
      <w:bookmarkEnd w:id="70"/>
      <w:r w:rsidRPr="006D4B72">
        <w:t xml:space="preserve"> </w:t>
      </w:r>
      <w:bookmarkStart w:id="71" w:name="lt_pId158"/>
      <w:r w:rsidRPr="006D4B72">
        <w:t xml:space="preserve">Il a été approuvé par la RPC à sa seconde session, tenue à Genève du </w:t>
      </w:r>
      <w:r w:rsidR="00134414" w:rsidRPr="006D4B72">
        <w:t>18 au 28 février 2019</w:t>
      </w:r>
      <w:r w:rsidRPr="006D4B72">
        <w:t>.</w:t>
      </w:r>
      <w:bookmarkEnd w:id="71"/>
    </w:p>
    <w:p w14:paraId="75D3C937" w14:textId="03C9819E" w:rsidR="00C059D2" w:rsidRPr="006D4B72" w:rsidRDefault="00C059D2" w:rsidP="00FA6784">
      <w:bookmarkStart w:id="72" w:name="lt_pId159"/>
      <w:r w:rsidRPr="006D4B72">
        <w:t>Le Rapport de la RPC à la CMR-1</w:t>
      </w:r>
      <w:r w:rsidR="00134414" w:rsidRPr="006D4B72">
        <w:t>9</w:t>
      </w:r>
      <w:r w:rsidRPr="006D4B72">
        <w:t xml:space="preserve"> est destiné à aider les </w:t>
      </w:r>
      <w:r w:rsidR="006D4B72" w:rsidRPr="006D4B72">
        <w:t>États</w:t>
      </w:r>
      <w:r w:rsidRPr="006D4B72">
        <w:t xml:space="preserve"> Membres et les Membres du Secteur des radiocommunications de l'UIT qui participent aux travaux préparatoires pour la CMR</w:t>
      </w:r>
      <w:r w:rsidRPr="006D4B72">
        <w:noBreakHyphen/>
        <w:t>1</w:t>
      </w:r>
      <w:r w:rsidR="00134414" w:rsidRPr="006D4B72">
        <w:t>9</w:t>
      </w:r>
      <w:r w:rsidRPr="006D4B72">
        <w:t>.</w:t>
      </w:r>
      <w:bookmarkEnd w:id="72"/>
      <w:r w:rsidRPr="006D4B72">
        <w:t xml:space="preserve"> </w:t>
      </w:r>
      <w:bookmarkStart w:id="73" w:name="lt_pId160"/>
      <w:r w:rsidRPr="006D4B72">
        <w:t>Il regroupe les meilleures informations, disponibles au moment de sa préparation, sur les questions techniques, d'exploitation, réglementaires et de procédure correspondant à l'ordre du jour, aux thèmes et aux questions de la CMR-1</w:t>
      </w:r>
      <w:r w:rsidR="00134414" w:rsidRPr="006D4B72">
        <w:t>9</w:t>
      </w:r>
      <w:r w:rsidRPr="006D4B72">
        <w:t>, et constitue une bonne base pour les débats de la Conférence.</w:t>
      </w:r>
      <w:bookmarkEnd w:id="73"/>
    </w:p>
    <w:p w14:paraId="58DB346C" w14:textId="77777777" w:rsidR="00C059D2" w:rsidRPr="006D4B72" w:rsidRDefault="00C059D2" w:rsidP="00FA6784">
      <w:pPr>
        <w:pStyle w:val="Heading1"/>
      </w:pPr>
      <w:r w:rsidRPr="006D4B72">
        <w:lastRenderedPageBreak/>
        <w:t>6</w:t>
      </w:r>
      <w:r w:rsidRPr="006D4B72">
        <w:tab/>
      </w:r>
      <w:bookmarkStart w:id="74" w:name="lt_pId162"/>
      <w:r w:rsidRPr="006D4B72">
        <w:t>Remerciements</w:t>
      </w:r>
      <w:bookmarkEnd w:id="74"/>
    </w:p>
    <w:p w14:paraId="6C76ED5F" w14:textId="44A3A1AC" w:rsidR="00C059D2" w:rsidRPr="006D4B72" w:rsidRDefault="00C059D2" w:rsidP="00FA6784">
      <w:pPr>
        <w:rPr>
          <w:rFonts w:ascii="TimesNewRoman" w:hAnsi="TimesNewRoman" w:cs="TimesNewRoman"/>
        </w:rPr>
      </w:pPr>
      <w:bookmarkStart w:id="75" w:name="lt_pId163"/>
      <w:r w:rsidRPr="006D4B72">
        <w:rPr>
          <w:rFonts w:ascii="TimesNewRoman" w:hAnsi="TimesNewRoman" w:cs="TimesNewRoman"/>
        </w:rPr>
        <w:t>Je voudrais adresser mes remerciements à tous ceux qui ont apporté leur concours à l'élaboration du Rapport de la RPC à la CMR-1</w:t>
      </w:r>
      <w:r w:rsidR="00134414" w:rsidRPr="006D4B72">
        <w:rPr>
          <w:rFonts w:ascii="TimesNewRoman" w:hAnsi="TimesNewRoman" w:cs="TimesNewRoman"/>
        </w:rPr>
        <w:t>9</w:t>
      </w:r>
      <w:r w:rsidRPr="006D4B72">
        <w:rPr>
          <w:rFonts w:ascii="TimesNewRoman" w:hAnsi="TimesNewRoman" w:cs="TimesNewRoman"/>
        </w:rPr>
        <w:t xml:space="preserve"> pour leurs contributions et leur participation au processus de la RPC.</w:t>
      </w:r>
      <w:bookmarkEnd w:id="75"/>
    </w:p>
    <w:p w14:paraId="297D430F" w14:textId="77777777" w:rsidR="00C059D2" w:rsidRPr="006D4B72" w:rsidRDefault="00C059D2" w:rsidP="00FA6784">
      <w:pPr>
        <w:rPr>
          <w:rFonts w:ascii="TimesNewRoman" w:hAnsi="TimesNewRoman" w:cs="TimesNewRoman"/>
        </w:rPr>
      </w:pPr>
      <w:bookmarkStart w:id="76" w:name="lt_pId164"/>
      <w:r w:rsidRPr="006D4B72">
        <w:rPr>
          <w:rFonts w:ascii="TimesNewRoman" w:hAnsi="TimesNewRoman" w:cs="TimesNewRoman"/>
        </w:rPr>
        <w:t>Je souhaiterais remercier également le Directeur et le personnel du BR d'avoir fourni l'assistance nécessaire au cours de ce processus.</w:t>
      </w:r>
      <w:bookmarkEnd w:id="76"/>
    </w:p>
    <w:p w14:paraId="45825F81" w14:textId="1F7F396D" w:rsidR="00C059D2" w:rsidRPr="006D4B72" w:rsidRDefault="00C059D2" w:rsidP="00FA6784">
      <w:pPr>
        <w:rPr>
          <w:rFonts w:ascii="TimesNewRoman" w:hAnsi="TimesNewRoman" w:cs="TimesNewRoman"/>
        </w:rPr>
      </w:pPr>
      <w:bookmarkStart w:id="77" w:name="lt_pId165"/>
      <w:r w:rsidRPr="006D4B72">
        <w:rPr>
          <w:rFonts w:ascii="TimesNewRoman" w:hAnsi="TimesNewRoman" w:cs="TimesNewRoman"/>
        </w:rPr>
        <w:t>Le Rapport de la RPC à la CMR-1</w:t>
      </w:r>
      <w:r w:rsidR="00134414" w:rsidRPr="006D4B72">
        <w:rPr>
          <w:rFonts w:ascii="TimesNewRoman" w:hAnsi="TimesNewRoman" w:cs="TimesNewRoman"/>
        </w:rPr>
        <w:t>9</w:t>
      </w:r>
      <w:r w:rsidRPr="006D4B72">
        <w:rPr>
          <w:rFonts w:ascii="TimesNewRoman" w:hAnsi="TimesNewRoman" w:cs="TimesNewRoman"/>
        </w:rPr>
        <w:t xml:space="preserve"> est le fruit d'un réel travail d'équipe et je souhaite témoigner de ma reconnaissance envers les Vice-Présidents de la RPC-1</w:t>
      </w:r>
      <w:r w:rsidR="00134414" w:rsidRPr="006D4B72">
        <w:rPr>
          <w:rFonts w:ascii="TimesNewRoman" w:hAnsi="TimesNewRoman" w:cs="TimesNewRoman"/>
        </w:rPr>
        <w:t>9</w:t>
      </w:r>
      <w:r w:rsidRPr="006D4B72">
        <w:rPr>
          <w:rFonts w:ascii="TimesNewRoman" w:hAnsi="TimesNewRoman" w:cs="TimesNewRoman"/>
        </w:rPr>
        <w:t>, les Présidents des commissions d'études, ainsi que les Présidents et les conseillers du BR des groupes responsables, et les Rapporteurs chargés des Chapitres de la RPC-1</w:t>
      </w:r>
      <w:r w:rsidR="000C76E2" w:rsidRPr="006D4B72">
        <w:rPr>
          <w:rFonts w:ascii="TimesNewRoman" w:hAnsi="TimesNewRoman" w:cs="TimesNewRoman"/>
        </w:rPr>
        <w:t>9</w:t>
      </w:r>
      <w:r w:rsidRPr="006D4B72">
        <w:rPr>
          <w:rFonts w:ascii="TimesNewRoman" w:hAnsi="TimesNewRoman" w:cs="TimesNewRoman"/>
        </w:rPr>
        <w:t>, qui o</w:t>
      </w:r>
      <w:bookmarkStart w:id="78" w:name="_GoBack"/>
      <w:bookmarkEnd w:id="78"/>
      <w:r w:rsidRPr="006D4B72">
        <w:rPr>
          <w:rFonts w:ascii="TimesNewRoman" w:hAnsi="TimesNewRoman" w:cs="TimesNewRoman"/>
        </w:rPr>
        <w:t>nt activement participé à l'élaboration du rapport.</w:t>
      </w:r>
    </w:p>
    <w:p w14:paraId="3596B586" w14:textId="77777777" w:rsidR="00C059D2" w:rsidRPr="006D4B72" w:rsidRDefault="00C059D2" w:rsidP="00FA6784">
      <w:bookmarkStart w:id="79" w:name="lt_pId166"/>
      <w:bookmarkEnd w:id="77"/>
      <w:r w:rsidRPr="006D4B72">
        <w:t>Je voudrais également remercier les nombreuses autres personnes qui ont contribué à l'élaboration du Rapport par leur participation aux réunions de l'UIT-R et par leurs précieux conseils et observations.</w:t>
      </w:r>
      <w:bookmarkEnd w:id="79"/>
    </w:p>
    <w:p w14:paraId="71BEB177" w14:textId="573B8621" w:rsidR="00C059D2" w:rsidRPr="006D4B72" w:rsidRDefault="00C059D2" w:rsidP="00FA6784">
      <w:pPr>
        <w:tabs>
          <w:tab w:val="clear" w:pos="1134"/>
          <w:tab w:val="clear" w:pos="1871"/>
          <w:tab w:val="clear" w:pos="2268"/>
          <w:tab w:val="center" w:pos="7938"/>
        </w:tabs>
        <w:spacing w:before="720"/>
      </w:pPr>
      <w:r w:rsidRPr="006D4B72">
        <w:tab/>
      </w:r>
      <w:r w:rsidR="000C76E2" w:rsidRPr="006D4B72">
        <w:t>K. Al-Awadi</w:t>
      </w:r>
      <w:r w:rsidRPr="006D4B72">
        <w:br/>
      </w:r>
      <w:r w:rsidRPr="006D4B72">
        <w:tab/>
      </w:r>
      <w:bookmarkStart w:id="80" w:name="lt_pId171"/>
      <w:r w:rsidRPr="006D4B72">
        <w:t>Président de la RPC-1</w:t>
      </w:r>
      <w:bookmarkEnd w:id="80"/>
      <w:r w:rsidR="000C76E2" w:rsidRPr="006D4B72">
        <w:t>9</w:t>
      </w:r>
      <w:r w:rsidRPr="006D4B72">
        <w:t xml:space="preserve"> </w:t>
      </w:r>
    </w:p>
    <w:p w14:paraId="579377B2" w14:textId="77777777" w:rsidR="00B11F65" w:rsidRPr="006D4B72" w:rsidRDefault="00B11F65" w:rsidP="00FA6784"/>
    <w:sectPr w:rsidR="00B11F65" w:rsidRPr="006D4B72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B2A3C" w14:textId="77777777" w:rsidR="00C059D2" w:rsidRDefault="00C059D2">
      <w:r>
        <w:separator/>
      </w:r>
    </w:p>
  </w:endnote>
  <w:endnote w:type="continuationSeparator" w:id="0">
    <w:p w14:paraId="1328E310" w14:textId="77777777" w:rsidR="00C059D2" w:rsidRDefault="00C0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219B4" w14:textId="0EC682B7"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F6EEE">
      <w:rPr>
        <w:noProof/>
        <w:lang w:val="en-US"/>
      </w:rPr>
      <w:t>P:\FRA\ITU-R\CONF-R\AR19\PLEN\002F.docx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283C">
      <w:rPr>
        <w:noProof/>
      </w:rPr>
      <w:t>24.09.19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F6EEE">
      <w:rPr>
        <w:noProof/>
      </w:rPr>
      <w:t>24.09.19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3352" w14:textId="744C8E56" w:rsidR="00B11F65" w:rsidRDefault="00B11F65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D283C">
      <w:rPr>
        <w:lang w:val="en-US"/>
      </w:rPr>
      <w:t>P:\FRA\ITU-R\CONF-R\AR19\PLEN\000\002F.docx</w:t>
    </w:r>
    <w:r>
      <w:fldChar w:fldCharType="end"/>
    </w:r>
    <w:r w:rsidR="00515167" w:rsidRPr="00F0436C">
      <w:rPr>
        <w:lang w:val="en-US"/>
      </w:rPr>
      <w:t xml:space="preserve"> (453234)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E6F1" w14:textId="5B079FCF" w:rsidR="00EC0EB4" w:rsidRDefault="00EC0EB4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D283C">
      <w:rPr>
        <w:lang w:val="en-US"/>
      </w:rPr>
      <w:t>P:\FRA\ITU-R\CONF-R\AR19\PLEN\000\002F.docx</w:t>
    </w:r>
    <w:r>
      <w:fldChar w:fldCharType="end"/>
    </w:r>
    <w:r w:rsidR="00FA6784">
      <w:t xml:space="preserve"> (453234)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BBCD" w14:textId="77777777" w:rsidR="00C059D2" w:rsidRDefault="00C059D2">
      <w:r>
        <w:rPr>
          <w:b/>
        </w:rPr>
        <w:t>_______________</w:t>
      </w:r>
    </w:p>
  </w:footnote>
  <w:footnote w:type="continuationSeparator" w:id="0">
    <w:p w14:paraId="1CEC34BD" w14:textId="77777777" w:rsidR="00C059D2" w:rsidRDefault="00C0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DE283" w14:textId="77777777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1F65">
      <w:rPr>
        <w:noProof/>
      </w:rPr>
      <w:t>2</w:t>
    </w:r>
    <w:r>
      <w:fldChar w:fldCharType="end"/>
    </w:r>
  </w:p>
  <w:p w14:paraId="49879F65" w14:textId="40210958" w:rsidR="0056236F" w:rsidRDefault="0056236F">
    <w:pPr>
      <w:pStyle w:val="Header"/>
    </w:pPr>
    <w:r>
      <w:t>RA19/</w:t>
    </w:r>
    <w:r w:rsidR="00515167">
      <w:t>PLEN/2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D2"/>
    <w:rsid w:val="00006711"/>
    <w:rsid w:val="000B1F11"/>
    <w:rsid w:val="000C764F"/>
    <w:rsid w:val="000C76E2"/>
    <w:rsid w:val="00134414"/>
    <w:rsid w:val="0013523C"/>
    <w:rsid w:val="00160694"/>
    <w:rsid w:val="001C5762"/>
    <w:rsid w:val="00223DF9"/>
    <w:rsid w:val="00267D30"/>
    <w:rsid w:val="00312771"/>
    <w:rsid w:val="00315CF6"/>
    <w:rsid w:val="003644F8"/>
    <w:rsid w:val="0039789F"/>
    <w:rsid w:val="00497DBB"/>
    <w:rsid w:val="00515167"/>
    <w:rsid w:val="00530E6D"/>
    <w:rsid w:val="0056236F"/>
    <w:rsid w:val="0058558D"/>
    <w:rsid w:val="00590361"/>
    <w:rsid w:val="005A46FB"/>
    <w:rsid w:val="0060664A"/>
    <w:rsid w:val="006506F4"/>
    <w:rsid w:val="00655F3F"/>
    <w:rsid w:val="00692C8B"/>
    <w:rsid w:val="006B2057"/>
    <w:rsid w:val="006B7103"/>
    <w:rsid w:val="006C47C2"/>
    <w:rsid w:val="006D4B72"/>
    <w:rsid w:val="006F73A7"/>
    <w:rsid w:val="00774109"/>
    <w:rsid w:val="00830FD6"/>
    <w:rsid w:val="00840A51"/>
    <w:rsid w:val="00852305"/>
    <w:rsid w:val="00852EBF"/>
    <w:rsid w:val="008962EE"/>
    <w:rsid w:val="008C5FD1"/>
    <w:rsid w:val="00992C42"/>
    <w:rsid w:val="009F5D7E"/>
    <w:rsid w:val="00A05669"/>
    <w:rsid w:val="00A769F2"/>
    <w:rsid w:val="00A93B81"/>
    <w:rsid w:val="00AD26C8"/>
    <w:rsid w:val="00B11F65"/>
    <w:rsid w:val="00B82926"/>
    <w:rsid w:val="00B9065A"/>
    <w:rsid w:val="00BF6EEE"/>
    <w:rsid w:val="00C059D2"/>
    <w:rsid w:val="00C10A17"/>
    <w:rsid w:val="00D278A9"/>
    <w:rsid w:val="00D32DD4"/>
    <w:rsid w:val="00D47558"/>
    <w:rsid w:val="00D54910"/>
    <w:rsid w:val="00DC4CBD"/>
    <w:rsid w:val="00EC0EB4"/>
    <w:rsid w:val="00ED283C"/>
    <w:rsid w:val="00F0436C"/>
    <w:rsid w:val="00F30904"/>
    <w:rsid w:val="00FA6784"/>
    <w:rsid w:val="00FB596A"/>
    <w:rsid w:val="00FD6EA0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126010A"/>
  <w15:docId w15:val="{339A785A-4218-4926-86DC-04BC227F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link w:val="TabletextChar"/>
    <w:uiPriority w:val="99"/>
    <w:qFormat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8962EE"/>
    <w:rPr>
      <w:position w:val="6"/>
      <w:sz w:val="18"/>
    </w:rPr>
  </w:style>
  <w:style w:type="paragraph" w:styleId="FootnoteText">
    <w:name w:val="footnote text"/>
    <w:aliases w:val="ALTS FOOTNOTE,DNV-FT,Footnote Text Char Char1,Footnote Text Char Char1 Char1 Char Char,Footnote Text Char1,Footnote Text Char1 Char1 Char1 Char,Footnote Text Char1 Char1 Char1 Char Char Char1,Footnote Text Char4 Char Char,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DNV-FT Char,Footnote Text Char Char1 Char,Footnote Text Char Char1 Char1 Char Char Char,Footnote Text Char1 Char,Footnote Text Char1 Char1 Char1 Char Char,Footnote Text Char1 Char1 Char1 Char Char Char1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qFormat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character" w:customStyle="1" w:styleId="TabletextChar">
    <w:name w:val="Table_text Char"/>
    <w:link w:val="Tabletext"/>
    <w:uiPriority w:val="99"/>
    <w:qFormat/>
    <w:locked/>
    <w:rsid w:val="00C059D2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link w:val="Tablehead"/>
    <w:qFormat/>
    <w:locked/>
    <w:rsid w:val="00C059D2"/>
    <w:rPr>
      <w:rFonts w:ascii="Times New Roman" w:hAnsi="Times New Roman"/>
      <w:b/>
      <w:lang w:val="fr-FR" w:eastAsia="en-US"/>
    </w:rPr>
  </w:style>
  <w:style w:type="character" w:styleId="Hyperlink">
    <w:name w:val="Hyperlink"/>
    <w:rsid w:val="00C059D2"/>
    <w:rPr>
      <w:color w:val="0000FF"/>
      <w:u w:val="single"/>
    </w:rPr>
  </w:style>
  <w:style w:type="paragraph" w:customStyle="1" w:styleId="Tablefin">
    <w:name w:val="Table_fin"/>
    <w:basedOn w:val="Normal"/>
    <w:rsid w:val="00C059D2"/>
    <w:pPr>
      <w:spacing w:before="0"/>
    </w:pPr>
    <w:rPr>
      <w:sz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2E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A67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26/fr" TargetMode="External"/><Relationship Id="rId13" Type="http://schemas.openxmlformats.org/officeDocument/2006/relationships/hyperlink" Target="https://www.itu.int/md/R15-TG5.1-C-0103/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R15-WP5C-C-0310/fr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5-WP4A-C-0386/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R00-CA-CIR-0226/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00-CA-CIR-0226/fr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22</TotalTime>
  <Pages>6</Pages>
  <Words>2700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16967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Gozel, Elsa</dc:creator>
  <cp:keywords/>
  <dc:description>PF_RA07.dot  Pour: _x000d_Date du document: _x000d_Enregistré par MM-43480 à 16:09:12 le 16.10.07</dc:description>
  <cp:lastModifiedBy>Cormier-Ribout, Kevin</cp:lastModifiedBy>
  <cp:revision>5</cp:revision>
  <cp:lastPrinted>2019-09-24T09:00:00Z</cp:lastPrinted>
  <dcterms:created xsi:type="dcterms:W3CDTF">2019-09-24T08:45:00Z</dcterms:created>
  <dcterms:modified xsi:type="dcterms:W3CDTF">2019-09-24T13:42:00Z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